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E65A" w14:textId="42007474" w:rsidR="00A03898" w:rsidRDefault="00A03898">
      <w:pPr>
        <w:tabs>
          <w:tab w:val="left" w:pos="900"/>
        </w:tabs>
        <w:spacing w:after="0" w:line="276" w:lineRule="auto"/>
        <w:jc w:val="center"/>
        <w:rPr>
          <w:rFonts w:ascii="Times New Roman" w:eastAsiaTheme="majorEastAsia" w:hAnsi="Times New Roman" w:cs="Times New Roman"/>
          <w:b/>
          <w:kern w:val="28"/>
          <w:sz w:val="28"/>
          <w:szCs w:val="28"/>
        </w:rPr>
      </w:pPr>
    </w:p>
    <w:p w14:paraId="5E7238FF" w14:textId="4BD0E5C3" w:rsidR="00914693" w:rsidRPr="00B912F2" w:rsidRDefault="004D040E" w:rsidP="00F02093">
      <w:pPr>
        <w:spacing w:after="0" w:line="240" w:lineRule="auto"/>
        <w:jc w:val="center"/>
        <w:rPr>
          <w:rFonts w:ascii="Times New Roman" w:eastAsiaTheme="majorEastAsia" w:hAnsi="Times New Roman" w:cs="Times New Roman"/>
          <w:b/>
          <w:kern w:val="28"/>
          <w:sz w:val="24"/>
          <w:szCs w:val="24"/>
        </w:rPr>
      </w:pPr>
      <w:r w:rsidRPr="00B912F2">
        <w:rPr>
          <w:rFonts w:ascii="Times New Roman" w:eastAsiaTheme="majorEastAsia" w:hAnsi="Times New Roman" w:cs="Times New Roman"/>
          <w:b/>
          <w:kern w:val="28"/>
          <w:sz w:val="24"/>
          <w:szCs w:val="24"/>
        </w:rPr>
        <w:t xml:space="preserve">An Investigation of </w:t>
      </w:r>
      <w:r w:rsidR="008A2A0F">
        <w:rPr>
          <w:rFonts w:ascii="Times New Roman" w:eastAsiaTheme="majorEastAsia" w:hAnsi="Times New Roman" w:cs="Times New Roman"/>
          <w:b/>
          <w:kern w:val="28"/>
          <w:sz w:val="24"/>
          <w:szCs w:val="24"/>
        </w:rPr>
        <w:t xml:space="preserve">Individual-Level Telework Arrangements in the </w:t>
      </w:r>
      <w:r w:rsidRPr="00B912F2">
        <w:rPr>
          <w:rFonts w:ascii="Times New Roman" w:eastAsiaTheme="majorEastAsia" w:hAnsi="Times New Roman" w:cs="Times New Roman"/>
          <w:b/>
          <w:kern w:val="28"/>
          <w:sz w:val="24"/>
          <w:szCs w:val="24"/>
        </w:rPr>
        <w:t>COVID-Era</w:t>
      </w:r>
    </w:p>
    <w:p w14:paraId="2431F4F0" w14:textId="77777777" w:rsidR="00F02093" w:rsidRDefault="00F02093" w:rsidP="00194389">
      <w:pPr>
        <w:spacing w:after="0" w:line="240" w:lineRule="auto"/>
        <w:rPr>
          <w:rFonts w:ascii="Times New Roman" w:hAnsi="Times New Roman" w:cs="Times New Roman"/>
          <w:b/>
          <w:sz w:val="24"/>
          <w:szCs w:val="24"/>
        </w:rPr>
      </w:pPr>
    </w:p>
    <w:p w14:paraId="4CCAB4E2" w14:textId="77777777" w:rsidR="00B912F2" w:rsidRPr="00B912F2" w:rsidRDefault="00B912F2" w:rsidP="00F02093">
      <w:pPr>
        <w:spacing w:after="120" w:line="240" w:lineRule="auto"/>
        <w:jc w:val="center"/>
        <w:rPr>
          <w:rFonts w:ascii="Times New Roman" w:hAnsi="Times New Roman" w:cs="Times New Roman"/>
          <w:b/>
          <w:sz w:val="24"/>
          <w:szCs w:val="24"/>
        </w:rPr>
      </w:pPr>
    </w:p>
    <w:p w14:paraId="0F2748F6" w14:textId="5C5BC8FC" w:rsidR="004D040E" w:rsidRPr="00837F9C" w:rsidRDefault="004D040E" w:rsidP="00F02093">
      <w:pPr>
        <w:spacing w:after="0" w:line="240" w:lineRule="auto"/>
        <w:jc w:val="center"/>
        <w:rPr>
          <w:rFonts w:ascii="Times New Roman" w:hAnsi="Times New Roman" w:cs="Times New Roman"/>
          <w:b/>
          <w:sz w:val="24"/>
          <w:szCs w:val="24"/>
        </w:rPr>
      </w:pPr>
      <w:r w:rsidRPr="00837F9C">
        <w:rPr>
          <w:rFonts w:ascii="Times New Roman" w:hAnsi="Times New Roman" w:cs="Times New Roman"/>
          <w:b/>
          <w:sz w:val="24"/>
          <w:szCs w:val="24"/>
        </w:rPr>
        <w:t>Katherine E. Asmussen</w:t>
      </w:r>
    </w:p>
    <w:p w14:paraId="7126C641" w14:textId="77777777" w:rsidR="004D040E" w:rsidRPr="00837F9C" w:rsidRDefault="004D040E" w:rsidP="00F02093">
      <w:pPr>
        <w:spacing w:after="0" w:line="240" w:lineRule="auto"/>
        <w:jc w:val="center"/>
        <w:rPr>
          <w:rFonts w:ascii="Times New Roman" w:hAnsi="Times New Roman" w:cs="Times New Roman"/>
          <w:bCs/>
          <w:sz w:val="24"/>
          <w:szCs w:val="24"/>
        </w:rPr>
      </w:pPr>
      <w:r w:rsidRPr="00837F9C">
        <w:rPr>
          <w:rFonts w:ascii="Times New Roman" w:hAnsi="Times New Roman" w:cs="Times New Roman"/>
          <w:bCs/>
          <w:sz w:val="24"/>
          <w:szCs w:val="24"/>
        </w:rPr>
        <w:t>The University of Texas at Austin</w:t>
      </w:r>
    </w:p>
    <w:p w14:paraId="779090FD" w14:textId="77777777"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Department of Civil, Architectural and Environmental Engineering</w:t>
      </w:r>
    </w:p>
    <w:p w14:paraId="001730FA" w14:textId="77777777"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301 E. Dean Keeton St. Stop C1761, Austin TX 78712, USA</w:t>
      </w:r>
    </w:p>
    <w:p w14:paraId="14BE8C10" w14:textId="0A5E3705"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 xml:space="preserve">Email: </w:t>
      </w:r>
      <w:hyperlink r:id="rId8" w:history="1">
        <w:r w:rsidR="00CA219F" w:rsidRPr="00F02093">
          <w:rPr>
            <w:rStyle w:val="Hyperlink"/>
            <w:rFonts w:ascii="Times New Roman" w:hAnsi="Times New Roman" w:cs="Times New Roman"/>
            <w:bCs/>
            <w:sz w:val="24"/>
            <w:szCs w:val="24"/>
          </w:rPr>
          <w:t>kasmussen29@utexas.edu</w:t>
        </w:r>
      </w:hyperlink>
      <w:r w:rsidR="00CA219F" w:rsidRPr="00F02093">
        <w:rPr>
          <w:rFonts w:ascii="Times New Roman" w:hAnsi="Times New Roman" w:cs="Times New Roman"/>
          <w:bCs/>
          <w:sz w:val="24"/>
          <w:szCs w:val="24"/>
        </w:rPr>
        <w:t xml:space="preserve"> </w:t>
      </w:r>
    </w:p>
    <w:p w14:paraId="6D0FFFDA" w14:textId="77777777" w:rsidR="004D040E" w:rsidRPr="00F02093" w:rsidRDefault="004D040E" w:rsidP="00F02093">
      <w:pPr>
        <w:spacing w:after="120" w:line="240" w:lineRule="auto"/>
        <w:jc w:val="center"/>
        <w:rPr>
          <w:rFonts w:ascii="Times New Roman" w:hAnsi="Times New Roman" w:cs="Times New Roman"/>
          <w:b/>
          <w:sz w:val="24"/>
          <w:szCs w:val="24"/>
        </w:rPr>
      </w:pPr>
    </w:p>
    <w:p w14:paraId="538EC89D" w14:textId="77777777" w:rsidR="004D040E" w:rsidRPr="00F02093" w:rsidRDefault="004D040E" w:rsidP="00F02093">
      <w:pPr>
        <w:spacing w:after="0" w:line="240" w:lineRule="auto"/>
        <w:jc w:val="center"/>
        <w:rPr>
          <w:rFonts w:ascii="Times New Roman" w:hAnsi="Times New Roman" w:cs="Times New Roman"/>
          <w:b/>
          <w:sz w:val="24"/>
          <w:szCs w:val="24"/>
        </w:rPr>
      </w:pPr>
      <w:r w:rsidRPr="00F02093">
        <w:rPr>
          <w:rFonts w:ascii="Times New Roman" w:hAnsi="Times New Roman" w:cs="Times New Roman"/>
          <w:b/>
          <w:sz w:val="24"/>
          <w:szCs w:val="24"/>
        </w:rPr>
        <w:t>Aupal Mondal</w:t>
      </w:r>
    </w:p>
    <w:p w14:paraId="27B301FC" w14:textId="77777777"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The University of Texas at Austin</w:t>
      </w:r>
    </w:p>
    <w:p w14:paraId="195FD6F3" w14:textId="77777777"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Department of Civil, Architectural and Environmental Engineering</w:t>
      </w:r>
    </w:p>
    <w:p w14:paraId="0CC5D6D0" w14:textId="77777777"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301 E. Dean Keeton St. Stop C1761, Austin TX 78712, USA</w:t>
      </w:r>
    </w:p>
    <w:p w14:paraId="1CCE9553" w14:textId="52900619" w:rsidR="004D040E" w:rsidRPr="00F02093" w:rsidRDefault="004D040E" w:rsidP="00F02093">
      <w:pPr>
        <w:spacing w:after="0" w:line="240" w:lineRule="auto"/>
        <w:jc w:val="center"/>
        <w:rPr>
          <w:rFonts w:ascii="Times New Roman" w:hAnsi="Times New Roman" w:cs="Times New Roman"/>
          <w:bCs/>
          <w:sz w:val="24"/>
          <w:szCs w:val="24"/>
        </w:rPr>
      </w:pPr>
      <w:r w:rsidRPr="00F02093">
        <w:rPr>
          <w:rFonts w:ascii="Times New Roman" w:hAnsi="Times New Roman" w:cs="Times New Roman"/>
          <w:bCs/>
          <w:sz w:val="24"/>
          <w:szCs w:val="24"/>
        </w:rPr>
        <w:t xml:space="preserve">Email: </w:t>
      </w:r>
      <w:hyperlink r:id="rId9" w:history="1">
        <w:r w:rsidR="00CA219F" w:rsidRPr="00F02093">
          <w:rPr>
            <w:rStyle w:val="Hyperlink"/>
            <w:rFonts w:ascii="Times New Roman" w:hAnsi="Times New Roman" w:cs="Times New Roman"/>
            <w:bCs/>
            <w:sz w:val="24"/>
            <w:szCs w:val="24"/>
          </w:rPr>
          <w:t>aupal.mondal@utexas.edu</w:t>
        </w:r>
      </w:hyperlink>
      <w:r w:rsidR="00CA219F" w:rsidRPr="00F02093">
        <w:rPr>
          <w:rFonts w:ascii="Times New Roman" w:hAnsi="Times New Roman" w:cs="Times New Roman"/>
          <w:bCs/>
          <w:sz w:val="24"/>
          <w:szCs w:val="24"/>
        </w:rPr>
        <w:t xml:space="preserve"> </w:t>
      </w:r>
    </w:p>
    <w:p w14:paraId="3C4347A0" w14:textId="77777777" w:rsidR="004D040E" w:rsidRPr="00F02093" w:rsidRDefault="004D040E" w:rsidP="00F02093">
      <w:pPr>
        <w:spacing w:after="120" w:line="240" w:lineRule="auto"/>
        <w:jc w:val="center"/>
        <w:rPr>
          <w:rStyle w:val="Hyperlink"/>
          <w:rFonts w:ascii="Times New Roman" w:hAnsi="Times New Roman" w:cs="Times New Roman"/>
          <w:color w:val="auto"/>
          <w:sz w:val="24"/>
          <w:szCs w:val="24"/>
        </w:rPr>
      </w:pPr>
    </w:p>
    <w:p w14:paraId="00F2C75B" w14:textId="38D0733E" w:rsidR="00566CB2" w:rsidRPr="00F02093" w:rsidRDefault="00566CB2" w:rsidP="00F02093">
      <w:pPr>
        <w:spacing w:after="0" w:line="240" w:lineRule="auto"/>
        <w:jc w:val="center"/>
        <w:rPr>
          <w:rFonts w:ascii="Times New Roman" w:hAnsi="Times New Roman" w:cs="Times New Roman"/>
          <w:b/>
          <w:sz w:val="24"/>
          <w:szCs w:val="24"/>
        </w:rPr>
      </w:pPr>
      <w:r w:rsidRPr="00F02093">
        <w:rPr>
          <w:rFonts w:ascii="Times New Roman" w:hAnsi="Times New Roman" w:cs="Times New Roman"/>
          <w:b/>
          <w:sz w:val="24"/>
          <w:szCs w:val="24"/>
        </w:rPr>
        <w:t>Irfan Batur</w:t>
      </w:r>
    </w:p>
    <w:p w14:paraId="4A8262F3" w14:textId="77777777" w:rsidR="00F02093" w:rsidRPr="00F02093" w:rsidRDefault="00566CB2"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Arizona State University</w:t>
      </w:r>
    </w:p>
    <w:p w14:paraId="7CD69744" w14:textId="26EC18DB" w:rsidR="00566CB2" w:rsidRPr="00F02093" w:rsidRDefault="00566CB2"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School of Sustainable Engineering and the Built Environment</w:t>
      </w:r>
    </w:p>
    <w:p w14:paraId="4F760829" w14:textId="66D0EAA1" w:rsidR="00566CB2" w:rsidRPr="00F02093" w:rsidRDefault="00CA219F"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660 S. College Avenue, Tempe, AZ 85287, USA</w:t>
      </w:r>
    </w:p>
    <w:p w14:paraId="6D4F82DD" w14:textId="33066903" w:rsidR="00386B46" w:rsidRPr="00F02093" w:rsidRDefault="00566CB2" w:rsidP="00F02093">
      <w:pPr>
        <w:spacing w:after="0" w:line="240" w:lineRule="auto"/>
        <w:jc w:val="center"/>
        <w:rPr>
          <w:rStyle w:val="Hyperlink"/>
          <w:rFonts w:ascii="Times New Roman" w:hAnsi="Times New Roman" w:cs="Times New Roman"/>
          <w:color w:val="auto"/>
          <w:sz w:val="24"/>
          <w:szCs w:val="24"/>
        </w:rPr>
      </w:pPr>
      <w:r w:rsidRPr="00F02093">
        <w:rPr>
          <w:rFonts w:ascii="Times New Roman" w:hAnsi="Times New Roman" w:cs="Times New Roman"/>
          <w:sz w:val="24"/>
          <w:szCs w:val="24"/>
        </w:rPr>
        <w:t xml:space="preserve">Email: </w:t>
      </w:r>
      <w:hyperlink r:id="rId10" w:history="1">
        <w:r w:rsidR="00CA219F" w:rsidRPr="00F02093">
          <w:rPr>
            <w:rStyle w:val="Hyperlink"/>
            <w:rFonts w:ascii="Times New Roman" w:hAnsi="Times New Roman" w:cs="Times New Roman"/>
            <w:sz w:val="24"/>
            <w:szCs w:val="24"/>
          </w:rPr>
          <w:t>ibatur@asu.edu</w:t>
        </w:r>
      </w:hyperlink>
      <w:r w:rsidR="00CA219F" w:rsidRPr="00F02093">
        <w:rPr>
          <w:rFonts w:ascii="Times New Roman" w:hAnsi="Times New Roman" w:cs="Times New Roman"/>
          <w:sz w:val="24"/>
          <w:szCs w:val="24"/>
        </w:rPr>
        <w:t xml:space="preserve"> </w:t>
      </w:r>
    </w:p>
    <w:p w14:paraId="16E1C41C" w14:textId="5844F688" w:rsidR="00386B46" w:rsidRPr="00F02093" w:rsidRDefault="00386B46" w:rsidP="00F02093">
      <w:pPr>
        <w:spacing w:after="120" w:line="240" w:lineRule="auto"/>
        <w:jc w:val="center"/>
        <w:rPr>
          <w:rStyle w:val="Hyperlink"/>
          <w:rFonts w:ascii="Times New Roman" w:hAnsi="Times New Roman" w:cs="Times New Roman"/>
          <w:color w:val="auto"/>
          <w:sz w:val="24"/>
          <w:szCs w:val="24"/>
        </w:rPr>
      </w:pPr>
    </w:p>
    <w:p w14:paraId="1489D2D2" w14:textId="470D9459" w:rsidR="00CA232B" w:rsidRPr="00F02093" w:rsidRDefault="004335F8" w:rsidP="00F02093">
      <w:pPr>
        <w:spacing w:after="0" w:line="240" w:lineRule="auto"/>
        <w:jc w:val="center"/>
        <w:rPr>
          <w:rFonts w:ascii="Times New Roman" w:hAnsi="Times New Roman" w:cs="Times New Roman"/>
          <w:b/>
          <w:sz w:val="24"/>
          <w:szCs w:val="24"/>
        </w:rPr>
      </w:pPr>
      <w:r w:rsidRPr="00F02093">
        <w:rPr>
          <w:rFonts w:ascii="Times New Roman" w:hAnsi="Times New Roman" w:cs="Times New Roman"/>
          <w:b/>
          <w:sz w:val="24"/>
          <w:szCs w:val="24"/>
        </w:rPr>
        <w:t>Abbie Dirks</w:t>
      </w:r>
    </w:p>
    <w:p w14:paraId="5B095201" w14:textId="77777777" w:rsidR="00F02093" w:rsidRPr="00F02093" w:rsidRDefault="00CA232B"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Arizona State University</w:t>
      </w:r>
    </w:p>
    <w:p w14:paraId="06697DB6" w14:textId="2E57028B" w:rsidR="00CA232B" w:rsidRPr="00F02093" w:rsidRDefault="00CA232B"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School of Sustainable Engineering and the Built Environment</w:t>
      </w:r>
    </w:p>
    <w:p w14:paraId="1808642B" w14:textId="0115F34D" w:rsidR="00CA232B" w:rsidRPr="00F02093" w:rsidRDefault="00CA219F"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660 S. College Avenue, Tempe, AZ 85287, USA</w:t>
      </w:r>
    </w:p>
    <w:p w14:paraId="47CB49B0" w14:textId="30F4F7C7" w:rsidR="00CA232B" w:rsidRPr="00F02093" w:rsidRDefault="00CA232B" w:rsidP="00194389">
      <w:pPr>
        <w:spacing w:after="0" w:line="240" w:lineRule="auto"/>
        <w:jc w:val="center"/>
        <w:rPr>
          <w:rFonts w:ascii="Times New Roman" w:hAnsi="Times New Roman" w:cs="Times New Roman"/>
          <w:b/>
          <w:sz w:val="24"/>
          <w:szCs w:val="24"/>
        </w:rPr>
      </w:pPr>
      <w:r w:rsidRPr="00F02093">
        <w:rPr>
          <w:rFonts w:ascii="Times New Roman" w:hAnsi="Times New Roman" w:cs="Times New Roman"/>
          <w:sz w:val="24"/>
          <w:szCs w:val="24"/>
          <w:lang w:val="pt-BR"/>
        </w:rPr>
        <w:t xml:space="preserve">Email: </w:t>
      </w:r>
      <w:r w:rsidR="00CA219F" w:rsidRPr="00F02093">
        <w:rPr>
          <w:rFonts w:ascii="Times New Roman" w:hAnsi="Times New Roman" w:cs="Times New Roman"/>
          <w:sz w:val="24"/>
          <w:szCs w:val="24"/>
          <w:lang w:val="pt-BR"/>
        </w:rPr>
        <w:fldChar w:fldCharType="begin"/>
      </w:r>
      <w:r w:rsidR="00CA219F" w:rsidRPr="00F02093">
        <w:rPr>
          <w:rFonts w:ascii="Times New Roman" w:hAnsi="Times New Roman" w:cs="Times New Roman"/>
          <w:sz w:val="24"/>
          <w:szCs w:val="24"/>
          <w:lang w:val="pt-BR"/>
        </w:rPr>
        <w:instrText xml:space="preserve"> HYPERLINK "mailto:acdirks@asu.edu" </w:instrText>
      </w:r>
      <w:r w:rsidR="00CA219F" w:rsidRPr="00F02093">
        <w:rPr>
          <w:rFonts w:ascii="Times New Roman" w:hAnsi="Times New Roman" w:cs="Times New Roman"/>
          <w:sz w:val="24"/>
          <w:szCs w:val="24"/>
          <w:lang w:val="pt-BR"/>
        </w:rPr>
        <w:fldChar w:fldCharType="separate"/>
      </w:r>
      <w:r w:rsidR="00CA219F" w:rsidRPr="00F02093">
        <w:rPr>
          <w:rStyle w:val="Hyperlink"/>
          <w:rFonts w:ascii="Times New Roman" w:hAnsi="Times New Roman" w:cs="Times New Roman"/>
          <w:sz w:val="24"/>
          <w:szCs w:val="24"/>
          <w:lang w:val="pt-BR"/>
        </w:rPr>
        <w:t>acdirks@asu.edu</w:t>
      </w:r>
      <w:r w:rsidR="00CA219F" w:rsidRPr="00F02093">
        <w:rPr>
          <w:rFonts w:ascii="Times New Roman" w:hAnsi="Times New Roman" w:cs="Times New Roman"/>
          <w:sz w:val="24"/>
          <w:szCs w:val="24"/>
          <w:lang w:val="pt-BR"/>
        </w:rPr>
        <w:fldChar w:fldCharType="end"/>
      </w:r>
      <w:r w:rsidR="00CA219F" w:rsidRPr="00F02093">
        <w:rPr>
          <w:rFonts w:ascii="Times New Roman" w:hAnsi="Times New Roman" w:cs="Times New Roman"/>
          <w:sz w:val="24"/>
          <w:szCs w:val="24"/>
          <w:lang w:val="pt-BR"/>
        </w:rPr>
        <w:t xml:space="preserve"> </w:t>
      </w:r>
    </w:p>
    <w:p w14:paraId="4DD6544E" w14:textId="77777777" w:rsidR="004D040E" w:rsidRPr="00F02093" w:rsidRDefault="004D040E" w:rsidP="00194389">
      <w:pPr>
        <w:spacing w:after="120" w:line="240" w:lineRule="auto"/>
        <w:rPr>
          <w:rFonts w:ascii="Times New Roman" w:hAnsi="Times New Roman" w:cs="Times New Roman"/>
          <w:b/>
          <w:sz w:val="24"/>
          <w:szCs w:val="24"/>
        </w:rPr>
      </w:pPr>
    </w:p>
    <w:p w14:paraId="03E672E1" w14:textId="6676033B" w:rsidR="00914693" w:rsidRPr="00F02093" w:rsidRDefault="00914693" w:rsidP="00F02093">
      <w:pPr>
        <w:spacing w:after="0" w:line="240" w:lineRule="auto"/>
        <w:jc w:val="center"/>
        <w:rPr>
          <w:rFonts w:ascii="Times New Roman" w:hAnsi="Times New Roman" w:cs="Times New Roman"/>
          <w:b/>
          <w:sz w:val="24"/>
          <w:szCs w:val="24"/>
        </w:rPr>
      </w:pPr>
      <w:r w:rsidRPr="00F02093">
        <w:rPr>
          <w:rFonts w:ascii="Times New Roman" w:hAnsi="Times New Roman" w:cs="Times New Roman"/>
          <w:b/>
          <w:sz w:val="24"/>
          <w:szCs w:val="24"/>
        </w:rPr>
        <w:t>Ram M. Pendyala</w:t>
      </w:r>
      <w:r w:rsidR="001C0151" w:rsidRPr="00F02093">
        <w:rPr>
          <w:rFonts w:ascii="Times New Roman" w:hAnsi="Times New Roman" w:cs="Times New Roman"/>
          <w:b/>
          <w:sz w:val="24"/>
          <w:szCs w:val="24"/>
        </w:rPr>
        <w:t xml:space="preserve"> </w:t>
      </w:r>
    </w:p>
    <w:p w14:paraId="18A3B1B5" w14:textId="77777777" w:rsidR="00F02093" w:rsidRPr="00F02093" w:rsidRDefault="00914693"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Arizona State University</w:t>
      </w:r>
    </w:p>
    <w:p w14:paraId="3AD1CBA0" w14:textId="183A88ED" w:rsidR="00914693" w:rsidRPr="00F02093" w:rsidRDefault="00914693"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School of Sustainable Engineering and the Built Environment</w:t>
      </w:r>
    </w:p>
    <w:p w14:paraId="1D7D8CB5" w14:textId="5F1D3F3D" w:rsidR="00914693" w:rsidRPr="00F02093" w:rsidRDefault="00914693" w:rsidP="00F02093">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660 S. College Avenue, Tempe, AZ 85287</w:t>
      </w:r>
      <w:r w:rsidR="00CA219F" w:rsidRPr="00F02093">
        <w:rPr>
          <w:rFonts w:ascii="Times New Roman" w:hAnsi="Times New Roman" w:cs="Times New Roman"/>
          <w:sz w:val="24"/>
          <w:szCs w:val="24"/>
        </w:rPr>
        <w:t>, USA</w:t>
      </w:r>
    </w:p>
    <w:p w14:paraId="2D5B4148" w14:textId="21953B73" w:rsidR="00914693" w:rsidRPr="00F02093" w:rsidRDefault="00914693" w:rsidP="00194389">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 xml:space="preserve">Email: </w:t>
      </w:r>
      <w:hyperlink r:id="rId11" w:history="1">
        <w:r w:rsidR="00CA219F" w:rsidRPr="00F02093">
          <w:rPr>
            <w:rStyle w:val="Hyperlink"/>
            <w:rFonts w:ascii="Times New Roman" w:hAnsi="Times New Roman" w:cs="Times New Roman"/>
            <w:sz w:val="24"/>
            <w:szCs w:val="24"/>
          </w:rPr>
          <w:t>ram.pendyala@asu.edu</w:t>
        </w:r>
      </w:hyperlink>
      <w:r w:rsidR="00CA219F" w:rsidRPr="00F02093">
        <w:rPr>
          <w:rFonts w:ascii="Times New Roman" w:hAnsi="Times New Roman" w:cs="Times New Roman"/>
          <w:sz w:val="24"/>
          <w:szCs w:val="24"/>
        </w:rPr>
        <w:t xml:space="preserve"> </w:t>
      </w:r>
    </w:p>
    <w:p w14:paraId="07A6C004" w14:textId="510F52A3" w:rsidR="009F5218" w:rsidRDefault="009F5218" w:rsidP="009F5218">
      <w:pPr>
        <w:spacing w:after="0" w:line="240" w:lineRule="auto"/>
        <w:rPr>
          <w:rFonts w:ascii="Times New Roman" w:hAnsi="Times New Roman" w:cs="Times New Roman"/>
          <w:i/>
          <w:sz w:val="24"/>
          <w:szCs w:val="24"/>
        </w:rPr>
      </w:pPr>
    </w:p>
    <w:p w14:paraId="53E21F70" w14:textId="77777777" w:rsidR="009F5218" w:rsidRDefault="009F5218" w:rsidP="009F5218">
      <w:pPr>
        <w:spacing w:after="0" w:line="240" w:lineRule="auto"/>
        <w:rPr>
          <w:rFonts w:ascii="Times New Roman" w:hAnsi="Times New Roman" w:cs="Times New Roman"/>
          <w:i/>
          <w:sz w:val="24"/>
          <w:szCs w:val="24"/>
        </w:rPr>
      </w:pPr>
    </w:p>
    <w:p w14:paraId="4D78E480" w14:textId="49B7D858" w:rsidR="009F5218" w:rsidRPr="00F02093" w:rsidRDefault="009F5218">
      <w:pPr>
        <w:spacing w:after="0" w:line="240" w:lineRule="auto"/>
        <w:jc w:val="center"/>
        <w:rPr>
          <w:rFonts w:ascii="Times New Roman" w:hAnsi="Times New Roman" w:cs="Times New Roman"/>
          <w:b/>
          <w:sz w:val="24"/>
          <w:szCs w:val="24"/>
          <w:lang w:val="fr-FR"/>
        </w:rPr>
      </w:pPr>
      <w:r w:rsidRPr="00F02093">
        <w:rPr>
          <w:rFonts w:ascii="Times New Roman" w:hAnsi="Times New Roman" w:cs="Times New Roman"/>
          <w:b/>
          <w:sz w:val="24"/>
          <w:szCs w:val="24"/>
        </w:rPr>
        <w:t>Chandra R. Bhat (corresponding author)</w:t>
      </w:r>
    </w:p>
    <w:p w14:paraId="31E2F2D2" w14:textId="77777777" w:rsidR="009F5218" w:rsidRPr="00F02093" w:rsidRDefault="009F5218">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The University of Texas at Austin</w:t>
      </w:r>
    </w:p>
    <w:p w14:paraId="6A8A207A" w14:textId="77777777" w:rsidR="009F5218" w:rsidRPr="00F02093" w:rsidRDefault="009F5218">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Department of Civil, Architectural and Environmental Engineering</w:t>
      </w:r>
    </w:p>
    <w:p w14:paraId="500CDF61" w14:textId="77777777" w:rsidR="009F5218" w:rsidRPr="00F02093" w:rsidRDefault="009F5218">
      <w:pPr>
        <w:spacing w:after="0" w:line="240" w:lineRule="auto"/>
        <w:jc w:val="center"/>
        <w:rPr>
          <w:rFonts w:ascii="Times New Roman" w:hAnsi="Times New Roman" w:cs="Times New Roman"/>
          <w:sz w:val="24"/>
          <w:szCs w:val="24"/>
        </w:rPr>
      </w:pPr>
      <w:r w:rsidRPr="00F02093">
        <w:rPr>
          <w:rFonts w:ascii="Times New Roman" w:hAnsi="Times New Roman" w:cs="Times New Roman"/>
          <w:sz w:val="24"/>
          <w:szCs w:val="24"/>
        </w:rPr>
        <w:t>301 E. Dean Keeton St. Stop C1761, Austin TX 78712</w:t>
      </w:r>
    </w:p>
    <w:p w14:paraId="18E27E22" w14:textId="03712646" w:rsidR="009F5218" w:rsidRPr="00F02093" w:rsidRDefault="009F5218">
      <w:pPr>
        <w:spacing w:after="0" w:line="240" w:lineRule="auto"/>
        <w:jc w:val="center"/>
        <w:rPr>
          <w:rStyle w:val="Hyperlink"/>
          <w:rFonts w:ascii="Times New Roman" w:hAnsi="Times New Roman" w:cs="Times New Roman"/>
          <w:color w:val="auto"/>
          <w:sz w:val="24"/>
          <w:szCs w:val="24"/>
        </w:rPr>
      </w:pPr>
      <w:r w:rsidRPr="00F02093">
        <w:rPr>
          <w:rFonts w:ascii="Times New Roman" w:hAnsi="Times New Roman" w:cs="Times New Roman"/>
          <w:sz w:val="24"/>
          <w:szCs w:val="24"/>
        </w:rPr>
        <w:t xml:space="preserve">Tel: 512-471-4535; Email: </w:t>
      </w:r>
      <w:hyperlink r:id="rId12" w:history="1">
        <w:r w:rsidRPr="00F02093">
          <w:rPr>
            <w:rStyle w:val="Hyperlink"/>
            <w:rFonts w:ascii="Times New Roman" w:hAnsi="Times New Roman" w:cs="Times New Roman"/>
            <w:sz w:val="24"/>
            <w:szCs w:val="24"/>
          </w:rPr>
          <w:t>bhat@mail.utexas.edu</w:t>
        </w:r>
      </w:hyperlink>
    </w:p>
    <w:p w14:paraId="1F920A8E" w14:textId="440D956D" w:rsidR="002878EB" w:rsidRPr="00F02093" w:rsidRDefault="002878EB" w:rsidP="00F02093">
      <w:pPr>
        <w:spacing w:after="0" w:line="240" w:lineRule="auto"/>
        <w:jc w:val="left"/>
        <w:rPr>
          <w:rFonts w:ascii="Times New Roman" w:hAnsi="Times New Roman" w:cs="Times New Roman"/>
          <w:i/>
          <w:sz w:val="24"/>
          <w:szCs w:val="24"/>
        </w:rPr>
      </w:pPr>
    </w:p>
    <w:p w14:paraId="4519A238" w14:textId="77777777" w:rsidR="009F5218" w:rsidRDefault="009F5218">
      <w:pPr>
        <w:jc w:val="left"/>
        <w:rPr>
          <w:rFonts w:ascii="Times New Roman" w:hAnsi="Times New Roman" w:cs="Times New Roman"/>
          <w:b/>
          <w:sz w:val="24"/>
          <w:szCs w:val="24"/>
        </w:rPr>
      </w:pPr>
      <w:r>
        <w:rPr>
          <w:rFonts w:ascii="Times New Roman" w:hAnsi="Times New Roman" w:cs="Times New Roman"/>
          <w:b/>
          <w:sz w:val="24"/>
          <w:szCs w:val="24"/>
        </w:rPr>
        <w:br w:type="page"/>
      </w:r>
    </w:p>
    <w:p w14:paraId="7F682B2C" w14:textId="23210716" w:rsidR="00001048" w:rsidRPr="00837F9C" w:rsidRDefault="00914693" w:rsidP="00E1729F">
      <w:pPr>
        <w:spacing w:after="0" w:line="276" w:lineRule="auto"/>
        <w:rPr>
          <w:rFonts w:ascii="Times New Roman" w:hAnsi="Times New Roman" w:cs="Times New Roman"/>
          <w:b/>
          <w:sz w:val="24"/>
          <w:szCs w:val="24"/>
        </w:rPr>
      </w:pPr>
      <w:r w:rsidRPr="00837F9C">
        <w:rPr>
          <w:rFonts w:ascii="Times New Roman" w:hAnsi="Times New Roman" w:cs="Times New Roman"/>
          <w:b/>
          <w:sz w:val="24"/>
          <w:szCs w:val="24"/>
        </w:rPr>
        <w:lastRenderedPageBreak/>
        <w:t>ABSTRACT</w:t>
      </w:r>
    </w:p>
    <w:p w14:paraId="50E54BB5" w14:textId="5C1446AA" w:rsidR="00914693" w:rsidRPr="00837F9C" w:rsidRDefault="00FD060A"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With work arrangements experiencing dramatic changes over the past t</w:t>
      </w:r>
      <w:r w:rsidR="00F03AA2">
        <w:rPr>
          <w:rFonts w:ascii="Times New Roman" w:hAnsi="Times New Roman" w:cs="Times New Roman"/>
          <w:sz w:val="24"/>
          <w:szCs w:val="24"/>
        </w:rPr>
        <w:t>hree</w:t>
      </w:r>
      <w:r w:rsidRPr="00837F9C">
        <w:rPr>
          <w:rFonts w:ascii="Times New Roman" w:hAnsi="Times New Roman" w:cs="Times New Roman"/>
          <w:sz w:val="24"/>
          <w:szCs w:val="24"/>
        </w:rPr>
        <w:t xml:space="preserve"> years due to the COVID-19 pandemic, and the possibility that altered work arrangements may persist well into the future, the implications of tele</w:t>
      </w:r>
      <w:r w:rsidR="00E84401">
        <w:rPr>
          <w:rFonts w:ascii="Times New Roman" w:hAnsi="Times New Roman" w:cs="Times New Roman"/>
          <w:sz w:val="24"/>
          <w:szCs w:val="24"/>
        </w:rPr>
        <w:t>working</w:t>
      </w:r>
      <w:r w:rsidRPr="00837F9C">
        <w:rPr>
          <w:rFonts w:ascii="Times New Roman" w:hAnsi="Times New Roman" w:cs="Times New Roman"/>
          <w:sz w:val="24"/>
          <w:szCs w:val="24"/>
        </w:rPr>
        <w:t xml:space="preserve"> on activity-travel behavior are potentially profound. This paper aims to substantially </w:t>
      </w:r>
      <w:r w:rsidR="009F68A6" w:rsidRPr="00837F9C">
        <w:rPr>
          <w:rFonts w:ascii="Times New Roman" w:hAnsi="Times New Roman" w:cs="Times New Roman"/>
          <w:sz w:val="24"/>
          <w:szCs w:val="24"/>
        </w:rPr>
        <w:t xml:space="preserve">add </w:t>
      </w:r>
      <w:r w:rsidRPr="00837F9C">
        <w:rPr>
          <w:rFonts w:ascii="Times New Roman" w:hAnsi="Times New Roman" w:cs="Times New Roman"/>
          <w:sz w:val="24"/>
          <w:szCs w:val="24"/>
        </w:rPr>
        <w:t xml:space="preserve">to the body of knowledge about the present and future of telework in the wake of the pandemic through a rigorous </w:t>
      </w:r>
      <w:r w:rsidR="007C04AC" w:rsidRPr="00837F9C">
        <w:rPr>
          <w:rFonts w:ascii="Times New Roman" w:hAnsi="Times New Roman" w:cs="Times New Roman"/>
          <w:sz w:val="24"/>
          <w:szCs w:val="24"/>
        </w:rPr>
        <w:t>analysis</w:t>
      </w:r>
      <w:r w:rsidRPr="00837F9C">
        <w:rPr>
          <w:rFonts w:ascii="Times New Roman" w:hAnsi="Times New Roman" w:cs="Times New Roman"/>
          <w:sz w:val="24"/>
          <w:szCs w:val="24"/>
        </w:rPr>
        <w:t xml:space="preserve"> of telework arrangements</w:t>
      </w:r>
      <w:r w:rsidR="00B2313B">
        <w:rPr>
          <w:rFonts w:ascii="Times New Roman" w:hAnsi="Times New Roman" w:cs="Times New Roman"/>
          <w:sz w:val="24"/>
          <w:szCs w:val="24"/>
        </w:rPr>
        <w:t xml:space="preserve"> between two distinct time periods</w:t>
      </w:r>
      <w:r w:rsidRPr="00837F9C">
        <w:rPr>
          <w:rFonts w:ascii="Times New Roman" w:hAnsi="Times New Roman" w:cs="Times New Roman"/>
          <w:sz w:val="24"/>
          <w:szCs w:val="24"/>
        </w:rPr>
        <w:t>. The paper focuses on three key aspects of telework, including whether to telework or not, frequency of telework, and location of telework. Behavioral data for this study is derived from a workplace location choice survey conducted across Texas in February-March 2022</w:t>
      </w:r>
      <w:r w:rsidR="0034575E">
        <w:rPr>
          <w:rFonts w:ascii="Times New Roman" w:hAnsi="Times New Roman" w:cs="Times New Roman"/>
          <w:sz w:val="24"/>
          <w:szCs w:val="24"/>
        </w:rPr>
        <w:t>, which included a recall component to obtain workplace location choice information in the pre-pandemic period</w:t>
      </w:r>
      <w:r w:rsidRPr="00837F9C">
        <w:rPr>
          <w:rFonts w:ascii="Times New Roman" w:hAnsi="Times New Roman" w:cs="Times New Roman"/>
          <w:sz w:val="24"/>
          <w:szCs w:val="24"/>
        </w:rPr>
        <w:t xml:space="preserve">. The evolution of telework arrangements between the pre-and after-pandemic periods is explored through a joint model system estimated using </w:t>
      </w:r>
      <w:r w:rsidR="009F68A6" w:rsidRPr="00837F9C">
        <w:rPr>
          <w:rFonts w:ascii="Times New Roman" w:hAnsi="Times New Roman" w:cs="Times New Roman"/>
          <w:sz w:val="24"/>
          <w:szCs w:val="24"/>
        </w:rPr>
        <w:t>a joint multivariate</w:t>
      </w:r>
      <w:r w:rsidR="0034575E">
        <w:rPr>
          <w:rFonts w:ascii="Times New Roman" w:hAnsi="Times New Roman" w:cs="Times New Roman"/>
          <w:sz w:val="24"/>
          <w:szCs w:val="24"/>
        </w:rPr>
        <w:t xml:space="preserve"> </w:t>
      </w:r>
      <w:r w:rsidR="009F68A6" w:rsidRPr="00837F9C">
        <w:rPr>
          <w:rFonts w:ascii="Times New Roman" w:hAnsi="Times New Roman" w:cs="Times New Roman"/>
          <w:sz w:val="24"/>
          <w:szCs w:val="24"/>
        </w:rPr>
        <w:t>method</w:t>
      </w:r>
      <w:r w:rsidR="00321F4F" w:rsidRPr="00837F9C">
        <w:rPr>
          <w:rFonts w:ascii="Times New Roman" w:hAnsi="Times New Roman" w:cs="Times New Roman"/>
          <w:sz w:val="24"/>
          <w:szCs w:val="24"/>
        </w:rPr>
        <w:t>o</w:t>
      </w:r>
      <w:r w:rsidR="009F68A6" w:rsidRPr="00837F9C">
        <w:rPr>
          <w:rFonts w:ascii="Times New Roman" w:hAnsi="Times New Roman" w:cs="Times New Roman"/>
          <w:sz w:val="24"/>
          <w:szCs w:val="24"/>
        </w:rPr>
        <w:t>logy</w:t>
      </w:r>
      <w:r w:rsidRPr="00837F9C">
        <w:rPr>
          <w:rFonts w:ascii="Times New Roman" w:hAnsi="Times New Roman" w:cs="Times New Roman"/>
          <w:sz w:val="24"/>
          <w:szCs w:val="24"/>
        </w:rPr>
        <w:t xml:space="preserve">. Results show that, </w:t>
      </w:r>
      <w:r w:rsidR="00167EAB">
        <w:rPr>
          <w:rFonts w:ascii="Times New Roman" w:hAnsi="Times New Roman" w:cs="Times New Roman"/>
          <w:i/>
          <w:sz w:val="24"/>
          <w:szCs w:val="24"/>
        </w:rPr>
        <w:t>A</w:t>
      </w:r>
      <w:r w:rsidRPr="00167EAB">
        <w:rPr>
          <w:rFonts w:ascii="Times New Roman" w:hAnsi="Times New Roman" w:cs="Times New Roman"/>
          <w:i/>
          <w:sz w:val="24"/>
          <w:szCs w:val="24"/>
        </w:rPr>
        <w:t>fter</w:t>
      </w:r>
      <w:r w:rsidRPr="00837F9C">
        <w:rPr>
          <w:rFonts w:ascii="Times New Roman" w:hAnsi="Times New Roman" w:cs="Times New Roman"/>
          <w:sz w:val="24"/>
          <w:szCs w:val="24"/>
        </w:rPr>
        <w:t xml:space="preserve"> COVID, the population of workers is generally inclined toward</w:t>
      </w:r>
      <w:r w:rsidR="009F68A6" w:rsidRPr="00837F9C">
        <w:rPr>
          <w:rFonts w:ascii="Times New Roman" w:hAnsi="Times New Roman" w:cs="Times New Roman"/>
          <w:sz w:val="24"/>
          <w:szCs w:val="24"/>
        </w:rPr>
        <w:t xml:space="preserve"> </w:t>
      </w:r>
      <w:r w:rsidR="00445AEA" w:rsidRPr="00837F9C">
        <w:rPr>
          <w:rFonts w:ascii="Times New Roman" w:hAnsi="Times New Roman" w:cs="Times New Roman"/>
          <w:sz w:val="24"/>
          <w:szCs w:val="24"/>
        </w:rPr>
        <w:t>a hybrid work arrangement</w:t>
      </w:r>
      <w:r w:rsidR="00EF7A2D">
        <w:rPr>
          <w:rFonts w:ascii="Times New Roman" w:hAnsi="Times New Roman" w:cs="Times New Roman"/>
          <w:sz w:val="24"/>
          <w:szCs w:val="24"/>
        </w:rPr>
        <w:t xml:space="preserve">, with an </w:t>
      </w:r>
      <w:r w:rsidRPr="00837F9C">
        <w:rPr>
          <w:rFonts w:ascii="Times New Roman" w:hAnsi="Times New Roman" w:cs="Times New Roman"/>
          <w:sz w:val="24"/>
          <w:szCs w:val="24"/>
        </w:rPr>
        <w:t>overall tendency to engage in a higher frequency of teleworking</w:t>
      </w:r>
      <w:r w:rsidR="00EF7A2D">
        <w:rPr>
          <w:rFonts w:ascii="Times New Roman" w:hAnsi="Times New Roman" w:cs="Times New Roman"/>
          <w:sz w:val="24"/>
          <w:szCs w:val="24"/>
        </w:rPr>
        <w:t xml:space="preserve"> than </w:t>
      </w:r>
      <w:r w:rsidR="00EF7A2D" w:rsidRPr="00167EAB">
        <w:rPr>
          <w:rFonts w:ascii="Times New Roman" w:hAnsi="Times New Roman" w:cs="Times New Roman"/>
          <w:i/>
          <w:sz w:val="24"/>
          <w:szCs w:val="24"/>
        </w:rPr>
        <w:t>Before</w:t>
      </w:r>
      <w:r w:rsidR="00EF7A2D">
        <w:rPr>
          <w:rFonts w:ascii="Times New Roman" w:hAnsi="Times New Roman" w:cs="Times New Roman"/>
          <w:sz w:val="24"/>
          <w:szCs w:val="24"/>
        </w:rPr>
        <w:t xml:space="preserve"> COVID</w:t>
      </w:r>
      <w:r w:rsidRPr="00837F9C">
        <w:rPr>
          <w:rFonts w:ascii="Times New Roman" w:hAnsi="Times New Roman" w:cs="Times New Roman"/>
          <w:sz w:val="24"/>
          <w:szCs w:val="24"/>
        </w:rPr>
        <w:t xml:space="preserve">. Finally, teleworkers </w:t>
      </w:r>
      <w:r w:rsidR="0034575E">
        <w:rPr>
          <w:rFonts w:ascii="Times New Roman" w:hAnsi="Times New Roman" w:cs="Times New Roman"/>
          <w:sz w:val="24"/>
          <w:szCs w:val="24"/>
        </w:rPr>
        <w:t xml:space="preserve">have a higher propensity to </w:t>
      </w:r>
      <w:r w:rsidRPr="00837F9C">
        <w:rPr>
          <w:rFonts w:ascii="Times New Roman" w:hAnsi="Times New Roman" w:cs="Times New Roman"/>
          <w:sz w:val="24"/>
          <w:szCs w:val="24"/>
        </w:rPr>
        <w:t xml:space="preserve">work </w:t>
      </w:r>
      <w:r w:rsidR="0034575E">
        <w:rPr>
          <w:rFonts w:ascii="Times New Roman" w:hAnsi="Times New Roman" w:cs="Times New Roman"/>
          <w:sz w:val="24"/>
          <w:szCs w:val="24"/>
        </w:rPr>
        <w:t xml:space="preserve">only from </w:t>
      </w:r>
      <w:r w:rsidRPr="00837F9C">
        <w:rPr>
          <w:rFonts w:ascii="Times New Roman" w:hAnsi="Times New Roman" w:cs="Times New Roman"/>
          <w:sz w:val="24"/>
          <w:szCs w:val="24"/>
        </w:rPr>
        <w:t>home as opposed to</w:t>
      </w:r>
      <w:r w:rsidR="0034575E">
        <w:rPr>
          <w:rFonts w:ascii="Times New Roman" w:hAnsi="Times New Roman" w:cs="Times New Roman"/>
          <w:sz w:val="24"/>
          <w:szCs w:val="24"/>
        </w:rPr>
        <w:t xml:space="preserve"> working only from </w:t>
      </w:r>
      <w:r w:rsidRPr="00837F9C">
        <w:rPr>
          <w:rFonts w:ascii="Times New Roman" w:hAnsi="Times New Roman" w:cs="Times New Roman"/>
          <w:sz w:val="24"/>
          <w:szCs w:val="24"/>
        </w:rPr>
        <w:t>a third workplace</w:t>
      </w:r>
      <w:r w:rsidR="00070FBD">
        <w:rPr>
          <w:rFonts w:ascii="Times New Roman" w:hAnsi="Times New Roman" w:cs="Times New Roman"/>
          <w:sz w:val="24"/>
          <w:szCs w:val="24"/>
        </w:rPr>
        <w:t xml:space="preserve"> </w:t>
      </w:r>
      <w:r w:rsidR="0034575E">
        <w:rPr>
          <w:rFonts w:ascii="Times New Roman" w:hAnsi="Times New Roman" w:cs="Times New Roman"/>
          <w:sz w:val="24"/>
          <w:szCs w:val="24"/>
        </w:rPr>
        <w:t>or from a combination of home and a third workplace. Overall, our results indicate that t</w:t>
      </w:r>
      <w:r w:rsidRPr="00837F9C">
        <w:rPr>
          <w:rFonts w:ascii="Times New Roman" w:hAnsi="Times New Roman" w:cs="Times New Roman"/>
          <w:sz w:val="24"/>
          <w:szCs w:val="24"/>
        </w:rPr>
        <w:t xml:space="preserve">elework arrangements </w:t>
      </w:r>
      <w:r w:rsidR="00A03376">
        <w:rPr>
          <w:rFonts w:ascii="Times New Roman" w:hAnsi="Times New Roman" w:cs="Times New Roman"/>
          <w:sz w:val="24"/>
          <w:szCs w:val="24"/>
        </w:rPr>
        <w:t>may</w:t>
      </w:r>
      <w:r w:rsidR="00A03376" w:rsidRPr="00837F9C">
        <w:rPr>
          <w:rFonts w:ascii="Times New Roman" w:hAnsi="Times New Roman" w:cs="Times New Roman"/>
          <w:sz w:val="24"/>
          <w:szCs w:val="24"/>
        </w:rPr>
        <w:t xml:space="preserve"> </w:t>
      </w:r>
      <w:r w:rsidRPr="00837F9C">
        <w:rPr>
          <w:rFonts w:ascii="Times New Roman" w:hAnsi="Times New Roman" w:cs="Times New Roman"/>
          <w:sz w:val="24"/>
          <w:szCs w:val="24"/>
        </w:rPr>
        <w:t>remain at an elevated level into the future, with home serving as the dominant telework location. These findings suggest that transportation demand forecasting models need to be updated to reflect higher levels of teleworking</w:t>
      </w:r>
      <w:r w:rsidR="0034575E">
        <w:rPr>
          <w:rFonts w:ascii="Times New Roman" w:hAnsi="Times New Roman" w:cs="Times New Roman"/>
          <w:sz w:val="24"/>
          <w:szCs w:val="24"/>
        </w:rPr>
        <w:t xml:space="preserve">, as well as the heterogeneity across individuals in teleworking </w:t>
      </w:r>
      <w:r w:rsidRPr="00837F9C">
        <w:rPr>
          <w:rFonts w:ascii="Times New Roman" w:hAnsi="Times New Roman" w:cs="Times New Roman"/>
          <w:sz w:val="24"/>
          <w:szCs w:val="24"/>
        </w:rPr>
        <w:t xml:space="preserve">adoption, </w:t>
      </w:r>
      <w:r w:rsidR="0034575E">
        <w:rPr>
          <w:rFonts w:ascii="Times New Roman" w:hAnsi="Times New Roman" w:cs="Times New Roman"/>
          <w:sz w:val="24"/>
          <w:szCs w:val="24"/>
        </w:rPr>
        <w:t>frequency</w:t>
      </w:r>
      <w:r w:rsidRPr="00837F9C">
        <w:rPr>
          <w:rFonts w:ascii="Times New Roman" w:hAnsi="Times New Roman" w:cs="Times New Roman"/>
          <w:sz w:val="24"/>
          <w:szCs w:val="24"/>
        </w:rPr>
        <w:t>, and location</w:t>
      </w:r>
      <w:r w:rsidR="0034575E">
        <w:rPr>
          <w:rFonts w:ascii="Times New Roman" w:hAnsi="Times New Roman" w:cs="Times New Roman"/>
          <w:sz w:val="24"/>
          <w:szCs w:val="24"/>
        </w:rPr>
        <w:t>.</w:t>
      </w:r>
    </w:p>
    <w:p w14:paraId="43F01CFA" w14:textId="77777777" w:rsidR="00C82AFB" w:rsidRPr="00837F9C" w:rsidRDefault="00C82AFB" w:rsidP="00E1729F">
      <w:pPr>
        <w:spacing w:after="0" w:line="276" w:lineRule="auto"/>
        <w:rPr>
          <w:rFonts w:ascii="Times New Roman" w:hAnsi="Times New Roman" w:cs="Times New Roman"/>
          <w:b/>
          <w:sz w:val="24"/>
          <w:szCs w:val="24"/>
        </w:rPr>
      </w:pPr>
    </w:p>
    <w:p w14:paraId="515EB335" w14:textId="4A1EB83A" w:rsidR="009F68A6" w:rsidRPr="00837F9C" w:rsidRDefault="00914693" w:rsidP="00E1729F">
      <w:pPr>
        <w:spacing w:after="0" w:line="276" w:lineRule="auto"/>
        <w:rPr>
          <w:rFonts w:ascii="Times New Roman" w:hAnsi="Times New Roman" w:cs="Times New Roman"/>
          <w:iCs/>
          <w:sz w:val="24"/>
          <w:szCs w:val="24"/>
        </w:rPr>
      </w:pPr>
      <w:r w:rsidRPr="00837F9C">
        <w:rPr>
          <w:rFonts w:ascii="Times New Roman" w:hAnsi="Times New Roman" w:cs="Times New Roman"/>
          <w:b/>
          <w:bCs/>
          <w:iCs/>
          <w:sz w:val="24"/>
          <w:szCs w:val="24"/>
        </w:rPr>
        <w:t xml:space="preserve">Keywords: </w:t>
      </w:r>
      <w:r w:rsidR="004D040E" w:rsidRPr="00837F9C">
        <w:rPr>
          <w:rFonts w:ascii="Times New Roman" w:hAnsi="Times New Roman" w:cs="Times New Roman"/>
          <w:iCs/>
          <w:sz w:val="24"/>
          <w:szCs w:val="24"/>
        </w:rPr>
        <w:t xml:space="preserve">ICT </w:t>
      </w:r>
      <w:r w:rsidR="00623B75">
        <w:rPr>
          <w:rFonts w:ascii="Times New Roman" w:hAnsi="Times New Roman" w:cs="Times New Roman"/>
          <w:iCs/>
          <w:sz w:val="24"/>
          <w:szCs w:val="24"/>
        </w:rPr>
        <w:t>S</w:t>
      </w:r>
      <w:r w:rsidR="004D040E" w:rsidRPr="00837F9C">
        <w:rPr>
          <w:rFonts w:ascii="Times New Roman" w:hAnsi="Times New Roman" w:cs="Times New Roman"/>
          <w:iCs/>
          <w:sz w:val="24"/>
          <w:szCs w:val="24"/>
        </w:rPr>
        <w:t xml:space="preserve">ubstitution, </w:t>
      </w:r>
      <w:r w:rsidR="00FC5545">
        <w:rPr>
          <w:rFonts w:ascii="Times New Roman" w:hAnsi="Times New Roman" w:cs="Times New Roman"/>
          <w:iCs/>
          <w:sz w:val="24"/>
          <w:szCs w:val="24"/>
        </w:rPr>
        <w:t>Telework</w:t>
      </w:r>
      <w:r w:rsidR="004D040E" w:rsidRPr="00837F9C">
        <w:rPr>
          <w:rFonts w:ascii="Times New Roman" w:hAnsi="Times New Roman" w:cs="Times New Roman"/>
          <w:iCs/>
          <w:sz w:val="24"/>
          <w:szCs w:val="24"/>
        </w:rPr>
        <w:t>, COVID Impacts, Behavioral Preferences</w:t>
      </w:r>
    </w:p>
    <w:p w14:paraId="29ACA964" w14:textId="77777777" w:rsidR="00914693" w:rsidRPr="00837F9C" w:rsidRDefault="00914693" w:rsidP="00E1729F">
      <w:pPr>
        <w:spacing w:after="0" w:line="276" w:lineRule="auto"/>
        <w:rPr>
          <w:rFonts w:ascii="Times New Roman" w:hAnsi="Times New Roman" w:cs="Times New Roman"/>
          <w:sz w:val="24"/>
          <w:szCs w:val="24"/>
        </w:rPr>
      </w:pPr>
    </w:p>
    <w:p w14:paraId="5CE54254" w14:textId="77777777" w:rsidR="00914693" w:rsidRPr="00837F9C" w:rsidRDefault="00914693" w:rsidP="00E1729F">
      <w:pPr>
        <w:spacing w:after="0" w:line="276" w:lineRule="auto"/>
        <w:rPr>
          <w:rFonts w:ascii="Times New Roman" w:hAnsi="Times New Roman" w:cs="Times New Roman"/>
          <w:sz w:val="24"/>
          <w:szCs w:val="24"/>
        </w:rPr>
      </w:pPr>
    </w:p>
    <w:p w14:paraId="756D1791" w14:textId="30487285" w:rsidR="00813096" w:rsidRDefault="00813096" w:rsidP="00E1729F">
      <w:pPr>
        <w:spacing w:after="0" w:line="276" w:lineRule="auto"/>
        <w:jc w:val="left"/>
        <w:rPr>
          <w:rFonts w:ascii="Times New Roman" w:hAnsi="Times New Roman" w:cs="Times New Roman"/>
          <w:sz w:val="24"/>
          <w:szCs w:val="24"/>
        </w:rPr>
        <w:sectPr w:rsidR="00813096" w:rsidSect="00E1729F">
          <w:footerReference w:type="default" r:id="rId13"/>
          <w:pgSz w:w="12240" w:h="15840" w:code="1"/>
          <w:pgMar w:top="1440" w:right="1440" w:bottom="1440" w:left="1440" w:header="720" w:footer="720" w:gutter="0"/>
          <w:cols w:space="720"/>
          <w:docGrid w:linePitch="360"/>
        </w:sectPr>
      </w:pPr>
    </w:p>
    <w:p w14:paraId="4B489DAC" w14:textId="65CDB7B7" w:rsidR="0074048D" w:rsidRPr="008328FD" w:rsidRDefault="00C96630" w:rsidP="000D4FD3">
      <w:pPr>
        <w:pStyle w:val="Heading1"/>
      </w:pPr>
      <w:r w:rsidRPr="008328FD">
        <w:lastRenderedPageBreak/>
        <w:t xml:space="preserve"> INTRODUCTION</w:t>
      </w:r>
    </w:p>
    <w:p w14:paraId="7768A089" w14:textId="55164BED" w:rsidR="008328FD" w:rsidRPr="000D4FD3" w:rsidRDefault="00EF3D32" w:rsidP="000D4FD3">
      <w:pPr>
        <w:spacing w:after="0" w:line="276" w:lineRule="auto"/>
        <w:rPr>
          <w:rFonts w:ascii="Times New Roman" w:hAnsi="Times New Roman" w:cs="Times New Roman"/>
          <w:sz w:val="28"/>
          <w:szCs w:val="24"/>
        </w:rPr>
      </w:pPr>
      <w:r w:rsidRPr="00837F9C">
        <w:rPr>
          <w:rFonts w:ascii="Times New Roman" w:hAnsi="Times New Roman" w:cs="Times New Roman"/>
          <w:sz w:val="24"/>
          <w:szCs w:val="24"/>
        </w:rPr>
        <w:t>There is a long history of research documenting the intricate relationships between work arrangements, t</w:t>
      </w:r>
      <w:r w:rsidRPr="00AE2CD6">
        <w:rPr>
          <w:rFonts w:ascii="Times New Roman" w:hAnsi="Times New Roman" w:cs="Times New Roman"/>
          <w:sz w:val="24"/>
          <w:szCs w:val="24"/>
        </w:rPr>
        <w:t>elework, and activity-travel demand (</w:t>
      </w:r>
      <w:r w:rsidR="00560549" w:rsidRPr="00AE2CD6">
        <w:rPr>
          <w:rFonts w:ascii="Times New Roman" w:hAnsi="Times New Roman" w:cs="Times New Roman"/>
          <w:sz w:val="24"/>
          <w:szCs w:val="24"/>
        </w:rPr>
        <w:t>Mokhtarian, 2009; Moe</w:t>
      </w:r>
      <w:r w:rsidR="006B7DA7" w:rsidRPr="00AE2CD6">
        <w:rPr>
          <w:rFonts w:ascii="Times New Roman" w:hAnsi="Times New Roman" w:cs="Times New Roman"/>
          <w:sz w:val="24"/>
          <w:szCs w:val="24"/>
        </w:rPr>
        <w:t>c</w:t>
      </w:r>
      <w:r w:rsidR="00560549" w:rsidRPr="00AE2CD6">
        <w:rPr>
          <w:rFonts w:ascii="Times New Roman" w:hAnsi="Times New Roman" w:cs="Times New Roman"/>
          <w:sz w:val="24"/>
          <w:szCs w:val="24"/>
        </w:rPr>
        <w:t xml:space="preserve">kel, 2017; </w:t>
      </w:r>
      <w:r w:rsidR="003D47F4" w:rsidRPr="00AE2CD6">
        <w:rPr>
          <w:rFonts w:ascii="Times New Roman" w:hAnsi="Times New Roman" w:cs="Times New Roman"/>
          <w:sz w:val="24"/>
          <w:szCs w:val="24"/>
        </w:rPr>
        <w:t xml:space="preserve">Lavieri et al., 2018; </w:t>
      </w:r>
      <w:r w:rsidR="00560549" w:rsidRPr="00AE2CD6">
        <w:rPr>
          <w:rFonts w:ascii="Times New Roman" w:hAnsi="Times New Roman" w:cs="Times New Roman"/>
          <w:sz w:val="24"/>
          <w:szCs w:val="24"/>
          <w:shd w:val="clear" w:color="auto" w:fill="FFFFFF"/>
        </w:rPr>
        <w:t>Shabanpour</w:t>
      </w:r>
      <w:r w:rsidR="00560549" w:rsidRPr="00E1729F">
        <w:rPr>
          <w:rFonts w:ascii="Times New Roman" w:hAnsi="Times New Roman" w:cs="Times New Roman"/>
          <w:sz w:val="24"/>
          <w:szCs w:val="24"/>
          <w:shd w:val="clear" w:color="auto" w:fill="FFFFFF"/>
        </w:rPr>
        <w:t xml:space="preserve"> et al., 2018; Wang and Ozbilen, 2020</w:t>
      </w:r>
      <w:r w:rsidR="001E241B" w:rsidRPr="004A6EFD">
        <w:rPr>
          <w:rFonts w:ascii="Times New Roman" w:hAnsi="Times New Roman" w:cs="Times New Roman"/>
          <w:iCs/>
          <w:sz w:val="24"/>
          <w:szCs w:val="24"/>
        </w:rPr>
        <w:t>)</w:t>
      </w:r>
      <w:r w:rsidRPr="004A6EFD">
        <w:rPr>
          <w:rFonts w:ascii="Times New Roman" w:hAnsi="Times New Roman" w:cs="Times New Roman"/>
          <w:sz w:val="24"/>
          <w:szCs w:val="24"/>
        </w:rPr>
        <w:t xml:space="preserve">. </w:t>
      </w:r>
      <w:r w:rsidRPr="00837F9C">
        <w:rPr>
          <w:rFonts w:ascii="Times New Roman" w:hAnsi="Times New Roman" w:cs="Times New Roman"/>
          <w:sz w:val="24"/>
          <w:szCs w:val="24"/>
        </w:rPr>
        <w:t xml:space="preserve">With work arrangements </w:t>
      </w:r>
      <w:r w:rsidR="003965C8" w:rsidRPr="00837F9C">
        <w:rPr>
          <w:rFonts w:ascii="Times New Roman" w:hAnsi="Times New Roman" w:cs="Times New Roman"/>
          <w:sz w:val="24"/>
          <w:szCs w:val="24"/>
        </w:rPr>
        <w:t xml:space="preserve">(also referred to as work modalities) </w:t>
      </w:r>
      <w:r w:rsidRPr="00837F9C">
        <w:rPr>
          <w:rFonts w:ascii="Times New Roman" w:hAnsi="Times New Roman" w:cs="Times New Roman"/>
          <w:sz w:val="24"/>
          <w:szCs w:val="24"/>
        </w:rPr>
        <w:t>experiencing dramatic changes over the past t</w:t>
      </w:r>
      <w:r w:rsidR="00EF7A2D">
        <w:rPr>
          <w:rFonts w:ascii="Times New Roman" w:hAnsi="Times New Roman" w:cs="Times New Roman"/>
          <w:sz w:val="24"/>
          <w:szCs w:val="24"/>
        </w:rPr>
        <w:t>hree</w:t>
      </w:r>
      <w:r w:rsidRPr="00837F9C">
        <w:rPr>
          <w:rFonts w:ascii="Times New Roman" w:hAnsi="Times New Roman" w:cs="Times New Roman"/>
          <w:sz w:val="24"/>
          <w:szCs w:val="24"/>
        </w:rPr>
        <w:t xml:space="preserve"> years</w:t>
      </w:r>
      <w:r w:rsidR="003965C8" w:rsidRPr="00837F9C">
        <w:rPr>
          <w:rFonts w:ascii="Times New Roman" w:hAnsi="Times New Roman" w:cs="Times New Roman"/>
          <w:sz w:val="24"/>
          <w:szCs w:val="24"/>
        </w:rPr>
        <w:t xml:space="preserve"> in the wake of the COVID-19 pandemic</w:t>
      </w:r>
      <w:r w:rsidRPr="00837F9C">
        <w:rPr>
          <w:rFonts w:ascii="Times New Roman" w:hAnsi="Times New Roman" w:cs="Times New Roman"/>
          <w:sz w:val="24"/>
          <w:szCs w:val="24"/>
        </w:rPr>
        <w:t xml:space="preserve">, and the possibility that altered work arrangements may continue to </w:t>
      </w:r>
      <w:r w:rsidRPr="000D4FD3">
        <w:rPr>
          <w:rFonts w:ascii="Times New Roman" w:hAnsi="Times New Roman" w:cs="Times New Roman"/>
          <w:color w:val="000000" w:themeColor="text1"/>
          <w:sz w:val="24"/>
          <w:szCs w:val="24"/>
        </w:rPr>
        <w:t xml:space="preserve">persist well into the future, the implications for activity-travel behavior impacts are potentially profound. </w:t>
      </w:r>
      <w:r w:rsidR="005F6285" w:rsidRPr="000D4FD3">
        <w:rPr>
          <w:rFonts w:ascii="Times New Roman" w:hAnsi="Times New Roman" w:cs="Times New Roman"/>
          <w:color w:val="000000" w:themeColor="text1"/>
          <w:sz w:val="24"/>
          <w:szCs w:val="24"/>
        </w:rPr>
        <w:t xml:space="preserve">In the United States, </w:t>
      </w:r>
      <w:bookmarkStart w:id="0" w:name="_Hlk133330309"/>
      <w:r w:rsidR="00C12748">
        <w:rPr>
          <w:rFonts w:ascii="Times New Roman" w:hAnsi="Times New Roman" w:cs="Times New Roman"/>
          <w:color w:val="000000" w:themeColor="text1"/>
          <w:sz w:val="24"/>
          <w:szCs w:val="24"/>
        </w:rPr>
        <w:t xml:space="preserve">only </w:t>
      </w:r>
      <w:r w:rsidR="00807BF7">
        <w:rPr>
          <w:rFonts w:ascii="Times New Roman" w:hAnsi="Times New Roman" w:cs="Times New Roman"/>
          <w:color w:val="000000" w:themeColor="text1"/>
          <w:sz w:val="24"/>
          <w:szCs w:val="24"/>
        </w:rPr>
        <w:t>six</w:t>
      </w:r>
      <w:r w:rsidR="00C12748" w:rsidRPr="000D4FD3">
        <w:rPr>
          <w:rFonts w:ascii="Times New Roman" w:hAnsi="Times New Roman" w:cs="Times New Roman"/>
          <w:color w:val="000000" w:themeColor="text1"/>
          <w:sz w:val="24"/>
          <w:szCs w:val="24"/>
        </w:rPr>
        <w:t xml:space="preserve"> </w:t>
      </w:r>
      <w:r w:rsidR="005F6285" w:rsidRPr="000D4FD3">
        <w:rPr>
          <w:rFonts w:ascii="Times New Roman" w:hAnsi="Times New Roman" w:cs="Times New Roman"/>
          <w:color w:val="000000" w:themeColor="text1"/>
          <w:sz w:val="24"/>
          <w:szCs w:val="24"/>
        </w:rPr>
        <w:t>percent of workers</w:t>
      </w:r>
      <w:r w:rsidR="00807BF7">
        <w:rPr>
          <w:rFonts w:ascii="Times New Roman" w:hAnsi="Times New Roman" w:cs="Times New Roman"/>
          <w:color w:val="000000" w:themeColor="text1"/>
          <w:sz w:val="24"/>
          <w:szCs w:val="24"/>
        </w:rPr>
        <w:t xml:space="preserve"> primarily</w:t>
      </w:r>
      <w:r w:rsidR="005F6285" w:rsidRPr="000D4FD3">
        <w:rPr>
          <w:rFonts w:ascii="Times New Roman" w:hAnsi="Times New Roman" w:cs="Times New Roman"/>
          <w:color w:val="000000" w:themeColor="text1"/>
          <w:sz w:val="24"/>
          <w:szCs w:val="24"/>
        </w:rPr>
        <w:t xml:space="preserve"> worked from a remote location (home or other) before the pandemic</w:t>
      </w:r>
      <w:bookmarkEnd w:id="0"/>
      <w:r w:rsidR="00807BF7">
        <w:rPr>
          <w:rFonts w:ascii="Times New Roman" w:hAnsi="Times New Roman" w:cs="Times New Roman"/>
          <w:color w:val="000000" w:themeColor="text1"/>
          <w:sz w:val="24"/>
          <w:szCs w:val="24"/>
        </w:rPr>
        <w:t xml:space="preserve">, while about three-quarters had never worked from </w:t>
      </w:r>
      <w:r w:rsidR="00EF7A2D">
        <w:rPr>
          <w:rFonts w:ascii="Times New Roman" w:hAnsi="Times New Roman" w:cs="Times New Roman"/>
          <w:color w:val="000000" w:themeColor="text1"/>
          <w:sz w:val="24"/>
          <w:szCs w:val="24"/>
        </w:rPr>
        <w:t>a remote location</w:t>
      </w:r>
      <w:r w:rsidR="00807BF7">
        <w:rPr>
          <w:rFonts w:ascii="Times New Roman" w:hAnsi="Times New Roman" w:cs="Times New Roman"/>
          <w:color w:val="000000" w:themeColor="text1"/>
          <w:sz w:val="24"/>
          <w:szCs w:val="24"/>
        </w:rPr>
        <w:t xml:space="preserve"> (Coate, 2021)</w:t>
      </w:r>
      <w:r w:rsidR="005F6285" w:rsidRPr="000D4FD3">
        <w:rPr>
          <w:rFonts w:ascii="Times New Roman" w:hAnsi="Times New Roman" w:cs="Times New Roman"/>
          <w:color w:val="000000" w:themeColor="text1"/>
          <w:sz w:val="24"/>
          <w:szCs w:val="24"/>
        </w:rPr>
        <w:t>.</w:t>
      </w:r>
      <w:r w:rsidR="00314F9F">
        <w:rPr>
          <w:rStyle w:val="FootnoteReference"/>
          <w:rFonts w:ascii="Times New Roman" w:hAnsi="Times New Roman" w:cs="Times New Roman"/>
          <w:color w:val="000000" w:themeColor="text1"/>
          <w:sz w:val="24"/>
          <w:szCs w:val="24"/>
        </w:rPr>
        <w:footnoteReference w:id="2"/>
      </w:r>
      <w:r w:rsidR="00A27B4D">
        <w:rPr>
          <w:rFonts w:ascii="Times New Roman" w:hAnsi="Times New Roman" w:cs="Times New Roman"/>
          <w:color w:val="000000" w:themeColor="text1"/>
          <w:sz w:val="24"/>
          <w:szCs w:val="24"/>
        </w:rPr>
        <w:t xml:space="preserve"> </w:t>
      </w:r>
      <w:r w:rsidR="005F6285" w:rsidRPr="000D4FD3">
        <w:rPr>
          <w:rFonts w:ascii="Times New Roman" w:hAnsi="Times New Roman" w:cs="Times New Roman"/>
          <w:color w:val="000000" w:themeColor="text1"/>
          <w:sz w:val="24"/>
          <w:szCs w:val="24"/>
        </w:rPr>
        <w:t xml:space="preserve"> During the height of the pandemic in 2020 and a good part of 2021, </w:t>
      </w:r>
      <w:r w:rsidR="00A27B4D">
        <w:rPr>
          <w:rFonts w:ascii="Times New Roman" w:hAnsi="Times New Roman" w:cs="Times New Roman"/>
          <w:color w:val="000000" w:themeColor="text1"/>
          <w:sz w:val="24"/>
          <w:szCs w:val="24"/>
        </w:rPr>
        <w:t>the</w:t>
      </w:r>
      <w:r w:rsidR="00B478BD">
        <w:rPr>
          <w:rFonts w:ascii="Times New Roman" w:hAnsi="Times New Roman" w:cs="Times New Roman"/>
          <w:color w:val="000000" w:themeColor="text1"/>
          <w:sz w:val="24"/>
          <w:szCs w:val="24"/>
        </w:rPr>
        <w:t>se</w:t>
      </w:r>
      <w:r w:rsidR="00A27B4D">
        <w:rPr>
          <w:rFonts w:ascii="Times New Roman" w:hAnsi="Times New Roman" w:cs="Times New Roman"/>
          <w:color w:val="000000" w:themeColor="text1"/>
          <w:sz w:val="24"/>
          <w:szCs w:val="24"/>
        </w:rPr>
        <w:t xml:space="preserve"> percentage</w:t>
      </w:r>
      <w:r w:rsidR="00B478BD">
        <w:rPr>
          <w:rFonts w:ascii="Times New Roman" w:hAnsi="Times New Roman" w:cs="Times New Roman"/>
          <w:color w:val="000000" w:themeColor="text1"/>
          <w:sz w:val="24"/>
          <w:szCs w:val="24"/>
        </w:rPr>
        <w:t>s surged</w:t>
      </w:r>
      <w:r w:rsidR="00A27B4D">
        <w:rPr>
          <w:rFonts w:ascii="Times New Roman" w:hAnsi="Times New Roman" w:cs="Times New Roman"/>
          <w:color w:val="000000" w:themeColor="text1"/>
          <w:sz w:val="24"/>
          <w:szCs w:val="24"/>
        </w:rPr>
        <w:t xml:space="preserve"> </w:t>
      </w:r>
      <w:r w:rsidR="00A27B4D" w:rsidRPr="000D4FD3">
        <w:rPr>
          <w:rFonts w:ascii="Times New Roman" w:hAnsi="Times New Roman" w:cs="Times New Roman"/>
          <w:color w:val="000000" w:themeColor="text1"/>
          <w:sz w:val="24"/>
          <w:szCs w:val="24"/>
        </w:rPr>
        <w:t xml:space="preserve">to </w:t>
      </w:r>
      <w:r w:rsidR="00721908">
        <w:rPr>
          <w:rFonts w:ascii="Times New Roman" w:hAnsi="Times New Roman" w:cs="Times New Roman"/>
          <w:color w:val="000000" w:themeColor="text1"/>
          <w:sz w:val="24"/>
          <w:szCs w:val="24"/>
        </w:rPr>
        <w:t>3</w:t>
      </w:r>
      <w:r w:rsidR="00A27B4D">
        <w:rPr>
          <w:rFonts w:ascii="Times New Roman" w:hAnsi="Times New Roman" w:cs="Times New Roman"/>
          <w:color w:val="000000" w:themeColor="text1"/>
          <w:sz w:val="24"/>
          <w:szCs w:val="24"/>
        </w:rPr>
        <w:t>0-</w:t>
      </w:r>
      <w:r w:rsidR="00721908">
        <w:rPr>
          <w:rFonts w:ascii="Times New Roman" w:hAnsi="Times New Roman" w:cs="Times New Roman"/>
          <w:color w:val="000000" w:themeColor="text1"/>
          <w:sz w:val="24"/>
          <w:szCs w:val="24"/>
        </w:rPr>
        <w:t>40</w:t>
      </w:r>
      <w:r w:rsidR="00A27B4D" w:rsidRPr="000D4FD3">
        <w:rPr>
          <w:rFonts w:ascii="Times New Roman" w:hAnsi="Times New Roman" w:cs="Times New Roman"/>
          <w:color w:val="000000" w:themeColor="text1"/>
          <w:sz w:val="24"/>
          <w:szCs w:val="24"/>
        </w:rPr>
        <w:t xml:space="preserve"> percent</w:t>
      </w:r>
      <w:r w:rsidR="00A27B4D">
        <w:rPr>
          <w:rFonts w:ascii="Times New Roman" w:hAnsi="Times New Roman" w:cs="Times New Roman"/>
          <w:color w:val="000000" w:themeColor="text1"/>
          <w:sz w:val="24"/>
          <w:szCs w:val="24"/>
        </w:rPr>
        <w:t xml:space="preserve"> </w:t>
      </w:r>
      <w:r w:rsidR="00B478BD">
        <w:rPr>
          <w:rFonts w:ascii="Times New Roman" w:hAnsi="Times New Roman" w:cs="Times New Roman"/>
          <w:color w:val="000000" w:themeColor="text1"/>
          <w:sz w:val="24"/>
          <w:szCs w:val="24"/>
        </w:rPr>
        <w:t xml:space="preserve">of all employees primarily working remote, and dropped to less than 40 percent never </w:t>
      </w:r>
      <w:r w:rsidR="007C26F4">
        <w:rPr>
          <w:rFonts w:ascii="Times New Roman" w:hAnsi="Times New Roman" w:cs="Times New Roman"/>
          <w:color w:val="000000" w:themeColor="text1"/>
          <w:sz w:val="24"/>
          <w:szCs w:val="24"/>
        </w:rPr>
        <w:t xml:space="preserve">having </w:t>
      </w:r>
      <w:r w:rsidR="008B4A91">
        <w:rPr>
          <w:rFonts w:ascii="Times New Roman" w:hAnsi="Times New Roman" w:cs="Times New Roman"/>
          <w:color w:val="000000" w:themeColor="text1"/>
          <w:sz w:val="24"/>
          <w:szCs w:val="24"/>
        </w:rPr>
        <w:t xml:space="preserve">worked </w:t>
      </w:r>
      <w:r w:rsidR="00EF7A2D">
        <w:rPr>
          <w:rFonts w:ascii="Times New Roman" w:hAnsi="Times New Roman" w:cs="Times New Roman"/>
          <w:color w:val="000000" w:themeColor="text1"/>
          <w:sz w:val="24"/>
          <w:szCs w:val="24"/>
        </w:rPr>
        <w:t>remotely</w:t>
      </w:r>
      <w:r w:rsidR="00B478BD">
        <w:rPr>
          <w:rFonts w:ascii="Times New Roman" w:hAnsi="Times New Roman" w:cs="Times New Roman"/>
          <w:color w:val="000000" w:themeColor="text1"/>
          <w:sz w:val="24"/>
          <w:szCs w:val="24"/>
        </w:rPr>
        <w:t xml:space="preserve"> (Coate, 2021; Saad and Wigert, 2021</w:t>
      </w:r>
      <w:r w:rsidR="00EF07DD">
        <w:rPr>
          <w:rFonts w:ascii="Times New Roman" w:hAnsi="Times New Roman" w:cs="Times New Roman"/>
          <w:color w:val="000000" w:themeColor="text1"/>
          <w:sz w:val="24"/>
          <w:szCs w:val="24"/>
        </w:rPr>
        <w:t>; Flynn, 2022</w:t>
      </w:r>
      <w:r w:rsidR="00B478BD">
        <w:rPr>
          <w:rFonts w:ascii="Times New Roman" w:hAnsi="Times New Roman" w:cs="Times New Roman"/>
          <w:color w:val="000000" w:themeColor="text1"/>
          <w:sz w:val="24"/>
          <w:szCs w:val="24"/>
        </w:rPr>
        <w:t>).</w:t>
      </w:r>
      <w:r w:rsidR="005F6285" w:rsidRPr="000D4FD3">
        <w:rPr>
          <w:rFonts w:ascii="Times New Roman" w:hAnsi="Times New Roman" w:cs="Times New Roman"/>
          <w:color w:val="000000" w:themeColor="text1"/>
          <w:sz w:val="24"/>
          <w:szCs w:val="24"/>
        </w:rPr>
        <w:t xml:space="preserve"> </w:t>
      </w:r>
      <w:r w:rsidR="00B478BD">
        <w:rPr>
          <w:rFonts w:ascii="Times New Roman" w:hAnsi="Times New Roman" w:cs="Times New Roman"/>
          <w:color w:val="000000" w:themeColor="text1"/>
          <w:sz w:val="24"/>
          <w:szCs w:val="24"/>
        </w:rPr>
        <w:t>A</w:t>
      </w:r>
      <w:r w:rsidR="005F6285" w:rsidRPr="000D4FD3">
        <w:rPr>
          <w:rFonts w:ascii="Times New Roman" w:hAnsi="Times New Roman" w:cs="Times New Roman"/>
          <w:color w:val="000000" w:themeColor="text1"/>
          <w:sz w:val="24"/>
          <w:szCs w:val="24"/>
        </w:rPr>
        <w:t xml:space="preserve">s vaccination rates increased and the worst of the pandemic began to fade in late 2021, workers began to make their way back to the office, resulting in about </w:t>
      </w:r>
      <w:r w:rsidR="00B478BD">
        <w:rPr>
          <w:rFonts w:ascii="Times New Roman" w:hAnsi="Times New Roman" w:cs="Times New Roman"/>
          <w:color w:val="000000" w:themeColor="text1"/>
          <w:sz w:val="24"/>
          <w:szCs w:val="24"/>
        </w:rPr>
        <w:t>15</w:t>
      </w:r>
      <w:r w:rsidR="005F6285" w:rsidRPr="000D4FD3">
        <w:rPr>
          <w:rFonts w:ascii="Times New Roman" w:hAnsi="Times New Roman" w:cs="Times New Roman"/>
          <w:color w:val="000000" w:themeColor="text1"/>
          <w:sz w:val="24"/>
          <w:szCs w:val="24"/>
        </w:rPr>
        <w:t>-</w:t>
      </w:r>
      <w:r w:rsidR="00EF07DD">
        <w:rPr>
          <w:rFonts w:ascii="Times New Roman" w:hAnsi="Times New Roman" w:cs="Times New Roman"/>
          <w:color w:val="000000" w:themeColor="text1"/>
          <w:sz w:val="24"/>
          <w:szCs w:val="24"/>
        </w:rPr>
        <w:t>25</w:t>
      </w:r>
      <w:r w:rsidR="005F6285" w:rsidRPr="000D4FD3">
        <w:rPr>
          <w:rFonts w:ascii="Times New Roman" w:hAnsi="Times New Roman" w:cs="Times New Roman"/>
          <w:color w:val="000000" w:themeColor="text1"/>
          <w:sz w:val="24"/>
          <w:szCs w:val="24"/>
        </w:rPr>
        <w:t xml:space="preserve"> percent of workers </w:t>
      </w:r>
      <w:r w:rsidR="00721908">
        <w:rPr>
          <w:rFonts w:ascii="Times New Roman" w:hAnsi="Times New Roman" w:cs="Times New Roman"/>
          <w:color w:val="000000" w:themeColor="text1"/>
          <w:sz w:val="24"/>
          <w:szCs w:val="24"/>
        </w:rPr>
        <w:t xml:space="preserve">primarily </w:t>
      </w:r>
      <w:r w:rsidR="005F6285" w:rsidRPr="000D4FD3">
        <w:rPr>
          <w:rFonts w:ascii="Times New Roman" w:hAnsi="Times New Roman" w:cs="Times New Roman"/>
          <w:color w:val="000000" w:themeColor="text1"/>
          <w:sz w:val="24"/>
          <w:szCs w:val="24"/>
        </w:rPr>
        <w:t>working from a remote location</w:t>
      </w:r>
      <w:r w:rsidR="00EF07DD">
        <w:rPr>
          <w:rFonts w:ascii="Times New Roman" w:hAnsi="Times New Roman" w:cs="Times New Roman"/>
          <w:color w:val="000000" w:themeColor="text1"/>
          <w:sz w:val="24"/>
          <w:szCs w:val="24"/>
        </w:rPr>
        <w:t xml:space="preserve">.  </w:t>
      </w:r>
      <w:r w:rsidR="00EF7A2D">
        <w:rPr>
          <w:rFonts w:ascii="Times New Roman" w:hAnsi="Times New Roman" w:cs="Times New Roman"/>
          <w:color w:val="000000" w:themeColor="text1"/>
          <w:sz w:val="24"/>
          <w:szCs w:val="24"/>
        </w:rPr>
        <w:t>But</w:t>
      </w:r>
      <w:r w:rsidR="00EF07DD">
        <w:rPr>
          <w:rFonts w:ascii="Times New Roman" w:hAnsi="Times New Roman" w:cs="Times New Roman"/>
          <w:color w:val="000000" w:themeColor="text1"/>
          <w:sz w:val="24"/>
          <w:szCs w:val="24"/>
        </w:rPr>
        <w:t xml:space="preserve">, rates of never working </w:t>
      </w:r>
      <w:r w:rsidR="00EF7A2D">
        <w:rPr>
          <w:rFonts w:ascii="Times New Roman" w:hAnsi="Times New Roman" w:cs="Times New Roman"/>
          <w:color w:val="000000" w:themeColor="text1"/>
          <w:sz w:val="24"/>
          <w:szCs w:val="24"/>
        </w:rPr>
        <w:t xml:space="preserve">remotely </w:t>
      </w:r>
      <w:r w:rsidR="00EF07DD">
        <w:rPr>
          <w:rFonts w:ascii="Times New Roman" w:hAnsi="Times New Roman" w:cs="Times New Roman"/>
          <w:color w:val="000000" w:themeColor="text1"/>
          <w:sz w:val="24"/>
          <w:szCs w:val="24"/>
        </w:rPr>
        <w:t xml:space="preserve">remain under 40 percent (Flynn, 2022), </w:t>
      </w:r>
      <w:r w:rsidR="005F6285" w:rsidRPr="000D4FD3">
        <w:rPr>
          <w:rFonts w:ascii="Times New Roman" w:hAnsi="Times New Roman" w:cs="Times New Roman"/>
          <w:color w:val="000000" w:themeColor="text1"/>
          <w:sz w:val="24"/>
          <w:szCs w:val="24"/>
        </w:rPr>
        <w:t xml:space="preserve">indicating the substantial impact that COVID had on teleworking habits. </w:t>
      </w:r>
      <w:r w:rsidR="00EF7A2D">
        <w:rPr>
          <w:rFonts w:ascii="Times New Roman" w:hAnsi="Times New Roman" w:cs="Times New Roman"/>
          <w:color w:val="000000" w:themeColor="text1"/>
          <w:sz w:val="24"/>
          <w:szCs w:val="24"/>
        </w:rPr>
        <w:t xml:space="preserve">In this context, </w:t>
      </w:r>
      <w:r w:rsidR="00EF7A2D">
        <w:rPr>
          <w:rFonts w:ascii="Times New Roman" w:hAnsi="Times New Roman" w:cs="Times New Roman"/>
          <w:sz w:val="24"/>
          <w:szCs w:val="24"/>
        </w:rPr>
        <w:t>r</w:t>
      </w:r>
      <w:r w:rsidR="005F6285">
        <w:rPr>
          <w:rFonts w:ascii="Times New Roman" w:hAnsi="Times New Roman" w:cs="Times New Roman"/>
          <w:sz w:val="24"/>
          <w:szCs w:val="24"/>
        </w:rPr>
        <w:t>esearch efforts</w:t>
      </w:r>
      <w:r w:rsidR="005229D8">
        <w:rPr>
          <w:rFonts w:ascii="Times New Roman" w:hAnsi="Times New Roman" w:cs="Times New Roman"/>
          <w:sz w:val="24"/>
          <w:szCs w:val="24"/>
        </w:rPr>
        <w:t xml:space="preserve"> on</w:t>
      </w:r>
      <w:r w:rsidR="008328FD" w:rsidRPr="000D4FD3">
        <w:rPr>
          <w:rFonts w:ascii="Times New Roman" w:hAnsi="Times New Roman" w:cs="Times New Roman"/>
          <w:sz w:val="24"/>
        </w:rPr>
        <w:t xml:space="preserve"> </w:t>
      </w:r>
      <w:r w:rsidR="008328FD">
        <w:rPr>
          <w:rFonts w:ascii="Times New Roman" w:hAnsi="Times New Roman" w:cs="Times New Roman"/>
          <w:sz w:val="24"/>
        </w:rPr>
        <w:t xml:space="preserve">work arrangements, </w:t>
      </w:r>
      <w:r w:rsidR="005229D8">
        <w:rPr>
          <w:rFonts w:ascii="Times New Roman" w:hAnsi="Times New Roman" w:cs="Times New Roman"/>
          <w:sz w:val="24"/>
        </w:rPr>
        <w:t>workplace</w:t>
      </w:r>
      <w:r w:rsidR="008328FD" w:rsidRPr="000D4FD3">
        <w:rPr>
          <w:rFonts w:ascii="Times New Roman" w:hAnsi="Times New Roman" w:cs="Times New Roman"/>
          <w:sz w:val="24"/>
        </w:rPr>
        <w:t xml:space="preserve"> location arrangement choices, and how these choices have changed (are changing) over the course of the pandemic can provide important insights on how roadways, office space, virtual communication technology, and other work-related infrastructure may evolve in the future. What will the workplace environment look like across the world as employees strive to retain some of the work location flexibility brought about by the pandemic? How will employers decide on their real estate needs, and how might this affect land-use patterns and commute patterns? How might employers respond to changing work pattern demands of employees, and what policies might they adopt to best harness and balance their employees’ productivity, motivation and mental/emotional health? Can the paradigm change in work location perceptions brought about by the pandemic be harnessed to promote transportation equity across population groups? All these questions start from the more fundamental question of how employees’ choice of work location arrangements has changed (and continues to change), based on their specific lifecycle, lifestyle, and work-related perceptions and attitudes.</w:t>
      </w:r>
    </w:p>
    <w:p w14:paraId="1298CCD6" w14:textId="38A95456" w:rsidR="002E5F84" w:rsidRDefault="005229D8" w:rsidP="005229D8">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Generally speaking</w:t>
      </w:r>
      <w:r w:rsidR="00C47D7C">
        <w:rPr>
          <w:rFonts w:ascii="Times New Roman" w:hAnsi="Times New Roman" w:cs="Times New Roman"/>
          <w:sz w:val="24"/>
          <w:szCs w:val="24"/>
        </w:rPr>
        <w:t>, t</w:t>
      </w:r>
      <w:r w:rsidR="00862538" w:rsidRPr="00837F9C">
        <w:rPr>
          <w:rFonts w:ascii="Times New Roman" w:hAnsi="Times New Roman" w:cs="Times New Roman"/>
          <w:sz w:val="24"/>
          <w:szCs w:val="24"/>
        </w:rPr>
        <w:t>eleworking</w:t>
      </w:r>
      <w:r w:rsidR="00906623" w:rsidRPr="00837F9C">
        <w:rPr>
          <w:rFonts w:ascii="Times New Roman" w:hAnsi="Times New Roman" w:cs="Times New Roman"/>
          <w:sz w:val="24"/>
          <w:szCs w:val="24"/>
        </w:rPr>
        <w:t xml:space="preserve"> </w:t>
      </w:r>
      <w:r w:rsidR="00EF7A2D">
        <w:rPr>
          <w:rFonts w:ascii="Times New Roman" w:hAnsi="Times New Roman" w:cs="Times New Roman"/>
          <w:sz w:val="24"/>
          <w:szCs w:val="24"/>
        </w:rPr>
        <w:t xml:space="preserve">(that is, working remotely) </w:t>
      </w:r>
      <w:r w:rsidR="00C47D7C">
        <w:rPr>
          <w:rFonts w:ascii="Times New Roman" w:hAnsi="Times New Roman" w:cs="Times New Roman"/>
          <w:sz w:val="24"/>
          <w:szCs w:val="24"/>
        </w:rPr>
        <w:t>is</w:t>
      </w:r>
      <w:r w:rsidR="00906623" w:rsidRPr="00837F9C">
        <w:rPr>
          <w:rFonts w:ascii="Times New Roman" w:hAnsi="Times New Roman" w:cs="Times New Roman"/>
          <w:sz w:val="24"/>
          <w:szCs w:val="24"/>
        </w:rPr>
        <w:t xml:space="preserve"> of </w:t>
      </w:r>
      <w:r w:rsidR="007A50CB">
        <w:rPr>
          <w:rFonts w:ascii="Times New Roman" w:hAnsi="Times New Roman" w:cs="Times New Roman"/>
          <w:sz w:val="24"/>
          <w:szCs w:val="24"/>
        </w:rPr>
        <w:t>substantial</w:t>
      </w:r>
      <w:r w:rsidR="00906623" w:rsidRPr="00837F9C">
        <w:rPr>
          <w:rFonts w:ascii="Times New Roman" w:hAnsi="Times New Roman" w:cs="Times New Roman"/>
          <w:sz w:val="24"/>
          <w:szCs w:val="24"/>
        </w:rPr>
        <w:t xml:space="preserve"> interest to the </w:t>
      </w:r>
      <w:r w:rsidR="00C47D7C">
        <w:rPr>
          <w:rFonts w:ascii="Times New Roman" w:hAnsi="Times New Roman" w:cs="Times New Roman"/>
          <w:sz w:val="24"/>
          <w:szCs w:val="24"/>
        </w:rPr>
        <w:t xml:space="preserve">transportation planning </w:t>
      </w:r>
      <w:r w:rsidR="00906623" w:rsidRPr="00837F9C">
        <w:rPr>
          <w:rFonts w:ascii="Times New Roman" w:hAnsi="Times New Roman" w:cs="Times New Roman"/>
          <w:sz w:val="24"/>
          <w:szCs w:val="24"/>
        </w:rPr>
        <w:t xml:space="preserve">profession due to its potentially transformative implications for mode use (particularly transit), the future of employment centers and the small businesses that depend on them, and the spatial and temporal characteristics of travel demand. </w:t>
      </w:r>
      <w:r w:rsidR="00E93C14" w:rsidRPr="00837F9C">
        <w:rPr>
          <w:rFonts w:ascii="Times New Roman" w:hAnsi="Times New Roman" w:cs="Times New Roman"/>
          <w:sz w:val="24"/>
          <w:szCs w:val="24"/>
        </w:rPr>
        <w:t xml:space="preserve">In particular, </w:t>
      </w:r>
      <w:r w:rsidR="005B61B7" w:rsidRPr="00837F9C">
        <w:rPr>
          <w:rFonts w:ascii="Times New Roman" w:hAnsi="Times New Roman" w:cs="Times New Roman"/>
          <w:sz w:val="24"/>
          <w:szCs w:val="24"/>
        </w:rPr>
        <w:t xml:space="preserve">travel demand forecasting models will need to be substantially updated to reflect </w:t>
      </w:r>
      <w:r w:rsidR="00314F9F">
        <w:rPr>
          <w:rFonts w:ascii="Times New Roman" w:hAnsi="Times New Roman" w:cs="Times New Roman"/>
          <w:sz w:val="24"/>
          <w:szCs w:val="24"/>
        </w:rPr>
        <w:t xml:space="preserve">the </w:t>
      </w:r>
      <w:r w:rsidR="00862538" w:rsidRPr="00837F9C">
        <w:rPr>
          <w:rFonts w:ascii="Times New Roman" w:hAnsi="Times New Roman" w:cs="Times New Roman"/>
          <w:sz w:val="24"/>
          <w:szCs w:val="24"/>
        </w:rPr>
        <w:t>adoption, frequency, and location</w:t>
      </w:r>
      <w:r w:rsidR="00314F9F">
        <w:rPr>
          <w:rFonts w:ascii="Times New Roman" w:hAnsi="Times New Roman" w:cs="Times New Roman"/>
          <w:sz w:val="24"/>
          <w:szCs w:val="24"/>
        </w:rPr>
        <w:t xml:space="preserve"> of telework</w:t>
      </w:r>
      <w:r w:rsidR="00B00597" w:rsidRPr="00837F9C">
        <w:rPr>
          <w:rFonts w:ascii="Times New Roman" w:hAnsi="Times New Roman" w:cs="Times New Roman"/>
          <w:sz w:val="24"/>
          <w:szCs w:val="24"/>
        </w:rPr>
        <w:t xml:space="preserve">, as </w:t>
      </w:r>
      <w:r w:rsidR="005B61B7" w:rsidRPr="00837F9C">
        <w:rPr>
          <w:rFonts w:ascii="Times New Roman" w:hAnsi="Times New Roman" w:cs="Times New Roman"/>
          <w:sz w:val="24"/>
          <w:szCs w:val="24"/>
        </w:rPr>
        <w:t>the trajectory of human behaviors, choices, and preferences appear</w:t>
      </w:r>
      <w:r w:rsidR="00EF7A2D">
        <w:rPr>
          <w:rFonts w:ascii="Times New Roman" w:hAnsi="Times New Roman" w:cs="Times New Roman"/>
          <w:sz w:val="24"/>
          <w:szCs w:val="24"/>
        </w:rPr>
        <w:t>s</w:t>
      </w:r>
      <w:r w:rsidR="005B61B7" w:rsidRPr="00837F9C">
        <w:rPr>
          <w:rFonts w:ascii="Times New Roman" w:hAnsi="Times New Roman" w:cs="Times New Roman"/>
          <w:sz w:val="24"/>
          <w:szCs w:val="24"/>
        </w:rPr>
        <w:t xml:space="preserve"> to have been forever altered by </w:t>
      </w:r>
      <w:r w:rsidR="00862538" w:rsidRPr="00837F9C">
        <w:rPr>
          <w:rFonts w:ascii="Times New Roman" w:hAnsi="Times New Roman" w:cs="Times New Roman"/>
          <w:sz w:val="24"/>
          <w:szCs w:val="24"/>
        </w:rPr>
        <w:t>the</w:t>
      </w:r>
      <w:r w:rsidR="005B61B7" w:rsidRPr="00837F9C">
        <w:rPr>
          <w:rFonts w:ascii="Times New Roman" w:hAnsi="Times New Roman" w:cs="Times New Roman"/>
          <w:sz w:val="24"/>
          <w:szCs w:val="24"/>
        </w:rPr>
        <w:t xml:space="preserve"> pandemic (</w:t>
      </w:r>
      <w:r w:rsidR="00692833" w:rsidRPr="00837F9C">
        <w:rPr>
          <w:rFonts w:ascii="Times New Roman" w:hAnsi="Times New Roman" w:cs="Times New Roman"/>
          <w:sz w:val="24"/>
          <w:szCs w:val="24"/>
        </w:rPr>
        <w:t xml:space="preserve">leading to a human adaptation process that </w:t>
      </w:r>
      <w:r w:rsidR="00314F9F">
        <w:rPr>
          <w:rFonts w:ascii="Times New Roman" w:hAnsi="Times New Roman" w:cs="Times New Roman"/>
          <w:sz w:val="24"/>
          <w:szCs w:val="24"/>
        </w:rPr>
        <w:t xml:space="preserve">has </w:t>
      </w:r>
      <w:r w:rsidR="00692833" w:rsidRPr="00837F9C">
        <w:rPr>
          <w:rFonts w:ascii="Times New Roman" w:hAnsi="Times New Roman" w:cs="Times New Roman"/>
          <w:sz w:val="24"/>
          <w:szCs w:val="24"/>
        </w:rPr>
        <w:lastRenderedPageBreak/>
        <w:t xml:space="preserve">engendered </w:t>
      </w:r>
      <w:r w:rsidR="005B61B7" w:rsidRPr="00837F9C">
        <w:rPr>
          <w:rFonts w:ascii="Times New Roman" w:hAnsi="Times New Roman" w:cs="Times New Roman"/>
          <w:sz w:val="24"/>
          <w:szCs w:val="24"/>
        </w:rPr>
        <w:t xml:space="preserve">the adoption of new </w:t>
      </w:r>
      <w:r w:rsidR="005B61B7" w:rsidRPr="00837F9C">
        <w:rPr>
          <w:rFonts w:ascii="Times New Roman" w:hAnsi="Times New Roman" w:cs="Times New Roman"/>
          <w:i/>
          <w:iCs/>
          <w:sz w:val="24"/>
          <w:szCs w:val="24"/>
        </w:rPr>
        <w:t>habits</w:t>
      </w:r>
      <w:r w:rsidR="005B61B7" w:rsidRPr="00837F9C">
        <w:rPr>
          <w:rFonts w:ascii="Times New Roman" w:hAnsi="Times New Roman" w:cs="Times New Roman"/>
          <w:sz w:val="24"/>
          <w:szCs w:val="24"/>
        </w:rPr>
        <w:t xml:space="preserve"> and </w:t>
      </w:r>
      <w:r w:rsidR="005B61B7" w:rsidRPr="00837F9C">
        <w:rPr>
          <w:rFonts w:ascii="Times New Roman" w:hAnsi="Times New Roman" w:cs="Times New Roman"/>
          <w:i/>
          <w:iCs/>
          <w:sz w:val="24"/>
          <w:szCs w:val="24"/>
        </w:rPr>
        <w:t>routines</w:t>
      </w:r>
      <w:r w:rsidR="005B61B7" w:rsidRPr="00837F9C">
        <w:rPr>
          <w:rFonts w:ascii="Times New Roman" w:hAnsi="Times New Roman" w:cs="Times New Roman"/>
          <w:sz w:val="24"/>
          <w:szCs w:val="24"/>
        </w:rPr>
        <w:t>).</w:t>
      </w:r>
      <w:r w:rsidR="00B912F2">
        <w:rPr>
          <w:rFonts w:ascii="Times New Roman" w:hAnsi="Times New Roman" w:cs="Times New Roman"/>
          <w:sz w:val="24"/>
          <w:szCs w:val="24"/>
        </w:rPr>
        <w:t xml:space="preserve"> </w:t>
      </w:r>
      <w:r w:rsidR="00692833" w:rsidRPr="00837F9C">
        <w:rPr>
          <w:rFonts w:ascii="Times New Roman" w:hAnsi="Times New Roman" w:cs="Times New Roman"/>
          <w:sz w:val="24"/>
          <w:szCs w:val="24"/>
        </w:rPr>
        <w:t>Given the importance</w:t>
      </w:r>
      <w:r w:rsidR="00862538" w:rsidRPr="00837F9C">
        <w:rPr>
          <w:rFonts w:ascii="Times New Roman" w:hAnsi="Times New Roman" w:cs="Times New Roman"/>
          <w:sz w:val="24"/>
          <w:szCs w:val="24"/>
        </w:rPr>
        <w:t>, rapidly evolving na</w:t>
      </w:r>
      <w:r w:rsidR="001E241B" w:rsidRPr="00837F9C">
        <w:rPr>
          <w:rFonts w:ascii="Times New Roman" w:hAnsi="Times New Roman" w:cs="Times New Roman"/>
          <w:sz w:val="24"/>
          <w:szCs w:val="24"/>
        </w:rPr>
        <w:t>t</w:t>
      </w:r>
      <w:r w:rsidR="00862538" w:rsidRPr="00837F9C">
        <w:rPr>
          <w:rFonts w:ascii="Times New Roman" w:hAnsi="Times New Roman" w:cs="Times New Roman"/>
          <w:sz w:val="24"/>
          <w:szCs w:val="24"/>
        </w:rPr>
        <w:t>ure, and impacts</w:t>
      </w:r>
      <w:r w:rsidR="00692833" w:rsidRPr="00837F9C">
        <w:rPr>
          <w:rFonts w:ascii="Times New Roman" w:hAnsi="Times New Roman" w:cs="Times New Roman"/>
          <w:sz w:val="24"/>
          <w:szCs w:val="24"/>
        </w:rPr>
        <w:t xml:space="preserve"> of this behavioral phenomenon (i.e., telework and its various facets)</w:t>
      </w:r>
      <w:r w:rsidR="00C70E90">
        <w:rPr>
          <w:rFonts w:ascii="Times New Roman" w:hAnsi="Times New Roman" w:cs="Times New Roman"/>
          <w:sz w:val="24"/>
          <w:szCs w:val="24"/>
        </w:rPr>
        <w:t>,</w:t>
      </w:r>
      <w:r w:rsidR="00692833" w:rsidRPr="00837F9C">
        <w:rPr>
          <w:rFonts w:ascii="Times New Roman" w:hAnsi="Times New Roman" w:cs="Times New Roman"/>
          <w:sz w:val="24"/>
          <w:szCs w:val="24"/>
        </w:rPr>
        <w:t xml:space="preserve"> and the multitude of dimensions that characterize this phenomenon, it is critical for the profession to engage in a continuous stream of telework-related research to understand </w:t>
      </w:r>
      <w:r w:rsidR="00862538" w:rsidRPr="00837F9C">
        <w:rPr>
          <w:rFonts w:ascii="Times New Roman" w:hAnsi="Times New Roman" w:cs="Times New Roman"/>
          <w:sz w:val="24"/>
          <w:szCs w:val="24"/>
        </w:rPr>
        <w:t>its e</w:t>
      </w:r>
      <w:r w:rsidR="00692833" w:rsidRPr="00837F9C">
        <w:rPr>
          <w:rFonts w:ascii="Times New Roman" w:hAnsi="Times New Roman" w:cs="Times New Roman"/>
          <w:sz w:val="24"/>
          <w:szCs w:val="24"/>
        </w:rPr>
        <w:t>volving nature and incorporate the latest insights into transportation demand forecasting models.</w:t>
      </w:r>
      <w:r w:rsidR="002E5F84">
        <w:rPr>
          <w:rFonts w:ascii="Times New Roman" w:hAnsi="Times New Roman" w:cs="Times New Roman"/>
          <w:sz w:val="24"/>
          <w:szCs w:val="24"/>
        </w:rPr>
        <w:t xml:space="preserve"> This study contributes to th</w:t>
      </w:r>
      <w:r w:rsidR="00EF7A2D">
        <w:rPr>
          <w:rFonts w:ascii="Times New Roman" w:hAnsi="Times New Roman" w:cs="Times New Roman"/>
          <w:sz w:val="24"/>
          <w:szCs w:val="24"/>
        </w:rPr>
        <w:t>e</w:t>
      </w:r>
      <w:r w:rsidR="002E5F84">
        <w:rPr>
          <w:rFonts w:ascii="Times New Roman" w:hAnsi="Times New Roman" w:cs="Times New Roman"/>
          <w:sz w:val="24"/>
          <w:szCs w:val="24"/>
        </w:rPr>
        <w:t xml:space="preserve"> growing body of literature by investigating </w:t>
      </w:r>
      <w:r w:rsidR="002E5F84" w:rsidRPr="00837F9C">
        <w:rPr>
          <w:rFonts w:ascii="Times New Roman" w:hAnsi="Times New Roman" w:cs="Times New Roman"/>
          <w:sz w:val="24"/>
          <w:szCs w:val="24"/>
        </w:rPr>
        <w:t>three key aspects of telework, including whether to telework or not, frequency of telework, and location of telework</w:t>
      </w:r>
      <w:r w:rsidR="00DA3EB7">
        <w:rPr>
          <w:rFonts w:ascii="Times New Roman" w:hAnsi="Times New Roman" w:cs="Times New Roman"/>
          <w:sz w:val="24"/>
          <w:szCs w:val="24"/>
        </w:rPr>
        <w:t xml:space="preserve"> (</w:t>
      </w:r>
      <w:r w:rsidR="004612CB">
        <w:rPr>
          <w:rFonts w:ascii="Times New Roman" w:hAnsi="Times New Roman" w:cs="Times New Roman"/>
          <w:sz w:val="24"/>
          <w:szCs w:val="24"/>
        </w:rPr>
        <w:t>h</w:t>
      </w:r>
      <w:r w:rsidR="00FC5545" w:rsidRPr="00FC5545">
        <w:rPr>
          <w:rFonts w:ascii="Times New Roman" w:hAnsi="Times New Roman" w:cs="Times New Roman"/>
          <w:sz w:val="24"/>
          <w:szCs w:val="24"/>
        </w:rPr>
        <w:t xml:space="preserve">ome </w:t>
      </w:r>
      <w:r w:rsidR="004612CB">
        <w:rPr>
          <w:rFonts w:ascii="Times New Roman" w:hAnsi="Times New Roman" w:cs="Times New Roman"/>
          <w:sz w:val="24"/>
          <w:szCs w:val="24"/>
        </w:rPr>
        <w:t>o</w:t>
      </w:r>
      <w:r w:rsidR="00FC5545" w:rsidRPr="00FC5545">
        <w:rPr>
          <w:rFonts w:ascii="Times New Roman" w:hAnsi="Times New Roman" w:cs="Times New Roman"/>
          <w:sz w:val="24"/>
          <w:szCs w:val="24"/>
        </w:rPr>
        <w:t xml:space="preserve">nly, </w:t>
      </w:r>
      <w:r w:rsidR="004612CB">
        <w:rPr>
          <w:rFonts w:ascii="Times New Roman" w:hAnsi="Times New Roman" w:cs="Times New Roman"/>
          <w:sz w:val="24"/>
          <w:szCs w:val="24"/>
        </w:rPr>
        <w:t>n</w:t>
      </w:r>
      <w:r w:rsidR="00FC5545" w:rsidRPr="00FC5545">
        <w:rPr>
          <w:rFonts w:ascii="Times New Roman" w:hAnsi="Times New Roman" w:cs="Times New Roman"/>
          <w:sz w:val="24"/>
          <w:szCs w:val="24"/>
        </w:rPr>
        <w:t>on-home only</w:t>
      </w:r>
      <w:r w:rsidR="004612CB">
        <w:rPr>
          <w:rFonts w:ascii="Times New Roman" w:hAnsi="Times New Roman" w:cs="Times New Roman"/>
          <w:sz w:val="24"/>
          <w:szCs w:val="24"/>
        </w:rPr>
        <w:t>,</w:t>
      </w:r>
      <w:r w:rsidR="00FC5545" w:rsidRPr="00FC5545">
        <w:rPr>
          <w:rFonts w:ascii="Times New Roman" w:hAnsi="Times New Roman" w:cs="Times New Roman"/>
          <w:sz w:val="24"/>
          <w:szCs w:val="24"/>
        </w:rPr>
        <w:t xml:space="preserve"> </w:t>
      </w:r>
      <w:r w:rsidR="004612CB">
        <w:rPr>
          <w:rFonts w:ascii="Times New Roman" w:hAnsi="Times New Roman" w:cs="Times New Roman"/>
          <w:sz w:val="24"/>
          <w:szCs w:val="24"/>
        </w:rPr>
        <w:t>or</w:t>
      </w:r>
      <w:r w:rsidR="00FC5545" w:rsidRPr="00FC5545">
        <w:rPr>
          <w:rFonts w:ascii="Times New Roman" w:hAnsi="Times New Roman" w:cs="Times New Roman"/>
          <w:sz w:val="24"/>
          <w:szCs w:val="24"/>
        </w:rPr>
        <w:t xml:space="preserve"> </w:t>
      </w:r>
      <w:r w:rsidR="004612CB">
        <w:rPr>
          <w:rFonts w:ascii="Times New Roman" w:hAnsi="Times New Roman" w:cs="Times New Roman"/>
          <w:sz w:val="24"/>
          <w:szCs w:val="24"/>
        </w:rPr>
        <w:t>b</w:t>
      </w:r>
      <w:r w:rsidR="00FC5545" w:rsidRPr="00FC5545">
        <w:rPr>
          <w:rFonts w:ascii="Times New Roman" w:hAnsi="Times New Roman" w:cs="Times New Roman"/>
          <w:sz w:val="24"/>
          <w:szCs w:val="24"/>
        </w:rPr>
        <w:t xml:space="preserve">oth home and </w:t>
      </w:r>
      <w:r w:rsidR="004612CB">
        <w:rPr>
          <w:rFonts w:ascii="Times New Roman" w:hAnsi="Times New Roman" w:cs="Times New Roman"/>
          <w:sz w:val="24"/>
          <w:szCs w:val="24"/>
        </w:rPr>
        <w:t>non-home</w:t>
      </w:r>
      <w:r w:rsidR="00DA3EB7">
        <w:rPr>
          <w:rFonts w:ascii="Times New Roman" w:hAnsi="Times New Roman" w:cs="Times New Roman"/>
          <w:sz w:val="24"/>
          <w:szCs w:val="24"/>
        </w:rPr>
        <w:t>)</w:t>
      </w:r>
      <w:r w:rsidR="002E5F84">
        <w:rPr>
          <w:rFonts w:ascii="Times New Roman" w:hAnsi="Times New Roman" w:cs="Times New Roman"/>
          <w:sz w:val="24"/>
          <w:szCs w:val="24"/>
        </w:rPr>
        <w:t xml:space="preserve"> across two time periods (namely, </w:t>
      </w:r>
      <w:r w:rsidR="002E5F84">
        <w:rPr>
          <w:rFonts w:ascii="Times New Roman" w:hAnsi="Times New Roman" w:cs="Times New Roman"/>
          <w:i/>
          <w:sz w:val="24"/>
          <w:szCs w:val="24"/>
        </w:rPr>
        <w:t>befor</w:t>
      </w:r>
      <w:r w:rsidR="00511F0D">
        <w:rPr>
          <w:rFonts w:ascii="Times New Roman" w:hAnsi="Times New Roman" w:cs="Times New Roman"/>
          <w:i/>
          <w:sz w:val="24"/>
          <w:szCs w:val="24"/>
        </w:rPr>
        <w:t xml:space="preserve">e </w:t>
      </w:r>
      <w:r w:rsidR="002E5F84">
        <w:rPr>
          <w:rFonts w:ascii="Times New Roman" w:hAnsi="Times New Roman" w:cs="Times New Roman"/>
          <w:sz w:val="24"/>
          <w:szCs w:val="24"/>
        </w:rPr>
        <w:t xml:space="preserve">COVID and </w:t>
      </w:r>
      <w:r w:rsidR="002E5F84">
        <w:rPr>
          <w:rFonts w:ascii="Times New Roman" w:hAnsi="Times New Roman" w:cs="Times New Roman"/>
          <w:i/>
          <w:sz w:val="24"/>
          <w:szCs w:val="24"/>
        </w:rPr>
        <w:t>after</w:t>
      </w:r>
      <w:r w:rsidR="00511F0D">
        <w:rPr>
          <w:rFonts w:ascii="Times New Roman" w:hAnsi="Times New Roman" w:cs="Times New Roman"/>
          <w:i/>
          <w:sz w:val="24"/>
          <w:szCs w:val="24"/>
        </w:rPr>
        <w:t xml:space="preserve"> </w:t>
      </w:r>
      <w:r w:rsidR="002E5F84">
        <w:rPr>
          <w:rFonts w:ascii="Times New Roman" w:hAnsi="Times New Roman" w:cs="Times New Roman"/>
          <w:sz w:val="24"/>
          <w:szCs w:val="24"/>
        </w:rPr>
        <w:t xml:space="preserve">COVID), using a joint modeling framework that accounts for </w:t>
      </w:r>
      <w:r w:rsidR="001B0C44">
        <w:rPr>
          <w:rFonts w:ascii="Times New Roman" w:hAnsi="Times New Roman" w:cs="Times New Roman"/>
          <w:sz w:val="24"/>
          <w:szCs w:val="24"/>
        </w:rPr>
        <w:t xml:space="preserve">inter-temporal as well as intra-temporal </w:t>
      </w:r>
      <w:r w:rsidR="002E5F84">
        <w:rPr>
          <w:rFonts w:ascii="Times New Roman" w:hAnsi="Times New Roman" w:cs="Times New Roman"/>
          <w:sz w:val="24"/>
          <w:szCs w:val="24"/>
        </w:rPr>
        <w:t>unobserved correlations across the choice dimensions.</w:t>
      </w:r>
    </w:p>
    <w:p w14:paraId="0C1ACBDF" w14:textId="77777777" w:rsidR="002E5F84" w:rsidRDefault="002E5F84" w:rsidP="005229D8">
      <w:pPr>
        <w:spacing w:after="0" w:line="276" w:lineRule="auto"/>
        <w:ind w:firstLine="720"/>
        <w:rPr>
          <w:rFonts w:ascii="Times New Roman" w:hAnsi="Times New Roman" w:cs="Times New Roman"/>
          <w:sz w:val="24"/>
          <w:szCs w:val="24"/>
        </w:rPr>
      </w:pPr>
    </w:p>
    <w:p w14:paraId="206B98FE" w14:textId="269FBEF8" w:rsidR="002E5F84" w:rsidRPr="000D4FD3" w:rsidRDefault="007A50CB" w:rsidP="00194389">
      <w:pPr>
        <w:pStyle w:val="Heading1"/>
      </w:pPr>
      <w:r>
        <w:t>Previous Literature</w:t>
      </w:r>
    </w:p>
    <w:p w14:paraId="03D433D5" w14:textId="0164071C" w:rsidR="007A50CB" w:rsidRDefault="00C47D7C" w:rsidP="00C47D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While </w:t>
      </w:r>
      <w:r w:rsidR="00FC5545">
        <w:rPr>
          <w:rFonts w:ascii="Times New Roman" w:hAnsi="Times New Roman" w:cs="Times New Roman"/>
          <w:sz w:val="24"/>
          <w:szCs w:val="24"/>
        </w:rPr>
        <w:t>tele</w:t>
      </w:r>
      <w:r>
        <w:rPr>
          <w:rFonts w:ascii="Times New Roman" w:hAnsi="Times New Roman" w:cs="Times New Roman"/>
          <w:sz w:val="24"/>
          <w:szCs w:val="24"/>
        </w:rPr>
        <w:t>work was popular among some employment groups before the pandemic, it has only r</w:t>
      </w:r>
      <w:r w:rsidR="00DD3FF7">
        <w:rPr>
          <w:rFonts w:ascii="Times New Roman" w:hAnsi="Times New Roman" w:cs="Times New Roman"/>
          <w:sz w:val="24"/>
          <w:szCs w:val="24"/>
        </w:rPr>
        <w:t>isen</w:t>
      </w:r>
      <w:r>
        <w:rPr>
          <w:rFonts w:ascii="Times New Roman" w:hAnsi="Times New Roman" w:cs="Times New Roman"/>
          <w:sz w:val="24"/>
          <w:szCs w:val="24"/>
        </w:rPr>
        <w:t xml:space="preserve"> in popularity </w:t>
      </w:r>
      <w:r w:rsidR="00254EF1">
        <w:rPr>
          <w:rFonts w:ascii="Times New Roman" w:hAnsi="Times New Roman" w:cs="Times New Roman"/>
          <w:sz w:val="24"/>
          <w:szCs w:val="24"/>
        </w:rPr>
        <w:t>in the last couple of years</w:t>
      </w:r>
      <w:r>
        <w:rPr>
          <w:rFonts w:ascii="Times New Roman" w:hAnsi="Times New Roman" w:cs="Times New Roman"/>
          <w:sz w:val="24"/>
          <w:szCs w:val="24"/>
        </w:rPr>
        <w:t xml:space="preserve">. </w:t>
      </w:r>
      <w:r w:rsidR="00EF7A2D">
        <w:rPr>
          <w:rFonts w:ascii="Times New Roman" w:hAnsi="Times New Roman" w:cs="Times New Roman"/>
          <w:sz w:val="24"/>
          <w:szCs w:val="24"/>
        </w:rPr>
        <w:t>The l</w:t>
      </w:r>
      <w:r w:rsidR="00927422">
        <w:rPr>
          <w:rFonts w:ascii="Times New Roman" w:hAnsi="Times New Roman" w:cs="Times New Roman"/>
          <w:sz w:val="24"/>
          <w:szCs w:val="24"/>
        </w:rPr>
        <w:t xml:space="preserve">iterature on the subject can be </w:t>
      </w:r>
      <w:r w:rsidR="00511F0D">
        <w:rPr>
          <w:rFonts w:ascii="Times New Roman" w:hAnsi="Times New Roman" w:cs="Times New Roman"/>
          <w:sz w:val="24"/>
          <w:szCs w:val="24"/>
        </w:rPr>
        <w:t xml:space="preserve">categorized in terms of time of </w:t>
      </w:r>
      <w:r w:rsidR="007C26F4">
        <w:rPr>
          <w:rFonts w:ascii="Times New Roman" w:hAnsi="Times New Roman" w:cs="Times New Roman"/>
          <w:sz w:val="24"/>
          <w:szCs w:val="24"/>
        </w:rPr>
        <w:t xml:space="preserve">study </w:t>
      </w:r>
      <w:r w:rsidR="00511F0D">
        <w:rPr>
          <w:rFonts w:ascii="Times New Roman" w:hAnsi="Times New Roman" w:cs="Times New Roman"/>
          <w:sz w:val="24"/>
          <w:szCs w:val="24"/>
        </w:rPr>
        <w:t xml:space="preserve">performance </w:t>
      </w:r>
      <w:r w:rsidR="00927422">
        <w:rPr>
          <w:rFonts w:ascii="Times New Roman" w:hAnsi="Times New Roman" w:cs="Times New Roman"/>
          <w:sz w:val="24"/>
          <w:szCs w:val="24"/>
        </w:rPr>
        <w:t xml:space="preserve">into four distinct periods: </w:t>
      </w:r>
      <w:r w:rsidR="0074047A">
        <w:rPr>
          <w:rFonts w:ascii="Times New Roman" w:hAnsi="Times New Roman" w:cs="Times New Roman"/>
          <w:sz w:val="24"/>
          <w:szCs w:val="24"/>
        </w:rPr>
        <w:t xml:space="preserve">(i) </w:t>
      </w:r>
      <w:r w:rsidR="0074047A">
        <w:rPr>
          <w:rFonts w:ascii="Times New Roman" w:hAnsi="Times New Roman" w:cs="Times New Roman"/>
          <w:i/>
          <w:sz w:val="24"/>
          <w:szCs w:val="24"/>
        </w:rPr>
        <w:t>B</w:t>
      </w:r>
      <w:r w:rsidR="00927422" w:rsidRPr="000D4FD3">
        <w:rPr>
          <w:rFonts w:ascii="Times New Roman" w:hAnsi="Times New Roman" w:cs="Times New Roman"/>
          <w:i/>
          <w:sz w:val="24"/>
          <w:szCs w:val="24"/>
        </w:rPr>
        <w:t xml:space="preserve">efore </w:t>
      </w:r>
      <w:r w:rsidR="00927422">
        <w:rPr>
          <w:rFonts w:ascii="Times New Roman" w:hAnsi="Times New Roman" w:cs="Times New Roman"/>
          <w:sz w:val="24"/>
          <w:szCs w:val="24"/>
        </w:rPr>
        <w:t xml:space="preserve">COVID, </w:t>
      </w:r>
      <w:r w:rsidR="0074047A">
        <w:rPr>
          <w:rFonts w:ascii="Times New Roman" w:hAnsi="Times New Roman" w:cs="Times New Roman"/>
          <w:sz w:val="24"/>
          <w:szCs w:val="24"/>
        </w:rPr>
        <w:t xml:space="preserve">(ii) </w:t>
      </w:r>
      <w:r w:rsidR="0074047A">
        <w:rPr>
          <w:rFonts w:ascii="Times New Roman" w:hAnsi="Times New Roman" w:cs="Times New Roman"/>
          <w:i/>
          <w:sz w:val="24"/>
          <w:szCs w:val="24"/>
        </w:rPr>
        <w:t xml:space="preserve">During </w:t>
      </w:r>
      <w:r w:rsidR="0074047A">
        <w:rPr>
          <w:rFonts w:ascii="Times New Roman" w:hAnsi="Times New Roman" w:cs="Times New Roman"/>
          <w:sz w:val="24"/>
          <w:szCs w:val="24"/>
        </w:rPr>
        <w:t>COVID</w:t>
      </w:r>
      <w:r w:rsidR="00927422">
        <w:rPr>
          <w:rFonts w:ascii="Times New Roman" w:hAnsi="Times New Roman" w:cs="Times New Roman"/>
          <w:sz w:val="24"/>
          <w:szCs w:val="24"/>
        </w:rPr>
        <w:t xml:space="preserve">, </w:t>
      </w:r>
      <w:r w:rsidR="0074047A">
        <w:rPr>
          <w:rFonts w:ascii="Times New Roman" w:hAnsi="Times New Roman" w:cs="Times New Roman"/>
          <w:sz w:val="24"/>
          <w:szCs w:val="24"/>
        </w:rPr>
        <w:t xml:space="preserve">(iii) </w:t>
      </w:r>
      <w:r w:rsidR="00927422">
        <w:rPr>
          <w:rFonts w:ascii="Times New Roman" w:hAnsi="Times New Roman" w:cs="Times New Roman"/>
          <w:sz w:val="24"/>
          <w:szCs w:val="24"/>
        </w:rPr>
        <w:t>after the worst of the pandemic</w:t>
      </w:r>
      <w:r w:rsidR="00DD3FF7">
        <w:rPr>
          <w:rFonts w:ascii="Times New Roman" w:hAnsi="Times New Roman" w:cs="Times New Roman"/>
          <w:sz w:val="24"/>
          <w:szCs w:val="24"/>
        </w:rPr>
        <w:t xml:space="preserve"> (or </w:t>
      </w:r>
      <w:r w:rsidR="00DD3FF7" w:rsidRPr="000D4FD3">
        <w:rPr>
          <w:rFonts w:ascii="Times New Roman" w:hAnsi="Times New Roman" w:cs="Times New Roman"/>
          <w:i/>
          <w:sz w:val="24"/>
          <w:szCs w:val="24"/>
        </w:rPr>
        <w:t>After</w:t>
      </w:r>
      <w:r w:rsidR="00DD3FF7">
        <w:rPr>
          <w:rFonts w:ascii="Times New Roman" w:hAnsi="Times New Roman" w:cs="Times New Roman"/>
          <w:sz w:val="24"/>
          <w:szCs w:val="24"/>
        </w:rPr>
        <w:t xml:space="preserve"> COVID</w:t>
      </w:r>
      <w:r w:rsidR="0074047A">
        <w:rPr>
          <w:rFonts w:ascii="Times New Roman" w:hAnsi="Times New Roman" w:cs="Times New Roman"/>
          <w:sz w:val="24"/>
          <w:szCs w:val="24"/>
        </w:rPr>
        <w:t>)</w:t>
      </w:r>
      <w:r w:rsidR="00927422">
        <w:rPr>
          <w:rFonts w:ascii="Times New Roman" w:hAnsi="Times New Roman" w:cs="Times New Roman"/>
          <w:sz w:val="24"/>
          <w:szCs w:val="24"/>
        </w:rPr>
        <w:t xml:space="preserve">, and </w:t>
      </w:r>
      <w:r w:rsidR="0074047A">
        <w:rPr>
          <w:rFonts w:ascii="Times New Roman" w:hAnsi="Times New Roman" w:cs="Times New Roman"/>
          <w:sz w:val="24"/>
          <w:szCs w:val="24"/>
        </w:rPr>
        <w:t>(iv)</w:t>
      </w:r>
      <w:r w:rsidR="00927422">
        <w:rPr>
          <w:rFonts w:ascii="Times New Roman" w:hAnsi="Times New Roman" w:cs="Times New Roman"/>
          <w:sz w:val="24"/>
          <w:szCs w:val="24"/>
        </w:rPr>
        <w:t xml:space="preserve"> fully </w:t>
      </w:r>
      <w:r w:rsidR="00927422" w:rsidRPr="000D4FD3">
        <w:rPr>
          <w:rFonts w:ascii="Times New Roman" w:hAnsi="Times New Roman" w:cs="Times New Roman"/>
          <w:i/>
          <w:sz w:val="24"/>
          <w:szCs w:val="24"/>
        </w:rPr>
        <w:t>post</w:t>
      </w:r>
      <w:r w:rsidR="00927422">
        <w:rPr>
          <w:rFonts w:ascii="Times New Roman" w:hAnsi="Times New Roman" w:cs="Times New Roman"/>
          <w:sz w:val="24"/>
          <w:szCs w:val="24"/>
        </w:rPr>
        <w:t>-COVID future</w:t>
      </w:r>
      <w:r w:rsidR="0074047A">
        <w:rPr>
          <w:rFonts w:ascii="Times New Roman" w:hAnsi="Times New Roman" w:cs="Times New Roman"/>
          <w:sz w:val="24"/>
          <w:szCs w:val="24"/>
        </w:rPr>
        <w:t xml:space="preserve">. </w:t>
      </w:r>
      <w:r w:rsidR="00927422">
        <w:rPr>
          <w:rFonts w:ascii="Times New Roman" w:hAnsi="Times New Roman" w:cs="Times New Roman"/>
          <w:sz w:val="24"/>
          <w:szCs w:val="24"/>
        </w:rPr>
        <w:t xml:space="preserve">However, to parallel the scope of the current study, our literature review will mainly focus on the first and third time periods: </w:t>
      </w:r>
      <w:r w:rsidR="00927422" w:rsidRPr="000D4FD3">
        <w:rPr>
          <w:rFonts w:ascii="Times New Roman" w:hAnsi="Times New Roman" w:cs="Times New Roman"/>
          <w:i/>
          <w:sz w:val="24"/>
          <w:szCs w:val="24"/>
        </w:rPr>
        <w:t>Before</w:t>
      </w:r>
      <w:r w:rsidR="00927422">
        <w:rPr>
          <w:rFonts w:ascii="Times New Roman" w:hAnsi="Times New Roman" w:cs="Times New Roman"/>
          <w:sz w:val="24"/>
          <w:szCs w:val="24"/>
        </w:rPr>
        <w:t xml:space="preserve"> COVID and </w:t>
      </w:r>
      <w:r w:rsidR="00927422" w:rsidRPr="000D4FD3">
        <w:rPr>
          <w:rFonts w:ascii="Times New Roman" w:hAnsi="Times New Roman" w:cs="Times New Roman"/>
          <w:i/>
          <w:sz w:val="24"/>
          <w:szCs w:val="24"/>
        </w:rPr>
        <w:t>After</w:t>
      </w:r>
      <w:r w:rsidR="00927422">
        <w:rPr>
          <w:rFonts w:ascii="Times New Roman" w:hAnsi="Times New Roman" w:cs="Times New Roman"/>
          <w:sz w:val="24"/>
          <w:szCs w:val="24"/>
        </w:rPr>
        <w:t xml:space="preserve"> COVID</w:t>
      </w:r>
      <w:r w:rsidR="009F62C3">
        <w:rPr>
          <w:rFonts w:ascii="Times New Roman" w:hAnsi="Times New Roman" w:cs="Times New Roman"/>
          <w:sz w:val="24"/>
          <w:szCs w:val="24"/>
        </w:rPr>
        <w:t xml:space="preserve">. </w:t>
      </w:r>
      <w:r w:rsidR="0074047A">
        <w:rPr>
          <w:rFonts w:ascii="Times New Roman" w:hAnsi="Times New Roman" w:cs="Times New Roman"/>
          <w:sz w:val="24"/>
          <w:szCs w:val="24"/>
        </w:rPr>
        <w:t>We do not consider the</w:t>
      </w:r>
      <w:r w:rsidR="0063085F">
        <w:rPr>
          <w:rFonts w:ascii="Times New Roman" w:hAnsi="Times New Roman" w:cs="Times New Roman"/>
          <w:sz w:val="24"/>
          <w:szCs w:val="24"/>
        </w:rPr>
        <w:t xml:space="preserve"> </w:t>
      </w:r>
      <w:r w:rsidR="0063085F">
        <w:rPr>
          <w:rFonts w:ascii="Times New Roman" w:hAnsi="Times New Roman" w:cs="Times New Roman"/>
          <w:i/>
          <w:sz w:val="24"/>
          <w:szCs w:val="24"/>
        </w:rPr>
        <w:t xml:space="preserve">During </w:t>
      </w:r>
      <w:r w:rsidR="0063085F">
        <w:rPr>
          <w:rFonts w:ascii="Times New Roman" w:hAnsi="Times New Roman" w:cs="Times New Roman"/>
          <w:sz w:val="24"/>
          <w:szCs w:val="24"/>
        </w:rPr>
        <w:t>COVID period because the</w:t>
      </w:r>
      <w:r w:rsidR="0074047A">
        <w:rPr>
          <w:rFonts w:ascii="Times New Roman" w:hAnsi="Times New Roman" w:cs="Times New Roman"/>
          <w:sz w:val="24"/>
          <w:szCs w:val="24"/>
        </w:rPr>
        <w:t xml:space="preserve"> changes</w:t>
      </w:r>
      <w:r w:rsidR="0063085F">
        <w:rPr>
          <w:rFonts w:ascii="Times New Roman" w:hAnsi="Times New Roman" w:cs="Times New Roman"/>
          <w:sz w:val="24"/>
          <w:szCs w:val="24"/>
        </w:rPr>
        <w:t xml:space="preserve"> in teleworking habits during this period were transient and</w:t>
      </w:r>
      <w:r w:rsidR="0074047A">
        <w:rPr>
          <w:rFonts w:ascii="Times New Roman" w:hAnsi="Times New Roman" w:cs="Times New Roman"/>
          <w:sz w:val="24"/>
          <w:szCs w:val="24"/>
        </w:rPr>
        <w:t xml:space="preserve"> are generally not </w:t>
      </w:r>
      <w:r w:rsidR="007A50CB">
        <w:rPr>
          <w:rFonts w:ascii="Times New Roman" w:hAnsi="Times New Roman" w:cs="Times New Roman"/>
          <w:sz w:val="24"/>
          <w:szCs w:val="24"/>
        </w:rPr>
        <w:t xml:space="preserve">likely to be </w:t>
      </w:r>
      <w:r w:rsidR="0074047A">
        <w:rPr>
          <w:rFonts w:ascii="Times New Roman" w:hAnsi="Times New Roman" w:cs="Times New Roman"/>
          <w:sz w:val="24"/>
          <w:szCs w:val="24"/>
        </w:rPr>
        <w:t xml:space="preserve">reflective of the actual employee’s </w:t>
      </w:r>
      <w:r w:rsidR="0074047A" w:rsidRPr="00167EAB">
        <w:rPr>
          <w:rFonts w:ascii="Times New Roman" w:hAnsi="Times New Roman" w:cs="Times New Roman"/>
          <w:sz w:val="24"/>
          <w:szCs w:val="24"/>
        </w:rPr>
        <w:t>choice</w:t>
      </w:r>
      <w:r w:rsidR="0074047A">
        <w:rPr>
          <w:rFonts w:ascii="Times New Roman" w:hAnsi="Times New Roman" w:cs="Times New Roman"/>
          <w:i/>
          <w:sz w:val="24"/>
          <w:szCs w:val="24"/>
        </w:rPr>
        <w:t>s</w:t>
      </w:r>
      <w:r w:rsidR="0074047A">
        <w:rPr>
          <w:rFonts w:ascii="Times New Roman" w:hAnsi="Times New Roman" w:cs="Times New Roman"/>
          <w:sz w:val="24"/>
          <w:szCs w:val="24"/>
        </w:rPr>
        <w:t>, but rather the impositions of their employer and the government</w:t>
      </w:r>
      <w:r w:rsidR="007A50CB">
        <w:rPr>
          <w:rFonts w:ascii="Times New Roman" w:hAnsi="Times New Roman" w:cs="Times New Roman"/>
          <w:sz w:val="24"/>
          <w:szCs w:val="24"/>
        </w:rPr>
        <w:t xml:space="preserve">. </w:t>
      </w:r>
      <w:r w:rsidR="007A50CB" w:rsidRPr="008B6D6C">
        <w:rPr>
          <w:rFonts w:ascii="Times New Roman" w:hAnsi="Times New Roman" w:cs="Times New Roman"/>
          <w:sz w:val="24"/>
          <w:szCs w:val="24"/>
        </w:rPr>
        <w:t xml:space="preserve">Indeed, </w:t>
      </w:r>
      <w:r w:rsidR="007A50CB" w:rsidRPr="001504FE">
        <w:rPr>
          <w:rFonts w:ascii="Times New Roman" w:hAnsi="Times New Roman" w:cs="Times New Roman"/>
          <w:sz w:val="24"/>
          <w:szCs w:val="24"/>
        </w:rPr>
        <w:t xml:space="preserve">Jain et al. (2022) provide empirical evidence that COVID-related lockdowns were like forced ‘experiments’ </w:t>
      </w:r>
      <w:r w:rsidR="007A50CB" w:rsidRPr="0000659F">
        <w:rPr>
          <w:rFonts w:ascii="Times New Roman" w:hAnsi="Times New Roman" w:cs="Times New Roman"/>
          <w:sz w:val="24"/>
          <w:szCs w:val="24"/>
        </w:rPr>
        <w:t xml:space="preserve">related to </w:t>
      </w:r>
      <w:r w:rsidR="00E2320B" w:rsidRPr="0000659F">
        <w:rPr>
          <w:rFonts w:ascii="Times New Roman" w:hAnsi="Times New Roman" w:cs="Times New Roman"/>
          <w:sz w:val="24"/>
          <w:szCs w:val="24"/>
        </w:rPr>
        <w:t>workplace location</w:t>
      </w:r>
      <w:r w:rsidR="00E2320B">
        <w:rPr>
          <w:rFonts w:ascii="Times New Roman" w:hAnsi="Times New Roman" w:cs="Times New Roman"/>
          <w:sz w:val="24"/>
          <w:szCs w:val="24"/>
        </w:rPr>
        <w:t xml:space="preserve"> (</w:t>
      </w:r>
      <w:r w:rsidR="007A50CB" w:rsidRPr="001504FE">
        <w:rPr>
          <w:rFonts w:ascii="Times New Roman" w:hAnsi="Times New Roman" w:cs="Times New Roman"/>
          <w:sz w:val="24"/>
          <w:szCs w:val="24"/>
        </w:rPr>
        <w:t>WPL</w:t>
      </w:r>
      <w:r w:rsidR="00E2320B">
        <w:rPr>
          <w:rFonts w:ascii="Times New Roman" w:hAnsi="Times New Roman" w:cs="Times New Roman"/>
          <w:sz w:val="24"/>
          <w:szCs w:val="24"/>
        </w:rPr>
        <w:t>)</w:t>
      </w:r>
      <w:r w:rsidR="007A50CB" w:rsidRPr="001504FE">
        <w:rPr>
          <w:rFonts w:ascii="Times New Roman" w:hAnsi="Times New Roman" w:cs="Times New Roman"/>
          <w:sz w:val="24"/>
          <w:szCs w:val="24"/>
        </w:rPr>
        <w:t xml:space="preserve"> choice that are not necessarily indicators of long-term work arrangement desires or actual behavior.</w:t>
      </w:r>
      <w:r w:rsidR="007A50CB">
        <w:rPr>
          <w:sz w:val="20"/>
          <w:szCs w:val="20"/>
        </w:rPr>
        <w:t xml:space="preserve"> </w:t>
      </w:r>
      <w:r w:rsidR="0074047A">
        <w:rPr>
          <w:rFonts w:ascii="Times New Roman" w:hAnsi="Times New Roman" w:cs="Times New Roman"/>
          <w:sz w:val="24"/>
          <w:szCs w:val="24"/>
        </w:rPr>
        <w:t>On the other hand, the teleworking adoption, frequency, and</w:t>
      </w:r>
      <w:r w:rsidR="000B5867">
        <w:rPr>
          <w:rFonts w:ascii="Times New Roman" w:hAnsi="Times New Roman" w:cs="Times New Roman"/>
          <w:sz w:val="24"/>
          <w:szCs w:val="24"/>
        </w:rPr>
        <w:t xml:space="preserve"> </w:t>
      </w:r>
      <w:r w:rsidR="0074047A">
        <w:rPr>
          <w:rFonts w:ascii="Times New Roman" w:hAnsi="Times New Roman" w:cs="Times New Roman"/>
          <w:sz w:val="24"/>
          <w:szCs w:val="24"/>
        </w:rPr>
        <w:t>location choices before and after the pandemic are indications of individuals’ actual preferences</w:t>
      </w:r>
      <w:r w:rsidR="0063085F">
        <w:rPr>
          <w:rFonts w:ascii="Times New Roman" w:hAnsi="Times New Roman" w:cs="Times New Roman"/>
          <w:sz w:val="24"/>
          <w:szCs w:val="24"/>
        </w:rPr>
        <w:t xml:space="preserve">. We also do not consider the fully </w:t>
      </w:r>
      <w:r w:rsidR="0063085F">
        <w:rPr>
          <w:rFonts w:ascii="Times New Roman" w:hAnsi="Times New Roman" w:cs="Times New Roman"/>
          <w:i/>
          <w:sz w:val="24"/>
          <w:szCs w:val="24"/>
        </w:rPr>
        <w:t>post-</w:t>
      </w:r>
      <w:r w:rsidR="0063085F">
        <w:rPr>
          <w:rFonts w:ascii="Times New Roman" w:hAnsi="Times New Roman" w:cs="Times New Roman"/>
          <w:sz w:val="24"/>
          <w:szCs w:val="24"/>
        </w:rPr>
        <w:t xml:space="preserve">COVID future because </w:t>
      </w:r>
      <w:r w:rsidR="00145730">
        <w:rPr>
          <w:rFonts w:ascii="Times New Roman" w:hAnsi="Times New Roman" w:cs="Times New Roman"/>
          <w:sz w:val="24"/>
          <w:szCs w:val="24"/>
        </w:rPr>
        <w:t xml:space="preserve">the current timeline is not ripe enough to distinguish this </w:t>
      </w:r>
      <w:r w:rsidR="00145730">
        <w:rPr>
          <w:rFonts w:ascii="Times New Roman" w:hAnsi="Times New Roman" w:cs="Times New Roman"/>
          <w:i/>
          <w:sz w:val="24"/>
          <w:szCs w:val="24"/>
        </w:rPr>
        <w:t>post-</w:t>
      </w:r>
      <w:r w:rsidR="00145730">
        <w:rPr>
          <w:rFonts w:ascii="Times New Roman" w:hAnsi="Times New Roman" w:cs="Times New Roman"/>
          <w:sz w:val="24"/>
          <w:szCs w:val="24"/>
        </w:rPr>
        <w:t>COVID</w:t>
      </w:r>
      <w:r w:rsidR="0063085F">
        <w:rPr>
          <w:rFonts w:ascii="Times New Roman" w:hAnsi="Times New Roman" w:cs="Times New Roman"/>
          <w:sz w:val="24"/>
          <w:szCs w:val="24"/>
        </w:rPr>
        <w:t xml:space="preserve"> </w:t>
      </w:r>
      <w:r w:rsidR="00145730">
        <w:rPr>
          <w:rFonts w:ascii="Times New Roman" w:hAnsi="Times New Roman" w:cs="Times New Roman"/>
          <w:sz w:val="24"/>
          <w:szCs w:val="24"/>
        </w:rPr>
        <w:t xml:space="preserve">future from the </w:t>
      </w:r>
      <w:r w:rsidR="00145730">
        <w:rPr>
          <w:rFonts w:ascii="Times New Roman" w:hAnsi="Times New Roman" w:cs="Times New Roman"/>
          <w:i/>
          <w:sz w:val="24"/>
          <w:szCs w:val="24"/>
        </w:rPr>
        <w:t xml:space="preserve">After </w:t>
      </w:r>
      <w:r w:rsidR="00145730">
        <w:rPr>
          <w:rFonts w:ascii="Times New Roman" w:hAnsi="Times New Roman" w:cs="Times New Roman"/>
          <w:sz w:val="24"/>
          <w:szCs w:val="24"/>
        </w:rPr>
        <w:t>COVID period.</w:t>
      </w:r>
      <w:r w:rsidR="0063085F">
        <w:rPr>
          <w:rFonts w:ascii="Times New Roman" w:hAnsi="Times New Roman" w:cs="Times New Roman"/>
          <w:sz w:val="24"/>
          <w:szCs w:val="24"/>
        </w:rPr>
        <w:t xml:space="preserve"> </w:t>
      </w:r>
    </w:p>
    <w:p w14:paraId="1EC90BA4" w14:textId="4B3CAF83" w:rsidR="009F62C3" w:rsidRDefault="009F62C3" w:rsidP="001504FE">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The next two</w:t>
      </w:r>
      <w:r w:rsidR="007A50CB">
        <w:rPr>
          <w:rFonts w:ascii="Times New Roman" w:hAnsi="Times New Roman" w:cs="Times New Roman"/>
          <w:sz w:val="24"/>
          <w:szCs w:val="24"/>
        </w:rPr>
        <w:t xml:space="preserve"> </w:t>
      </w:r>
      <w:r>
        <w:rPr>
          <w:rFonts w:ascii="Times New Roman" w:hAnsi="Times New Roman" w:cs="Times New Roman"/>
          <w:sz w:val="24"/>
          <w:szCs w:val="24"/>
        </w:rPr>
        <w:t xml:space="preserve">sections </w:t>
      </w:r>
      <w:r w:rsidR="007A50CB">
        <w:rPr>
          <w:rFonts w:ascii="Times New Roman" w:hAnsi="Times New Roman" w:cs="Times New Roman"/>
          <w:sz w:val="24"/>
          <w:szCs w:val="24"/>
        </w:rPr>
        <w:t xml:space="preserve">(Sections </w:t>
      </w:r>
      <w:r w:rsidR="00A03376">
        <w:rPr>
          <w:rFonts w:ascii="Times New Roman" w:hAnsi="Times New Roman" w:cs="Times New Roman"/>
          <w:sz w:val="24"/>
          <w:szCs w:val="24"/>
        </w:rPr>
        <w:t>2</w:t>
      </w:r>
      <w:r w:rsidR="007A50CB">
        <w:rPr>
          <w:rFonts w:ascii="Times New Roman" w:hAnsi="Times New Roman" w:cs="Times New Roman"/>
          <w:sz w:val="24"/>
          <w:szCs w:val="24"/>
        </w:rPr>
        <w:t xml:space="preserve">.1 and </w:t>
      </w:r>
      <w:r w:rsidR="00A03376">
        <w:rPr>
          <w:rFonts w:ascii="Times New Roman" w:hAnsi="Times New Roman" w:cs="Times New Roman"/>
          <w:sz w:val="24"/>
          <w:szCs w:val="24"/>
        </w:rPr>
        <w:t>2</w:t>
      </w:r>
      <w:r w:rsidR="007A50CB">
        <w:rPr>
          <w:rFonts w:ascii="Times New Roman" w:hAnsi="Times New Roman" w:cs="Times New Roman"/>
          <w:sz w:val="24"/>
          <w:szCs w:val="24"/>
        </w:rPr>
        <w:t xml:space="preserve">.2) provide a brief overview of </w:t>
      </w:r>
      <w:r>
        <w:rPr>
          <w:rFonts w:ascii="Times New Roman" w:hAnsi="Times New Roman" w:cs="Times New Roman"/>
          <w:sz w:val="24"/>
          <w:szCs w:val="24"/>
        </w:rPr>
        <w:t xml:space="preserve">the existing </w:t>
      </w:r>
      <w:r w:rsidR="00FC5545">
        <w:rPr>
          <w:rFonts w:ascii="Times New Roman" w:hAnsi="Times New Roman" w:cs="Times New Roman"/>
          <w:sz w:val="24"/>
          <w:szCs w:val="24"/>
        </w:rPr>
        <w:t>tele</w:t>
      </w:r>
      <w:r>
        <w:rPr>
          <w:rFonts w:ascii="Times New Roman" w:hAnsi="Times New Roman" w:cs="Times New Roman"/>
          <w:sz w:val="24"/>
          <w:szCs w:val="24"/>
        </w:rPr>
        <w:t>work literature from the</w:t>
      </w:r>
      <w:r w:rsidR="007A50CB">
        <w:rPr>
          <w:rFonts w:ascii="Times New Roman" w:hAnsi="Times New Roman" w:cs="Times New Roman"/>
          <w:sz w:val="24"/>
          <w:szCs w:val="24"/>
        </w:rPr>
        <w:t xml:space="preserve"> </w:t>
      </w:r>
      <w:r w:rsidR="007A50CB">
        <w:rPr>
          <w:rFonts w:ascii="Times New Roman" w:hAnsi="Times New Roman" w:cs="Times New Roman"/>
          <w:i/>
          <w:sz w:val="24"/>
          <w:szCs w:val="24"/>
        </w:rPr>
        <w:t>B</w:t>
      </w:r>
      <w:r w:rsidR="007A50CB" w:rsidRPr="000D4FD3">
        <w:rPr>
          <w:rFonts w:ascii="Times New Roman" w:hAnsi="Times New Roman" w:cs="Times New Roman"/>
          <w:i/>
          <w:sz w:val="24"/>
          <w:szCs w:val="24"/>
        </w:rPr>
        <w:t xml:space="preserve">efore </w:t>
      </w:r>
      <w:r w:rsidR="007A50CB">
        <w:rPr>
          <w:rFonts w:ascii="Times New Roman" w:hAnsi="Times New Roman" w:cs="Times New Roman"/>
          <w:sz w:val="24"/>
          <w:szCs w:val="24"/>
        </w:rPr>
        <w:t xml:space="preserve">COVID and </w:t>
      </w:r>
      <w:r w:rsidR="007A50CB" w:rsidRPr="000D4FD3">
        <w:rPr>
          <w:rFonts w:ascii="Times New Roman" w:hAnsi="Times New Roman" w:cs="Times New Roman"/>
          <w:i/>
          <w:sz w:val="24"/>
          <w:szCs w:val="24"/>
        </w:rPr>
        <w:t>After</w:t>
      </w:r>
      <w:r w:rsidR="007A50CB">
        <w:rPr>
          <w:rFonts w:ascii="Times New Roman" w:hAnsi="Times New Roman" w:cs="Times New Roman"/>
          <w:sz w:val="24"/>
          <w:szCs w:val="24"/>
        </w:rPr>
        <w:t xml:space="preserve"> COVID </w:t>
      </w:r>
      <w:r>
        <w:rPr>
          <w:rFonts w:ascii="Times New Roman" w:hAnsi="Times New Roman" w:cs="Times New Roman"/>
          <w:sz w:val="24"/>
          <w:szCs w:val="24"/>
        </w:rPr>
        <w:t xml:space="preserve">time periods, </w:t>
      </w:r>
      <w:r w:rsidR="007A50CB">
        <w:rPr>
          <w:rFonts w:ascii="Times New Roman" w:hAnsi="Times New Roman" w:cs="Times New Roman"/>
          <w:sz w:val="24"/>
          <w:szCs w:val="24"/>
        </w:rPr>
        <w:t xml:space="preserve">with a </w:t>
      </w:r>
      <w:r w:rsidR="00511F0D">
        <w:rPr>
          <w:rFonts w:ascii="Times New Roman" w:hAnsi="Times New Roman" w:cs="Times New Roman"/>
          <w:sz w:val="24"/>
          <w:szCs w:val="24"/>
        </w:rPr>
        <w:t xml:space="preserve">greater </w:t>
      </w:r>
      <w:r w:rsidR="007A50CB">
        <w:rPr>
          <w:rFonts w:ascii="Times New Roman" w:hAnsi="Times New Roman" w:cs="Times New Roman"/>
          <w:sz w:val="24"/>
          <w:szCs w:val="24"/>
        </w:rPr>
        <w:t xml:space="preserve">emphasis </w:t>
      </w:r>
      <w:r>
        <w:rPr>
          <w:rFonts w:ascii="Times New Roman" w:hAnsi="Times New Roman" w:cs="Times New Roman"/>
          <w:sz w:val="24"/>
          <w:szCs w:val="24"/>
        </w:rPr>
        <w:t xml:space="preserve">on the </w:t>
      </w:r>
      <w:r w:rsidR="007A50CB">
        <w:rPr>
          <w:rFonts w:ascii="Times New Roman" w:hAnsi="Times New Roman" w:cs="Times New Roman"/>
          <w:sz w:val="24"/>
          <w:szCs w:val="24"/>
        </w:rPr>
        <w:t>latter time period</w:t>
      </w:r>
      <w:r w:rsidR="00145730">
        <w:rPr>
          <w:rFonts w:ascii="Times New Roman" w:hAnsi="Times New Roman" w:cs="Times New Roman"/>
          <w:sz w:val="24"/>
          <w:szCs w:val="24"/>
        </w:rPr>
        <w:t>.</w:t>
      </w:r>
      <w:r w:rsidR="007A50CB">
        <w:rPr>
          <w:rFonts w:ascii="Times New Roman" w:hAnsi="Times New Roman" w:cs="Times New Roman"/>
          <w:sz w:val="24"/>
          <w:szCs w:val="24"/>
        </w:rPr>
        <w:t xml:space="preserve"> Section </w:t>
      </w:r>
      <w:r w:rsidR="00A03376">
        <w:rPr>
          <w:rFonts w:ascii="Times New Roman" w:hAnsi="Times New Roman" w:cs="Times New Roman"/>
          <w:sz w:val="24"/>
          <w:szCs w:val="24"/>
        </w:rPr>
        <w:t>2</w:t>
      </w:r>
      <w:r w:rsidR="007A50CB">
        <w:rPr>
          <w:rFonts w:ascii="Times New Roman" w:hAnsi="Times New Roman" w:cs="Times New Roman"/>
          <w:sz w:val="24"/>
          <w:szCs w:val="24"/>
        </w:rPr>
        <w:t xml:space="preserve">.3 discusses </w:t>
      </w:r>
      <w:r w:rsidR="00F262F5">
        <w:rPr>
          <w:rFonts w:ascii="Times New Roman" w:hAnsi="Times New Roman" w:cs="Times New Roman"/>
          <w:sz w:val="24"/>
          <w:szCs w:val="24"/>
        </w:rPr>
        <w:t xml:space="preserve">studies </w:t>
      </w:r>
      <w:r w:rsidR="007A50CB">
        <w:rPr>
          <w:rFonts w:ascii="Times New Roman" w:hAnsi="Times New Roman" w:cs="Times New Roman"/>
          <w:sz w:val="24"/>
          <w:szCs w:val="24"/>
        </w:rPr>
        <w:t xml:space="preserve">that </w:t>
      </w:r>
      <w:r w:rsidR="00F262F5">
        <w:rPr>
          <w:rFonts w:ascii="Times New Roman" w:hAnsi="Times New Roman" w:cs="Times New Roman"/>
          <w:sz w:val="24"/>
          <w:szCs w:val="24"/>
        </w:rPr>
        <w:t>involve a temporal aspect to employees’</w:t>
      </w:r>
      <w:r w:rsidR="000B5867">
        <w:rPr>
          <w:rFonts w:ascii="Times New Roman" w:hAnsi="Times New Roman" w:cs="Times New Roman"/>
          <w:sz w:val="24"/>
          <w:szCs w:val="24"/>
        </w:rPr>
        <w:t xml:space="preserve"> telework </w:t>
      </w:r>
      <w:r w:rsidR="00F262F5">
        <w:rPr>
          <w:rFonts w:ascii="Times New Roman" w:hAnsi="Times New Roman" w:cs="Times New Roman"/>
          <w:sz w:val="24"/>
          <w:szCs w:val="24"/>
        </w:rPr>
        <w:t>behavior and decisions.</w:t>
      </w:r>
      <w:r w:rsidR="005051E3">
        <w:rPr>
          <w:rStyle w:val="FootnoteReference"/>
          <w:rFonts w:ascii="Times New Roman" w:hAnsi="Times New Roman" w:cs="Times New Roman"/>
          <w:sz w:val="24"/>
          <w:szCs w:val="24"/>
        </w:rPr>
        <w:footnoteReference w:id="3"/>
      </w:r>
      <w:r w:rsidR="00F262F5">
        <w:rPr>
          <w:rFonts w:ascii="Times New Roman" w:hAnsi="Times New Roman" w:cs="Times New Roman"/>
          <w:sz w:val="24"/>
          <w:szCs w:val="24"/>
        </w:rPr>
        <w:t xml:space="preserve"> </w:t>
      </w:r>
    </w:p>
    <w:p w14:paraId="52AB6440" w14:textId="77777777" w:rsidR="009F62C3" w:rsidRDefault="009F62C3" w:rsidP="00C47D7C">
      <w:pPr>
        <w:spacing w:after="0" w:line="276" w:lineRule="auto"/>
        <w:rPr>
          <w:rFonts w:ascii="Times New Roman" w:hAnsi="Times New Roman" w:cs="Times New Roman"/>
          <w:sz w:val="24"/>
          <w:szCs w:val="24"/>
        </w:rPr>
      </w:pPr>
    </w:p>
    <w:p w14:paraId="568ABC32" w14:textId="735907A5" w:rsidR="009F62C3" w:rsidRPr="00194389" w:rsidRDefault="00A03376" w:rsidP="000D4FD3">
      <w:pPr>
        <w:pStyle w:val="Heading2"/>
        <w:rPr>
          <w:iCs/>
        </w:rPr>
      </w:pPr>
      <w:r w:rsidRPr="00194389">
        <w:rPr>
          <w:iCs/>
        </w:rPr>
        <w:t>2</w:t>
      </w:r>
      <w:r w:rsidR="0074047A" w:rsidRPr="00194389">
        <w:rPr>
          <w:iCs/>
        </w:rPr>
        <w:t>.1</w:t>
      </w:r>
      <w:r w:rsidR="009F62C3" w:rsidRPr="00194389">
        <w:rPr>
          <w:iCs/>
        </w:rPr>
        <w:t xml:space="preserve"> </w:t>
      </w:r>
      <w:r w:rsidR="00FC5545" w:rsidRPr="00194389">
        <w:rPr>
          <w:iCs/>
        </w:rPr>
        <w:t>Tele</w:t>
      </w:r>
      <w:r w:rsidR="00294720" w:rsidRPr="00194389">
        <w:rPr>
          <w:iCs/>
        </w:rPr>
        <w:t>w</w:t>
      </w:r>
      <w:r w:rsidR="009F62C3" w:rsidRPr="00194389">
        <w:rPr>
          <w:iCs/>
        </w:rPr>
        <w:t xml:space="preserve">ork </w:t>
      </w:r>
      <w:r w:rsidR="00437387" w:rsidRPr="00194389">
        <w:rPr>
          <w:iCs/>
        </w:rPr>
        <w:t>in the Before COVID Period</w:t>
      </w:r>
    </w:p>
    <w:p w14:paraId="4DE700FB" w14:textId="3509DEF1" w:rsidR="00254EF1" w:rsidRPr="00F34A5D" w:rsidRDefault="009F62C3" w:rsidP="005E763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There </w:t>
      </w:r>
      <w:r w:rsidR="0032653E">
        <w:rPr>
          <w:rFonts w:ascii="Times New Roman" w:hAnsi="Times New Roman" w:cs="Times New Roman"/>
          <w:sz w:val="24"/>
          <w:szCs w:val="24"/>
        </w:rPr>
        <w:t xml:space="preserve">has been </w:t>
      </w:r>
      <w:r w:rsidR="00D31D22">
        <w:rPr>
          <w:rFonts w:ascii="Times New Roman" w:hAnsi="Times New Roman" w:cs="Times New Roman"/>
          <w:sz w:val="24"/>
          <w:szCs w:val="24"/>
        </w:rPr>
        <w:t xml:space="preserve">considerable </w:t>
      </w:r>
      <w:r>
        <w:rPr>
          <w:rFonts w:ascii="Times New Roman" w:hAnsi="Times New Roman" w:cs="Times New Roman"/>
          <w:sz w:val="24"/>
          <w:szCs w:val="24"/>
        </w:rPr>
        <w:t>literature explor</w:t>
      </w:r>
      <w:r w:rsidR="0060444F">
        <w:rPr>
          <w:rFonts w:ascii="Times New Roman" w:hAnsi="Times New Roman" w:cs="Times New Roman"/>
          <w:sz w:val="24"/>
          <w:szCs w:val="24"/>
        </w:rPr>
        <w:t>ing</w:t>
      </w:r>
      <w:r>
        <w:rPr>
          <w:rFonts w:ascii="Times New Roman" w:hAnsi="Times New Roman" w:cs="Times New Roman"/>
          <w:sz w:val="24"/>
          <w:szCs w:val="24"/>
        </w:rPr>
        <w:t xml:space="preserve"> </w:t>
      </w:r>
      <w:r w:rsidR="00FC5545">
        <w:rPr>
          <w:rFonts w:ascii="Times New Roman" w:hAnsi="Times New Roman" w:cs="Times New Roman"/>
          <w:sz w:val="24"/>
          <w:szCs w:val="24"/>
        </w:rPr>
        <w:t>tele</w:t>
      </w:r>
      <w:r>
        <w:rPr>
          <w:rFonts w:ascii="Times New Roman" w:hAnsi="Times New Roman" w:cs="Times New Roman"/>
          <w:sz w:val="24"/>
          <w:szCs w:val="24"/>
        </w:rPr>
        <w:t xml:space="preserve">work habits prior to the pandemic. </w:t>
      </w:r>
      <w:r w:rsidR="00201AB3">
        <w:rPr>
          <w:rFonts w:ascii="Times New Roman" w:hAnsi="Times New Roman" w:cs="Times New Roman"/>
          <w:sz w:val="24"/>
          <w:szCs w:val="24"/>
        </w:rPr>
        <w:t xml:space="preserve">As discussed in Asmussen et al. (2023), most of these studies </w:t>
      </w:r>
      <w:r>
        <w:rPr>
          <w:rFonts w:ascii="Times New Roman" w:hAnsi="Times New Roman" w:cs="Times New Roman"/>
          <w:sz w:val="24"/>
          <w:szCs w:val="24"/>
        </w:rPr>
        <w:t xml:space="preserve">focus </w:t>
      </w:r>
      <w:r w:rsidR="00437387">
        <w:rPr>
          <w:rFonts w:ascii="Times New Roman" w:hAnsi="Times New Roman" w:cs="Times New Roman"/>
          <w:sz w:val="24"/>
          <w:szCs w:val="24"/>
        </w:rPr>
        <w:t xml:space="preserve">only </w:t>
      </w:r>
      <w:r>
        <w:rPr>
          <w:rFonts w:ascii="Times New Roman" w:hAnsi="Times New Roman" w:cs="Times New Roman"/>
          <w:sz w:val="24"/>
          <w:szCs w:val="24"/>
        </w:rPr>
        <w:t>on telework adoption (</w:t>
      </w:r>
      <w:r w:rsidR="0032653E">
        <w:rPr>
          <w:rFonts w:ascii="Times New Roman" w:hAnsi="Times New Roman" w:cs="Times New Roman"/>
          <w:sz w:val="24"/>
          <w:szCs w:val="24"/>
        </w:rPr>
        <w:t xml:space="preserve">that </w:t>
      </w:r>
      <w:r w:rsidR="0032653E">
        <w:rPr>
          <w:rFonts w:ascii="Times New Roman" w:hAnsi="Times New Roman" w:cs="Times New Roman"/>
          <w:sz w:val="24"/>
          <w:szCs w:val="24"/>
        </w:rPr>
        <w:lastRenderedPageBreak/>
        <w:t xml:space="preserve">is, whether an individual has a formal employer-sanctioned with-pay arrangement of working remotely one or more times over a specific time period such as a week or a month; </w:t>
      </w:r>
      <w:r>
        <w:rPr>
          <w:rFonts w:ascii="Times New Roman" w:hAnsi="Times New Roman" w:cs="Times New Roman"/>
          <w:sz w:val="24"/>
          <w:szCs w:val="24"/>
        </w:rPr>
        <w:t xml:space="preserve">see, for example, </w:t>
      </w:r>
      <w:r w:rsidR="0032653E">
        <w:rPr>
          <w:rFonts w:ascii="Times New Roman" w:hAnsi="Times New Roman" w:cs="Times New Roman"/>
          <w:sz w:val="24"/>
          <w:szCs w:val="24"/>
        </w:rPr>
        <w:t xml:space="preserve">Hotopp, 2002, Vana et al., 2008, Ettema, 2010, </w:t>
      </w:r>
      <w:r>
        <w:rPr>
          <w:rFonts w:ascii="Times New Roman" w:hAnsi="Times New Roman" w:cs="Times New Roman"/>
          <w:sz w:val="24"/>
          <w:szCs w:val="24"/>
        </w:rPr>
        <w:t xml:space="preserve">Lila and Anjaneyulu, 2013, </w:t>
      </w:r>
      <w:r w:rsidR="0032653E">
        <w:rPr>
          <w:rFonts w:ascii="Times New Roman" w:hAnsi="Times New Roman" w:cs="Times New Roman"/>
          <w:sz w:val="24"/>
          <w:szCs w:val="24"/>
        </w:rPr>
        <w:t xml:space="preserve">and </w:t>
      </w:r>
      <w:r>
        <w:rPr>
          <w:rFonts w:ascii="Times New Roman" w:hAnsi="Times New Roman" w:cs="Times New Roman"/>
          <w:sz w:val="24"/>
          <w:szCs w:val="24"/>
        </w:rPr>
        <w:t>Kazekami, 2020)</w:t>
      </w:r>
      <w:r w:rsidR="00201AB3">
        <w:rPr>
          <w:rFonts w:ascii="Times New Roman" w:hAnsi="Times New Roman" w:cs="Times New Roman"/>
          <w:sz w:val="24"/>
          <w:szCs w:val="24"/>
        </w:rPr>
        <w:t xml:space="preserve">. A </w:t>
      </w:r>
      <w:r w:rsidR="00437387">
        <w:rPr>
          <w:rFonts w:ascii="Times New Roman" w:hAnsi="Times New Roman" w:cs="Times New Roman"/>
          <w:sz w:val="24"/>
          <w:szCs w:val="24"/>
        </w:rPr>
        <w:t xml:space="preserve">more </w:t>
      </w:r>
      <w:r w:rsidR="00201AB3">
        <w:rPr>
          <w:rFonts w:ascii="Times New Roman" w:hAnsi="Times New Roman" w:cs="Times New Roman"/>
          <w:sz w:val="24"/>
          <w:szCs w:val="24"/>
        </w:rPr>
        <w:t xml:space="preserve">limited number of studies have also investigated </w:t>
      </w:r>
      <w:r>
        <w:rPr>
          <w:rFonts w:ascii="Times New Roman" w:hAnsi="Times New Roman" w:cs="Times New Roman"/>
          <w:sz w:val="24"/>
          <w:szCs w:val="24"/>
        </w:rPr>
        <w:t>the frequen</w:t>
      </w:r>
      <w:r w:rsidR="00201AB3">
        <w:rPr>
          <w:rFonts w:ascii="Times New Roman" w:hAnsi="Times New Roman" w:cs="Times New Roman"/>
          <w:sz w:val="24"/>
          <w:szCs w:val="24"/>
        </w:rPr>
        <w:t xml:space="preserve">cy </w:t>
      </w:r>
      <w:r w:rsidR="00051D5D">
        <w:rPr>
          <w:rFonts w:ascii="Times New Roman" w:hAnsi="Times New Roman" w:cs="Times New Roman"/>
          <w:sz w:val="24"/>
          <w:szCs w:val="24"/>
        </w:rPr>
        <w:t xml:space="preserve">of </w:t>
      </w:r>
      <w:r w:rsidR="00FC5545">
        <w:rPr>
          <w:rFonts w:ascii="Times New Roman" w:hAnsi="Times New Roman" w:cs="Times New Roman"/>
          <w:sz w:val="24"/>
          <w:szCs w:val="24"/>
        </w:rPr>
        <w:t>tele</w:t>
      </w:r>
      <w:r w:rsidR="00051D5D">
        <w:rPr>
          <w:rFonts w:ascii="Times New Roman" w:hAnsi="Times New Roman" w:cs="Times New Roman"/>
          <w:sz w:val="24"/>
          <w:szCs w:val="24"/>
        </w:rPr>
        <w:t xml:space="preserve">work (that is, the number of days of </w:t>
      </w:r>
      <w:r w:rsidR="00FC5545">
        <w:rPr>
          <w:rFonts w:ascii="Times New Roman" w:hAnsi="Times New Roman" w:cs="Times New Roman"/>
          <w:sz w:val="24"/>
          <w:szCs w:val="24"/>
        </w:rPr>
        <w:t>tele</w:t>
      </w:r>
      <w:r w:rsidR="00201AB3">
        <w:rPr>
          <w:rFonts w:ascii="Times New Roman" w:hAnsi="Times New Roman" w:cs="Times New Roman"/>
          <w:sz w:val="24"/>
          <w:szCs w:val="24"/>
        </w:rPr>
        <w:t xml:space="preserve">work </w:t>
      </w:r>
      <w:r w:rsidR="0032653E">
        <w:rPr>
          <w:rFonts w:ascii="Times New Roman" w:hAnsi="Times New Roman" w:cs="Times New Roman"/>
          <w:sz w:val="24"/>
          <w:szCs w:val="24"/>
        </w:rPr>
        <w:t xml:space="preserve">over a </w:t>
      </w:r>
      <w:r w:rsidR="00D13BD1">
        <w:rPr>
          <w:rFonts w:ascii="Times New Roman" w:hAnsi="Times New Roman" w:cs="Times New Roman"/>
          <w:sz w:val="24"/>
          <w:szCs w:val="24"/>
        </w:rPr>
        <w:t>specified</w:t>
      </w:r>
      <w:r w:rsidR="0032653E">
        <w:rPr>
          <w:rFonts w:ascii="Times New Roman" w:hAnsi="Times New Roman" w:cs="Times New Roman"/>
          <w:sz w:val="24"/>
          <w:szCs w:val="24"/>
        </w:rPr>
        <w:t xml:space="preserve"> time period</w:t>
      </w:r>
      <w:r w:rsidR="006A0FD7">
        <w:rPr>
          <w:rFonts w:ascii="Times New Roman" w:hAnsi="Times New Roman" w:cs="Times New Roman"/>
          <w:sz w:val="24"/>
          <w:szCs w:val="24"/>
        </w:rPr>
        <w:t xml:space="preserve">; </w:t>
      </w:r>
      <w:r w:rsidR="00437387">
        <w:rPr>
          <w:rFonts w:ascii="Times New Roman" w:hAnsi="Times New Roman" w:cs="Times New Roman"/>
          <w:sz w:val="24"/>
          <w:szCs w:val="24"/>
        </w:rPr>
        <w:t>see</w:t>
      </w:r>
      <w:r w:rsidR="006A0FD7">
        <w:rPr>
          <w:rFonts w:ascii="Times New Roman" w:hAnsi="Times New Roman" w:cs="Times New Roman"/>
          <w:sz w:val="24"/>
          <w:szCs w:val="24"/>
        </w:rPr>
        <w:t>, for example,</w:t>
      </w:r>
      <w:r w:rsidR="00437387">
        <w:rPr>
          <w:rFonts w:ascii="Times New Roman" w:hAnsi="Times New Roman" w:cs="Times New Roman"/>
          <w:sz w:val="24"/>
          <w:szCs w:val="24"/>
        </w:rPr>
        <w:t xml:space="preserve"> </w:t>
      </w:r>
      <w:r w:rsidRPr="009F62C3">
        <w:rPr>
          <w:rFonts w:ascii="Times New Roman" w:hAnsi="Times New Roman" w:cs="Times New Roman"/>
          <w:sz w:val="24"/>
          <w:szCs w:val="24"/>
        </w:rPr>
        <w:t xml:space="preserve">Popuri and Bhat, 2001, </w:t>
      </w:r>
      <w:r w:rsidR="00D13BD1" w:rsidRPr="009F62C3">
        <w:rPr>
          <w:rFonts w:ascii="Times New Roman" w:hAnsi="Times New Roman" w:cs="Times New Roman"/>
          <w:sz w:val="24"/>
          <w:szCs w:val="24"/>
        </w:rPr>
        <w:t>Webster-Trotman, 2010</w:t>
      </w:r>
      <w:r w:rsidR="00D13BD1">
        <w:rPr>
          <w:rFonts w:ascii="Times New Roman" w:hAnsi="Times New Roman" w:cs="Times New Roman"/>
          <w:sz w:val="24"/>
          <w:szCs w:val="24"/>
        </w:rPr>
        <w:t xml:space="preserve">, </w:t>
      </w:r>
      <w:r w:rsidRPr="009F62C3">
        <w:rPr>
          <w:rFonts w:ascii="Times New Roman" w:hAnsi="Times New Roman" w:cs="Times New Roman"/>
          <w:sz w:val="24"/>
          <w:szCs w:val="24"/>
        </w:rPr>
        <w:t xml:space="preserve">Singh et al., 2013, </w:t>
      </w:r>
      <w:r w:rsidR="00D13BD1" w:rsidRPr="008B6D6C">
        <w:rPr>
          <w:rFonts w:ascii="Times New Roman" w:hAnsi="Times New Roman" w:cs="Times New Roman"/>
          <w:sz w:val="24"/>
          <w:szCs w:val="24"/>
        </w:rPr>
        <w:t xml:space="preserve">and </w:t>
      </w:r>
      <w:r w:rsidR="00D13BD1" w:rsidRPr="001504FE">
        <w:rPr>
          <w:rFonts w:ascii="Times New Roman" w:hAnsi="Times New Roman" w:cs="Times New Roman"/>
          <w:sz w:val="24"/>
          <w:szCs w:val="24"/>
        </w:rPr>
        <w:t>e Silva</w:t>
      </w:r>
      <w:r w:rsidR="00D13BD1" w:rsidRPr="008B6D6C">
        <w:rPr>
          <w:rFonts w:ascii="Times New Roman" w:hAnsi="Times New Roman" w:cs="Times New Roman"/>
          <w:sz w:val="24"/>
          <w:szCs w:val="24"/>
        </w:rPr>
        <w:t xml:space="preserve"> </w:t>
      </w:r>
      <w:r w:rsidRPr="00DD49E4">
        <w:rPr>
          <w:rFonts w:ascii="Times New Roman" w:hAnsi="Times New Roman" w:cs="Times New Roman"/>
          <w:sz w:val="24"/>
          <w:szCs w:val="24"/>
        </w:rPr>
        <w:t>and M</w:t>
      </w:r>
      <w:r w:rsidR="00DD3FF7" w:rsidRPr="00DD49E4">
        <w:rPr>
          <w:rFonts w:ascii="Times New Roman" w:hAnsi="Times New Roman" w:cs="Times New Roman"/>
          <w:sz w:val="24"/>
          <w:szCs w:val="24"/>
        </w:rPr>
        <w:t>elo</w:t>
      </w:r>
      <w:r w:rsidRPr="00DD49E4">
        <w:rPr>
          <w:rFonts w:ascii="Times New Roman" w:hAnsi="Times New Roman" w:cs="Times New Roman"/>
          <w:sz w:val="24"/>
          <w:szCs w:val="24"/>
        </w:rPr>
        <w:t>, 2018</w:t>
      </w:r>
      <w:r>
        <w:rPr>
          <w:rFonts w:ascii="Times New Roman" w:hAnsi="Times New Roman" w:cs="Times New Roman"/>
          <w:sz w:val="24"/>
          <w:szCs w:val="24"/>
        </w:rPr>
        <w:t xml:space="preserve">). </w:t>
      </w:r>
      <w:r w:rsidR="0060444F">
        <w:rPr>
          <w:rFonts w:ascii="Times New Roman" w:hAnsi="Times New Roman" w:cs="Times New Roman"/>
          <w:sz w:val="24"/>
          <w:szCs w:val="24"/>
        </w:rPr>
        <w:t>Additionally, p</w:t>
      </w:r>
      <w:r w:rsidR="0060444F" w:rsidRPr="00C2372D">
        <w:rPr>
          <w:rFonts w:ascii="Times New Roman" w:hAnsi="Times New Roman" w:cs="Times New Roman"/>
          <w:sz w:val="24"/>
          <w:szCs w:val="24"/>
        </w:rPr>
        <w:t xml:space="preserve">rior to the pandemic, </w:t>
      </w:r>
      <w:r w:rsidR="00D13BD1">
        <w:rPr>
          <w:rFonts w:ascii="Times New Roman" w:hAnsi="Times New Roman" w:cs="Times New Roman"/>
          <w:sz w:val="24"/>
          <w:szCs w:val="24"/>
        </w:rPr>
        <w:t>al</w:t>
      </w:r>
      <w:r w:rsidR="0060444F" w:rsidRPr="00C2372D">
        <w:rPr>
          <w:rFonts w:ascii="Times New Roman" w:hAnsi="Times New Roman" w:cs="Times New Roman"/>
          <w:sz w:val="24"/>
          <w:szCs w:val="24"/>
        </w:rPr>
        <w:t xml:space="preserve">most </w:t>
      </w:r>
      <w:r w:rsidR="00D13BD1">
        <w:rPr>
          <w:rFonts w:ascii="Times New Roman" w:hAnsi="Times New Roman" w:cs="Times New Roman"/>
          <w:sz w:val="24"/>
          <w:szCs w:val="24"/>
        </w:rPr>
        <w:t xml:space="preserve">all </w:t>
      </w:r>
      <w:r w:rsidR="0060444F" w:rsidRPr="00C2372D">
        <w:rPr>
          <w:rFonts w:ascii="Times New Roman" w:hAnsi="Times New Roman" w:cs="Times New Roman"/>
          <w:sz w:val="24"/>
          <w:szCs w:val="24"/>
        </w:rPr>
        <w:t xml:space="preserve">studies </w:t>
      </w:r>
      <w:r w:rsidR="0060444F">
        <w:rPr>
          <w:rFonts w:ascii="Times New Roman" w:hAnsi="Times New Roman" w:cs="Times New Roman"/>
          <w:sz w:val="24"/>
          <w:szCs w:val="24"/>
        </w:rPr>
        <w:t>exploring</w:t>
      </w:r>
      <w:r w:rsidR="0060444F" w:rsidRPr="00C2372D">
        <w:rPr>
          <w:rFonts w:ascii="Times New Roman" w:hAnsi="Times New Roman" w:cs="Times New Roman"/>
          <w:sz w:val="24"/>
          <w:szCs w:val="24"/>
        </w:rPr>
        <w:t xml:space="preserve"> telework </w:t>
      </w:r>
      <w:r w:rsidR="00D13BD1">
        <w:rPr>
          <w:rFonts w:ascii="Times New Roman" w:hAnsi="Times New Roman" w:cs="Times New Roman"/>
          <w:sz w:val="24"/>
          <w:szCs w:val="24"/>
        </w:rPr>
        <w:t xml:space="preserve">did not consider the location of </w:t>
      </w:r>
      <w:r w:rsidR="00FC5545">
        <w:rPr>
          <w:rFonts w:ascii="Times New Roman" w:hAnsi="Times New Roman" w:cs="Times New Roman"/>
          <w:sz w:val="24"/>
          <w:szCs w:val="24"/>
        </w:rPr>
        <w:t>tele</w:t>
      </w:r>
      <w:r w:rsidR="00D13BD1">
        <w:rPr>
          <w:rFonts w:ascii="Times New Roman" w:hAnsi="Times New Roman" w:cs="Times New Roman"/>
          <w:sz w:val="24"/>
          <w:szCs w:val="24"/>
        </w:rPr>
        <w:t xml:space="preserve">work, or considered the individual’s home as the singular </w:t>
      </w:r>
      <w:r w:rsidR="00FC5545">
        <w:rPr>
          <w:rFonts w:ascii="Times New Roman" w:hAnsi="Times New Roman" w:cs="Times New Roman"/>
          <w:sz w:val="24"/>
          <w:szCs w:val="24"/>
        </w:rPr>
        <w:t>tele</w:t>
      </w:r>
      <w:r w:rsidR="00D13BD1">
        <w:rPr>
          <w:rFonts w:ascii="Times New Roman" w:hAnsi="Times New Roman" w:cs="Times New Roman"/>
          <w:sz w:val="24"/>
          <w:szCs w:val="24"/>
        </w:rPr>
        <w:t>work location</w:t>
      </w:r>
      <w:r w:rsidR="00D13BD1">
        <w:rPr>
          <w:rFonts w:ascii="Times New Roman" w:hAnsi="Times New Roman" w:cs="Times New Roman"/>
          <w:sz w:val="24"/>
        </w:rPr>
        <w:t>, except for a couple of studies by Lister and Harnish (2011) and Melo and de Abreu e Silva (2017) that consider</w:t>
      </w:r>
      <w:r w:rsidR="00437387">
        <w:rPr>
          <w:rFonts w:ascii="Times New Roman" w:hAnsi="Times New Roman" w:cs="Times New Roman"/>
          <w:sz w:val="24"/>
        </w:rPr>
        <w:t>ed</w:t>
      </w:r>
      <w:r w:rsidR="00D13BD1">
        <w:rPr>
          <w:rFonts w:ascii="Times New Roman" w:hAnsi="Times New Roman" w:cs="Times New Roman"/>
          <w:sz w:val="24"/>
        </w:rPr>
        <w:t xml:space="preserve"> an “other place” beyond home as a possible </w:t>
      </w:r>
      <w:r w:rsidR="00FC5545">
        <w:rPr>
          <w:rFonts w:ascii="Times New Roman" w:hAnsi="Times New Roman" w:cs="Times New Roman"/>
          <w:sz w:val="24"/>
        </w:rPr>
        <w:t>tele</w:t>
      </w:r>
      <w:r w:rsidR="00D13BD1">
        <w:rPr>
          <w:rFonts w:ascii="Times New Roman" w:hAnsi="Times New Roman" w:cs="Times New Roman"/>
          <w:sz w:val="24"/>
        </w:rPr>
        <w:t xml:space="preserve">work location. </w:t>
      </w:r>
      <w:r w:rsidR="0060444F">
        <w:rPr>
          <w:rFonts w:ascii="Times New Roman" w:hAnsi="Times New Roman" w:cs="Times New Roman"/>
          <w:sz w:val="24"/>
        </w:rPr>
        <w:t>Overall, the overarching conclusions from th</w:t>
      </w:r>
      <w:r w:rsidR="005051E3">
        <w:rPr>
          <w:rFonts w:ascii="Times New Roman" w:hAnsi="Times New Roman" w:cs="Times New Roman"/>
          <w:sz w:val="24"/>
        </w:rPr>
        <w:t xml:space="preserve">is body of literature </w:t>
      </w:r>
      <w:r w:rsidR="00A833B0">
        <w:rPr>
          <w:rFonts w:ascii="Times New Roman" w:hAnsi="Times New Roman" w:cs="Times New Roman"/>
          <w:sz w:val="24"/>
        </w:rPr>
        <w:t>are</w:t>
      </w:r>
      <w:r w:rsidR="005051E3">
        <w:rPr>
          <w:rFonts w:ascii="Times New Roman" w:hAnsi="Times New Roman" w:cs="Times New Roman"/>
          <w:sz w:val="24"/>
        </w:rPr>
        <w:t xml:space="preserve"> </w:t>
      </w:r>
      <w:r w:rsidR="0060444F">
        <w:rPr>
          <w:rFonts w:ascii="Times New Roman" w:hAnsi="Times New Roman" w:cs="Times New Roman"/>
          <w:sz w:val="24"/>
        </w:rPr>
        <w:t>that teleworkers</w:t>
      </w:r>
      <w:r w:rsidR="00D31D22">
        <w:rPr>
          <w:rFonts w:ascii="Times New Roman" w:hAnsi="Times New Roman" w:cs="Times New Roman"/>
          <w:sz w:val="24"/>
        </w:rPr>
        <w:t xml:space="preserve"> (and higher </w:t>
      </w:r>
      <w:r w:rsidR="0060444F">
        <w:rPr>
          <w:rFonts w:ascii="Times New Roman" w:hAnsi="Times New Roman" w:cs="Times New Roman"/>
          <w:sz w:val="24"/>
        </w:rPr>
        <w:t>frequency teleworkers</w:t>
      </w:r>
      <w:r w:rsidR="00D31D22">
        <w:rPr>
          <w:rFonts w:ascii="Times New Roman" w:hAnsi="Times New Roman" w:cs="Times New Roman"/>
          <w:sz w:val="24"/>
        </w:rPr>
        <w:t>)</w:t>
      </w:r>
      <w:r w:rsidR="0060444F">
        <w:rPr>
          <w:rFonts w:ascii="Times New Roman" w:hAnsi="Times New Roman" w:cs="Times New Roman"/>
          <w:sz w:val="24"/>
        </w:rPr>
        <w:t xml:space="preserve"> are </w:t>
      </w:r>
      <w:r w:rsidR="00D13BD1">
        <w:rPr>
          <w:rFonts w:ascii="Times New Roman" w:hAnsi="Times New Roman" w:cs="Times New Roman"/>
          <w:sz w:val="24"/>
        </w:rPr>
        <w:t xml:space="preserve">typically </w:t>
      </w:r>
      <w:r w:rsidR="001A7BAB">
        <w:rPr>
          <w:rFonts w:ascii="Times New Roman" w:hAnsi="Times New Roman" w:cs="Times New Roman"/>
          <w:sz w:val="24"/>
        </w:rPr>
        <w:t xml:space="preserve">young workers, </w:t>
      </w:r>
      <w:r w:rsidR="00201AB3">
        <w:rPr>
          <w:rFonts w:ascii="Times New Roman" w:hAnsi="Times New Roman" w:cs="Times New Roman"/>
          <w:sz w:val="24"/>
        </w:rPr>
        <w:t xml:space="preserve">holders of formal high education degrees, </w:t>
      </w:r>
      <w:r w:rsidR="001A7BAB">
        <w:rPr>
          <w:rFonts w:ascii="Times New Roman" w:hAnsi="Times New Roman" w:cs="Times New Roman"/>
          <w:sz w:val="24"/>
        </w:rPr>
        <w:t>technolog</w:t>
      </w:r>
      <w:r w:rsidR="00201AB3">
        <w:rPr>
          <w:rFonts w:ascii="Times New Roman" w:hAnsi="Times New Roman" w:cs="Times New Roman"/>
          <w:sz w:val="24"/>
        </w:rPr>
        <w:t>ically</w:t>
      </w:r>
      <w:r w:rsidR="001A7BAB">
        <w:rPr>
          <w:rFonts w:ascii="Times New Roman" w:hAnsi="Times New Roman" w:cs="Times New Roman"/>
          <w:sz w:val="24"/>
        </w:rPr>
        <w:t xml:space="preserve"> savvy</w:t>
      </w:r>
      <w:r w:rsidR="00201AB3">
        <w:rPr>
          <w:rFonts w:ascii="Times New Roman" w:hAnsi="Times New Roman" w:cs="Times New Roman"/>
          <w:sz w:val="24"/>
        </w:rPr>
        <w:t>,</w:t>
      </w:r>
      <w:r w:rsidR="001A7BAB">
        <w:rPr>
          <w:rFonts w:ascii="Times New Roman" w:hAnsi="Times New Roman" w:cs="Times New Roman"/>
          <w:sz w:val="24"/>
        </w:rPr>
        <w:t xml:space="preserve"> and belong to </w:t>
      </w:r>
      <w:r w:rsidR="00201AB3">
        <w:rPr>
          <w:rFonts w:ascii="Times New Roman" w:hAnsi="Times New Roman" w:cs="Times New Roman"/>
          <w:sz w:val="24"/>
        </w:rPr>
        <w:t xml:space="preserve">urban </w:t>
      </w:r>
      <w:r w:rsidR="001A7BAB">
        <w:rPr>
          <w:rFonts w:ascii="Times New Roman" w:hAnsi="Times New Roman" w:cs="Times New Roman"/>
          <w:sz w:val="24"/>
        </w:rPr>
        <w:t xml:space="preserve">households with </w:t>
      </w:r>
      <w:r w:rsidR="0060444F" w:rsidRPr="00837F9C">
        <w:rPr>
          <w:rFonts w:ascii="Times New Roman" w:hAnsi="Times New Roman" w:cs="Times New Roman"/>
          <w:sz w:val="24"/>
          <w:szCs w:val="24"/>
        </w:rPr>
        <w:t>high income</w:t>
      </w:r>
      <w:r w:rsidR="00201AB3">
        <w:rPr>
          <w:rFonts w:ascii="Times New Roman" w:hAnsi="Times New Roman" w:cs="Times New Roman"/>
          <w:sz w:val="24"/>
          <w:szCs w:val="24"/>
        </w:rPr>
        <w:t>.</w:t>
      </w:r>
    </w:p>
    <w:p w14:paraId="37E2ADFC" w14:textId="0E397916" w:rsidR="00254EF1" w:rsidRDefault="00254EF1" w:rsidP="00C47D7C">
      <w:pPr>
        <w:spacing w:after="0" w:line="276" w:lineRule="auto"/>
        <w:rPr>
          <w:rFonts w:ascii="Times New Roman" w:hAnsi="Times New Roman" w:cs="Times New Roman"/>
          <w:sz w:val="24"/>
          <w:szCs w:val="24"/>
        </w:rPr>
      </w:pPr>
    </w:p>
    <w:p w14:paraId="37CBB1FA" w14:textId="4ADBE19E" w:rsidR="00A75476" w:rsidRPr="00194389" w:rsidRDefault="00A03376">
      <w:pPr>
        <w:pStyle w:val="Heading2"/>
        <w:rPr>
          <w:iCs/>
        </w:rPr>
      </w:pPr>
      <w:r w:rsidRPr="00194389">
        <w:rPr>
          <w:iCs/>
        </w:rPr>
        <w:t>2</w:t>
      </w:r>
      <w:r w:rsidR="0074047A" w:rsidRPr="00194389">
        <w:rPr>
          <w:iCs/>
        </w:rPr>
        <w:t>.2</w:t>
      </w:r>
      <w:r w:rsidR="0060444F" w:rsidRPr="00194389">
        <w:rPr>
          <w:iCs/>
        </w:rPr>
        <w:t xml:space="preserve"> </w:t>
      </w:r>
      <w:r w:rsidR="00FC5545" w:rsidRPr="00194389">
        <w:rPr>
          <w:iCs/>
        </w:rPr>
        <w:t>Telework</w:t>
      </w:r>
      <w:r w:rsidR="0060444F" w:rsidRPr="00194389">
        <w:rPr>
          <w:iCs/>
        </w:rPr>
        <w:t xml:space="preserve"> </w:t>
      </w:r>
      <w:r w:rsidR="00437387" w:rsidRPr="00194389">
        <w:rPr>
          <w:iCs/>
        </w:rPr>
        <w:t>in the After COVID Period</w:t>
      </w:r>
    </w:p>
    <w:p w14:paraId="3B66AC05" w14:textId="29F225A0" w:rsidR="00AB18CB" w:rsidRPr="000D4FD3" w:rsidRDefault="00201AB3" w:rsidP="00167EAB">
      <w:pPr>
        <w:spacing w:after="0" w:line="276" w:lineRule="auto"/>
        <w:rPr>
          <w:rFonts w:ascii="Times New Roman" w:hAnsi="Times New Roman" w:cs="Times New Roman"/>
          <w:color w:val="000000" w:themeColor="text1"/>
          <w:sz w:val="24"/>
          <w:szCs w:val="24"/>
        </w:rPr>
      </w:pPr>
      <w:r>
        <w:rPr>
          <w:rFonts w:ascii="Times New Roman" w:hAnsi="Times New Roman" w:cs="Times New Roman"/>
          <w:sz w:val="24"/>
          <w:szCs w:val="24"/>
        </w:rPr>
        <w:t>The literature o</w:t>
      </w:r>
      <w:r w:rsidR="00437387">
        <w:rPr>
          <w:rFonts w:ascii="Times New Roman" w:hAnsi="Times New Roman" w:cs="Times New Roman"/>
          <w:sz w:val="24"/>
          <w:szCs w:val="24"/>
        </w:rPr>
        <w:t xml:space="preserve">n telework </w:t>
      </w:r>
      <w:r>
        <w:rPr>
          <w:rFonts w:ascii="Times New Roman" w:hAnsi="Times New Roman" w:cs="Times New Roman"/>
          <w:sz w:val="24"/>
          <w:szCs w:val="24"/>
        </w:rPr>
        <w:t>has witnessed an explosion since the outbreak of the pandemic, as</w:t>
      </w:r>
      <w:r w:rsidR="00437387">
        <w:rPr>
          <w:rFonts w:ascii="Times New Roman" w:hAnsi="Times New Roman" w:cs="Times New Roman"/>
          <w:sz w:val="24"/>
          <w:szCs w:val="24"/>
        </w:rPr>
        <w:t xml:space="preserve"> </w:t>
      </w:r>
      <w:r>
        <w:rPr>
          <w:rFonts w:ascii="Times New Roman" w:hAnsi="Times New Roman" w:cs="Times New Roman"/>
          <w:sz w:val="24"/>
          <w:szCs w:val="24"/>
        </w:rPr>
        <w:t xml:space="preserve">employers and employees </w:t>
      </w:r>
      <w:r w:rsidR="00437387">
        <w:rPr>
          <w:rFonts w:ascii="Times New Roman" w:hAnsi="Times New Roman" w:cs="Times New Roman"/>
          <w:sz w:val="24"/>
          <w:szCs w:val="24"/>
        </w:rPr>
        <w:t xml:space="preserve">increasingly consider </w:t>
      </w:r>
      <w:r w:rsidR="00FC5545">
        <w:rPr>
          <w:rFonts w:ascii="Times New Roman" w:hAnsi="Times New Roman" w:cs="Times New Roman"/>
          <w:sz w:val="24"/>
          <w:szCs w:val="24"/>
        </w:rPr>
        <w:t>tele</w:t>
      </w:r>
      <w:r>
        <w:rPr>
          <w:rFonts w:ascii="Times New Roman" w:hAnsi="Times New Roman" w:cs="Times New Roman"/>
          <w:sz w:val="24"/>
          <w:szCs w:val="24"/>
        </w:rPr>
        <w:t xml:space="preserve">work arrangements. </w:t>
      </w:r>
      <w:r w:rsidR="00437387">
        <w:rPr>
          <w:rFonts w:ascii="Times New Roman" w:hAnsi="Times New Roman" w:cs="Times New Roman"/>
          <w:sz w:val="24"/>
          <w:szCs w:val="24"/>
        </w:rPr>
        <w:t xml:space="preserve">Many of these studies, as in the </w:t>
      </w:r>
      <w:r w:rsidR="00437387" w:rsidRPr="001504FE">
        <w:rPr>
          <w:rFonts w:ascii="Times New Roman" w:hAnsi="Times New Roman" w:cs="Times New Roman"/>
          <w:i/>
          <w:sz w:val="24"/>
          <w:szCs w:val="24"/>
        </w:rPr>
        <w:t>Before</w:t>
      </w:r>
      <w:r w:rsidR="00DD5EAC">
        <w:rPr>
          <w:rFonts w:ascii="Times New Roman" w:hAnsi="Times New Roman" w:cs="Times New Roman"/>
          <w:sz w:val="24"/>
          <w:szCs w:val="24"/>
        </w:rPr>
        <w:t xml:space="preserve"> </w:t>
      </w:r>
      <w:r w:rsidR="00437387">
        <w:rPr>
          <w:rFonts w:ascii="Times New Roman" w:hAnsi="Times New Roman" w:cs="Times New Roman"/>
          <w:sz w:val="24"/>
          <w:szCs w:val="24"/>
        </w:rPr>
        <w:t>COVID period</w:t>
      </w:r>
      <w:r w:rsidR="00617A45">
        <w:rPr>
          <w:rFonts w:ascii="Times New Roman" w:hAnsi="Times New Roman" w:cs="Times New Roman"/>
          <w:sz w:val="24"/>
          <w:szCs w:val="24"/>
        </w:rPr>
        <w:t>,</w:t>
      </w:r>
      <w:r w:rsidR="00437387">
        <w:rPr>
          <w:rFonts w:ascii="Times New Roman" w:hAnsi="Times New Roman" w:cs="Times New Roman"/>
          <w:sz w:val="24"/>
          <w:szCs w:val="24"/>
        </w:rPr>
        <w:t xml:space="preserve"> </w:t>
      </w:r>
      <w:r w:rsidR="001B0C44" w:rsidRPr="000D4FD3">
        <w:rPr>
          <w:rFonts w:ascii="Times New Roman" w:hAnsi="Times New Roman" w:cs="Times New Roman"/>
          <w:color w:val="000000" w:themeColor="text1"/>
          <w:sz w:val="24"/>
          <w:szCs w:val="24"/>
        </w:rPr>
        <w:t>ha</w:t>
      </w:r>
      <w:r w:rsidR="00617A45">
        <w:rPr>
          <w:rFonts w:ascii="Times New Roman" w:hAnsi="Times New Roman" w:cs="Times New Roman"/>
          <w:color w:val="000000" w:themeColor="text1"/>
          <w:sz w:val="24"/>
          <w:szCs w:val="24"/>
        </w:rPr>
        <w:t>ve</w:t>
      </w:r>
      <w:r w:rsidR="001B0C44" w:rsidRPr="000D4FD3">
        <w:rPr>
          <w:rFonts w:ascii="Times New Roman" w:hAnsi="Times New Roman" w:cs="Times New Roman"/>
          <w:color w:val="000000" w:themeColor="text1"/>
          <w:sz w:val="24"/>
          <w:szCs w:val="24"/>
        </w:rPr>
        <w:t xml:space="preserve"> </w:t>
      </w:r>
      <w:r w:rsidR="00437387">
        <w:rPr>
          <w:rFonts w:ascii="Times New Roman" w:hAnsi="Times New Roman" w:cs="Times New Roman"/>
          <w:color w:val="000000" w:themeColor="text1"/>
          <w:sz w:val="24"/>
          <w:szCs w:val="24"/>
        </w:rPr>
        <w:t xml:space="preserve">examined only </w:t>
      </w:r>
      <w:r w:rsidR="001B0C44" w:rsidRPr="000D4FD3">
        <w:rPr>
          <w:rFonts w:ascii="Times New Roman" w:hAnsi="Times New Roman" w:cs="Times New Roman"/>
          <w:color w:val="000000" w:themeColor="text1"/>
          <w:sz w:val="24"/>
          <w:szCs w:val="24"/>
        </w:rPr>
        <w:t>teleworking adoption</w:t>
      </w:r>
      <w:r w:rsidR="00617A45">
        <w:rPr>
          <w:rFonts w:ascii="Times New Roman" w:hAnsi="Times New Roman" w:cs="Times New Roman"/>
          <w:color w:val="000000" w:themeColor="text1"/>
          <w:sz w:val="24"/>
          <w:szCs w:val="24"/>
        </w:rPr>
        <w:t xml:space="preserve">, either in the form of actual telework adoption (using revealed preference data) or the preference for teleworking </w:t>
      </w:r>
      <w:r w:rsidR="005229D8" w:rsidRPr="000D4FD3">
        <w:rPr>
          <w:rFonts w:ascii="Times New Roman" w:hAnsi="Times New Roman" w:cs="Times New Roman"/>
          <w:color w:val="000000" w:themeColor="text1"/>
          <w:sz w:val="24"/>
          <w:szCs w:val="24"/>
        </w:rPr>
        <w:t>(</w:t>
      </w:r>
      <w:r w:rsidR="00617A45">
        <w:rPr>
          <w:rFonts w:ascii="Times New Roman" w:hAnsi="Times New Roman" w:cs="Times New Roman"/>
          <w:color w:val="000000" w:themeColor="text1"/>
          <w:sz w:val="24"/>
          <w:szCs w:val="24"/>
        </w:rPr>
        <w:t>using stated preference data). E</w:t>
      </w:r>
      <w:r w:rsidR="001B0C44" w:rsidRPr="000D4FD3">
        <w:rPr>
          <w:rFonts w:ascii="Times New Roman" w:hAnsi="Times New Roman" w:cs="Times New Roman"/>
          <w:color w:val="000000" w:themeColor="text1"/>
          <w:sz w:val="24"/>
          <w:szCs w:val="24"/>
        </w:rPr>
        <w:t>xample</w:t>
      </w:r>
      <w:r w:rsidR="00617A45">
        <w:rPr>
          <w:rFonts w:ascii="Times New Roman" w:hAnsi="Times New Roman" w:cs="Times New Roman"/>
          <w:color w:val="000000" w:themeColor="text1"/>
          <w:sz w:val="24"/>
          <w:szCs w:val="24"/>
        </w:rPr>
        <w:t>s of such studies, which typically are based on binary choice models of telework adoption, include</w:t>
      </w:r>
      <w:r w:rsidR="001B0C44" w:rsidRPr="000D4FD3">
        <w:rPr>
          <w:rFonts w:ascii="Times New Roman" w:hAnsi="Times New Roman" w:cs="Times New Roman"/>
          <w:color w:val="000000" w:themeColor="text1"/>
          <w:sz w:val="24"/>
          <w:szCs w:val="24"/>
        </w:rPr>
        <w:t xml:space="preserve"> </w:t>
      </w:r>
      <w:r w:rsidR="005229D8" w:rsidRPr="000D4FD3">
        <w:rPr>
          <w:rFonts w:ascii="Times New Roman" w:hAnsi="Times New Roman" w:cs="Times New Roman"/>
          <w:color w:val="000000" w:themeColor="text1"/>
          <w:sz w:val="24"/>
          <w:szCs w:val="24"/>
        </w:rPr>
        <w:t>Nguyen, 202</w:t>
      </w:r>
      <w:r w:rsidR="00617A45">
        <w:rPr>
          <w:rFonts w:ascii="Times New Roman" w:hAnsi="Times New Roman" w:cs="Times New Roman"/>
          <w:color w:val="000000" w:themeColor="text1"/>
          <w:sz w:val="24"/>
          <w:szCs w:val="24"/>
        </w:rPr>
        <w:t>1</w:t>
      </w:r>
      <w:r w:rsidR="00511F0D">
        <w:rPr>
          <w:rFonts w:ascii="Times New Roman" w:hAnsi="Times New Roman" w:cs="Times New Roman"/>
          <w:color w:val="000000" w:themeColor="text1"/>
          <w:sz w:val="24"/>
          <w:szCs w:val="24"/>
        </w:rPr>
        <w:t xml:space="preserve">, </w:t>
      </w:r>
      <w:r w:rsidR="005229D8" w:rsidRPr="000D4FD3">
        <w:rPr>
          <w:rFonts w:ascii="Times New Roman" w:hAnsi="Times New Roman" w:cs="Times New Roman"/>
          <w:color w:val="000000" w:themeColor="text1"/>
          <w:sz w:val="24"/>
          <w:szCs w:val="24"/>
        </w:rPr>
        <w:t>Danalet et al., 202</w:t>
      </w:r>
      <w:r w:rsidR="00617A45">
        <w:rPr>
          <w:rFonts w:ascii="Times New Roman" w:hAnsi="Times New Roman" w:cs="Times New Roman"/>
          <w:color w:val="000000" w:themeColor="text1"/>
          <w:sz w:val="24"/>
          <w:szCs w:val="24"/>
        </w:rPr>
        <w:t xml:space="preserve">1, </w:t>
      </w:r>
      <w:r w:rsidR="005229D8" w:rsidRPr="000D4FD3">
        <w:rPr>
          <w:rFonts w:ascii="Times New Roman" w:hAnsi="Times New Roman" w:cs="Times New Roman"/>
          <w:color w:val="000000" w:themeColor="text1"/>
          <w:sz w:val="24"/>
          <w:szCs w:val="24"/>
        </w:rPr>
        <w:t>Appel-Meulenbroek et al., 2022</w:t>
      </w:r>
      <w:r w:rsidR="00617A45">
        <w:rPr>
          <w:rFonts w:ascii="Times New Roman" w:hAnsi="Times New Roman" w:cs="Times New Roman"/>
          <w:color w:val="000000" w:themeColor="text1"/>
          <w:sz w:val="24"/>
          <w:szCs w:val="24"/>
        </w:rPr>
        <w:t xml:space="preserve">, and </w:t>
      </w:r>
      <w:r w:rsidR="001B0C44" w:rsidRPr="000D4FD3">
        <w:rPr>
          <w:rFonts w:ascii="Times New Roman" w:hAnsi="Times New Roman" w:cs="Times New Roman"/>
          <w:color w:val="000000" w:themeColor="text1"/>
          <w:sz w:val="24"/>
          <w:szCs w:val="24"/>
        </w:rPr>
        <w:t>Bick et al., 2022.</w:t>
      </w:r>
      <w:r w:rsidR="00AB18CB" w:rsidRPr="000D4FD3">
        <w:rPr>
          <w:rFonts w:ascii="Times New Roman" w:hAnsi="Times New Roman" w:cs="Times New Roman"/>
          <w:color w:val="000000" w:themeColor="text1"/>
          <w:sz w:val="24"/>
          <w:szCs w:val="24"/>
        </w:rPr>
        <w:t xml:space="preserve"> Beyond adoption, there is </w:t>
      </w:r>
      <w:r w:rsidR="00437387">
        <w:rPr>
          <w:rFonts w:ascii="Times New Roman" w:hAnsi="Times New Roman" w:cs="Times New Roman"/>
          <w:color w:val="000000" w:themeColor="text1"/>
          <w:sz w:val="24"/>
          <w:szCs w:val="24"/>
        </w:rPr>
        <w:t xml:space="preserve">now also </w:t>
      </w:r>
      <w:r w:rsidR="00AB18CB" w:rsidRPr="000D4FD3">
        <w:rPr>
          <w:rFonts w:ascii="Times New Roman" w:hAnsi="Times New Roman" w:cs="Times New Roman"/>
          <w:color w:val="000000" w:themeColor="text1"/>
          <w:sz w:val="24"/>
          <w:szCs w:val="24"/>
        </w:rPr>
        <w:t>a growing body of literature that focuses on how frequently employees telework</w:t>
      </w:r>
      <w:r w:rsidR="00617A45">
        <w:rPr>
          <w:rFonts w:ascii="Times New Roman" w:hAnsi="Times New Roman" w:cs="Times New Roman"/>
          <w:color w:val="000000" w:themeColor="text1"/>
          <w:sz w:val="24"/>
          <w:szCs w:val="24"/>
        </w:rPr>
        <w:t xml:space="preserve"> (or would like to telework)</w:t>
      </w:r>
      <w:r w:rsidR="00AB18CB" w:rsidRPr="000D4FD3">
        <w:rPr>
          <w:rFonts w:ascii="Times New Roman" w:hAnsi="Times New Roman" w:cs="Times New Roman"/>
          <w:color w:val="000000" w:themeColor="text1"/>
          <w:sz w:val="24"/>
          <w:szCs w:val="24"/>
        </w:rPr>
        <w:t xml:space="preserve">, </w:t>
      </w:r>
      <w:r w:rsidR="00437387">
        <w:rPr>
          <w:rFonts w:ascii="Times New Roman" w:hAnsi="Times New Roman" w:cs="Times New Roman"/>
          <w:color w:val="000000" w:themeColor="text1"/>
          <w:sz w:val="24"/>
          <w:szCs w:val="24"/>
        </w:rPr>
        <w:t xml:space="preserve">especially because of the high prevalence of work </w:t>
      </w:r>
      <w:r w:rsidR="00AB18CB" w:rsidRPr="000D4FD3">
        <w:rPr>
          <w:rFonts w:ascii="Times New Roman" w:hAnsi="Times New Roman" w:cs="Times New Roman"/>
          <w:color w:val="000000" w:themeColor="text1"/>
          <w:sz w:val="24"/>
          <w:szCs w:val="24"/>
        </w:rPr>
        <w:t xml:space="preserve">hybridization </w:t>
      </w:r>
      <w:r w:rsidR="00406B94">
        <w:rPr>
          <w:rFonts w:ascii="Times New Roman" w:hAnsi="Times New Roman" w:cs="Times New Roman"/>
          <w:color w:val="000000" w:themeColor="text1"/>
          <w:sz w:val="24"/>
          <w:szCs w:val="24"/>
        </w:rPr>
        <w:t>(that is, working remotely as well as from the regular work place</w:t>
      </w:r>
      <w:r w:rsidR="00617A45">
        <w:rPr>
          <w:rFonts w:ascii="Times New Roman" w:hAnsi="Times New Roman" w:cs="Times New Roman"/>
          <w:color w:val="000000" w:themeColor="text1"/>
          <w:sz w:val="24"/>
          <w:szCs w:val="24"/>
        </w:rPr>
        <w:t xml:space="preserve">). Examples of such studies include </w:t>
      </w:r>
      <w:r w:rsidR="005229D8" w:rsidRPr="000D4FD3">
        <w:rPr>
          <w:rFonts w:ascii="Times New Roman" w:hAnsi="Times New Roman" w:cs="Times New Roman"/>
          <w:color w:val="000000" w:themeColor="text1"/>
          <w:sz w:val="24"/>
          <w:szCs w:val="24"/>
        </w:rPr>
        <w:t>Zhang et al., 2020</w:t>
      </w:r>
      <w:r w:rsidR="00511F0D">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Hensher et al., 2021</w:t>
      </w:r>
      <w:r w:rsidR="00511F0D">
        <w:rPr>
          <w:rFonts w:ascii="Times New Roman" w:hAnsi="Times New Roman" w:cs="Times New Roman"/>
          <w:color w:val="000000" w:themeColor="text1"/>
          <w:sz w:val="24"/>
          <w:szCs w:val="24"/>
        </w:rPr>
        <w:t xml:space="preserve">, </w:t>
      </w:r>
      <w:r w:rsidR="005229D8" w:rsidRPr="000D4FD3">
        <w:rPr>
          <w:rFonts w:ascii="Times New Roman" w:hAnsi="Times New Roman" w:cs="Times New Roman"/>
          <w:color w:val="000000" w:themeColor="text1"/>
          <w:sz w:val="24"/>
          <w:szCs w:val="24"/>
        </w:rPr>
        <w:t>Mohammadi et al., 2022</w:t>
      </w:r>
      <w:r w:rsidR="00511F0D">
        <w:rPr>
          <w:rFonts w:ascii="Times New Roman" w:hAnsi="Times New Roman" w:cs="Times New Roman"/>
          <w:color w:val="000000" w:themeColor="text1"/>
          <w:sz w:val="24"/>
          <w:szCs w:val="24"/>
        </w:rPr>
        <w:t xml:space="preserve">, </w:t>
      </w:r>
      <w:r w:rsidR="00406B94" w:rsidRPr="000D4FD3">
        <w:rPr>
          <w:rFonts w:ascii="Times New Roman" w:hAnsi="Times New Roman" w:cs="Times New Roman"/>
          <w:color w:val="000000" w:themeColor="text1"/>
          <w:sz w:val="24"/>
          <w:szCs w:val="24"/>
        </w:rPr>
        <w:t>Yamashita et al., 2022</w:t>
      </w:r>
      <w:r w:rsidR="00511F0D">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Ton et al., 2022</w:t>
      </w:r>
      <w:r w:rsidR="00511F0D">
        <w:rPr>
          <w:rFonts w:ascii="Times New Roman" w:hAnsi="Times New Roman" w:cs="Times New Roman"/>
          <w:color w:val="000000" w:themeColor="text1"/>
          <w:sz w:val="24"/>
          <w:szCs w:val="24"/>
        </w:rPr>
        <w:t>,</w:t>
      </w:r>
      <w:r w:rsidR="00406B94">
        <w:rPr>
          <w:rFonts w:ascii="Times New Roman" w:hAnsi="Times New Roman" w:cs="Times New Roman"/>
          <w:color w:val="000000" w:themeColor="text1"/>
          <w:sz w:val="24"/>
          <w:szCs w:val="24"/>
        </w:rPr>
        <w:t xml:space="preserve"> </w:t>
      </w:r>
      <w:r w:rsidR="00511F0D">
        <w:rPr>
          <w:rFonts w:ascii="Times New Roman" w:hAnsi="Times New Roman" w:cs="Times New Roman"/>
          <w:color w:val="000000" w:themeColor="text1"/>
          <w:sz w:val="24"/>
          <w:szCs w:val="24"/>
        </w:rPr>
        <w:t xml:space="preserve">and </w:t>
      </w:r>
      <w:r w:rsidR="00406B94">
        <w:rPr>
          <w:rFonts w:ascii="Times New Roman" w:hAnsi="Times New Roman" w:cs="Times New Roman"/>
          <w:color w:val="000000" w:themeColor="text1"/>
          <w:sz w:val="24"/>
          <w:szCs w:val="24"/>
        </w:rPr>
        <w:t>Asmussen et al., 2023</w:t>
      </w:r>
      <w:r w:rsidR="00AB18CB" w:rsidRPr="000D4FD3">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 xml:space="preserve">These studies adopt a variety of </w:t>
      </w:r>
      <w:r w:rsidR="008807EF" w:rsidRPr="000D4FD3">
        <w:rPr>
          <w:rFonts w:ascii="Times New Roman" w:hAnsi="Times New Roman" w:cs="Times New Roman"/>
          <w:color w:val="000000" w:themeColor="text1"/>
          <w:sz w:val="24"/>
          <w:szCs w:val="24"/>
        </w:rPr>
        <w:t xml:space="preserve">methodological frameworks </w:t>
      </w:r>
      <w:r w:rsidR="00406B94">
        <w:rPr>
          <w:rFonts w:ascii="Times New Roman" w:hAnsi="Times New Roman" w:cs="Times New Roman"/>
          <w:color w:val="000000" w:themeColor="text1"/>
          <w:sz w:val="24"/>
          <w:szCs w:val="24"/>
        </w:rPr>
        <w:t xml:space="preserve">to relate demographic and work-related variables to telework frequency, </w:t>
      </w:r>
      <w:r w:rsidR="00511F0D">
        <w:rPr>
          <w:rFonts w:ascii="Times New Roman" w:hAnsi="Times New Roman" w:cs="Times New Roman"/>
          <w:color w:val="000000" w:themeColor="text1"/>
          <w:sz w:val="24"/>
          <w:szCs w:val="24"/>
        </w:rPr>
        <w:t xml:space="preserve">ranging from </w:t>
      </w:r>
      <w:r w:rsidR="008807EF" w:rsidRPr="000D4FD3">
        <w:rPr>
          <w:rFonts w:ascii="Times New Roman" w:hAnsi="Times New Roman" w:cs="Times New Roman"/>
          <w:color w:val="000000" w:themeColor="text1"/>
          <w:sz w:val="24"/>
          <w:szCs w:val="24"/>
        </w:rPr>
        <w:t>simple</w:t>
      </w:r>
      <w:r w:rsidR="00AB18CB" w:rsidRPr="000D4FD3">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descriptive</w:t>
      </w:r>
      <w:r w:rsidR="00AB18CB" w:rsidRPr="000D4FD3">
        <w:rPr>
          <w:rFonts w:ascii="Times New Roman" w:hAnsi="Times New Roman" w:cs="Times New Roman"/>
          <w:color w:val="000000" w:themeColor="text1"/>
          <w:sz w:val="24"/>
          <w:szCs w:val="24"/>
        </w:rPr>
        <w:t xml:space="preserve"> analysis (Yamashita et al., 2022)</w:t>
      </w:r>
      <w:r w:rsidR="006D3730">
        <w:rPr>
          <w:rFonts w:ascii="Times New Roman" w:hAnsi="Times New Roman" w:cs="Times New Roman"/>
          <w:color w:val="000000" w:themeColor="text1"/>
          <w:sz w:val="24"/>
          <w:szCs w:val="24"/>
        </w:rPr>
        <w:t xml:space="preserve"> </w:t>
      </w:r>
      <w:r w:rsidR="00511F0D">
        <w:rPr>
          <w:rFonts w:ascii="Times New Roman" w:hAnsi="Times New Roman" w:cs="Times New Roman"/>
          <w:color w:val="000000" w:themeColor="text1"/>
          <w:sz w:val="24"/>
          <w:szCs w:val="24"/>
        </w:rPr>
        <w:t>to</w:t>
      </w:r>
      <w:r w:rsidR="006D3730">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multivariate econometric</w:t>
      </w:r>
      <w:r w:rsidR="00AB18CB" w:rsidRPr="000D4FD3">
        <w:rPr>
          <w:rFonts w:ascii="Times New Roman" w:hAnsi="Times New Roman" w:cs="Times New Roman"/>
          <w:color w:val="000000" w:themeColor="text1"/>
          <w:sz w:val="24"/>
          <w:szCs w:val="24"/>
        </w:rPr>
        <w:t xml:space="preserve"> methods </w:t>
      </w:r>
      <w:r w:rsidR="00406B94">
        <w:rPr>
          <w:rFonts w:ascii="Times New Roman" w:hAnsi="Times New Roman" w:cs="Times New Roman"/>
          <w:color w:val="000000" w:themeColor="text1"/>
          <w:sz w:val="24"/>
          <w:szCs w:val="24"/>
        </w:rPr>
        <w:t xml:space="preserve">such as ordinal or count or multiple discrete-continuous models </w:t>
      </w:r>
      <w:r w:rsidR="00AB18CB" w:rsidRPr="000D4FD3">
        <w:rPr>
          <w:rFonts w:ascii="Times New Roman" w:hAnsi="Times New Roman" w:cs="Times New Roman"/>
          <w:color w:val="000000" w:themeColor="text1"/>
          <w:sz w:val="24"/>
          <w:szCs w:val="24"/>
        </w:rPr>
        <w:t>(</w:t>
      </w:r>
      <w:r w:rsidR="0066384D">
        <w:rPr>
          <w:rFonts w:ascii="Times New Roman" w:hAnsi="Times New Roman" w:cs="Times New Roman"/>
          <w:color w:val="000000" w:themeColor="text1"/>
          <w:sz w:val="24"/>
          <w:szCs w:val="24"/>
        </w:rPr>
        <w:t xml:space="preserve">Shabanpour et al., 2018; </w:t>
      </w:r>
      <w:r w:rsidR="00AB18CB" w:rsidRPr="000D4FD3">
        <w:rPr>
          <w:rFonts w:ascii="Times New Roman" w:hAnsi="Times New Roman" w:cs="Times New Roman"/>
          <w:color w:val="000000" w:themeColor="text1"/>
          <w:sz w:val="24"/>
          <w:szCs w:val="24"/>
        </w:rPr>
        <w:t>Zhang et al., 2020</w:t>
      </w:r>
      <w:r w:rsidR="0066384D">
        <w:rPr>
          <w:rFonts w:ascii="Times New Roman" w:hAnsi="Times New Roman" w:cs="Times New Roman"/>
          <w:color w:val="000000" w:themeColor="text1"/>
          <w:sz w:val="24"/>
          <w:szCs w:val="24"/>
        </w:rPr>
        <w:t xml:space="preserve">; </w:t>
      </w:r>
      <w:r w:rsidR="00406B94">
        <w:rPr>
          <w:rFonts w:ascii="Times New Roman" w:hAnsi="Times New Roman" w:cs="Times New Roman"/>
          <w:color w:val="000000" w:themeColor="text1"/>
          <w:sz w:val="24"/>
          <w:szCs w:val="24"/>
        </w:rPr>
        <w:t xml:space="preserve">Heiden et al., 2021; </w:t>
      </w:r>
      <w:r w:rsidR="00AB18CB" w:rsidRPr="000D4FD3">
        <w:rPr>
          <w:rFonts w:ascii="Times New Roman" w:hAnsi="Times New Roman" w:cs="Times New Roman"/>
          <w:color w:val="000000" w:themeColor="text1"/>
          <w:sz w:val="24"/>
          <w:szCs w:val="24"/>
        </w:rPr>
        <w:t>Hensher et al., 2021</w:t>
      </w:r>
      <w:r w:rsidR="0066384D">
        <w:rPr>
          <w:rFonts w:ascii="Times New Roman" w:hAnsi="Times New Roman" w:cs="Times New Roman"/>
          <w:color w:val="000000" w:themeColor="text1"/>
          <w:sz w:val="24"/>
          <w:szCs w:val="24"/>
        </w:rPr>
        <w:t xml:space="preserve">; </w:t>
      </w:r>
      <w:r w:rsidR="006D3730">
        <w:rPr>
          <w:rFonts w:ascii="Times New Roman" w:hAnsi="Times New Roman" w:cs="Times New Roman"/>
          <w:color w:val="000000" w:themeColor="text1"/>
          <w:sz w:val="24"/>
          <w:szCs w:val="24"/>
        </w:rPr>
        <w:t xml:space="preserve">Ton et al., 2022; </w:t>
      </w:r>
      <w:r w:rsidR="00AB18CB" w:rsidRPr="000D4FD3">
        <w:rPr>
          <w:rFonts w:ascii="Times New Roman" w:hAnsi="Times New Roman" w:cs="Times New Roman"/>
          <w:color w:val="000000" w:themeColor="text1"/>
          <w:sz w:val="24"/>
          <w:szCs w:val="24"/>
        </w:rPr>
        <w:t>Asmussen et al., 2023)</w:t>
      </w:r>
      <w:r w:rsidR="006D3730">
        <w:rPr>
          <w:rFonts w:ascii="Times New Roman" w:hAnsi="Times New Roman" w:cs="Times New Roman"/>
          <w:color w:val="000000" w:themeColor="text1"/>
          <w:sz w:val="24"/>
          <w:szCs w:val="24"/>
        </w:rPr>
        <w:t>.</w:t>
      </w:r>
      <w:r w:rsidR="00AB18CB" w:rsidRPr="000D4FD3">
        <w:rPr>
          <w:rFonts w:ascii="Times New Roman" w:hAnsi="Times New Roman" w:cs="Times New Roman"/>
          <w:color w:val="000000" w:themeColor="text1"/>
          <w:sz w:val="24"/>
          <w:szCs w:val="24"/>
        </w:rPr>
        <w:t xml:space="preserve"> </w:t>
      </w:r>
      <w:r w:rsidR="00617A45" w:rsidRPr="000D4FD3">
        <w:rPr>
          <w:rFonts w:ascii="Times New Roman" w:hAnsi="Times New Roman" w:cs="Times New Roman"/>
          <w:color w:val="000000" w:themeColor="text1"/>
          <w:sz w:val="24"/>
          <w:szCs w:val="24"/>
        </w:rPr>
        <w:t xml:space="preserve">The </w:t>
      </w:r>
      <w:r w:rsidR="005051E3">
        <w:rPr>
          <w:rFonts w:ascii="Times New Roman" w:hAnsi="Times New Roman" w:cs="Times New Roman"/>
          <w:color w:val="000000" w:themeColor="text1"/>
          <w:sz w:val="24"/>
          <w:szCs w:val="24"/>
        </w:rPr>
        <w:t xml:space="preserve">results from </w:t>
      </w:r>
      <w:r w:rsidR="00617A45">
        <w:rPr>
          <w:rFonts w:ascii="Times New Roman" w:hAnsi="Times New Roman" w:cs="Times New Roman"/>
          <w:color w:val="000000" w:themeColor="text1"/>
          <w:sz w:val="24"/>
          <w:szCs w:val="24"/>
        </w:rPr>
        <w:t xml:space="preserve">these </w:t>
      </w:r>
      <w:r w:rsidR="00617A45" w:rsidRPr="005E7637">
        <w:rPr>
          <w:rFonts w:ascii="Times New Roman" w:hAnsi="Times New Roman" w:cs="Times New Roman"/>
          <w:i/>
          <w:color w:val="000000" w:themeColor="text1"/>
          <w:sz w:val="24"/>
          <w:szCs w:val="24"/>
        </w:rPr>
        <w:t>After</w:t>
      </w:r>
      <w:r w:rsidR="00617A45">
        <w:rPr>
          <w:rFonts w:ascii="Times New Roman" w:hAnsi="Times New Roman" w:cs="Times New Roman"/>
          <w:color w:val="000000" w:themeColor="text1"/>
          <w:sz w:val="24"/>
          <w:szCs w:val="24"/>
        </w:rPr>
        <w:t xml:space="preserve"> COVID studies</w:t>
      </w:r>
      <w:r w:rsidR="005051E3">
        <w:rPr>
          <w:rFonts w:ascii="Times New Roman" w:hAnsi="Times New Roman" w:cs="Times New Roman"/>
          <w:color w:val="000000" w:themeColor="text1"/>
          <w:sz w:val="24"/>
          <w:szCs w:val="24"/>
        </w:rPr>
        <w:t xml:space="preserve">, in general, tend to mirror the results from the </w:t>
      </w:r>
      <w:r w:rsidR="005051E3" w:rsidRPr="005E7637">
        <w:rPr>
          <w:rFonts w:ascii="Times New Roman" w:hAnsi="Times New Roman" w:cs="Times New Roman"/>
          <w:i/>
          <w:color w:val="000000" w:themeColor="text1"/>
          <w:sz w:val="24"/>
          <w:szCs w:val="24"/>
        </w:rPr>
        <w:t>Before</w:t>
      </w:r>
      <w:r w:rsidR="005051E3">
        <w:rPr>
          <w:rFonts w:ascii="Times New Roman" w:hAnsi="Times New Roman" w:cs="Times New Roman"/>
          <w:color w:val="000000" w:themeColor="text1"/>
          <w:sz w:val="24"/>
          <w:szCs w:val="24"/>
        </w:rPr>
        <w:t xml:space="preserve"> COVID period, with </w:t>
      </w:r>
      <w:r w:rsidR="00617A45" w:rsidRPr="000D4FD3">
        <w:rPr>
          <w:rFonts w:ascii="Times New Roman" w:hAnsi="Times New Roman" w:cs="Times New Roman"/>
          <w:color w:val="000000" w:themeColor="text1"/>
          <w:sz w:val="24"/>
          <w:szCs w:val="24"/>
        </w:rPr>
        <w:t>women (especially single women with children), young individuals, self-employed workers, employees in white-collared corporate jobs, high income earners and those with a long commute time mo</w:t>
      </w:r>
      <w:r w:rsidR="00617A45">
        <w:rPr>
          <w:rFonts w:ascii="Times New Roman" w:hAnsi="Times New Roman" w:cs="Times New Roman"/>
          <w:color w:val="000000" w:themeColor="text1"/>
          <w:sz w:val="24"/>
          <w:szCs w:val="24"/>
        </w:rPr>
        <w:t>re</w:t>
      </w:r>
      <w:r w:rsidR="00617A45" w:rsidRPr="000D4FD3">
        <w:rPr>
          <w:rFonts w:ascii="Times New Roman" w:hAnsi="Times New Roman" w:cs="Times New Roman"/>
          <w:color w:val="000000" w:themeColor="text1"/>
          <w:sz w:val="24"/>
          <w:szCs w:val="24"/>
        </w:rPr>
        <w:t xml:space="preserve"> likely to </w:t>
      </w:r>
      <w:r w:rsidR="00511F0D">
        <w:rPr>
          <w:rFonts w:ascii="Times New Roman" w:hAnsi="Times New Roman" w:cs="Times New Roman"/>
          <w:color w:val="000000" w:themeColor="text1"/>
          <w:sz w:val="24"/>
          <w:szCs w:val="24"/>
        </w:rPr>
        <w:t xml:space="preserve">be observed to </w:t>
      </w:r>
      <w:r w:rsidR="00617A45" w:rsidRPr="000D4FD3">
        <w:rPr>
          <w:rFonts w:ascii="Times New Roman" w:hAnsi="Times New Roman" w:cs="Times New Roman"/>
          <w:color w:val="000000" w:themeColor="text1"/>
          <w:sz w:val="24"/>
          <w:szCs w:val="24"/>
        </w:rPr>
        <w:t>wo</w:t>
      </w:r>
      <w:r w:rsidR="00617A45">
        <w:rPr>
          <w:rFonts w:ascii="Times New Roman" w:hAnsi="Times New Roman" w:cs="Times New Roman"/>
          <w:color w:val="000000" w:themeColor="text1"/>
          <w:sz w:val="24"/>
          <w:szCs w:val="24"/>
        </w:rPr>
        <w:t>rk</w:t>
      </w:r>
      <w:r w:rsidR="00617A45" w:rsidRPr="000D4FD3">
        <w:rPr>
          <w:rFonts w:ascii="Times New Roman" w:hAnsi="Times New Roman" w:cs="Times New Roman"/>
          <w:color w:val="000000" w:themeColor="text1"/>
          <w:sz w:val="24"/>
          <w:szCs w:val="24"/>
        </w:rPr>
        <w:t xml:space="preserve"> remote</w:t>
      </w:r>
      <w:r w:rsidR="00617A45">
        <w:rPr>
          <w:rFonts w:ascii="Times New Roman" w:hAnsi="Times New Roman" w:cs="Times New Roman"/>
          <w:color w:val="000000" w:themeColor="text1"/>
          <w:sz w:val="24"/>
          <w:szCs w:val="24"/>
        </w:rPr>
        <w:t>ly</w:t>
      </w:r>
      <w:r w:rsidR="00617A45" w:rsidRPr="000D4FD3">
        <w:rPr>
          <w:rFonts w:ascii="Times New Roman" w:hAnsi="Times New Roman" w:cs="Times New Roman"/>
          <w:color w:val="000000" w:themeColor="text1"/>
          <w:sz w:val="24"/>
          <w:szCs w:val="24"/>
        </w:rPr>
        <w:t xml:space="preserve"> </w:t>
      </w:r>
      <w:r w:rsidR="005051E3">
        <w:rPr>
          <w:rFonts w:ascii="Times New Roman" w:hAnsi="Times New Roman" w:cs="Times New Roman"/>
          <w:color w:val="000000" w:themeColor="text1"/>
          <w:sz w:val="24"/>
          <w:szCs w:val="24"/>
        </w:rPr>
        <w:t>or</w:t>
      </w:r>
      <w:r w:rsidR="00511F0D">
        <w:rPr>
          <w:rFonts w:ascii="Times New Roman" w:hAnsi="Times New Roman" w:cs="Times New Roman"/>
          <w:color w:val="000000" w:themeColor="text1"/>
          <w:sz w:val="24"/>
          <w:szCs w:val="24"/>
        </w:rPr>
        <w:t xml:space="preserve"> with </w:t>
      </w:r>
      <w:r w:rsidR="005051E3">
        <w:rPr>
          <w:rFonts w:ascii="Times New Roman" w:hAnsi="Times New Roman" w:cs="Times New Roman"/>
          <w:color w:val="000000" w:themeColor="text1"/>
          <w:sz w:val="24"/>
          <w:szCs w:val="24"/>
        </w:rPr>
        <w:t xml:space="preserve">a higher </w:t>
      </w:r>
      <w:r w:rsidR="00511F0D">
        <w:rPr>
          <w:rFonts w:ascii="Times New Roman" w:hAnsi="Times New Roman" w:cs="Times New Roman"/>
          <w:color w:val="000000" w:themeColor="text1"/>
          <w:sz w:val="24"/>
          <w:szCs w:val="24"/>
        </w:rPr>
        <w:t xml:space="preserve">stated </w:t>
      </w:r>
      <w:r w:rsidR="005051E3">
        <w:rPr>
          <w:rFonts w:ascii="Times New Roman" w:hAnsi="Times New Roman" w:cs="Times New Roman"/>
          <w:color w:val="000000" w:themeColor="text1"/>
          <w:sz w:val="24"/>
          <w:szCs w:val="24"/>
        </w:rPr>
        <w:t xml:space="preserve">preference to work remotely </w:t>
      </w:r>
      <w:r w:rsidR="00617A45" w:rsidRPr="000D4FD3">
        <w:rPr>
          <w:rFonts w:ascii="Times New Roman" w:hAnsi="Times New Roman" w:cs="Times New Roman"/>
          <w:color w:val="000000" w:themeColor="text1"/>
          <w:sz w:val="24"/>
          <w:szCs w:val="24"/>
        </w:rPr>
        <w:t xml:space="preserve">compared to their </w:t>
      </w:r>
      <w:r w:rsidR="00617A45">
        <w:rPr>
          <w:rFonts w:ascii="Times New Roman" w:hAnsi="Times New Roman" w:cs="Times New Roman"/>
          <w:color w:val="000000" w:themeColor="text1"/>
          <w:sz w:val="24"/>
          <w:szCs w:val="24"/>
        </w:rPr>
        <w:t>peers</w:t>
      </w:r>
      <w:r w:rsidR="00617A45" w:rsidRPr="0053397D">
        <w:rPr>
          <w:rFonts w:ascii="Times New Roman" w:hAnsi="Times New Roman" w:cs="Times New Roman"/>
          <w:color w:val="000000" w:themeColor="text1"/>
          <w:sz w:val="24"/>
          <w:szCs w:val="24"/>
        </w:rPr>
        <w:t xml:space="preserve">. </w:t>
      </w:r>
      <w:r w:rsidR="00F64DF0" w:rsidRPr="0058559B">
        <w:rPr>
          <w:rFonts w:ascii="Times New Roman" w:hAnsi="Times New Roman" w:cs="Times New Roman"/>
          <w:color w:val="000000" w:themeColor="text1"/>
          <w:sz w:val="24"/>
          <w:szCs w:val="24"/>
        </w:rPr>
        <w:t xml:space="preserve">Interestingly, though, </w:t>
      </w:r>
      <w:r w:rsidR="00340986" w:rsidRPr="0058559B">
        <w:rPr>
          <w:rFonts w:ascii="Times New Roman" w:hAnsi="Times New Roman" w:cs="Times New Roman"/>
          <w:color w:val="000000" w:themeColor="text1"/>
          <w:sz w:val="24"/>
          <w:szCs w:val="24"/>
        </w:rPr>
        <w:t>the</w:t>
      </w:r>
      <w:r w:rsidR="00F64DF0" w:rsidRPr="0058559B">
        <w:rPr>
          <w:rFonts w:ascii="Times New Roman" w:hAnsi="Times New Roman" w:cs="Times New Roman"/>
          <w:color w:val="000000" w:themeColor="text1"/>
          <w:sz w:val="24"/>
          <w:szCs w:val="24"/>
        </w:rPr>
        <w:t xml:space="preserve"> </w:t>
      </w:r>
      <w:r w:rsidR="00F64DF0" w:rsidRPr="0058559B">
        <w:rPr>
          <w:rFonts w:ascii="Times New Roman" w:hAnsi="Times New Roman" w:cs="Times New Roman"/>
          <w:i/>
          <w:color w:val="000000" w:themeColor="text1"/>
          <w:sz w:val="24"/>
          <w:szCs w:val="24"/>
        </w:rPr>
        <w:t>After</w:t>
      </w:r>
      <w:r w:rsidR="00F64DF0" w:rsidRPr="0058559B">
        <w:rPr>
          <w:rFonts w:ascii="Times New Roman" w:hAnsi="Times New Roman" w:cs="Times New Roman"/>
          <w:color w:val="000000" w:themeColor="text1"/>
          <w:sz w:val="24"/>
          <w:szCs w:val="24"/>
        </w:rPr>
        <w:t xml:space="preserve"> </w:t>
      </w:r>
      <w:r w:rsidR="00340986" w:rsidRPr="0058559B">
        <w:rPr>
          <w:rFonts w:ascii="Times New Roman" w:hAnsi="Times New Roman" w:cs="Times New Roman"/>
          <w:color w:val="000000" w:themeColor="text1"/>
          <w:sz w:val="24"/>
          <w:szCs w:val="24"/>
        </w:rPr>
        <w:t xml:space="preserve">COVID </w:t>
      </w:r>
      <w:r w:rsidR="00F64DF0" w:rsidRPr="0058559B">
        <w:rPr>
          <w:rFonts w:ascii="Times New Roman" w:hAnsi="Times New Roman" w:cs="Times New Roman"/>
          <w:color w:val="000000" w:themeColor="text1"/>
          <w:sz w:val="24"/>
          <w:szCs w:val="24"/>
        </w:rPr>
        <w:t xml:space="preserve">studies </w:t>
      </w:r>
      <w:r w:rsidR="000B5867">
        <w:rPr>
          <w:rFonts w:ascii="Times New Roman" w:hAnsi="Times New Roman" w:cs="Times New Roman"/>
          <w:color w:val="000000" w:themeColor="text1"/>
          <w:sz w:val="24"/>
          <w:szCs w:val="24"/>
        </w:rPr>
        <w:t xml:space="preserve">also </w:t>
      </w:r>
      <w:r w:rsidR="00340986" w:rsidRPr="0058559B">
        <w:rPr>
          <w:rFonts w:ascii="Times New Roman" w:hAnsi="Times New Roman" w:cs="Times New Roman"/>
          <w:color w:val="000000" w:themeColor="text1"/>
          <w:sz w:val="24"/>
          <w:szCs w:val="24"/>
        </w:rPr>
        <w:t xml:space="preserve">do suggest a narrowing of the heterogeneity in telework adoption and frequency compared to the </w:t>
      </w:r>
      <w:r w:rsidR="00340986" w:rsidRPr="0058559B">
        <w:rPr>
          <w:rFonts w:ascii="Times New Roman" w:hAnsi="Times New Roman" w:cs="Times New Roman"/>
          <w:i/>
          <w:color w:val="000000" w:themeColor="text1"/>
          <w:sz w:val="24"/>
          <w:szCs w:val="24"/>
        </w:rPr>
        <w:t>Before</w:t>
      </w:r>
      <w:r w:rsidR="00340986" w:rsidRPr="0058559B">
        <w:rPr>
          <w:rFonts w:ascii="Times New Roman" w:hAnsi="Times New Roman" w:cs="Times New Roman"/>
          <w:color w:val="000000" w:themeColor="text1"/>
          <w:sz w:val="24"/>
          <w:szCs w:val="24"/>
        </w:rPr>
        <w:t xml:space="preserve"> COVID period, with fewer sociodemographic and work-related variables having an impact (or as substantial an impact) </w:t>
      </w:r>
      <w:r w:rsidR="000B5867">
        <w:rPr>
          <w:rFonts w:ascii="Times New Roman" w:hAnsi="Times New Roman" w:cs="Times New Roman"/>
          <w:color w:val="000000" w:themeColor="text1"/>
          <w:sz w:val="24"/>
          <w:szCs w:val="24"/>
        </w:rPr>
        <w:t xml:space="preserve">on telework adoption/frequency </w:t>
      </w:r>
      <w:r w:rsidR="00340986" w:rsidRPr="0058559B">
        <w:rPr>
          <w:rFonts w:ascii="Times New Roman" w:hAnsi="Times New Roman" w:cs="Times New Roman"/>
          <w:color w:val="000000" w:themeColor="text1"/>
          <w:sz w:val="24"/>
          <w:szCs w:val="24"/>
        </w:rPr>
        <w:t xml:space="preserve">in the </w:t>
      </w:r>
      <w:r w:rsidR="00340986" w:rsidRPr="0058559B">
        <w:rPr>
          <w:rFonts w:ascii="Times New Roman" w:hAnsi="Times New Roman" w:cs="Times New Roman"/>
          <w:i/>
          <w:color w:val="000000" w:themeColor="text1"/>
          <w:sz w:val="24"/>
          <w:szCs w:val="24"/>
        </w:rPr>
        <w:t>After</w:t>
      </w:r>
      <w:r w:rsidR="00340986" w:rsidRPr="0058559B">
        <w:rPr>
          <w:rFonts w:ascii="Times New Roman" w:hAnsi="Times New Roman" w:cs="Times New Roman"/>
          <w:color w:val="000000" w:themeColor="text1"/>
          <w:sz w:val="24"/>
          <w:szCs w:val="24"/>
        </w:rPr>
        <w:t xml:space="preserve"> COVID period </w:t>
      </w:r>
      <w:r w:rsidR="000B5867">
        <w:rPr>
          <w:rFonts w:ascii="Times New Roman" w:hAnsi="Times New Roman" w:cs="Times New Roman"/>
          <w:color w:val="000000" w:themeColor="text1"/>
          <w:sz w:val="24"/>
          <w:szCs w:val="24"/>
        </w:rPr>
        <w:t xml:space="preserve">relative to </w:t>
      </w:r>
      <w:r w:rsidR="00340986" w:rsidRPr="0058559B">
        <w:rPr>
          <w:rFonts w:ascii="Times New Roman" w:hAnsi="Times New Roman" w:cs="Times New Roman"/>
          <w:color w:val="000000" w:themeColor="text1"/>
          <w:sz w:val="24"/>
          <w:szCs w:val="24"/>
        </w:rPr>
        <w:t xml:space="preserve">the </w:t>
      </w:r>
      <w:r w:rsidR="00340986" w:rsidRPr="0058559B">
        <w:rPr>
          <w:rFonts w:ascii="Times New Roman" w:hAnsi="Times New Roman" w:cs="Times New Roman"/>
          <w:i/>
          <w:color w:val="000000" w:themeColor="text1"/>
          <w:sz w:val="24"/>
          <w:szCs w:val="24"/>
        </w:rPr>
        <w:t>Before</w:t>
      </w:r>
      <w:r w:rsidR="00340986" w:rsidRPr="0058559B">
        <w:rPr>
          <w:rFonts w:ascii="Times New Roman" w:hAnsi="Times New Roman" w:cs="Times New Roman"/>
          <w:color w:val="000000" w:themeColor="text1"/>
          <w:sz w:val="24"/>
          <w:szCs w:val="24"/>
        </w:rPr>
        <w:t xml:space="preserve"> COVID period. </w:t>
      </w:r>
      <w:r w:rsidR="00120BB0" w:rsidRPr="00120BB0">
        <w:rPr>
          <w:rFonts w:ascii="Times New Roman" w:hAnsi="Times New Roman" w:cs="Times New Roman"/>
          <w:color w:val="000000" w:themeColor="text1"/>
          <w:sz w:val="24"/>
          <w:szCs w:val="24"/>
        </w:rPr>
        <w:t xml:space="preserve">For example, prior to the pandemic, employees in the healthcare industry consistently had lower telework </w:t>
      </w:r>
      <w:r w:rsidR="00120BB0" w:rsidRPr="00120BB0">
        <w:rPr>
          <w:rFonts w:ascii="Times New Roman" w:hAnsi="Times New Roman" w:cs="Times New Roman"/>
          <w:color w:val="000000" w:themeColor="text1"/>
          <w:sz w:val="24"/>
          <w:szCs w:val="24"/>
        </w:rPr>
        <w:lastRenderedPageBreak/>
        <w:t xml:space="preserve">adoption </w:t>
      </w:r>
      <w:r w:rsidR="000B5867">
        <w:rPr>
          <w:rFonts w:ascii="Times New Roman" w:hAnsi="Times New Roman" w:cs="Times New Roman"/>
          <w:color w:val="000000" w:themeColor="text1"/>
          <w:sz w:val="24"/>
          <w:szCs w:val="24"/>
        </w:rPr>
        <w:t xml:space="preserve">rates </w:t>
      </w:r>
      <w:r w:rsidR="00120BB0" w:rsidRPr="00120BB0">
        <w:rPr>
          <w:rFonts w:ascii="Times New Roman" w:hAnsi="Times New Roman" w:cs="Times New Roman"/>
          <w:color w:val="000000" w:themeColor="text1"/>
          <w:sz w:val="24"/>
          <w:szCs w:val="24"/>
        </w:rPr>
        <w:t xml:space="preserve">than </w:t>
      </w:r>
      <w:r w:rsidR="000B5867">
        <w:rPr>
          <w:rFonts w:ascii="Times New Roman" w:hAnsi="Times New Roman" w:cs="Times New Roman"/>
          <w:color w:val="000000" w:themeColor="text1"/>
          <w:sz w:val="24"/>
          <w:szCs w:val="24"/>
        </w:rPr>
        <w:t xml:space="preserve">those in </w:t>
      </w:r>
      <w:r w:rsidR="00120BB0" w:rsidRPr="00120BB0">
        <w:rPr>
          <w:rFonts w:ascii="Times New Roman" w:hAnsi="Times New Roman" w:cs="Times New Roman"/>
          <w:color w:val="000000" w:themeColor="text1"/>
          <w:sz w:val="24"/>
          <w:szCs w:val="24"/>
        </w:rPr>
        <w:t>other occupations (</w:t>
      </w:r>
      <w:proofErr w:type="spellStart"/>
      <w:r w:rsidR="00120BB0" w:rsidRPr="00120BB0">
        <w:rPr>
          <w:rFonts w:ascii="Times New Roman" w:hAnsi="Times New Roman" w:cs="Times New Roman"/>
          <w:color w:val="000000" w:themeColor="text1"/>
          <w:sz w:val="24"/>
          <w:szCs w:val="24"/>
        </w:rPr>
        <w:t>Hotopp</w:t>
      </w:r>
      <w:proofErr w:type="spellEnd"/>
      <w:r w:rsidR="00120BB0" w:rsidRPr="00120BB0">
        <w:rPr>
          <w:rFonts w:ascii="Times New Roman" w:hAnsi="Times New Roman" w:cs="Times New Roman"/>
          <w:color w:val="000000" w:themeColor="text1"/>
          <w:sz w:val="24"/>
          <w:szCs w:val="24"/>
        </w:rPr>
        <w:t xml:space="preserve">, 2022; Sener and Bhat, 2011; Melo and Silva, 2017). </w:t>
      </w:r>
      <w:r w:rsidR="000B5867">
        <w:rPr>
          <w:rFonts w:ascii="Times New Roman" w:hAnsi="Times New Roman" w:cs="Times New Roman"/>
          <w:color w:val="000000" w:themeColor="text1"/>
          <w:sz w:val="24"/>
          <w:szCs w:val="24"/>
        </w:rPr>
        <w:t>But, s</w:t>
      </w:r>
      <w:r w:rsidR="00120BB0" w:rsidRPr="00120BB0">
        <w:rPr>
          <w:rFonts w:ascii="Times New Roman" w:hAnsi="Times New Roman" w:cs="Times New Roman"/>
          <w:color w:val="000000" w:themeColor="text1"/>
          <w:sz w:val="24"/>
          <w:szCs w:val="24"/>
        </w:rPr>
        <w:t xml:space="preserve">ince the beginning of the pandemic, there has been a rapid rise in </w:t>
      </w:r>
      <w:r w:rsidR="00FC5545">
        <w:rPr>
          <w:rFonts w:ascii="Times New Roman" w:hAnsi="Times New Roman" w:cs="Times New Roman"/>
          <w:color w:val="000000" w:themeColor="text1"/>
          <w:sz w:val="24"/>
          <w:szCs w:val="24"/>
        </w:rPr>
        <w:t>tele</w:t>
      </w:r>
      <w:r w:rsidR="00120BB0" w:rsidRPr="00120BB0">
        <w:rPr>
          <w:rFonts w:ascii="Times New Roman" w:hAnsi="Times New Roman" w:cs="Times New Roman"/>
          <w:color w:val="000000" w:themeColor="text1"/>
          <w:sz w:val="24"/>
          <w:szCs w:val="24"/>
        </w:rPr>
        <w:t>work opportunities for healthcare employees</w:t>
      </w:r>
      <w:r w:rsidR="000B5867">
        <w:rPr>
          <w:rFonts w:ascii="Times New Roman" w:hAnsi="Times New Roman" w:cs="Times New Roman"/>
          <w:color w:val="000000" w:themeColor="text1"/>
          <w:sz w:val="24"/>
          <w:szCs w:val="24"/>
        </w:rPr>
        <w:t xml:space="preserve">. More generally, the </w:t>
      </w:r>
      <w:r w:rsidR="000B5867" w:rsidRPr="00167EAB">
        <w:rPr>
          <w:rFonts w:ascii="Times New Roman" w:hAnsi="Times New Roman" w:cs="Times New Roman"/>
          <w:i/>
          <w:color w:val="000000" w:themeColor="text1"/>
          <w:sz w:val="24"/>
          <w:szCs w:val="24"/>
        </w:rPr>
        <w:t xml:space="preserve">After </w:t>
      </w:r>
      <w:r w:rsidR="000B5867">
        <w:rPr>
          <w:rFonts w:ascii="Times New Roman" w:hAnsi="Times New Roman" w:cs="Times New Roman"/>
          <w:color w:val="000000" w:themeColor="text1"/>
          <w:sz w:val="24"/>
          <w:szCs w:val="24"/>
        </w:rPr>
        <w:t xml:space="preserve">COVID studies indicate </w:t>
      </w:r>
      <w:r w:rsidR="00EF7A2D">
        <w:rPr>
          <w:rFonts w:ascii="Times New Roman" w:hAnsi="Times New Roman" w:cs="Times New Roman"/>
          <w:color w:val="000000" w:themeColor="text1"/>
          <w:sz w:val="24"/>
          <w:szCs w:val="24"/>
        </w:rPr>
        <w:t>more</w:t>
      </w:r>
      <w:r w:rsidR="000B5867">
        <w:rPr>
          <w:rFonts w:ascii="Times New Roman" w:hAnsi="Times New Roman" w:cs="Times New Roman"/>
          <w:color w:val="000000" w:themeColor="text1"/>
          <w:sz w:val="24"/>
          <w:szCs w:val="24"/>
        </w:rPr>
        <w:t xml:space="preserve"> </w:t>
      </w:r>
      <w:r w:rsidR="00120BB0" w:rsidRPr="00120BB0">
        <w:rPr>
          <w:rFonts w:ascii="Times New Roman" w:hAnsi="Times New Roman" w:cs="Times New Roman"/>
          <w:color w:val="000000" w:themeColor="text1"/>
          <w:sz w:val="24"/>
          <w:szCs w:val="24"/>
        </w:rPr>
        <w:t xml:space="preserve"> </w:t>
      </w:r>
      <w:r w:rsidR="000B5867">
        <w:rPr>
          <w:rFonts w:ascii="Times New Roman" w:hAnsi="Times New Roman" w:cs="Times New Roman"/>
          <w:color w:val="000000" w:themeColor="text1"/>
          <w:sz w:val="24"/>
          <w:szCs w:val="24"/>
        </w:rPr>
        <w:t>uniformity</w:t>
      </w:r>
      <w:r w:rsidR="00120BB0" w:rsidRPr="00120BB0">
        <w:rPr>
          <w:rFonts w:ascii="Times New Roman" w:hAnsi="Times New Roman" w:cs="Times New Roman"/>
          <w:color w:val="000000" w:themeColor="text1"/>
          <w:sz w:val="24"/>
          <w:szCs w:val="24"/>
        </w:rPr>
        <w:t xml:space="preserve"> </w:t>
      </w:r>
      <w:r w:rsidR="000B5867">
        <w:rPr>
          <w:rFonts w:ascii="Times New Roman" w:hAnsi="Times New Roman" w:cs="Times New Roman"/>
          <w:color w:val="000000" w:themeColor="text1"/>
          <w:sz w:val="24"/>
          <w:szCs w:val="24"/>
        </w:rPr>
        <w:t xml:space="preserve">in telework </w:t>
      </w:r>
      <w:r w:rsidR="00120BB0" w:rsidRPr="00120BB0">
        <w:rPr>
          <w:rFonts w:ascii="Times New Roman" w:hAnsi="Times New Roman" w:cs="Times New Roman"/>
          <w:color w:val="000000" w:themeColor="text1"/>
          <w:sz w:val="24"/>
          <w:szCs w:val="24"/>
        </w:rPr>
        <w:t xml:space="preserve">adoption across occupation types than </w:t>
      </w:r>
      <w:r w:rsidR="00EF7A2D">
        <w:rPr>
          <w:rFonts w:ascii="Times New Roman" w:hAnsi="Times New Roman" w:cs="Times New Roman"/>
          <w:color w:val="000000" w:themeColor="text1"/>
          <w:sz w:val="24"/>
          <w:szCs w:val="24"/>
        </w:rPr>
        <w:t>studies undertaken</w:t>
      </w:r>
      <w:r w:rsidR="00120BB0" w:rsidRPr="00120BB0">
        <w:rPr>
          <w:rFonts w:ascii="Times New Roman" w:hAnsi="Times New Roman" w:cs="Times New Roman"/>
          <w:color w:val="000000" w:themeColor="text1"/>
          <w:sz w:val="24"/>
          <w:szCs w:val="24"/>
        </w:rPr>
        <w:t xml:space="preserve"> before the pandemic (see, for example, </w:t>
      </w:r>
      <w:proofErr w:type="spellStart"/>
      <w:r w:rsidR="00120BB0" w:rsidRPr="00120BB0">
        <w:rPr>
          <w:rFonts w:ascii="Times New Roman" w:hAnsi="Times New Roman" w:cs="Times New Roman"/>
          <w:color w:val="000000" w:themeColor="text1"/>
          <w:sz w:val="24"/>
          <w:szCs w:val="24"/>
        </w:rPr>
        <w:t>Omboni</w:t>
      </w:r>
      <w:proofErr w:type="spellEnd"/>
      <w:r w:rsidR="00120BB0" w:rsidRPr="00120BB0">
        <w:rPr>
          <w:rFonts w:ascii="Times New Roman" w:hAnsi="Times New Roman" w:cs="Times New Roman"/>
          <w:color w:val="000000" w:themeColor="text1"/>
          <w:sz w:val="24"/>
          <w:szCs w:val="24"/>
        </w:rPr>
        <w:t xml:space="preserve"> et al., 2022 and </w:t>
      </w:r>
      <w:r w:rsidR="00D75938">
        <w:rPr>
          <w:rFonts w:ascii="Times New Roman" w:hAnsi="Times New Roman" w:cs="Times New Roman"/>
          <w:color w:val="000000" w:themeColor="text1"/>
          <w:sz w:val="24"/>
          <w:szCs w:val="24"/>
        </w:rPr>
        <w:t xml:space="preserve">Ahmed </w:t>
      </w:r>
      <w:r w:rsidR="00120BB0" w:rsidRPr="00120BB0">
        <w:rPr>
          <w:rFonts w:ascii="Times New Roman" w:hAnsi="Times New Roman" w:cs="Times New Roman"/>
          <w:color w:val="000000" w:themeColor="text1"/>
          <w:sz w:val="24"/>
          <w:szCs w:val="24"/>
        </w:rPr>
        <w:t>Kamal et al., 2023).</w:t>
      </w:r>
    </w:p>
    <w:p w14:paraId="3C62399F" w14:textId="4D42E8AF" w:rsidR="00501D0D" w:rsidRDefault="008807EF">
      <w:pPr>
        <w:spacing w:after="0" w:line="276" w:lineRule="auto"/>
        <w:rPr>
          <w:rFonts w:ascii="Times New Roman" w:hAnsi="Times New Roman" w:cs="Times New Roman"/>
          <w:sz w:val="24"/>
        </w:rPr>
      </w:pPr>
      <w:r w:rsidRPr="000D4FD3">
        <w:rPr>
          <w:rFonts w:ascii="Times New Roman" w:hAnsi="Times New Roman" w:cs="Times New Roman"/>
          <w:color w:val="000000" w:themeColor="text1"/>
          <w:sz w:val="24"/>
          <w:szCs w:val="24"/>
        </w:rPr>
        <w:tab/>
        <w:t xml:space="preserve">Besides the </w:t>
      </w:r>
      <w:r w:rsidRPr="000D4FD3">
        <w:rPr>
          <w:rFonts w:ascii="Times New Roman" w:hAnsi="Times New Roman" w:cs="Times New Roman"/>
          <w:i/>
          <w:color w:val="000000" w:themeColor="text1"/>
          <w:sz w:val="24"/>
          <w:szCs w:val="24"/>
        </w:rPr>
        <w:t xml:space="preserve">who </w:t>
      </w:r>
      <w:r w:rsidRPr="000D4FD3">
        <w:rPr>
          <w:rFonts w:ascii="Times New Roman" w:hAnsi="Times New Roman" w:cs="Times New Roman"/>
          <w:color w:val="000000" w:themeColor="text1"/>
          <w:sz w:val="24"/>
          <w:szCs w:val="24"/>
        </w:rPr>
        <w:t xml:space="preserve">and </w:t>
      </w:r>
      <w:r w:rsidRPr="000D4FD3">
        <w:rPr>
          <w:rFonts w:ascii="Times New Roman" w:hAnsi="Times New Roman" w:cs="Times New Roman"/>
          <w:i/>
          <w:color w:val="000000" w:themeColor="text1"/>
          <w:sz w:val="24"/>
          <w:szCs w:val="24"/>
        </w:rPr>
        <w:t>how much</w:t>
      </w:r>
      <w:r w:rsidRPr="000D4FD3">
        <w:rPr>
          <w:rFonts w:ascii="Times New Roman" w:hAnsi="Times New Roman" w:cs="Times New Roman"/>
          <w:color w:val="000000" w:themeColor="text1"/>
          <w:sz w:val="24"/>
          <w:szCs w:val="24"/>
        </w:rPr>
        <w:t xml:space="preserve"> dimensions of teleworking, another important line of </w:t>
      </w:r>
      <w:r w:rsidR="006D3730">
        <w:rPr>
          <w:rFonts w:ascii="Times New Roman" w:hAnsi="Times New Roman" w:cs="Times New Roman"/>
          <w:color w:val="000000" w:themeColor="text1"/>
          <w:sz w:val="24"/>
          <w:szCs w:val="24"/>
        </w:rPr>
        <w:t>telework</w:t>
      </w:r>
      <w:r w:rsidR="00051D5D">
        <w:rPr>
          <w:rFonts w:ascii="Times New Roman" w:hAnsi="Times New Roman" w:cs="Times New Roman"/>
          <w:color w:val="000000" w:themeColor="text1"/>
          <w:sz w:val="24"/>
          <w:szCs w:val="24"/>
        </w:rPr>
        <w:t xml:space="preserve"> </w:t>
      </w:r>
      <w:r w:rsidR="00340986">
        <w:rPr>
          <w:rFonts w:ascii="Times New Roman" w:hAnsi="Times New Roman" w:cs="Times New Roman"/>
          <w:color w:val="000000" w:themeColor="text1"/>
          <w:sz w:val="24"/>
          <w:szCs w:val="24"/>
        </w:rPr>
        <w:t>research</w:t>
      </w:r>
      <w:r w:rsidR="00051D5D">
        <w:rPr>
          <w:rFonts w:ascii="Times New Roman" w:hAnsi="Times New Roman" w:cs="Times New Roman"/>
          <w:color w:val="000000" w:themeColor="text1"/>
          <w:sz w:val="24"/>
          <w:szCs w:val="24"/>
        </w:rPr>
        <w:t xml:space="preserve"> </w:t>
      </w:r>
      <w:r w:rsidR="00BE706B">
        <w:rPr>
          <w:rFonts w:ascii="Times New Roman" w:hAnsi="Times New Roman" w:cs="Times New Roman"/>
          <w:color w:val="000000" w:themeColor="text1"/>
          <w:sz w:val="24"/>
          <w:szCs w:val="24"/>
        </w:rPr>
        <w:t xml:space="preserve">in the </w:t>
      </w:r>
      <w:r w:rsidR="00BE706B" w:rsidRPr="005E7637">
        <w:rPr>
          <w:rFonts w:ascii="Times New Roman" w:hAnsi="Times New Roman" w:cs="Times New Roman"/>
          <w:i/>
          <w:color w:val="000000" w:themeColor="text1"/>
          <w:sz w:val="24"/>
          <w:szCs w:val="24"/>
        </w:rPr>
        <w:t>After</w:t>
      </w:r>
      <w:r w:rsidR="006D3730">
        <w:rPr>
          <w:rFonts w:ascii="Times New Roman" w:hAnsi="Times New Roman" w:cs="Times New Roman"/>
          <w:color w:val="000000" w:themeColor="text1"/>
          <w:sz w:val="24"/>
          <w:szCs w:val="24"/>
        </w:rPr>
        <w:t xml:space="preserve"> </w:t>
      </w:r>
      <w:r w:rsidR="00BE706B">
        <w:rPr>
          <w:rFonts w:ascii="Times New Roman" w:hAnsi="Times New Roman" w:cs="Times New Roman"/>
          <w:color w:val="000000" w:themeColor="text1"/>
          <w:sz w:val="24"/>
          <w:szCs w:val="24"/>
        </w:rPr>
        <w:t>COVID period</w:t>
      </w:r>
      <w:r w:rsidR="00051D5D">
        <w:rPr>
          <w:rFonts w:ascii="Times New Roman" w:hAnsi="Times New Roman" w:cs="Times New Roman"/>
          <w:color w:val="000000" w:themeColor="text1"/>
          <w:sz w:val="24"/>
          <w:szCs w:val="24"/>
        </w:rPr>
        <w:t xml:space="preserve"> (that was almost completely missing in the </w:t>
      </w:r>
      <w:r w:rsidR="00051D5D" w:rsidRPr="005E7637">
        <w:rPr>
          <w:rFonts w:ascii="Times New Roman" w:hAnsi="Times New Roman" w:cs="Times New Roman"/>
          <w:i/>
          <w:color w:val="000000" w:themeColor="text1"/>
          <w:sz w:val="24"/>
          <w:szCs w:val="24"/>
        </w:rPr>
        <w:t>Before</w:t>
      </w:r>
      <w:r w:rsidR="00051D5D">
        <w:rPr>
          <w:rFonts w:ascii="Times New Roman" w:hAnsi="Times New Roman" w:cs="Times New Roman"/>
          <w:color w:val="000000" w:themeColor="text1"/>
          <w:sz w:val="24"/>
          <w:szCs w:val="24"/>
        </w:rPr>
        <w:t xml:space="preserve"> COVID period)</w:t>
      </w:r>
      <w:r w:rsidR="00BE706B">
        <w:rPr>
          <w:rFonts w:ascii="Times New Roman" w:hAnsi="Times New Roman" w:cs="Times New Roman"/>
          <w:color w:val="000000" w:themeColor="text1"/>
          <w:sz w:val="24"/>
          <w:szCs w:val="24"/>
        </w:rPr>
        <w:t xml:space="preserve"> </w:t>
      </w:r>
      <w:r w:rsidR="00340986">
        <w:rPr>
          <w:rFonts w:ascii="Times New Roman" w:hAnsi="Times New Roman" w:cs="Times New Roman"/>
          <w:color w:val="000000" w:themeColor="text1"/>
          <w:sz w:val="24"/>
          <w:szCs w:val="24"/>
        </w:rPr>
        <w:t xml:space="preserve">is </w:t>
      </w:r>
      <w:r w:rsidR="00051D5D">
        <w:rPr>
          <w:rFonts w:ascii="Times New Roman" w:hAnsi="Times New Roman" w:cs="Times New Roman"/>
          <w:color w:val="000000" w:themeColor="text1"/>
          <w:sz w:val="24"/>
          <w:szCs w:val="24"/>
        </w:rPr>
        <w:t xml:space="preserve">related to </w:t>
      </w:r>
      <w:r w:rsidRPr="000D4FD3">
        <w:rPr>
          <w:rFonts w:ascii="Times New Roman" w:hAnsi="Times New Roman" w:cs="Times New Roman"/>
          <w:color w:val="000000" w:themeColor="text1"/>
          <w:sz w:val="24"/>
          <w:szCs w:val="24"/>
        </w:rPr>
        <w:t xml:space="preserve">the </w:t>
      </w:r>
      <w:r w:rsidRPr="000D4FD3">
        <w:rPr>
          <w:rFonts w:ascii="Times New Roman" w:hAnsi="Times New Roman" w:cs="Times New Roman"/>
          <w:i/>
          <w:color w:val="000000" w:themeColor="text1"/>
          <w:sz w:val="24"/>
          <w:szCs w:val="24"/>
        </w:rPr>
        <w:t>where</w:t>
      </w:r>
      <w:r w:rsidRPr="000D4FD3">
        <w:rPr>
          <w:rFonts w:ascii="Times New Roman" w:hAnsi="Times New Roman" w:cs="Times New Roman"/>
          <w:color w:val="000000" w:themeColor="text1"/>
          <w:sz w:val="24"/>
          <w:szCs w:val="24"/>
        </w:rPr>
        <w:t xml:space="preserve"> dimension</w:t>
      </w:r>
      <w:r w:rsidR="006D3730">
        <w:rPr>
          <w:rFonts w:ascii="Times New Roman" w:hAnsi="Times New Roman" w:cs="Times New Roman"/>
          <w:color w:val="000000" w:themeColor="text1"/>
          <w:sz w:val="24"/>
          <w:szCs w:val="24"/>
        </w:rPr>
        <w:t xml:space="preserve"> (that is, </w:t>
      </w:r>
      <w:r w:rsidRPr="000D4FD3">
        <w:rPr>
          <w:rFonts w:ascii="Times New Roman" w:hAnsi="Times New Roman" w:cs="Times New Roman"/>
          <w:color w:val="000000" w:themeColor="text1"/>
          <w:sz w:val="24"/>
          <w:szCs w:val="24"/>
        </w:rPr>
        <w:t xml:space="preserve">from which remote workplace location </w:t>
      </w:r>
      <w:r w:rsidR="006D3730">
        <w:rPr>
          <w:rFonts w:ascii="Times New Roman" w:hAnsi="Times New Roman" w:cs="Times New Roman"/>
          <w:color w:val="000000" w:themeColor="text1"/>
          <w:sz w:val="24"/>
          <w:szCs w:val="24"/>
        </w:rPr>
        <w:t xml:space="preserve">or WPL is a </w:t>
      </w:r>
      <w:r w:rsidRPr="000D4FD3">
        <w:rPr>
          <w:rFonts w:ascii="Times New Roman" w:hAnsi="Times New Roman" w:cs="Times New Roman"/>
          <w:color w:val="000000" w:themeColor="text1"/>
          <w:sz w:val="24"/>
          <w:szCs w:val="24"/>
        </w:rPr>
        <w:t>teleworker working</w:t>
      </w:r>
      <w:r w:rsidR="006D3730">
        <w:rPr>
          <w:rFonts w:ascii="Times New Roman" w:hAnsi="Times New Roman" w:cs="Times New Roman"/>
          <w:color w:val="000000" w:themeColor="text1"/>
          <w:sz w:val="24"/>
          <w:szCs w:val="24"/>
        </w:rPr>
        <w:t>)</w:t>
      </w:r>
      <w:r w:rsidRPr="000D4FD3">
        <w:rPr>
          <w:rFonts w:ascii="Times New Roman" w:hAnsi="Times New Roman" w:cs="Times New Roman"/>
          <w:color w:val="000000" w:themeColor="text1"/>
          <w:sz w:val="24"/>
          <w:szCs w:val="24"/>
        </w:rPr>
        <w:t>. As employer and government mandates forced workers away from their in-person office locations during the pandemic</w:t>
      </w:r>
      <w:r w:rsidR="00504139" w:rsidRPr="00C2372D">
        <w:rPr>
          <w:rFonts w:ascii="Times New Roman" w:hAnsi="Times New Roman" w:cs="Times New Roman"/>
          <w:sz w:val="24"/>
        </w:rPr>
        <w:t xml:space="preserve">, </w:t>
      </w:r>
      <w:r w:rsidR="00051D5D">
        <w:rPr>
          <w:rFonts w:ascii="Times New Roman" w:hAnsi="Times New Roman" w:cs="Times New Roman"/>
          <w:sz w:val="24"/>
        </w:rPr>
        <w:t>some</w:t>
      </w:r>
      <w:r w:rsidR="00504139" w:rsidRPr="00C2372D">
        <w:rPr>
          <w:rFonts w:ascii="Times New Roman" w:hAnsi="Times New Roman" w:cs="Times New Roman"/>
          <w:sz w:val="24"/>
        </w:rPr>
        <w:t xml:space="preserve"> employees began to </w:t>
      </w:r>
      <w:r>
        <w:rPr>
          <w:rFonts w:ascii="Times New Roman" w:hAnsi="Times New Roman" w:cs="Times New Roman"/>
          <w:sz w:val="24"/>
        </w:rPr>
        <w:t xml:space="preserve">explore different possibilities </w:t>
      </w:r>
      <w:r w:rsidR="00051D5D">
        <w:rPr>
          <w:rFonts w:ascii="Times New Roman" w:hAnsi="Times New Roman" w:cs="Times New Roman"/>
          <w:sz w:val="24"/>
        </w:rPr>
        <w:t>for</w:t>
      </w:r>
      <w:r>
        <w:rPr>
          <w:rFonts w:ascii="Times New Roman" w:hAnsi="Times New Roman" w:cs="Times New Roman"/>
          <w:sz w:val="24"/>
        </w:rPr>
        <w:t xml:space="preserve"> remote </w:t>
      </w:r>
      <w:r w:rsidR="00051D5D">
        <w:rPr>
          <w:rFonts w:ascii="Times New Roman" w:hAnsi="Times New Roman" w:cs="Times New Roman"/>
          <w:sz w:val="24"/>
        </w:rPr>
        <w:t>WPLs</w:t>
      </w:r>
      <w:r>
        <w:rPr>
          <w:rFonts w:ascii="Times New Roman" w:hAnsi="Times New Roman" w:cs="Times New Roman"/>
          <w:sz w:val="24"/>
        </w:rPr>
        <w:t xml:space="preserve"> (beyond the traditional </w:t>
      </w:r>
      <w:r w:rsidR="00051D5D">
        <w:rPr>
          <w:rFonts w:ascii="Times New Roman" w:hAnsi="Times New Roman" w:cs="Times New Roman"/>
          <w:sz w:val="24"/>
        </w:rPr>
        <w:t xml:space="preserve">work from home or </w:t>
      </w:r>
      <w:r>
        <w:rPr>
          <w:rFonts w:ascii="Times New Roman" w:hAnsi="Times New Roman" w:cs="Times New Roman"/>
          <w:sz w:val="24"/>
        </w:rPr>
        <w:t>WFH).</w:t>
      </w:r>
      <w:r w:rsidR="00504139" w:rsidRPr="00C2372D">
        <w:rPr>
          <w:rFonts w:ascii="Times New Roman" w:hAnsi="Times New Roman" w:cs="Times New Roman"/>
          <w:sz w:val="24"/>
        </w:rPr>
        <w:t xml:space="preserve"> </w:t>
      </w:r>
      <w:r>
        <w:rPr>
          <w:rFonts w:ascii="Times New Roman" w:hAnsi="Times New Roman" w:cs="Times New Roman"/>
          <w:sz w:val="24"/>
        </w:rPr>
        <w:t xml:space="preserve">Such non-home </w:t>
      </w:r>
      <w:r w:rsidR="00FC5545">
        <w:rPr>
          <w:rFonts w:ascii="Times New Roman" w:hAnsi="Times New Roman" w:cs="Times New Roman"/>
          <w:sz w:val="24"/>
        </w:rPr>
        <w:t>telework</w:t>
      </w:r>
      <w:r w:rsidR="00504139" w:rsidRPr="00C2372D">
        <w:rPr>
          <w:rFonts w:ascii="Times New Roman" w:hAnsi="Times New Roman" w:cs="Times New Roman"/>
          <w:sz w:val="24"/>
        </w:rPr>
        <w:t xml:space="preserve"> </w:t>
      </w:r>
      <w:r>
        <w:rPr>
          <w:rFonts w:ascii="Times New Roman" w:hAnsi="Times New Roman" w:cs="Times New Roman"/>
          <w:sz w:val="24"/>
        </w:rPr>
        <w:t xml:space="preserve">locations include </w:t>
      </w:r>
      <w:r w:rsidR="006B459E">
        <w:rPr>
          <w:rFonts w:ascii="Times New Roman" w:hAnsi="Times New Roman" w:cs="Times New Roman"/>
          <w:sz w:val="24"/>
        </w:rPr>
        <w:t xml:space="preserve">neighborhood </w:t>
      </w:r>
      <w:r w:rsidR="00504139" w:rsidRPr="00C2372D">
        <w:rPr>
          <w:rFonts w:ascii="Times New Roman" w:hAnsi="Times New Roman" w:cs="Times New Roman"/>
          <w:sz w:val="24"/>
        </w:rPr>
        <w:t>telecommuting centers</w:t>
      </w:r>
      <w:r w:rsidR="006B459E">
        <w:rPr>
          <w:rFonts w:ascii="Times New Roman" w:hAnsi="Times New Roman" w:cs="Times New Roman"/>
          <w:sz w:val="24"/>
        </w:rPr>
        <w:t xml:space="preserve"> (NTC)</w:t>
      </w:r>
      <w:r w:rsidR="00504139" w:rsidRPr="00C2372D">
        <w:rPr>
          <w:rFonts w:ascii="Times New Roman" w:hAnsi="Times New Roman" w:cs="Times New Roman"/>
          <w:sz w:val="24"/>
        </w:rPr>
        <w:t xml:space="preserve"> (Vaddadi et al., 2022)</w:t>
      </w:r>
      <w:r w:rsidR="00F20F13">
        <w:rPr>
          <w:rFonts w:ascii="Times New Roman" w:hAnsi="Times New Roman" w:cs="Times New Roman"/>
          <w:sz w:val="24"/>
        </w:rPr>
        <w:t xml:space="preserve"> and</w:t>
      </w:r>
      <w:r w:rsidR="00504139" w:rsidRPr="00C2372D">
        <w:rPr>
          <w:rFonts w:ascii="Times New Roman" w:hAnsi="Times New Roman" w:cs="Times New Roman"/>
          <w:sz w:val="24"/>
        </w:rPr>
        <w:t xml:space="preserve"> </w:t>
      </w:r>
      <w:r w:rsidR="00501D0D" w:rsidRPr="00C2372D">
        <w:rPr>
          <w:rFonts w:ascii="Times New Roman" w:hAnsi="Times New Roman" w:cs="Times New Roman"/>
          <w:sz w:val="24"/>
        </w:rPr>
        <w:t>third workplaces (Asmussen et al., 2023</w:t>
      </w:r>
      <w:r w:rsidR="00F20F13">
        <w:rPr>
          <w:rFonts w:ascii="Times New Roman" w:hAnsi="Times New Roman" w:cs="Times New Roman"/>
          <w:sz w:val="24"/>
        </w:rPr>
        <w:t>)</w:t>
      </w:r>
      <w:r w:rsidR="00504139" w:rsidRPr="00C2372D">
        <w:rPr>
          <w:rFonts w:ascii="Times New Roman" w:hAnsi="Times New Roman" w:cs="Times New Roman"/>
          <w:sz w:val="24"/>
        </w:rPr>
        <w:t>.</w:t>
      </w:r>
      <w:r w:rsidR="00504139">
        <w:rPr>
          <w:rFonts w:ascii="Times New Roman" w:hAnsi="Times New Roman" w:cs="Times New Roman"/>
          <w:sz w:val="24"/>
        </w:rPr>
        <w:t xml:space="preserve"> </w:t>
      </w:r>
      <w:r w:rsidR="00051D5D">
        <w:rPr>
          <w:rFonts w:ascii="Times New Roman" w:hAnsi="Times New Roman" w:cs="Times New Roman"/>
          <w:sz w:val="24"/>
        </w:rPr>
        <w:t xml:space="preserve">In particular, </w:t>
      </w:r>
      <w:r w:rsidR="006B459E">
        <w:rPr>
          <w:rFonts w:ascii="Times New Roman" w:hAnsi="Times New Roman" w:cs="Times New Roman"/>
          <w:sz w:val="24"/>
        </w:rPr>
        <w:t>Vaddadi et al</w:t>
      </w:r>
      <w:r w:rsidR="00F01542">
        <w:rPr>
          <w:rFonts w:ascii="Times New Roman" w:hAnsi="Times New Roman" w:cs="Times New Roman"/>
          <w:sz w:val="24"/>
        </w:rPr>
        <w:t>.</w:t>
      </w:r>
      <w:r w:rsidR="006B459E">
        <w:rPr>
          <w:rFonts w:ascii="Times New Roman" w:hAnsi="Times New Roman" w:cs="Times New Roman"/>
          <w:sz w:val="24"/>
        </w:rPr>
        <w:t xml:space="preserve"> (2022)</w:t>
      </w:r>
      <w:r w:rsidR="00F01542">
        <w:rPr>
          <w:rFonts w:ascii="Times New Roman" w:hAnsi="Times New Roman" w:cs="Times New Roman"/>
          <w:sz w:val="24"/>
        </w:rPr>
        <w:t xml:space="preserve"> </w:t>
      </w:r>
      <w:r w:rsidR="00051D5D">
        <w:rPr>
          <w:rFonts w:ascii="Times New Roman" w:hAnsi="Times New Roman" w:cs="Times New Roman"/>
          <w:sz w:val="24"/>
        </w:rPr>
        <w:t xml:space="preserve">employ descriptive </w:t>
      </w:r>
      <w:r w:rsidR="006B459E">
        <w:rPr>
          <w:rFonts w:ascii="Times New Roman" w:hAnsi="Times New Roman" w:cs="Times New Roman"/>
          <w:sz w:val="24"/>
        </w:rPr>
        <w:t xml:space="preserve">analysis </w:t>
      </w:r>
      <w:r w:rsidR="00051D5D">
        <w:rPr>
          <w:rFonts w:ascii="Times New Roman" w:hAnsi="Times New Roman" w:cs="Times New Roman"/>
          <w:sz w:val="24"/>
        </w:rPr>
        <w:t xml:space="preserve">techniques </w:t>
      </w:r>
      <w:r w:rsidR="006B459E">
        <w:rPr>
          <w:rFonts w:ascii="Times New Roman" w:hAnsi="Times New Roman" w:cs="Times New Roman"/>
          <w:sz w:val="24"/>
        </w:rPr>
        <w:t xml:space="preserve">to </w:t>
      </w:r>
      <w:r w:rsidR="00051D5D">
        <w:rPr>
          <w:rFonts w:ascii="Times New Roman" w:hAnsi="Times New Roman" w:cs="Times New Roman"/>
          <w:sz w:val="24"/>
        </w:rPr>
        <w:t xml:space="preserve">examine </w:t>
      </w:r>
      <w:r w:rsidR="006B459E">
        <w:rPr>
          <w:rFonts w:ascii="Times New Roman" w:hAnsi="Times New Roman" w:cs="Times New Roman"/>
          <w:sz w:val="24"/>
        </w:rPr>
        <w:t xml:space="preserve">the numbers of </w:t>
      </w:r>
      <w:r w:rsidR="006B459E" w:rsidRPr="00D904DE">
        <w:rPr>
          <w:rFonts w:ascii="Times New Roman" w:hAnsi="Times New Roman" w:cs="Times New Roman"/>
          <w:sz w:val="24"/>
        </w:rPr>
        <w:t xml:space="preserve">days </w:t>
      </w:r>
      <w:r w:rsidR="00D904DE" w:rsidRPr="00A15909">
        <w:rPr>
          <w:rFonts w:ascii="Times New Roman" w:hAnsi="Times New Roman" w:cs="Times New Roman"/>
          <w:sz w:val="24"/>
        </w:rPr>
        <w:t>across a three week period</w:t>
      </w:r>
      <w:r w:rsidR="002D6082" w:rsidRPr="00D904DE">
        <w:rPr>
          <w:rFonts w:ascii="Times New Roman" w:hAnsi="Times New Roman" w:cs="Times New Roman"/>
          <w:sz w:val="24"/>
        </w:rPr>
        <w:t xml:space="preserve"> </w:t>
      </w:r>
      <w:r w:rsidR="006B459E" w:rsidRPr="00D904DE">
        <w:rPr>
          <w:rFonts w:ascii="Times New Roman" w:hAnsi="Times New Roman" w:cs="Times New Roman"/>
          <w:sz w:val="24"/>
        </w:rPr>
        <w:t xml:space="preserve">spent working from </w:t>
      </w:r>
      <w:r w:rsidR="00051D5D" w:rsidRPr="00D904DE">
        <w:rPr>
          <w:rFonts w:ascii="Times New Roman" w:hAnsi="Times New Roman" w:cs="Times New Roman"/>
          <w:sz w:val="24"/>
        </w:rPr>
        <w:t xml:space="preserve">an </w:t>
      </w:r>
      <w:r w:rsidR="006B459E" w:rsidRPr="00D904DE">
        <w:rPr>
          <w:rFonts w:ascii="Times New Roman" w:hAnsi="Times New Roman" w:cs="Times New Roman"/>
          <w:sz w:val="24"/>
        </w:rPr>
        <w:t>NTC, relative to th</w:t>
      </w:r>
      <w:r w:rsidR="00051D5D" w:rsidRPr="00D904DE">
        <w:rPr>
          <w:rFonts w:ascii="Times New Roman" w:hAnsi="Times New Roman" w:cs="Times New Roman"/>
          <w:sz w:val="24"/>
        </w:rPr>
        <w:t xml:space="preserve">e regular </w:t>
      </w:r>
      <w:r w:rsidR="006B459E" w:rsidRPr="00D904DE">
        <w:rPr>
          <w:rFonts w:ascii="Times New Roman" w:hAnsi="Times New Roman" w:cs="Times New Roman"/>
          <w:sz w:val="24"/>
        </w:rPr>
        <w:t>office or home. They</w:t>
      </w:r>
      <w:r w:rsidR="006B459E">
        <w:rPr>
          <w:rFonts w:ascii="Times New Roman" w:hAnsi="Times New Roman" w:cs="Times New Roman"/>
          <w:sz w:val="24"/>
        </w:rPr>
        <w:t xml:space="preserve"> f</w:t>
      </w:r>
      <w:r w:rsidR="00D338B7">
        <w:rPr>
          <w:rFonts w:ascii="Times New Roman" w:hAnsi="Times New Roman" w:cs="Times New Roman"/>
          <w:sz w:val="24"/>
        </w:rPr>
        <w:t>ind</w:t>
      </w:r>
      <w:r w:rsidR="006B459E">
        <w:rPr>
          <w:rFonts w:ascii="Times New Roman" w:hAnsi="Times New Roman" w:cs="Times New Roman"/>
          <w:sz w:val="24"/>
        </w:rPr>
        <w:t xml:space="preserve"> that an NTC </w:t>
      </w:r>
      <w:r w:rsidR="00D338B7">
        <w:rPr>
          <w:rFonts w:ascii="Times New Roman" w:hAnsi="Times New Roman" w:cs="Times New Roman"/>
          <w:sz w:val="24"/>
        </w:rPr>
        <w:t>is</w:t>
      </w:r>
      <w:r w:rsidR="006B459E">
        <w:rPr>
          <w:rFonts w:ascii="Times New Roman" w:hAnsi="Times New Roman" w:cs="Times New Roman"/>
          <w:sz w:val="24"/>
        </w:rPr>
        <w:t xml:space="preserve"> more of a replacement for working from home, rather than replacing a commute to the in-person office. </w:t>
      </w:r>
      <w:r w:rsidR="00501D0D">
        <w:rPr>
          <w:rFonts w:ascii="Times New Roman" w:hAnsi="Times New Roman" w:cs="Times New Roman"/>
          <w:sz w:val="24"/>
        </w:rPr>
        <w:t>Asmussen et al. (2023</w:t>
      </w:r>
      <w:r w:rsidR="00501D0D">
        <w:rPr>
          <w:rFonts w:ascii="Times New Roman" w:hAnsi="Times New Roman" w:cs="Times New Roman"/>
          <w:sz w:val="24"/>
          <w:szCs w:val="24"/>
        </w:rPr>
        <w:t>) explore th</w:t>
      </w:r>
      <w:r>
        <w:rPr>
          <w:rFonts w:ascii="Times New Roman" w:hAnsi="Times New Roman" w:cs="Times New Roman"/>
          <w:sz w:val="24"/>
          <w:szCs w:val="24"/>
        </w:rPr>
        <w:t>e “third workplace”</w:t>
      </w:r>
      <w:r w:rsidR="00501D0D">
        <w:rPr>
          <w:rFonts w:ascii="Times New Roman" w:hAnsi="Times New Roman" w:cs="Times New Roman"/>
          <w:sz w:val="24"/>
          <w:szCs w:val="24"/>
        </w:rPr>
        <w:t xml:space="preserve"> </w:t>
      </w:r>
      <w:r>
        <w:rPr>
          <w:rFonts w:ascii="Times New Roman" w:hAnsi="Times New Roman" w:cs="Times New Roman"/>
          <w:sz w:val="24"/>
          <w:szCs w:val="24"/>
        </w:rPr>
        <w:t>(such as cafes)</w:t>
      </w:r>
      <w:r w:rsidR="00501D0D">
        <w:rPr>
          <w:rFonts w:ascii="Times New Roman" w:hAnsi="Times New Roman" w:cs="Times New Roman"/>
          <w:sz w:val="24"/>
          <w:szCs w:val="24"/>
        </w:rPr>
        <w:t xml:space="preserve"> </w:t>
      </w:r>
      <w:r>
        <w:rPr>
          <w:rFonts w:ascii="Times New Roman" w:hAnsi="Times New Roman" w:cs="Times New Roman"/>
          <w:sz w:val="24"/>
          <w:szCs w:val="24"/>
        </w:rPr>
        <w:t xml:space="preserve">as </w:t>
      </w:r>
      <w:r w:rsidR="00051D5D">
        <w:rPr>
          <w:rFonts w:ascii="Times New Roman" w:hAnsi="Times New Roman" w:cs="Times New Roman"/>
          <w:sz w:val="24"/>
          <w:szCs w:val="24"/>
        </w:rPr>
        <w:t xml:space="preserve">an </w:t>
      </w:r>
      <w:r>
        <w:rPr>
          <w:rFonts w:ascii="Times New Roman" w:hAnsi="Times New Roman" w:cs="Times New Roman"/>
          <w:sz w:val="24"/>
          <w:szCs w:val="24"/>
        </w:rPr>
        <w:t xml:space="preserve">alternative </w:t>
      </w:r>
      <w:r w:rsidR="00501D0D">
        <w:rPr>
          <w:rFonts w:ascii="Times New Roman" w:hAnsi="Times New Roman" w:cs="Times New Roman"/>
          <w:sz w:val="24"/>
          <w:szCs w:val="24"/>
        </w:rPr>
        <w:t>alongside their in-person work office and home</w:t>
      </w:r>
      <w:r w:rsidR="00051D5D">
        <w:rPr>
          <w:rFonts w:ascii="Times New Roman" w:hAnsi="Times New Roman" w:cs="Times New Roman"/>
          <w:sz w:val="24"/>
          <w:szCs w:val="24"/>
        </w:rPr>
        <w:t xml:space="preserve"> WPL options</w:t>
      </w:r>
      <w:r w:rsidR="002D6082">
        <w:rPr>
          <w:rFonts w:ascii="Times New Roman" w:hAnsi="Times New Roman" w:cs="Times New Roman"/>
          <w:sz w:val="24"/>
          <w:szCs w:val="24"/>
        </w:rPr>
        <w:t xml:space="preserve">, and examine the </w:t>
      </w:r>
      <w:r w:rsidR="00F20F13">
        <w:rPr>
          <w:rFonts w:ascii="Times New Roman" w:hAnsi="Times New Roman" w:cs="Times New Roman"/>
          <w:sz w:val="24"/>
          <w:szCs w:val="24"/>
        </w:rPr>
        <w:t xml:space="preserve">preferred (not the actual) </w:t>
      </w:r>
      <w:r w:rsidR="002D6082">
        <w:rPr>
          <w:rFonts w:ascii="Times New Roman" w:hAnsi="Times New Roman" w:cs="Times New Roman"/>
          <w:sz w:val="24"/>
          <w:szCs w:val="24"/>
        </w:rPr>
        <w:t xml:space="preserve">allocation of days across the three WPLs over the course of a work </w:t>
      </w:r>
      <w:r w:rsidR="002D6082" w:rsidRPr="008B6D6C">
        <w:rPr>
          <w:rFonts w:ascii="Times New Roman" w:hAnsi="Times New Roman" w:cs="Times New Roman"/>
          <w:sz w:val="24"/>
          <w:szCs w:val="24"/>
        </w:rPr>
        <w:t>month</w:t>
      </w:r>
      <w:r w:rsidR="005219AE">
        <w:rPr>
          <w:rFonts w:ascii="Times New Roman" w:hAnsi="Times New Roman" w:cs="Times New Roman"/>
          <w:sz w:val="24"/>
          <w:szCs w:val="24"/>
        </w:rPr>
        <w:t>. They elicit the preferred allocation using a stated intention question for</w:t>
      </w:r>
      <w:r w:rsidR="00F20F13" w:rsidRPr="008B6D6C">
        <w:rPr>
          <w:rFonts w:ascii="Times New Roman" w:hAnsi="Times New Roman" w:cs="Times New Roman"/>
          <w:sz w:val="24"/>
          <w:szCs w:val="24"/>
        </w:rPr>
        <w:t xml:space="preserve"> </w:t>
      </w:r>
      <w:r w:rsidR="005219AE" w:rsidRPr="008B6D6C">
        <w:rPr>
          <w:rFonts w:ascii="Times New Roman" w:hAnsi="Times New Roman" w:cs="Times New Roman"/>
          <w:sz w:val="24"/>
          <w:szCs w:val="24"/>
        </w:rPr>
        <w:t>a future period when</w:t>
      </w:r>
      <w:r w:rsidR="005219AE" w:rsidRPr="005E7637">
        <w:rPr>
          <w:rFonts w:ascii="Times New Roman" w:hAnsi="Times New Roman" w:cs="Times New Roman"/>
          <w:sz w:val="24"/>
          <w:szCs w:val="24"/>
        </w:rPr>
        <w:t xml:space="preserve"> COVID </w:t>
      </w:r>
      <w:r w:rsidR="005219AE">
        <w:rPr>
          <w:rFonts w:ascii="Times New Roman" w:hAnsi="Times New Roman" w:cs="Times New Roman"/>
          <w:sz w:val="24"/>
          <w:szCs w:val="24"/>
        </w:rPr>
        <w:t>“</w:t>
      </w:r>
      <w:r w:rsidR="005219AE" w:rsidRPr="005E7637">
        <w:rPr>
          <w:rFonts w:ascii="Times New Roman" w:hAnsi="Times New Roman" w:cs="Times New Roman"/>
          <w:sz w:val="24"/>
          <w:szCs w:val="24"/>
        </w:rPr>
        <w:t xml:space="preserve">would </w:t>
      </w:r>
      <w:r w:rsidR="005219AE">
        <w:rPr>
          <w:rFonts w:ascii="Times New Roman" w:hAnsi="Times New Roman" w:cs="Times New Roman"/>
          <w:sz w:val="24"/>
          <w:szCs w:val="24"/>
        </w:rPr>
        <w:t xml:space="preserve">still </w:t>
      </w:r>
      <w:r w:rsidR="005219AE" w:rsidRPr="005E7637">
        <w:rPr>
          <w:rFonts w:ascii="Times New Roman" w:hAnsi="Times New Roman" w:cs="Times New Roman"/>
          <w:sz w:val="24"/>
          <w:szCs w:val="24"/>
        </w:rPr>
        <w:t xml:space="preserve">be present but </w:t>
      </w:r>
      <w:r w:rsidR="005219AE">
        <w:rPr>
          <w:rFonts w:ascii="Times New Roman" w:hAnsi="Times New Roman" w:cs="Times New Roman"/>
          <w:sz w:val="24"/>
          <w:szCs w:val="24"/>
        </w:rPr>
        <w:t xml:space="preserve">only </w:t>
      </w:r>
      <w:r w:rsidR="005219AE" w:rsidRPr="005E7637">
        <w:rPr>
          <w:rFonts w:ascii="Times New Roman" w:hAnsi="Times New Roman" w:cs="Times New Roman"/>
          <w:sz w:val="24"/>
          <w:szCs w:val="24"/>
        </w:rPr>
        <w:t>in an endemic state.</w:t>
      </w:r>
      <w:r w:rsidR="005219AE">
        <w:rPr>
          <w:rFonts w:ascii="Times New Roman" w:hAnsi="Times New Roman" w:cs="Times New Roman"/>
          <w:sz w:val="24"/>
          <w:szCs w:val="24"/>
        </w:rPr>
        <w:t xml:space="preserve">” </w:t>
      </w:r>
      <w:r w:rsidR="00501D0D">
        <w:rPr>
          <w:rFonts w:ascii="Times New Roman" w:hAnsi="Times New Roman" w:cs="Times New Roman"/>
          <w:sz w:val="24"/>
          <w:szCs w:val="24"/>
        </w:rPr>
        <w:t xml:space="preserve">They </w:t>
      </w:r>
      <w:r w:rsidR="005219AE">
        <w:rPr>
          <w:rFonts w:ascii="Times New Roman" w:hAnsi="Times New Roman" w:cs="Times New Roman"/>
          <w:sz w:val="24"/>
          <w:szCs w:val="24"/>
        </w:rPr>
        <w:t>observe</w:t>
      </w:r>
      <w:r w:rsidR="00501D0D">
        <w:rPr>
          <w:rFonts w:ascii="Times New Roman" w:hAnsi="Times New Roman" w:cs="Times New Roman"/>
          <w:sz w:val="24"/>
          <w:szCs w:val="24"/>
        </w:rPr>
        <w:t xml:space="preserve"> that, while still not as preferred as the other two alternatives, </w:t>
      </w:r>
      <w:r w:rsidR="005219AE">
        <w:rPr>
          <w:rFonts w:ascii="Times New Roman" w:hAnsi="Times New Roman" w:cs="Times New Roman"/>
          <w:sz w:val="24"/>
          <w:szCs w:val="24"/>
        </w:rPr>
        <w:t xml:space="preserve">younger workers and women with young children seem particularly drawn to working from a third workplace relative to their “observationally equivalent” peers.  </w:t>
      </w:r>
    </w:p>
    <w:p w14:paraId="035987BD" w14:textId="77777777" w:rsidR="00501D0D" w:rsidRDefault="00501D0D">
      <w:pPr>
        <w:pStyle w:val="Heading2"/>
      </w:pPr>
    </w:p>
    <w:p w14:paraId="6D8FD35D" w14:textId="40AE3596" w:rsidR="009F5A37" w:rsidRPr="00194389" w:rsidRDefault="00A03376" w:rsidP="000D4FD3">
      <w:pPr>
        <w:pStyle w:val="Heading2"/>
        <w:rPr>
          <w:iCs/>
        </w:rPr>
      </w:pPr>
      <w:r w:rsidRPr="00194389">
        <w:rPr>
          <w:iCs/>
        </w:rPr>
        <w:t>2</w:t>
      </w:r>
      <w:r w:rsidR="0074047A" w:rsidRPr="00194389">
        <w:rPr>
          <w:iCs/>
        </w:rPr>
        <w:t>.3</w:t>
      </w:r>
      <w:r w:rsidR="009C5C3C" w:rsidRPr="00194389">
        <w:rPr>
          <w:iCs/>
        </w:rPr>
        <w:t xml:space="preserve"> Inter-temporal</w:t>
      </w:r>
      <w:r w:rsidR="009F5A37" w:rsidRPr="00194389">
        <w:rPr>
          <w:iCs/>
        </w:rPr>
        <w:t xml:space="preserve"> </w:t>
      </w:r>
      <w:r w:rsidR="00DA63C4" w:rsidRPr="00194389">
        <w:rPr>
          <w:iCs/>
        </w:rPr>
        <w:t>S</w:t>
      </w:r>
      <w:r w:rsidR="002A08DD" w:rsidRPr="00194389">
        <w:rPr>
          <w:iCs/>
        </w:rPr>
        <w:t xml:space="preserve">hifts in </w:t>
      </w:r>
      <w:r w:rsidR="00DA63C4" w:rsidRPr="00194389">
        <w:rPr>
          <w:iCs/>
        </w:rPr>
        <w:t>T</w:t>
      </w:r>
      <w:r w:rsidR="002A08DD" w:rsidRPr="00194389">
        <w:rPr>
          <w:iCs/>
        </w:rPr>
        <w:t xml:space="preserve">eleworking </w:t>
      </w:r>
      <w:r w:rsidR="00DA63C4" w:rsidRPr="00194389">
        <w:rPr>
          <w:iCs/>
        </w:rPr>
        <w:t>B</w:t>
      </w:r>
      <w:r w:rsidR="002A08DD" w:rsidRPr="00194389">
        <w:rPr>
          <w:iCs/>
        </w:rPr>
        <w:t>ehavior</w:t>
      </w:r>
    </w:p>
    <w:p w14:paraId="3E52494E" w14:textId="51D76A81" w:rsidR="0027214C" w:rsidRDefault="00D338B7" w:rsidP="00DD49E4">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00A72980">
        <w:rPr>
          <w:rFonts w:ascii="Times New Roman" w:hAnsi="Times New Roman" w:cs="Times New Roman"/>
          <w:sz w:val="24"/>
          <w:szCs w:val="24"/>
        </w:rPr>
        <w:t xml:space="preserve">he studies </w:t>
      </w:r>
      <w:r>
        <w:rPr>
          <w:rFonts w:ascii="Times New Roman" w:hAnsi="Times New Roman" w:cs="Times New Roman"/>
          <w:sz w:val="24"/>
          <w:szCs w:val="24"/>
        </w:rPr>
        <w:t xml:space="preserve">in the earlier two sections examine </w:t>
      </w:r>
      <w:r w:rsidR="00A72980">
        <w:rPr>
          <w:rFonts w:ascii="Times New Roman" w:hAnsi="Times New Roman" w:cs="Times New Roman"/>
          <w:sz w:val="24"/>
          <w:szCs w:val="24"/>
        </w:rPr>
        <w:t xml:space="preserve">telework </w:t>
      </w:r>
      <w:r>
        <w:rPr>
          <w:rFonts w:ascii="Times New Roman" w:hAnsi="Times New Roman" w:cs="Times New Roman"/>
          <w:sz w:val="24"/>
          <w:szCs w:val="24"/>
        </w:rPr>
        <w:t xml:space="preserve">at a single point in time. A couple of recent studies, however, have examined changes in </w:t>
      </w:r>
      <w:r w:rsidR="005B6A63">
        <w:rPr>
          <w:rFonts w:ascii="Times New Roman" w:hAnsi="Times New Roman" w:cs="Times New Roman"/>
          <w:sz w:val="24"/>
          <w:szCs w:val="24"/>
        </w:rPr>
        <w:t xml:space="preserve">teleworking </w:t>
      </w:r>
      <w:r>
        <w:rPr>
          <w:rFonts w:ascii="Times New Roman" w:hAnsi="Times New Roman" w:cs="Times New Roman"/>
          <w:sz w:val="24"/>
          <w:szCs w:val="24"/>
        </w:rPr>
        <w:t xml:space="preserve">brought about by COVID. </w:t>
      </w:r>
      <w:r w:rsidR="005B6A63">
        <w:rPr>
          <w:rFonts w:ascii="Times New Roman" w:hAnsi="Times New Roman" w:cs="Times New Roman"/>
          <w:sz w:val="24"/>
          <w:szCs w:val="24"/>
        </w:rPr>
        <w:t xml:space="preserve">For example, </w:t>
      </w:r>
      <w:r w:rsidR="00120881">
        <w:rPr>
          <w:rFonts w:ascii="Times New Roman" w:hAnsi="Times New Roman" w:cs="Times New Roman"/>
          <w:sz w:val="24"/>
          <w:szCs w:val="24"/>
        </w:rPr>
        <w:t xml:space="preserve">Bick et al. (2021) </w:t>
      </w:r>
      <w:r>
        <w:rPr>
          <w:rFonts w:ascii="Times New Roman" w:hAnsi="Times New Roman" w:cs="Times New Roman"/>
          <w:sz w:val="24"/>
          <w:szCs w:val="24"/>
        </w:rPr>
        <w:t xml:space="preserve">use a weekly </w:t>
      </w:r>
      <w:r w:rsidR="007C26F4">
        <w:rPr>
          <w:rFonts w:ascii="Times New Roman" w:hAnsi="Times New Roman" w:cs="Times New Roman"/>
          <w:sz w:val="24"/>
          <w:szCs w:val="24"/>
        </w:rPr>
        <w:t xml:space="preserve">time frame </w:t>
      </w:r>
      <w:r>
        <w:rPr>
          <w:rFonts w:ascii="Times New Roman" w:hAnsi="Times New Roman" w:cs="Times New Roman"/>
          <w:sz w:val="24"/>
          <w:szCs w:val="24"/>
        </w:rPr>
        <w:t>and categorize</w:t>
      </w:r>
      <w:r w:rsidR="00120881">
        <w:rPr>
          <w:rFonts w:ascii="Times New Roman" w:hAnsi="Times New Roman" w:cs="Times New Roman"/>
          <w:sz w:val="24"/>
          <w:szCs w:val="24"/>
        </w:rPr>
        <w:t xml:space="preserve"> </w:t>
      </w:r>
      <w:r>
        <w:rPr>
          <w:rFonts w:ascii="Times New Roman" w:hAnsi="Times New Roman" w:cs="Times New Roman"/>
          <w:sz w:val="24"/>
          <w:szCs w:val="24"/>
        </w:rPr>
        <w:t xml:space="preserve">full-time </w:t>
      </w:r>
      <w:r w:rsidR="00120881">
        <w:rPr>
          <w:rFonts w:ascii="Times New Roman" w:hAnsi="Times New Roman" w:cs="Times New Roman"/>
          <w:sz w:val="24"/>
          <w:szCs w:val="24"/>
        </w:rPr>
        <w:t xml:space="preserve">employees into three </w:t>
      </w:r>
      <w:r w:rsidR="00AE590C">
        <w:rPr>
          <w:rFonts w:ascii="Times New Roman" w:hAnsi="Times New Roman" w:cs="Times New Roman"/>
          <w:sz w:val="24"/>
          <w:szCs w:val="24"/>
        </w:rPr>
        <w:t>work-arrangement</w:t>
      </w:r>
      <w:r w:rsidR="00120881">
        <w:rPr>
          <w:rFonts w:ascii="Times New Roman" w:hAnsi="Times New Roman" w:cs="Times New Roman"/>
          <w:sz w:val="24"/>
          <w:szCs w:val="24"/>
        </w:rPr>
        <w:t xml:space="preserve"> groups</w:t>
      </w:r>
      <w:r w:rsidR="005B6A63">
        <w:rPr>
          <w:rFonts w:ascii="Times New Roman" w:hAnsi="Times New Roman" w:cs="Times New Roman"/>
          <w:sz w:val="24"/>
          <w:szCs w:val="24"/>
        </w:rPr>
        <w:t xml:space="preserve"> – (</w:t>
      </w:r>
      <w:r>
        <w:rPr>
          <w:rFonts w:ascii="Times New Roman" w:hAnsi="Times New Roman" w:cs="Times New Roman"/>
          <w:sz w:val="24"/>
          <w:szCs w:val="24"/>
        </w:rPr>
        <w:t>1</w:t>
      </w:r>
      <w:r w:rsidR="005B6A63">
        <w:rPr>
          <w:rFonts w:ascii="Times New Roman" w:hAnsi="Times New Roman" w:cs="Times New Roman"/>
          <w:sz w:val="24"/>
          <w:szCs w:val="24"/>
        </w:rPr>
        <w:t xml:space="preserve">) </w:t>
      </w:r>
      <w:r w:rsidR="00120881">
        <w:rPr>
          <w:rFonts w:ascii="Times New Roman" w:hAnsi="Times New Roman" w:cs="Times New Roman"/>
          <w:sz w:val="24"/>
          <w:szCs w:val="24"/>
        </w:rPr>
        <w:t xml:space="preserve">commute-only, </w:t>
      </w:r>
      <w:r w:rsidR="005B6A63">
        <w:rPr>
          <w:rFonts w:ascii="Times New Roman" w:hAnsi="Times New Roman" w:cs="Times New Roman"/>
          <w:sz w:val="24"/>
          <w:szCs w:val="24"/>
        </w:rPr>
        <w:t>(</w:t>
      </w:r>
      <w:r>
        <w:rPr>
          <w:rFonts w:ascii="Times New Roman" w:hAnsi="Times New Roman" w:cs="Times New Roman"/>
          <w:sz w:val="24"/>
          <w:szCs w:val="24"/>
        </w:rPr>
        <w:t>2</w:t>
      </w:r>
      <w:r w:rsidR="005B6A63">
        <w:rPr>
          <w:rFonts w:ascii="Times New Roman" w:hAnsi="Times New Roman" w:cs="Times New Roman"/>
          <w:sz w:val="24"/>
          <w:szCs w:val="24"/>
        </w:rPr>
        <w:t xml:space="preserve">) </w:t>
      </w:r>
      <w:r w:rsidR="00120881">
        <w:rPr>
          <w:rFonts w:ascii="Times New Roman" w:hAnsi="Times New Roman" w:cs="Times New Roman"/>
          <w:sz w:val="24"/>
          <w:szCs w:val="24"/>
        </w:rPr>
        <w:t>work from home (WFH) some days</w:t>
      </w:r>
      <w:r w:rsidR="005B6A63">
        <w:rPr>
          <w:rFonts w:ascii="Times New Roman" w:hAnsi="Times New Roman" w:cs="Times New Roman"/>
          <w:sz w:val="24"/>
          <w:szCs w:val="24"/>
        </w:rPr>
        <w:t>,</w:t>
      </w:r>
      <w:r w:rsidR="00120881">
        <w:rPr>
          <w:rFonts w:ascii="Times New Roman" w:hAnsi="Times New Roman" w:cs="Times New Roman"/>
          <w:sz w:val="24"/>
          <w:szCs w:val="24"/>
        </w:rPr>
        <w:t xml:space="preserve"> and </w:t>
      </w:r>
      <w:r w:rsidR="005B6A63">
        <w:rPr>
          <w:rFonts w:ascii="Times New Roman" w:hAnsi="Times New Roman" w:cs="Times New Roman"/>
          <w:sz w:val="24"/>
          <w:szCs w:val="24"/>
        </w:rPr>
        <w:t>(</w:t>
      </w:r>
      <w:r>
        <w:rPr>
          <w:rFonts w:ascii="Times New Roman" w:hAnsi="Times New Roman" w:cs="Times New Roman"/>
          <w:sz w:val="24"/>
          <w:szCs w:val="24"/>
        </w:rPr>
        <w:t>3</w:t>
      </w:r>
      <w:r w:rsidR="005B6A63">
        <w:rPr>
          <w:rFonts w:ascii="Times New Roman" w:hAnsi="Times New Roman" w:cs="Times New Roman"/>
          <w:sz w:val="24"/>
          <w:szCs w:val="24"/>
        </w:rPr>
        <w:t>)</w:t>
      </w:r>
      <w:r w:rsidR="00FC3D0E">
        <w:rPr>
          <w:rFonts w:ascii="Times New Roman" w:hAnsi="Times New Roman" w:cs="Times New Roman"/>
          <w:sz w:val="24"/>
          <w:szCs w:val="24"/>
        </w:rPr>
        <w:t xml:space="preserve"> </w:t>
      </w:r>
      <w:r w:rsidR="00120881">
        <w:rPr>
          <w:rFonts w:ascii="Times New Roman" w:hAnsi="Times New Roman" w:cs="Times New Roman"/>
          <w:sz w:val="24"/>
          <w:szCs w:val="24"/>
        </w:rPr>
        <w:t>WFH-only</w:t>
      </w:r>
      <w:r w:rsidR="0031743E">
        <w:rPr>
          <w:rFonts w:ascii="Times New Roman" w:hAnsi="Times New Roman" w:cs="Times New Roman"/>
          <w:sz w:val="24"/>
          <w:szCs w:val="24"/>
        </w:rPr>
        <w:t xml:space="preserve">. They do so for each of </w:t>
      </w:r>
      <w:r w:rsidR="00120881">
        <w:rPr>
          <w:rFonts w:ascii="Times New Roman" w:hAnsi="Times New Roman" w:cs="Times New Roman"/>
          <w:sz w:val="24"/>
          <w:szCs w:val="24"/>
        </w:rPr>
        <w:t>three separate time</w:t>
      </w:r>
      <w:r w:rsidR="005B6A63">
        <w:rPr>
          <w:rFonts w:ascii="Times New Roman" w:hAnsi="Times New Roman" w:cs="Times New Roman"/>
          <w:sz w:val="24"/>
          <w:szCs w:val="24"/>
        </w:rPr>
        <w:t xml:space="preserve"> periods – (</w:t>
      </w:r>
      <w:r>
        <w:rPr>
          <w:rFonts w:ascii="Times New Roman" w:hAnsi="Times New Roman" w:cs="Times New Roman"/>
          <w:sz w:val="24"/>
          <w:szCs w:val="24"/>
        </w:rPr>
        <w:t>a</w:t>
      </w:r>
      <w:r w:rsidR="005B6A63">
        <w:rPr>
          <w:rFonts w:ascii="Times New Roman" w:hAnsi="Times New Roman" w:cs="Times New Roman"/>
          <w:sz w:val="24"/>
          <w:szCs w:val="24"/>
        </w:rPr>
        <w:t>)</w:t>
      </w:r>
      <w:r w:rsidR="00120881">
        <w:rPr>
          <w:rFonts w:ascii="Times New Roman" w:hAnsi="Times New Roman" w:cs="Times New Roman"/>
          <w:sz w:val="24"/>
          <w:szCs w:val="24"/>
        </w:rPr>
        <w:t xml:space="preserve"> before the pandemic, </w:t>
      </w:r>
      <w:r w:rsidR="005B6A63">
        <w:rPr>
          <w:rFonts w:ascii="Times New Roman" w:hAnsi="Times New Roman" w:cs="Times New Roman"/>
          <w:sz w:val="24"/>
          <w:szCs w:val="24"/>
        </w:rPr>
        <w:t>(</w:t>
      </w:r>
      <w:r>
        <w:rPr>
          <w:rFonts w:ascii="Times New Roman" w:hAnsi="Times New Roman" w:cs="Times New Roman"/>
          <w:sz w:val="24"/>
          <w:szCs w:val="24"/>
        </w:rPr>
        <w:t>b</w:t>
      </w:r>
      <w:r w:rsidR="005B6A63">
        <w:rPr>
          <w:rFonts w:ascii="Times New Roman" w:hAnsi="Times New Roman" w:cs="Times New Roman"/>
          <w:sz w:val="24"/>
          <w:szCs w:val="24"/>
        </w:rPr>
        <w:t xml:space="preserve">) </w:t>
      </w:r>
      <w:r w:rsidR="00120881">
        <w:rPr>
          <w:rFonts w:ascii="Times New Roman" w:hAnsi="Times New Roman" w:cs="Times New Roman"/>
          <w:sz w:val="24"/>
          <w:szCs w:val="24"/>
        </w:rPr>
        <w:t>in May 2020</w:t>
      </w:r>
      <w:r w:rsidR="00FC3D0E">
        <w:rPr>
          <w:rFonts w:ascii="Times New Roman" w:hAnsi="Times New Roman" w:cs="Times New Roman"/>
          <w:sz w:val="24"/>
          <w:szCs w:val="24"/>
        </w:rPr>
        <w:t>,</w:t>
      </w:r>
      <w:r w:rsidR="00120881">
        <w:rPr>
          <w:rFonts w:ascii="Times New Roman" w:hAnsi="Times New Roman" w:cs="Times New Roman"/>
          <w:sz w:val="24"/>
          <w:szCs w:val="24"/>
        </w:rPr>
        <w:t xml:space="preserve"> and </w:t>
      </w:r>
      <w:r w:rsidR="005B6A63">
        <w:rPr>
          <w:rFonts w:ascii="Times New Roman" w:hAnsi="Times New Roman" w:cs="Times New Roman"/>
          <w:sz w:val="24"/>
          <w:szCs w:val="24"/>
        </w:rPr>
        <w:t>(</w:t>
      </w:r>
      <w:r>
        <w:rPr>
          <w:rFonts w:ascii="Times New Roman" w:hAnsi="Times New Roman" w:cs="Times New Roman"/>
          <w:sz w:val="24"/>
          <w:szCs w:val="24"/>
        </w:rPr>
        <w:t>c</w:t>
      </w:r>
      <w:r w:rsidR="005B6A63">
        <w:rPr>
          <w:rFonts w:ascii="Times New Roman" w:hAnsi="Times New Roman" w:cs="Times New Roman"/>
          <w:sz w:val="24"/>
          <w:szCs w:val="24"/>
        </w:rPr>
        <w:t>)</w:t>
      </w:r>
      <w:r w:rsidR="00120881">
        <w:rPr>
          <w:rFonts w:ascii="Times New Roman" w:hAnsi="Times New Roman" w:cs="Times New Roman"/>
          <w:sz w:val="24"/>
          <w:szCs w:val="24"/>
        </w:rPr>
        <w:t xml:space="preserve"> in Dec</w:t>
      </w:r>
      <w:r w:rsidR="008F4C0E">
        <w:rPr>
          <w:rFonts w:ascii="Times New Roman" w:hAnsi="Times New Roman" w:cs="Times New Roman"/>
          <w:sz w:val="24"/>
          <w:szCs w:val="24"/>
        </w:rPr>
        <w:t>ember</w:t>
      </w:r>
      <w:r w:rsidR="00120881">
        <w:rPr>
          <w:rFonts w:ascii="Times New Roman" w:hAnsi="Times New Roman" w:cs="Times New Roman"/>
          <w:sz w:val="24"/>
          <w:szCs w:val="24"/>
        </w:rPr>
        <w:t xml:space="preserve"> 2020</w:t>
      </w:r>
      <w:r w:rsidR="0031743E">
        <w:rPr>
          <w:rFonts w:ascii="Times New Roman" w:hAnsi="Times New Roman" w:cs="Times New Roman"/>
          <w:sz w:val="24"/>
          <w:szCs w:val="24"/>
        </w:rPr>
        <w:t xml:space="preserve">, using </w:t>
      </w:r>
      <w:r w:rsidR="00EF07DD">
        <w:rPr>
          <w:rFonts w:ascii="Times New Roman" w:hAnsi="Times New Roman" w:cs="Times New Roman"/>
          <w:sz w:val="24"/>
          <w:szCs w:val="24"/>
        </w:rPr>
        <w:t xml:space="preserve">a longitudinal </w:t>
      </w:r>
      <w:r w:rsidR="000F231E">
        <w:rPr>
          <w:rFonts w:ascii="Times New Roman" w:hAnsi="Times New Roman" w:cs="Times New Roman"/>
          <w:sz w:val="24"/>
          <w:szCs w:val="24"/>
        </w:rPr>
        <w:t>survey</w:t>
      </w:r>
      <w:r w:rsidR="00EF07DD">
        <w:rPr>
          <w:rFonts w:ascii="Times New Roman" w:hAnsi="Times New Roman" w:cs="Times New Roman"/>
          <w:sz w:val="24"/>
          <w:szCs w:val="24"/>
        </w:rPr>
        <w:t xml:space="preserve">. </w:t>
      </w:r>
      <w:r w:rsidR="00497B21">
        <w:rPr>
          <w:rFonts w:ascii="Times New Roman" w:hAnsi="Times New Roman" w:cs="Times New Roman"/>
          <w:sz w:val="24"/>
          <w:szCs w:val="24"/>
        </w:rPr>
        <w:t xml:space="preserve">They subsequently </w:t>
      </w:r>
      <w:r w:rsidR="00850FED">
        <w:rPr>
          <w:rFonts w:ascii="Times New Roman" w:hAnsi="Times New Roman" w:cs="Times New Roman"/>
          <w:sz w:val="24"/>
          <w:szCs w:val="24"/>
        </w:rPr>
        <w:t>undertake a</w:t>
      </w:r>
      <w:r w:rsidR="0031743E">
        <w:rPr>
          <w:rFonts w:ascii="Times New Roman" w:hAnsi="Times New Roman" w:cs="Times New Roman"/>
          <w:sz w:val="24"/>
          <w:szCs w:val="24"/>
        </w:rPr>
        <w:t xml:space="preserve"> descriptive</w:t>
      </w:r>
      <w:r w:rsidR="00850FED">
        <w:rPr>
          <w:rFonts w:ascii="Times New Roman" w:hAnsi="Times New Roman" w:cs="Times New Roman"/>
          <w:sz w:val="24"/>
          <w:szCs w:val="24"/>
        </w:rPr>
        <w:t xml:space="preserve"> analysis o</w:t>
      </w:r>
      <w:r w:rsidR="0031743E">
        <w:rPr>
          <w:rFonts w:ascii="Times New Roman" w:hAnsi="Times New Roman" w:cs="Times New Roman"/>
          <w:sz w:val="24"/>
          <w:szCs w:val="24"/>
        </w:rPr>
        <w:t>f</w:t>
      </w:r>
      <w:r w:rsidR="00850FED">
        <w:rPr>
          <w:rFonts w:ascii="Times New Roman" w:hAnsi="Times New Roman" w:cs="Times New Roman"/>
          <w:sz w:val="24"/>
          <w:szCs w:val="24"/>
        </w:rPr>
        <w:t xml:space="preserve"> telework adoption </w:t>
      </w:r>
      <w:r>
        <w:rPr>
          <w:rFonts w:ascii="Times New Roman" w:hAnsi="Times New Roman" w:cs="Times New Roman"/>
          <w:sz w:val="24"/>
          <w:szCs w:val="24"/>
        </w:rPr>
        <w:t xml:space="preserve">and frequency over the course of </w:t>
      </w:r>
      <w:r w:rsidR="0031743E">
        <w:rPr>
          <w:rFonts w:ascii="Times New Roman" w:hAnsi="Times New Roman" w:cs="Times New Roman"/>
          <w:sz w:val="24"/>
          <w:szCs w:val="24"/>
        </w:rPr>
        <w:t>the</w:t>
      </w:r>
      <w:r w:rsidR="000F231E">
        <w:rPr>
          <w:rFonts w:ascii="Times New Roman" w:hAnsi="Times New Roman" w:cs="Times New Roman"/>
          <w:sz w:val="24"/>
          <w:szCs w:val="24"/>
        </w:rPr>
        <w:t xml:space="preserve"> week</w:t>
      </w:r>
      <w:r w:rsidR="00497B21">
        <w:rPr>
          <w:rFonts w:ascii="Times New Roman" w:hAnsi="Times New Roman" w:cs="Times New Roman"/>
          <w:sz w:val="24"/>
          <w:szCs w:val="24"/>
        </w:rPr>
        <w:t>, and compare the results across time periods.</w:t>
      </w:r>
      <w:r w:rsidR="00120881">
        <w:rPr>
          <w:rFonts w:ascii="Times New Roman" w:hAnsi="Times New Roman" w:cs="Times New Roman"/>
          <w:sz w:val="24"/>
          <w:szCs w:val="24"/>
        </w:rPr>
        <w:t xml:space="preserve"> </w:t>
      </w:r>
      <w:r w:rsidR="00850FED">
        <w:rPr>
          <w:rFonts w:ascii="Times New Roman" w:hAnsi="Times New Roman" w:cs="Times New Roman"/>
          <w:sz w:val="24"/>
          <w:szCs w:val="24"/>
        </w:rPr>
        <w:t>They</w:t>
      </w:r>
      <w:r w:rsidR="00120881">
        <w:rPr>
          <w:rFonts w:ascii="Times New Roman" w:hAnsi="Times New Roman" w:cs="Times New Roman"/>
          <w:sz w:val="24"/>
          <w:szCs w:val="24"/>
        </w:rPr>
        <w:t xml:space="preserve"> find </w:t>
      </w:r>
      <w:r>
        <w:rPr>
          <w:rFonts w:ascii="Times New Roman" w:hAnsi="Times New Roman" w:cs="Times New Roman"/>
          <w:sz w:val="24"/>
          <w:szCs w:val="24"/>
        </w:rPr>
        <w:t xml:space="preserve">an increase in </w:t>
      </w:r>
      <w:r w:rsidR="00120881">
        <w:rPr>
          <w:rFonts w:ascii="Times New Roman" w:hAnsi="Times New Roman" w:cs="Times New Roman"/>
          <w:sz w:val="24"/>
          <w:szCs w:val="24"/>
        </w:rPr>
        <w:t xml:space="preserve">WFH adoption </w:t>
      </w:r>
      <w:r>
        <w:rPr>
          <w:rFonts w:ascii="Times New Roman" w:hAnsi="Times New Roman" w:cs="Times New Roman"/>
          <w:sz w:val="24"/>
          <w:szCs w:val="24"/>
        </w:rPr>
        <w:t>and freq</w:t>
      </w:r>
      <w:r w:rsidR="0031743E">
        <w:rPr>
          <w:rFonts w:ascii="Times New Roman" w:hAnsi="Times New Roman" w:cs="Times New Roman"/>
          <w:sz w:val="24"/>
          <w:szCs w:val="24"/>
        </w:rPr>
        <w:t>uenc</w:t>
      </w:r>
      <w:r>
        <w:rPr>
          <w:rFonts w:ascii="Times New Roman" w:hAnsi="Times New Roman" w:cs="Times New Roman"/>
          <w:sz w:val="24"/>
          <w:szCs w:val="24"/>
        </w:rPr>
        <w:t xml:space="preserve">y from before the </w:t>
      </w:r>
      <w:r w:rsidRPr="004D5DF9">
        <w:rPr>
          <w:rFonts w:ascii="Times New Roman" w:hAnsi="Times New Roman" w:cs="Times New Roman"/>
          <w:sz w:val="24"/>
          <w:szCs w:val="24"/>
        </w:rPr>
        <w:t>pandemic</w:t>
      </w:r>
      <w:r w:rsidR="00120881" w:rsidRPr="004D5DF9">
        <w:rPr>
          <w:rFonts w:ascii="Times New Roman" w:hAnsi="Times New Roman" w:cs="Times New Roman"/>
          <w:sz w:val="24"/>
          <w:szCs w:val="24"/>
        </w:rPr>
        <w:t xml:space="preserve">, especially for </w:t>
      </w:r>
      <w:r w:rsidR="0031743E" w:rsidRPr="004D5DF9">
        <w:rPr>
          <w:rFonts w:ascii="Times New Roman" w:hAnsi="Times New Roman" w:cs="Times New Roman"/>
          <w:sz w:val="24"/>
          <w:szCs w:val="24"/>
        </w:rPr>
        <w:t xml:space="preserve">workers </w:t>
      </w:r>
      <w:r w:rsidR="0031743E" w:rsidRPr="00A15909">
        <w:rPr>
          <w:rFonts w:ascii="Times New Roman" w:hAnsi="Times New Roman" w:cs="Times New Roman"/>
          <w:sz w:val="24"/>
          <w:szCs w:val="24"/>
        </w:rPr>
        <w:t xml:space="preserve">with </w:t>
      </w:r>
      <w:r w:rsidR="000F231E" w:rsidRPr="00A15909">
        <w:rPr>
          <w:rFonts w:ascii="Times New Roman" w:hAnsi="Times New Roman" w:cs="Times New Roman"/>
          <w:sz w:val="24"/>
          <w:szCs w:val="24"/>
        </w:rPr>
        <w:t>a bachelor’s degree or higher and with higher incomes</w:t>
      </w:r>
      <w:r w:rsidR="00120881" w:rsidRPr="00A15909">
        <w:rPr>
          <w:rFonts w:ascii="Times New Roman" w:hAnsi="Times New Roman" w:cs="Times New Roman"/>
          <w:sz w:val="24"/>
          <w:szCs w:val="24"/>
        </w:rPr>
        <w:t>.</w:t>
      </w:r>
      <w:r w:rsidR="00120881" w:rsidRPr="004D5DF9">
        <w:rPr>
          <w:rFonts w:ascii="Times New Roman" w:hAnsi="Times New Roman" w:cs="Times New Roman"/>
          <w:sz w:val="24"/>
          <w:szCs w:val="24"/>
        </w:rPr>
        <w:t xml:space="preserve"> </w:t>
      </w:r>
      <w:r w:rsidR="005814B3" w:rsidRPr="004D5DF9">
        <w:rPr>
          <w:rFonts w:ascii="Times New Roman" w:hAnsi="Times New Roman" w:cs="Times New Roman"/>
          <w:sz w:val="24"/>
          <w:szCs w:val="24"/>
        </w:rPr>
        <w:t xml:space="preserve">Haider </w:t>
      </w:r>
      <w:r w:rsidR="000F231E">
        <w:rPr>
          <w:rFonts w:ascii="Times New Roman" w:hAnsi="Times New Roman" w:cs="Times New Roman"/>
          <w:sz w:val="24"/>
          <w:szCs w:val="24"/>
        </w:rPr>
        <w:t>and Anwar (2023)</w:t>
      </w:r>
      <w:r w:rsidR="005814B3">
        <w:rPr>
          <w:rFonts w:ascii="Times New Roman" w:hAnsi="Times New Roman" w:cs="Times New Roman"/>
          <w:sz w:val="24"/>
          <w:szCs w:val="24"/>
        </w:rPr>
        <w:t xml:space="preserve"> </w:t>
      </w:r>
      <w:r w:rsidR="0031743E">
        <w:rPr>
          <w:rFonts w:ascii="Times New Roman" w:hAnsi="Times New Roman" w:cs="Times New Roman"/>
          <w:sz w:val="24"/>
          <w:szCs w:val="24"/>
        </w:rPr>
        <w:t xml:space="preserve">also </w:t>
      </w:r>
      <w:r w:rsidR="005814B3">
        <w:rPr>
          <w:rFonts w:ascii="Times New Roman" w:hAnsi="Times New Roman" w:cs="Times New Roman"/>
          <w:sz w:val="24"/>
          <w:szCs w:val="24"/>
        </w:rPr>
        <w:t>explore telework adoption</w:t>
      </w:r>
      <w:r w:rsidR="000F231E">
        <w:rPr>
          <w:rFonts w:ascii="Times New Roman" w:hAnsi="Times New Roman" w:cs="Times New Roman"/>
          <w:sz w:val="24"/>
          <w:szCs w:val="24"/>
        </w:rPr>
        <w:t xml:space="preserve"> </w:t>
      </w:r>
      <w:r w:rsidR="005814B3">
        <w:rPr>
          <w:rFonts w:ascii="Times New Roman" w:hAnsi="Times New Roman" w:cs="Times New Roman"/>
          <w:sz w:val="24"/>
          <w:szCs w:val="24"/>
        </w:rPr>
        <w:t xml:space="preserve">rates </w:t>
      </w:r>
      <w:r w:rsidR="0031743E">
        <w:rPr>
          <w:rFonts w:ascii="Times New Roman" w:hAnsi="Times New Roman" w:cs="Times New Roman"/>
          <w:sz w:val="24"/>
          <w:szCs w:val="24"/>
        </w:rPr>
        <w:t xml:space="preserve">over the course </w:t>
      </w:r>
      <w:r w:rsidR="0031743E" w:rsidRPr="004D5DF9">
        <w:rPr>
          <w:rFonts w:ascii="Times New Roman" w:hAnsi="Times New Roman" w:cs="Times New Roman"/>
          <w:sz w:val="24"/>
          <w:szCs w:val="24"/>
        </w:rPr>
        <w:t>of a</w:t>
      </w:r>
      <w:r w:rsidR="00497B21" w:rsidRPr="004D5DF9">
        <w:rPr>
          <w:rFonts w:ascii="Times New Roman" w:hAnsi="Times New Roman" w:cs="Times New Roman"/>
          <w:sz w:val="24"/>
          <w:szCs w:val="24"/>
        </w:rPr>
        <w:t xml:space="preserve"> </w:t>
      </w:r>
      <w:r w:rsidR="00EB6429" w:rsidRPr="00A15909">
        <w:rPr>
          <w:rFonts w:ascii="Times New Roman" w:hAnsi="Times New Roman" w:cs="Times New Roman"/>
          <w:sz w:val="24"/>
          <w:szCs w:val="24"/>
        </w:rPr>
        <w:t>month</w:t>
      </w:r>
      <w:r w:rsidR="0031743E" w:rsidRPr="004D5DF9">
        <w:rPr>
          <w:rFonts w:ascii="Times New Roman" w:hAnsi="Times New Roman" w:cs="Times New Roman"/>
          <w:sz w:val="24"/>
          <w:szCs w:val="24"/>
        </w:rPr>
        <w:t xml:space="preserve"> </w:t>
      </w:r>
      <w:r w:rsidR="005814B3" w:rsidRPr="004D5DF9">
        <w:rPr>
          <w:rFonts w:ascii="Times New Roman" w:hAnsi="Times New Roman" w:cs="Times New Roman"/>
          <w:sz w:val="24"/>
          <w:szCs w:val="24"/>
        </w:rPr>
        <w:t>in</w:t>
      </w:r>
      <w:r w:rsidR="005814B3">
        <w:rPr>
          <w:rFonts w:ascii="Times New Roman" w:hAnsi="Times New Roman" w:cs="Times New Roman"/>
          <w:sz w:val="24"/>
          <w:szCs w:val="24"/>
        </w:rPr>
        <w:t xml:space="preserve"> Canada</w:t>
      </w:r>
      <w:r w:rsidR="00497B21">
        <w:rPr>
          <w:rFonts w:ascii="Times New Roman" w:hAnsi="Times New Roman" w:cs="Times New Roman"/>
          <w:sz w:val="24"/>
          <w:szCs w:val="24"/>
        </w:rPr>
        <w:t xml:space="preserve"> for two time periods: </w:t>
      </w:r>
      <w:r w:rsidR="005814B3">
        <w:rPr>
          <w:rFonts w:ascii="Times New Roman" w:hAnsi="Times New Roman" w:cs="Times New Roman"/>
          <w:sz w:val="24"/>
          <w:szCs w:val="24"/>
        </w:rPr>
        <w:t>before the outbreak</w:t>
      </w:r>
      <w:r w:rsidR="00EB6429">
        <w:rPr>
          <w:rFonts w:ascii="Times New Roman" w:hAnsi="Times New Roman" w:cs="Times New Roman"/>
          <w:sz w:val="24"/>
          <w:szCs w:val="24"/>
        </w:rPr>
        <w:t xml:space="preserve"> (before February 1, 2020) </w:t>
      </w:r>
      <w:r w:rsidR="005814B3">
        <w:rPr>
          <w:rFonts w:ascii="Times New Roman" w:hAnsi="Times New Roman" w:cs="Times New Roman"/>
          <w:sz w:val="24"/>
          <w:szCs w:val="24"/>
        </w:rPr>
        <w:t>and during the pandemic</w:t>
      </w:r>
      <w:r w:rsidR="00497B21">
        <w:rPr>
          <w:rFonts w:ascii="Times New Roman" w:hAnsi="Times New Roman" w:cs="Times New Roman"/>
          <w:sz w:val="24"/>
          <w:szCs w:val="24"/>
        </w:rPr>
        <w:t xml:space="preserve"> </w:t>
      </w:r>
      <w:r w:rsidR="00EB6429" w:rsidRPr="00A15909">
        <w:rPr>
          <w:rFonts w:ascii="Times New Roman" w:hAnsi="Times New Roman" w:cs="Times New Roman"/>
          <w:sz w:val="24"/>
          <w:szCs w:val="24"/>
        </w:rPr>
        <w:t xml:space="preserve">(March and April of </w:t>
      </w:r>
      <w:r w:rsidR="00497B21" w:rsidRPr="00A15909">
        <w:rPr>
          <w:rFonts w:ascii="Times New Roman" w:hAnsi="Times New Roman" w:cs="Times New Roman"/>
          <w:sz w:val="24"/>
          <w:szCs w:val="24"/>
        </w:rPr>
        <w:t>2020</w:t>
      </w:r>
      <w:r w:rsidR="00497B21" w:rsidRPr="004D5DF9">
        <w:rPr>
          <w:rFonts w:ascii="Times New Roman" w:hAnsi="Times New Roman" w:cs="Times New Roman"/>
          <w:sz w:val="24"/>
          <w:szCs w:val="24"/>
        </w:rPr>
        <w:t>). They adopt</w:t>
      </w:r>
      <w:r w:rsidR="0031743E" w:rsidRPr="004D5DF9">
        <w:rPr>
          <w:rFonts w:ascii="Times New Roman" w:hAnsi="Times New Roman" w:cs="Times New Roman"/>
          <w:sz w:val="24"/>
          <w:szCs w:val="24"/>
        </w:rPr>
        <w:t xml:space="preserve"> a </w:t>
      </w:r>
      <w:r w:rsidR="00974929" w:rsidRPr="00A15909">
        <w:rPr>
          <w:rFonts w:ascii="Times New Roman" w:hAnsi="Times New Roman" w:cs="Times New Roman"/>
          <w:i/>
          <w:sz w:val="24"/>
          <w:szCs w:val="24"/>
        </w:rPr>
        <w:t>recall</w:t>
      </w:r>
      <w:r w:rsidR="00974929" w:rsidRPr="00A15909">
        <w:rPr>
          <w:rFonts w:ascii="Times New Roman" w:hAnsi="Times New Roman" w:cs="Times New Roman"/>
          <w:sz w:val="24"/>
          <w:szCs w:val="24"/>
        </w:rPr>
        <w:t xml:space="preserve"> </w:t>
      </w:r>
      <w:r w:rsidR="00497B21" w:rsidRPr="00A15909">
        <w:rPr>
          <w:rFonts w:ascii="Times New Roman" w:hAnsi="Times New Roman" w:cs="Times New Roman"/>
          <w:sz w:val="24"/>
          <w:szCs w:val="24"/>
        </w:rPr>
        <w:t>technique</w:t>
      </w:r>
      <w:r w:rsidR="00974929" w:rsidRPr="00A15909">
        <w:rPr>
          <w:rFonts w:ascii="Times New Roman" w:hAnsi="Times New Roman" w:cs="Times New Roman"/>
          <w:sz w:val="24"/>
          <w:szCs w:val="24"/>
        </w:rPr>
        <w:t>, asking employees</w:t>
      </w:r>
      <w:r w:rsidR="007C26F4">
        <w:rPr>
          <w:rFonts w:ascii="Times New Roman" w:hAnsi="Times New Roman" w:cs="Times New Roman"/>
          <w:sz w:val="24"/>
          <w:szCs w:val="24"/>
        </w:rPr>
        <w:t xml:space="preserve"> who teleworked during the pandemic to </w:t>
      </w:r>
      <w:r w:rsidR="00974929" w:rsidRPr="00A15909">
        <w:rPr>
          <w:rFonts w:ascii="Times New Roman" w:hAnsi="Times New Roman" w:cs="Times New Roman"/>
          <w:sz w:val="24"/>
          <w:szCs w:val="24"/>
        </w:rPr>
        <w:t>recall</w:t>
      </w:r>
      <w:r w:rsidR="007C26F4">
        <w:rPr>
          <w:rFonts w:ascii="Times New Roman" w:hAnsi="Times New Roman" w:cs="Times New Roman"/>
          <w:sz w:val="24"/>
          <w:szCs w:val="24"/>
        </w:rPr>
        <w:t xml:space="preserve"> </w:t>
      </w:r>
      <w:r w:rsidR="00974929" w:rsidRPr="00A15909">
        <w:rPr>
          <w:rFonts w:ascii="Times New Roman" w:hAnsi="Times New Roman" w:cs="Times New Roman"/>
          <w:sz w:val="24"/>
          <w:szCs w:val="24"/>
        </w:rPr>
        <w:t xml:space="preserve">when </w:t>
      </w:r>
      <w:r w:rsidR="00675422">
        <w:rPr>
          <w:rFonts w:ascii="Times New Roman" w:hAnsi="Times New Roman" w:cs="Times New Roman"/>
          <w:sz w:val="24"/>
          <w:szCs w:val="24"/>
        </w:rPr>
        <w:t xml:space="preserve">exactly </w:t>
      </w:r>
      <w:r w:rsidR="00974929" w:rsidRPr="00A15909">
        <w:rPr>
          <w:rFonts w:ascii="Times New Roman" w:hAnsi="Times New Roman" w:cs="Times New Roman"/>
          <w:sz w:val="24"/>
          <w:szCs w:val="24"/>
        </w:rPr>
        <w:t xml:space="preserve">they began do so: before the COVID outbreak or due to the pandemic. Using two distinct binary logit models, Haider and Anwar </w:t>
      </w:r>
      <w:r w:rsidR="003E3F26">
        <w:rPr>
          <w:rFonts w:ascii="Times New Roman" w:hAnsi="Times New Roman" w:cs="Times New Roman"/>
          <w:sz w:val="24"/>
          <w:szCs w:val="24"/>
        </w:rPr>
        <w:t xml:space="preserve">examine the employee-related characteristics that differentiate those who teleworked pre-COVID </w:t>
      </w:r>
      <w:r w:rsidR="003E3F26">
        <w:rPr>
          <w:rFonts w:ascii="Times New Roman" w:hAnsi="Times New Roman" w:cs="Times New Roman"/>
          <w:sz w:val="24"/>
          <w:szCs w:val="24"/>
        </w:rPr>
        <w:lastRenderedPageBreak/>
        <w:t xml:space="preserve">from those who started to telework only after the start of the pandemic. </w:t>
      </w:r>
      <w:r w:rsidR="00974929" w:rsidRPr="004D5DF9">
        <w:rPr>
          <w:rFonts w:ascii="Times New Roman" w:hAnsi="Times New Roman" w:cs="Times New Roman"/>
          <w:sz w:val="24"/>
          <w:szCs w:val="24"/>
        </w:rPr>
        <w:t>T</w:t>
      </w:r>
      <w:r w:rsidR="00023D98" w:rsidRPr="004D5DF9">
        <w:rPr>
          <w:rFonts w:ascii="Times New Roman" w:hAnsi="Times New Roman" w:cs="Times New Roman"/>
          <w:sz w:val="24"/>
          <w:szCs w:val="24"/>
        </w:rPr>
        <w:t>hey</w:t>
      </w:r>
      <w:r w:rsidR="00023D98">
        <w:rPr>
          <w:rFonts w:ascii="Times New Roman" w:hAnsi="Times New Roman" w:cs="Times New Roman"/>
          <w:sz w:val="24"/>
          <w:szCs w:val="24"/>
        </w:rPr>
        <w:t xml:space="preserve"> f</w:t>
      </w:r>
      <w:r w:rsidR="008F4C0E">
        <w:rPr>
          <w:rFonts w:ascii="Times New Roman" w:hAnsi="Times New Roman" w:cs="Times New Roman"/>
          <w:sz w:val="24"/>
          <w:szCs w:val="24"/>
        </w:rPr>
        <w:t>i</w:t>
      </w:r>
      <w:r w:rsidR="00023D98">
        <w:rPr>
          <w:rFonts w:ascii="Times New Roman" w:hAnsi="Times New Roman" w:cs="Times New Roman"/>
          <w:sz w:val="24"/>
          <w:szCs w:val="24"/>
        </w:rPr>
        <w:t xml:space="preserve">nd that </w:t>
      </w:r>
      <w:r w:rsidR="00407935">
        <w:rPr>
          <w:rFonts w:ascii="Times New Roman" w:hAnsi="Times New Roman" w:cs="Times New Roman"/>
          <w:sz w:val="24"/>
          <w:szCs w:val="24"/>
        </w:rPr>
        <w:t>telework adoption rates in Canada rose to 40</w:t>
      </w:r>
      <w:r w:rsidR="008F4C0E">
        <w:rPr>
          <w:rFonts w:ascii="Times New Roman" w:hAnsi="Times New Roman" w:cs="Times New Roman"/>
          <w:sz w:val="24"/>
          <w:szCs w:val="24"/>
        </w:rPr>
        <w:t xml:space="preserve"> percent</w:t>
      </w:r>
      <w:r w:rsidR="00407935">
        <w:rPr>
          <w:rFonts w:ascii="Times New Roman" w:hAnsi="Times New Roman" w:cs="Times New Roman"/>
          <w:sz w:val="24"/>
          <w:szCs w:val="24"/>
        </w:rPr>
        <w:t xml:space="preserve"> during the peak of the pandemic</w:t>
      </w:r>
      <w:r w:rsidR="005814B3">
        <w:rPr>
          <w:rFonts w:ascii="Times New Roman" w:hAnsi="Times New Roman" w:cs="Times New Roman"/>
          <w:sz w:val="24"/>
          <w:szCs w:val="24"/>
        </w:rPr>
        <w:t xml:space="preserve"> compared to</w:t>
      </w:r>
      <w:r w:rsidR="00407935">
        <w:rPr>
          <w:rFonts w:ascii="Times New Roman" w:hAnsi="Times New Roman" w:cs="Times New Roman"/>
          <w:sz w:val="24"/>
          <w:szCs w:val="24"/>
        </w:rPr>
        <w:t xml:space="preserve"> only 12</w:t>
      </w:r>
      <w:r w:rsidR="008F4C0E">
        <w:rPr>
          <w:rFonts w:ascii="Times New Roman" w:hAnsi="Times New Roman" w:cs="Times New Roman"/>
          <w:sz w:val="24"/>
          <w:szCs w:val="24"/>
        </w:rPr>
        <w:t xml:space="preserve"> percent prior</w:t>
      </w:r>
      <w:r w:rsidR="00407935">
        <w:rPr>
          <w:rFonts w:ascii="Times New Roman" w:hAnsi="Times New Roman" w:cs="Times New Roman"/>
          <w:sz w:val="24"/>
          <w:szCs w:val="24"/>
        </w:rPr>
        <w:t xml:space="preserve"> </w:t>
      </w:r>
      <w:r w:rsidR="005814B3">
        <w:rPr>
          <w:rFonts w:ascii="Times New Roman" w:hAnsi="Times New Roman" w:cs="Times New Roman"/>
          <w:sz w:val="24"/>
          <w:szCs w:val="24"/>
        </w:rPr>
        <w:t xml:space="preserve">to </w:t>
      </w:r>
      <w:r w:rsidR="00407935">
        <w:rPr>
          <w:rFonts w:ascii="Times New Roman" w:hAnsi="Times New Roman" w:cs="Times New Roman"/>
          <w:sz w:val="24"/>
          <w:szCs w:val="24"/>
        </w:rPr>
        <w:t>the pandemic</w:t>
      </w:r>
      <w:r w:rsidR="0031743E">
        <w:rPr>
          <w:rFonts w:ascii="Times New Roman" w:hAnsi="Times New Roman" w:cs="Times New Roman"/>
          <w:sz w:val="24"/>
          <w:szCs w:val="24"/>
        </w:rPr>
        <w:t xml:space="preserve">, with the increase particularly </w:t>
      </w:r>
      <w:r w:rsidR="00497B21">
        <w:rPr>
          <w:rFonts w:ascii="Times New Roman" w:hAnsi="Times New Roman" w:cs="Times New Roman"/>
          <w:sz w:val="24"/>
          <w:szCs w:val="24"/>
        </w:rPr>
        <w:t>the case among university-educated workers</w:t>
      </w:r>
      <w:r w:rsidR="00120881">
        <w:rPr>
          <w:rFonts w:ascii="Times New Roman" w:hAnsi="Times New Roman" w:cs="Times New Roman"/>
          <w:sz w:val="24"/>
          <w:szCs w:val="24"/>
        </w:rPr>
        <w:t>.</w:t>
      </w:r>
      <w:r w:rsidR="00407935">
        <w:rPr>
          <w:rFonts w:ascii="Times New Roman" w:hAnsi="Times New Roman" w:cs="Times New Roman"/>
          <w:sz w:val="24"/>
          <w:szCs w:val="24"/>
        </w:rPr>
        <w:t xml:space="preserve"> </w:t>
      </w:r>
      <w:r w:rsidR="005814B3">
        <w:rPr>
          <w:rFonts w:ascii="Times New Roman" w:hAnsi="Times New Roman" w:cs="Times New Roman"/>
          <w:sz w:val="24"/>
          <w:szCs w:val="24"/>
        </w:rPr>
        <w:t>However</w:t>
      </w:r>
      <w:r w:rsidR="005F6285">
        <w:rPr>
          <w:rFonts w:ascii="Times New Roman" w:hAnsi="Times New Roman" w:cs="Times New Roman"/>
          <w:sz w:val="24"/>
          <w:szCs w:val="24"/>
        </w:rPr>
        <w:t>,</w:t>
      </w:r>
      <w:r w:rsidR="005814B3">
        <w:rPr>
          <w:rFonts w:ascii="Times New Roman" w:hAnsi="Times New Roman" w:cs="Times New Roman"/>
          <w:sz w:val="24"/>
          <w:szCs w:val="24"/>
        </w:rPr>
        <w:t xml:space="preserve"> </w:t>
      </w:r>
      <w:r w:rsidR="00497B21">
        <w:rPr>
          <w:rFonts w:ascii="Times New Roman" w:hAnsi="Times New Roman" w:cs="Times New Roman"/>
          <w:sz w:val="24"/>
          <w:szCs w:val="24"/>
        </w:rPr>
        <w:t xml:space="preserve">both </w:t>
      </w:r>
      <w:r w:rsidR="005814B3">
        <w:rPr>
          <w:rFonts w:ascii="Times New Roman" w:hAnsi="Times New Roman" w:cs="Times New Roman"/>
          <w:sz w:val="24"/>
          <w:szCs w:val="24"/>
        </w:rPr>
        <w:t xml:space="preserve">these studies </w:t>
      </w:r>
      <w:r w:rsidR="00497B21">
        <w:rPr>
          <w:rFonts w:ascii="Times New Roman" w:hAnsi="Times New Roman" w:cs="Times New Roman"/>
          <w:sz w:val="24"/>
          <w:szCs w:val="24"/>
        </w:rPr>
        <w:t xml:space="preserve">do not examine </w:t>
      </w:r>
      <w:r w:rsidR="003E5AC6">
        <w:rPr>
          <w:rFonts w:ascii="Times New Roman" w:hAnsi="Times New Roman" w:cs="Times New Roman"/>
          <w:sz w:val="24"/>
          <w:szCs w:val="24"/>
        </w:rPr>
        <w:t>telework location</w:t>
      </w:r>
      <w:r w:rsidR="00497B21">
        <w:rPr>
          <w:rFonts w:ascii="Times New Roman" w:hAnsi="Times New Roman" w:cs="Times New Roman"/>
          <w:sz w:val="24"/>
          <w:szCs w:val="24"/>
        </w:rPr>
        <w:t xml:space="preserve"> choice, </w:t>
      </w:r>
      <w:r w:rsidR="00511F0D">
        <w:rPr>
          <w:rFonts w:ascii="Times New Roman" w:hAnsi="Times New Roman" w:cs="Times New Roman"/>
          <w:sz w:val="24"/>
          <w:szCs w:val="24"/>
        </w:rPr>
        <w:t xml:space="preserve">and are rather </w:t>
      </w:r>
      <w:r w:rsidR="003E3F26">
        <w:rPr>
          <w:rFonts w:ascii="Times New Roman" w:hAnsi="Times New Roman" w:cs="Times New Roman"/>
          <w:sz w:val="24"/>
          <w:szCs w:val="24"/>
        </w:rPr>
        <w:t xml:space="preserve">exploratory </w:t>
      </w:r>
      <w:r w:rsidR="00511F0D">
        <w:rPr>
          <w:rFonts w:ascii="Times New Roman" w:hAnsi="Times New Roman" w:cs="Times New Roman"/>
          <w:sz w:val="24"/>
          <w:szCs w:val="24"/>
        </w:rPr>
        <w:t xml:space="preserve">in nature. Besides, both these studies compare teleworking </w:t>
      </w:r>
      <w:r w:rsidR="00567B8E">
        <w:rPr>
          <w:rFonts w:ascii="Times New Roman" w:hAnsi="Times New Roman" w:cs="Times New Roman"/>
          <w:sz w:val="24"/>
          <w:szCs w:val="24"/>
        </w:rPr>
        <w:t>between the “</w:t>
      </w:r>
      <w:r w:rsidR="00511F0D" w:rsidRPr="006C3BCB">
        <w:rPr>
          <w:rFonts w:ascii="Times New Roman" w:hAnsi="Times New Roman" w:cs="Times New Roman"/>
          <w:i/>
          <w:sz w:val="24"/>
          <w:szCs w:val="24"/>
        </w:rPr>
        <w:t>Before</w:t>
      </w:r>
      <w:r w:rsidR="00511F0D">
        <w:rPr>
          <w:rFonts w:ascii="Times New Roman" w:hAnsi="Times New Roman" w:cs="Times New Roman"/>
          <w:sz w:val="24"/>
          <w:szCs w:val="24"/>
        </w:rPr>
        <w:t xml:space="preserve"> COVID</w:t>
      </w:r>
      <w:r w:rsidR="00567B8E">
        <w:rPr>
          <w:rFonts w:ascii="Times New Roman" w:hAnsi="Times New Roman" w:cs="Times New Roman"/>
          <w:sz w:val="24"/>
          <w:szCs w:val="24"/>
        </w:rPr>
        <w:t>”</w:t>
      </w:r>
      <w:r w:rsidR="00511F0D">
        <w:rPr>
          <w:rFonts w:ascii="Times New Roman" w:hAnsi="Times New Roman" w:cs="Times New Roman"/>
          <w:sz w:val="24"/>
          <w:szCs w:val="24"/>
        </w:rPr>
        <w:t xml:space="preserve"> </w:t>
      </w:r>
      <w:r w:rsidR="00567B8E">
        <w:rPr>
          <w:rFonts w:ascii="Times New Roman" w:hAnsi="Times New Roman" w:cs="Times New Roman"/>
          <w:sz w:val="24"/>
          <w:szCs w:val="24"/>
        </w:rPr>
        <w:t>and “</w:t>
      </w:r>
      <w:r w:rsidR="00567B8E" w:rsidRPr="006C3BCB">
        <w:rPr>
          <w:rFonts w:ascii="Times New Roman" w:hAnsi="Times New Roman" w:cs="Times New Roman"/>
          <w:i/>
          <w:sz w:val="24"/>
          <w:szCs w:val="24"/>
        </w:rPr>
        <w:t>During</w:t>
      </w:r>
      <w:r w:rsidR="00567B8E">
        <w:rPr>
          <w:rFonts w:ascii="Times New Roman" w:hAnsi="Times New Roman" w:cs="Times New Roman"/>
          <w:sz w:val="24"/>
          <w:szCs w:val="24"/>
        </w:rPr>
        <w:t xml:space="preserve"> COVID” periods, rather than between the “</w:t>
      </w:r>
      <w:r w:rsidR="00567B8E" w:rsidRPr="00357313">
        <w:rPr>
          <w:rFonts w:ascii="Times New Roman" w:hAnsi="Times New Roman" w:cs="Times New Roman"/>
          <w:i/>
          <w:sz w:val="24"/>
          <w:szCs w:val="24"/>
        </w:rPr>
        <w:t>Before</w:t>
      </w:r>
      <w:r w:rsidR="00567B8E">
        <w:rPr>
          <w:rFonts w:ascii="Times New Roman" w:hAnsi="Times New Roman" w:cs="Times New Roman"/>
          <w:sz w:val="24"/>
          <w:szCs w:val="24"/>
        </w:rPr>
        <w:t xml:space="preserve"> COVID” and the “</w:t>
      </w:r>
      <w:r w:rsidR="00567B8E">
        <w:rPr>
          <w:rFonts w:ascii="Times New Roman" w:hAnsi="Times New Roman" w:cs="Times New Roman"/>
          <w:i/>
          <w:sz w:val="24"/>
          <w:szCs w:val="24"/>
        </w:rPr>
        <w:t>After</w:t>
      </w:r>
      <w:r w:rsidR="00567B8E">
        <w:rPr>
          <w:rFonts w:ascii="Times New Roman" w:hAnsi="Times New Roman" w:cs="Times New Roman"/>
          <w:sz w:val="24"/>
          <w:szCs w:val="24"/>
        </w:rPr>
        <w:t xml:space="preserve"> COVID” periods. They also </w:t>
      </w:r>
      <w:r w:rsidR="00497B21">
        <w:rPr>
          <w:rFonts w:ascii="Times New Roman" w:hAnsi="Times New Roman" w:cs="Times New Roman"/>
          <w:sz w:val="24"/>
          <w:szCs w:val="24"/>
        </w:rPr>
        <w:t xml:space="preserve">do </w:t>
      </w:r>
      <w:r w:rsidR="00567B8E">
        <w:rPr>
          <w:rFonts w:ascii="Times New Roman" w:hAnsi="Times New Roman" w:cs="Times New Roman"/>
          <w:sz w:val="24"/>
          <w:szCs w:val="24"/>
        </w:rPr>
        <w:t xml:space="preserve">not </w:t>
      </w:r>
      <w:r w:rsidR="00497B21">
        <w:rPr>
          <w:rFonts w:ascii="Times New Roman" w:hAnsi="Times New Roman" w:cs="Times New Roman"/>
          <w:sz w:val="24"/>
          <w:szCs w:val="24"/>
        </w:rPr>
        <w:t xml:space="preserve">consider the jointness in the telework adoption and frequency choices or individual-specific preferences that may permeate across time in telework choices. </w:t>
      </w:r>
    </w:p>
    <w:p w14:paraId="0FD301A7" w14:textId="1DDD4AA8" w:rsidR="005229D8" w:rsidRDefault="005229D8" w:rsidP="00C47D7C">
      <w:pPr>
        <w:spacing w:after="0" w:line="276" w:lineRule="auto"/>
        <w:rPr>
          <w:rFonts w:ascii="Times New Roman" w:hAnsi="Times New Roman" w:cs="Times New Roman"/>
          <w:sz w:val="24"/>
          <w:szCs w:val="24"/>
        </w:rPr>
      </w:pPr>
    </w:p>
    <w:p w14:paraId="590830B8" w14:textId="50746420" w:rsidR="005229D8" w:rsidRPr="000D4FD3" w:rsidRDefault="00A03376" w:rsidP="00C47D7C">
      <w:pPr>
        <w:spacing w:after="0" w:line="276" w:lineRule="auto"/>
        <w:rPr>
          <w:rFonts w:ascii="Times New Roman" w:hAnsi="Times New Roman" w:cs="Times New Roman"/>
          <w:b/>
          <w:sz w:val="24"/>
          <w:szCs w:val="24"/>
        </w:rPr>
      </w:pPr>
      <w:r>
        <w:rPr>
          <w:rFonts w:ascii="Times New Roman" w:hAnsi="Times New Roman" w:cs="Times New Roman"/>
          <w:b/>
          <w:sz w:val="24"/>
          <w:szCs w:val="24"/>
        </w:rPr>
        <w:t>2.4</w:t>
      </w:r>
      <w:r w:rsidR="005229D8" w:rsidRPr="000D4FD3">
        <w:rPr>
          <w:rFonts w:ascii="Times New Roman" w:hAnsi="Times New Roman" w:cs="Times New Roman"/>
          <w:b/>
          <w:sz w:val="24"/>
          <w:szCs w:val="24"/>
        </w:rPr>
        <w:t xml:space="preserve"> Current </w:t>
      </w:r>
      <w:r w:rsidR="00FC3D0E">
        <w:rPr>
          <w:rFonts w:ascii="Times New Roman" w:hAnsi="Times New Roman" w:cs="Times New Roman"/>
          <w:b/>
          <w:sz w:val="24"/>
          <w:szCs w:val="24"/>
        </w:rPr>
        <w:t>P</w:t>
      </w:r>
      <w:r w:rsidR="005229D8" w:rsidRPr="000D4FD3">
        <w:rPr>
          <w:rFonts w:ascii="Times New Roman" w:hAnsi="Times New Roman" w:cs="Times New Roman"/>
          <w:b/>
          <w:sz w:val="24"/>
          <w:szCs w:val="24"/>
        </w:rPr>
        <w:t xml:space="preserve">aper in </w:t>
      </w:r>
      <w:r w:rsidR="00FC3D0E">
        <w:rPr>
          <w:rFonts w:ascii="Times New Roman" w:hAnsi="Times New Roman" w:cs="Times New Roman"/>
          <w:b/>
          <w:sz w:val="24"/>
          <w:szCs w:val="24"/>
        </w:rPr>
        <w:t>C</w:t>
      </w:r>
      <w:r w:rsidR="005229D8" w:rsidRPr="000D4FD3">
        <w:rPr>
          <w:rFonts w:ascii="Times New Roman" w:hAnsi="Times New Roman" w:cs="Times New Roman"/>
          <w:b/>
          <w:sz w:val="24"/>
          <w:szCs w:val="24"/>
        </w:rPr>
        <w:t>ontext</w:t>
      </w:r>
    </w:p>
    <w:p w14:paraId="71108D26" w14:textId="501DA95C" w:rsidR="003E3F26" w:rsidRDefault="005229D8" w:rsidP="00D47ABC">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This paper aims to add to the body of knowledge about the present and future of telework in the wake of the pandemic</w:t>
      </w:r>
      <w:r w:rsidR="00567B8E">
        <w:rPr>
          <w:rFonts w:ascii="Times New Roman" w:hAnsi="Times New Roman" w:cs="Times New Roman"/>
          <w:sz w:val="24"/>
          <w:szCs w:val="24"/>
        </w:rPr>
        <w:t>,</w:t>
      </w:r>
      <w:r w:rsidRPr="00837F9C">
        <w:rPr>
          <w:rFonts w:ascii="Times New Roman" w:hAnsi="Times New Roman" w:cs="Times New Roman"/>
          <w:sz w:val="24"/>
          <w:szCs w:val="24"/>
        </w:rPr>
        <w:t xml:space="preserve"> through a</w:t>
      </w:r>
      <w:r w:rsidR="00E501A9">
        <w:rPr>
          <w:rFonts w:ascii="Times New Roman" w:hAnsi="Times New Roman" w:cs="Times New Roman"/>
          <w:sz w:val="24"/>
          <w:szCs w:val="24"/>
        </w:rPr>
        <w:t xml:space="preserve">n </w:t>
      </w:r>
      <w:r w:rsidRPr="00837F9C">
        <w:rPr>
          <w:rFonts w:ascii="Times New Roman" w:hAnsi="Times New Roman" w:cs="Times New Roman"/>
          <w:sz w:val="24"/>
          <w:szCs w:val="24"/>
        </w:rPr>
        <w:t>analysis of telework arrangements</w:t>
      </w:r>
      <w:r>
        <w:rPr>
          <w:rFonts w:ascii="Times New Roman" w:hAnsi="Times New Roman" w:cs="Times New Roman"/>
          <w:sz w:val="24"/>
          <w:szCs w:val="24"/>
        </w:rPr>
        <w:t xml:space="preserve"> across two distinct time periods</w:t>
      </w:r>
      <w:r w:rsidR="00E501A9">
        <w:rPr>
          <w:rFonts w:ascii="Times New Roman" w:hAnsi="Times New Roman" w:cs="Times New Roman"/>
          <w:sz w:val="24"/>
          <w:szCs w:val="24"/>
        </w:rPr>
        <w:t xml:space="preserve">. </w:t>
      </w:r>
      <w:r w:rsidRPr="00837F9C">
        <w:rPr>
          <w:rFonts w:ascii="Times New Roman" w:hAnsi="Times New Roman" w:cs="Times New Roman"/>
          <w:sz w:val="24"/>
          <w:szCs w:val="24"/>
        </w:rPr>
        <w:t xml:space="preserve">The paper focuses on three key aspects of telework, including </w:t>
      </w:r>
      <w:r w:rsidRPr="00837F9C">
        <w:rPr>
          <w:rFonts w:ascii="Times New Roman" w:hAnsi="Times New Roman" w:cs="Times New Roman"/>
          <w:i/>
          <w:iCs/>
          <w:sz w:val="24"/>
          <w:szCs w:val="24"/>
        </w:rPr>
        <w:t xml:space="preserve">whether </w:t>
      </w:r>
      <w:r w:rsidRPr="00837F9C">
        <w:rPr>
          <w:rFonts w:ascii="Times New Roman" w:hAnsi="Times New Roman" w:cs="Times New Roman"/>
          <w:sz w:val="24"/>
          <w:szCs w:val="24"/>
        </w:rPr>
        <w:t xml:space="preserve">to telework or not, </w:t>
      </w:r>
      <w:r w:rsidRPr="00837F9C">
        <w:rPr>
          <w:rFonts w:ascii="Times New Roman" w:hAnsi="Times New Roman" w:cs="Times New Roman"/>
          <w:i/>
          <w:iCs/>
          <w:sz w:val="24"/>
          <w:szCs w:val="24"/>
        </w:rPr>
        <w:t xml:space="preserve">frequency </w:t>
      </w:r>
      <w:r w:rsidRPr="00837F9C">
        <w:rPr>
          <w:rFonts w:ascii="Times New Roman" w:hAnsi="Times New Roman" w:cs="Times New Roman"/>
          <w:sz w:val="24"/>
          <w:szCs w:val="24"/>
        </w:rPr>
        <w:t xml:space="preserve">of telework, and </w:t>
      </w:r>
      <w:r w:rsidRPr="00837F9C">
        <w:rPr>
          <w:rFonts w:ascii="Times New Roman" w:hAnsi="Times New Roman" w:cs="Times New Roman"/>
          <w:i/>
          <w:iCs/>
          <w:sz w:val="24"/>
          <w:szCs w:val="24"/>
        </w:rPr>
        <w:t xml:space="preserve">location </w:t>
      </w:r>
      <w:r w:rsidRPr="00837F9C">
        <w:rPr>
          <w:rFonts w:ascii="Times New Roman" w:hAnsi="Times New Roman" w:cs="Times New Roman"/>
          <w:sz w:val="24"/>
          <w:szCs w:val="24"/>
        </w:rPr>
        <w:t>of telework</w:t>
      </w:r>
      <w:r w:rsidR="005F6285">
        <w:rPr>
          <w:rFonts w:ascii="Times New Roman" w:hAnsi="Times New Roman" w:cs="Times New Roman"/>
          <w:sz w:val="24"/>
          <w:szCs w:val="24"/>
        </w:rPr>
        <w:t xml:space="preserve">, and proposes a joint methodology </w:t>
      </w:r>
      <w:r w:rsidR="00E501A9">
        <w:rPr>
          <w:rFonts w:ascii="Times New Roman" w:hAnsi="Times New Roman" w:cs="Times New Roman"/>
          <w:sz w:val="24"/>
          <w:szCs w:val="24"/>
        </w:rPr>
        <w:t xml:space="preserve">that </w:t>
      </w:r>
      <w:r w:rsidR="005F6285">
        <w:rPr>
          <w:rFonts w:ascii="Times New Roman" w:hAnsi="Times New Roman" w:cs="Times New Roman"/>
          <w:sz w:val="24"/>
          <w:szCs w:val="24"/>
        </w:rPr>
        <w:t xml:space="preserve">is capable of </w:t>
      </w:r>
      <w:r w:rsidR="00DB5F27">
        <w:rPr>
          <w:rFonts w:ascii="Times New Roman" w:hAnsi="Times New Roman" w:cs="Times New Roman"/>
          <w:sz w:val="24"/>
          <w:szCs w:val="24"/>
        </w:rPr>
        <w:t xml:space="preserve">accounting for </w:t>
      </w:r>
      <w:r w:rsidR="005F6285">
        <w:rPr>
          <w:rFonts w:ascii="Times New Roman" w:hAnsi="Times New Roman" w:cs="Times New Roman"/>
          <w:sz w:val="24"/>
          <w:szCs w:val="24"/>
        </w:rPr>
        <w:t xml:space="preserve">the unobserved correlations </w:t>
      </w:r>
      <w:r w:rsidR="00E501A9">
        <w:rPr>
          <w:rFonts w:ascii="Times New Roman" w:hAnsi="Times New Roman" w:cs="Times New Roman"/>
          <w:sz w:val="24"/>
          <w:szCs w:val="24"/>
        </w:rPr>
        <w:t xml:space="preserve">in the preferences </w:t>
      </w:r>
      <w:r w:rsidR="005F6285">
        <w:rPr>
          <w:rFonts w:ascii="Times New Roman" w:hAnsi="Times New Roman" w:cs="Times New Roman"/>
          <w:sz w:val="24"/>
          <w:szCs w:val="24"/>
        </w:rPr>
        <w:t>across these dimensions within and between the two time-</w:t>
      </w:r>
      <w:r w:rsidR="005F6285" w:rsidRPr="000D4FD3">
        <w:rPr>
          <w:rFonts w:ascii="Times New Roman" w:hAnsi="Times New Roman" w:cs="Times New Roman"/>
          <w:color w:val="000000" w:themeColor="text1"/>
          <w:sz w:val="24"/>
          <w:szCs w:val="24"/>
        </w:rPr>
        <w:t>periods.</w:t>
      </w:r>
      <w:r w:rsidRPr="000D4FD3">
        <w:rPr>
          <w:rFonts w:ascii="Times New Roman" w:hAnsi="Times New Roman" w:cs="Times New Roman"/>
          <w:color w:val="000000" w:themeColor="text1"/>
          <w:sz w:val="24"/>
          <w:szCs w:val="24"/>
        </w:rPr>
        <w:t xml:space="preserve"> </w:t>
      </w:r>
      <w:r w:rsidR="003F4613" w:rsidRPr="006C3BCB">
        <w:rPr>
          <w:rFonts w:ascii="Times New Roman" w:hAnsi="Times New Roman" w:cs="Times New Roman"/>
          <w:color w:val="000000" w:themeColor="text1"/>
          <w:sz w:val="24"/>
          <w:szCs w:val="24"/>
          <w:u w:val="single"/>
        </w:rPr>
        <w:t>Within each time period</w:t>
      </w:r>
      <w:r w:rsidR="003F4613">
        <w:rPr>
          <w:rFonts w:ascii="Times New Roman" w:hAnsi="Times New Roman" w:cs="Times New Roman"/>
          <w:color w:val="000000" w:themeColor="text1"/>
          <w:sz w:val="24"/>
          <w:szCs w:val="24"/>
        </w:rPr>
        <w:t>, t</w:t>
      </w:r>
      <w:r w:rsidR="00DB5F27">
        <w:rPr>
          <w:rFonts w:ascii="Times New Roman" w:hAnsi="Times New Roman" w:cs="Times New Roman"/>
          <w:color w:val="000000" w:themeColor="text1"/>
          <w:sz w:val="24"/>
          <w:szCs w:val="24"/>
        </w:rPr>
        <w:t>he unobserved correlations capture idiosyncratic factors</w:t>
      </w:r>
      <w:r w:rsidR="00E501A9">
        <w:rPr>
          <w:rFonts w:ascii="Times New Roman" w:hAnsi="Times New Roman" w:cs="Times New Roman"/>
          <w:color w:val="000000" w:themeColor="text1"/>
          <w:sz w:val="24"/>
          <w:szCs w:val="24"/>
        </w:rPr>
        <w:t xml:space="preserve"> </w:t>
      </w:r>
      <w:r w:rsidR="003F4613">
        <w:rPr>
          <w:rFonts w:ascii="Times New Roman" w:hAnsi="Times New Roman" w:cs="Times New Roman"/>
          <w:sz w:val="24"/>
          <w:szCs w:val="24"/>
        </w:rPr>
        <w:t xml:space="preserve">(such as </w:t>
      </w:r>
      <w:r w:rsidR="003F4613" w:rsidRPr="00837F9C">
        <w:rPr>
          <w:rFonts w:ascii="Times New Roman" w:hAnsi="Times New Roman" w:cs="Times New Roman"/>
          <w:sz w:val="24"/>
          <w:szCs w:val="24"/>
        </w:rPr>
        <w:t>attitudes, perceptions, preferences, and values</w:t>
      </w:r>
      <w:r w:rsidR="003F4613">
        <w:rPr>
          <w:rFonts w:ascii="Times New Roman" w:hAnsi="Times New Roman" w:cs="Times New Roman"/>
          <w:sz w:val="24"/>
          <w:szCs w:val="24"/>
        </w:rPr>
        <w:t>)</w:t>
      </w:r>
      <w:r w:rsidR="003F4613" w:rsidRPr="00837F9C">
        <w:rPr>
          <w:rFonts w:ascii="Times New Roman" w:hAnsi="Times New Roman" w:cs="Times New Roman"/>
          <w:sz w:val="24"/>
          <w:szCs w:val="24"/>
        </w:rPr>
        <w:t xml:space="preserve"> </w:t>
      </w:r>
      <w:r w:rsidR="00E501A9">
        <w:rPr>
          <w:rFonts w:ascii="Times New Roman" w:hAnsi="Times New Roman" w:cs="Times New Roman"/>
          <w:color w:val="000000" w:themeColor="text1"/>
          <w:sz w:val="24"/>
          <w:szCs w:val="24"/>
        </w:rPr>
        <w:t>that</w:t>
      </w:r>
      <w:r w:rsidR="00DB5F27">
        <w:rPr>
          <w:rFonts w:ascii="Times New Roman" w:hAnsi="Times New Roman" w:cs="Times New Roman"/>
          <w:color w:val="000000" w:themeColor="text1"/>
          <w:sz w:val="24"/>
          <w:szCs w:val="24"/>
        </w:rPr>
        <w:t xml:space="preserve"> may simultaneously increase or decrease the underlying propensities for</w:t>
      </w:r>
      <w:r w:rsidR="003F4613">
        <w:rPr>
          <w:rFonts w:ascii="Times New Roman" w:hAnsi="Times New Roman" w:cs="Times New Roman"/>
          <w:color w:val="000000" w:themeColor="text1"/>
          <w:sz w:val="24"/>
          <w:szCs w:val="24"/>
        </w:rPr>
        <w:t xml:space="preserve"> </w:t>
      </w:r>
      <w:r w:rsidR="00DB5F27">
        <w:rPr>
          <w:rFonts w:ascii="Times New Roman" w:hAnsi="Times New Roman" w:cs="Times New Roman"/>
          <w:color w:val="000000" w:themeColor="text1"/>
          <w:sz w:val="24"/>
          <w:szCs w:val="24"/>
        </w:rPr>
        <w:t>the</w:t>
      </w:r>
      <w:r w:rsidR="003F4613">
        <w:rPr>
          <w:rFonts w:ascii="Times New Roman" w:hAnsi="Times New Roman" w:cs="Times New Roman"/>
          <w:color w:val="000000" w:themeColor="text1"/>
          <w:sz w:val="24"/>
          <w:szCs w:val="24"/>
        </w:rPr>
        <w:t xml:space="preserve"> </w:t>
      </w:r>
      <w:r w:rsidR="00E501A9" w:rsidRPr="00837F9C">
        <w:rPr>
          <w:rFonts w:ascii="Times New Roman" w:hAnsi="Times New Roman" w:cs="Times New Roman"/>
          <w:sz w:val="24"/>
          <w:szCs w:val="24"/>
        </w:rPr>
        <w:t xml:space="preserve">telework dimensions. </w:t>
      </w:r>
      <w:r w:rsidR="00E501A9">
        <w:rPr>
          <w:rFonts w:ascii="Times New Roman" w:hAnsi="Times New Roman" w:cs="Times New Roman"/>
          <w:sz w:val="24"/>
          <w:szCs w:val="24"/>
        </w:rPr>
        <w:t xml:space="preserve">For example, an intrinsically tech-savvy individual may be more likely to adopt telework and also telework frequently, while a socially introverted individual </w:t>
      </w:r>
      <w:r w:rsidR="003F4613">
        <w:rPr>
          <w:rFonts w:ascii="Times New Roman" w:hAnsi="Times New Roman" w:cs="Times New Roman"/>
          <w:sz w:val="24"/>
          <w:szCs w:val="24"/>
        </w:rPr>
        <w:t xml:space="preserve">may not only have a high propensity to telework (and do so frequently), but also prefer to WFH. Of course, one can only speculate on the reasons for such unobserved correlations, but it is important to recognize that telework decisions are </w:t>
      </w:r>
      <w:r w:rsidR="00A14C4A">
        <w:rPr>
          <w:rFonts w:ascii="Times New Roman" w:hAnsi="Times New Roman" w:cs="Times New Roman"/>
          <w:sz w:val="24"/>
          <w:szCs w:val="24"/>
        </w:rPr>
        <w:t xml:space="preserve">likely to be </w:t>
      </w:r>
      <w:r w:rsidR="003F4613">
        <w:rPr>
          <w:rFonts w:ascii="Times New Roman" w:hAnsi="Times New Roman" w:cs="Times New Roman"/>
          <w:sz w:val="24"/>
          <w:szCs w:val="24"/>
        </w:rPr>
        <w:t xml:space="preserve">made as a joint package </w:t>
      </w:r>
      <w:r w:rsidR="00A14C4A">
        <w:rPr>
          <w:rFonts w:ascii="Times New Roman" w:hAnsi="Times New Roman" w:cs="Times New Roman"/>
          <w:sz w:val="24"/>
          <w:szCs w:val="24"/>
        </w:rPr>
        <w:t xml:space="preserve">rather than </w:t>
      </w:r>
      <w:r w:rsidR="003F4613">
        <w:rPr>
          <w:rFonts w:ascii="Times New Roman" w:hAnsi="Times New Roman" w:cs="Times New Roman"/>
          <w:sz w:val="24"/>
          <w:szCs w:val="24"/>
        </w:rPr>
        <w:t>in a piecemeal fashion. Besides, the nature of such unobserved factor</w:t>
      </w:r>
      <w:r w:rsidR="00A14C4A">
        <w:rPr>
          <w:rFonts w:ascii="Times New Roman" w:hAnsi="Times New Roman" w:cs="Times New Roman"/>
          <w:sz w:val="24"/>
          <w:szCs w:val="24"/>
        </w:rPr>
        <w:t xml:space="preserve"> effects </w:t>
      </w:r>
      <w:r w:rsidR="003F4613">
        <w:rPr>
          <w:rFonts w:ascii="Times New Roman" w:hAnsi="Times New Roman" w:cs="Times New Roman"/>
          <w:sz w:val="24"/>
          <w:szCs w:val="24"/>
        </w:rPr>
        <w:t xml:space="preserve">itself may have changed from the </w:t>
      </w:r>
      <w:r w:rsidR="003F4613" w:rsidRPr="006C3BCB">
        <w:rPr>
          <w:rFonts w:ascii="Times New Roman" w:hAnsi="Times New Roman" w:cs="Times New Roman"/>
          <w:i/>
          <w:sz w:val="24"/>
          <w:szCs w:val="24"/>
        </w:rPr>
        <w:t xml:space="preserve">Before </w:t>
      </w:r>
      <w:r w:rsidR="003F4613">
        <w:rPr>
          <w:rFonts w:ascii="Times New Roman" w:hAnsi="Times New Roman" w:cs="Times New Roman"/>
          <w:sz w:val="24"/>
          <w:szCs w:val="24"/>
        </w:rPr>
        <w:t xml:space="preserve">COVID to </w:t>
      </w:r>
      <w:r w:rsidR="003F4613" w:rsidRPr="006C3BCB">
        <w:rPr>
          <w:rFonts w:ascii="Times New Roman" w:hAnsi="Times New Roman" w:cs="Times New Roman"/>
          <w:i/>
          <w:sz w:val="24"/>
          <w:szCs w:val="24"/>
        </w:rPr>
        <w:t xml:space="preserve">After </w:t>
      </w:r>
      <w:r w:rsidR="003F4613">
        <w:rPr>
          <w:rFonts w:ascii="Times New Roman" w:hAnsi="Times New Roman" w:cs="Times New Roman"/>
          <w:sz w:val="24"/>
          <w:szCs w:val="24"/>
        </w:rPr>
        <w:t>COVID period</w:t>
      </w:r>
      <w:r w:rsidR="00A14C4A">
        <w:rPr>
          <w:rFonts w:ascii="Times New Roman" w:hAnsi="Times New Roman" w:cs="Times New Roman"/>
          <w:sz w:val="24"/>
          <w:szCs w:val="24"/>
        </w:rPr>
        <w:t>s</w:t>
      </w:r>
      <w:r w:rsidR="003F4613">
        <w:rPr>
          <w:rFonts w:ascii="Times New Roman" w:hAnsi="Times New Roman" w:cs="Times New Roman"/>
          <w:sz w:val="24"/>
          <w:szCs w:val="24"/>
        </w:rPr>
        <w:t xml:space="preserve">, warranting consideration of separate correlations across the three telework dimensions </w:t>
      </w:r>
      <w:r w:rsidR="00A14C4A">
        <w:rPr>
          <w:rFonts w:ascii="Times New Roman" w:hAnsi="Times New Roman" w:cs="Times New Roman"/>
          <w:sz w:val="24"/>
          <w:szCs w:val="24"/>
        </w:rPr>
        <w:t>with</w:t>
      </w:r>
      <w:r w:rsidR="003F4613">
        <w:rPr>
          <w:rFonts w:ascii="Times New Roman" w:hAnsi="Times New Roman" w:cs="Times New Roman"/>
          <w:sz w:val="24"/>
          <w:szCs w:val="24"/>
        </w:rPr>
        <w:t xml:space="preserve">in each period.  </w:t>
      </w:r>
      <w:r w:rsidR="00A14C4A" w:rsidRPr="006C3BCB">
        <w:rPr>
          <w:rFonts w:ascii="Times New Roman" w:hAnsi="Times New Roman" w:cs="Times New Roman"/>
          <w:sz w:val="24"/>
          <w:szCs w:val="24"/>
          <w:u w:val="single"/>
        </w:rPr>
        <w:t xml:space="preserve">Across </w:t>
      </w:r>
      <w:r w:rsidR="00A14C4A">
        <w:rPr>
          <w:rFonts w:ascii="Times New Roman" w:hAnsi="Times New Roman" w:cs="Times New Roman"/>
          <w:sz w:val="24"/>
          <w:szCs w:val="24"/>
          <w:u w:val="single"/>
        </w:rPr>
        <w:t xml:space="preserve">the two </w:t>
      </w:r>
      <w:r w:rsidR="00A14C4A" w:rsidRPr="006C3BCB">
        <w:rPr>
          <w:rFonts w:ascii="Times New Roman" w:hAnsi="Times New Roman" w:cs="Times New Roman"/>
          <w:sz w:val="24"/>
          <w:szCs w:val="24"/>
          <w:u w:val="single"/>
        </w:rPr>
        <w:t>time periods</w:t>
      </w:r>
      <w:r w:rsidR="00A14C4A">
        <w:rPr>
          <w:rFonts w:ascii="Times New Roman" w:hAnsi="Times New Roman" w:cs="Times New Roman"/>
          <w:sz w:val="24"/>
          <w:szCs w:val="24"/>
        </w:rPr>
        <w:t xml:space="preserve">, the unobserved correlations capture idiosyncratic individual-level unobserved factors that permeate over time and that influence the </w:t>
      </w:r>
      <w:r w:rsidR="00E501A9">
        <w:rPr>
          <w:rFonts w:ascii="Times New Roman" w:hAnsi="Times New Roman" w:cs="Times New Roman"/>
          <w:i/>
          <w:sz w:val="24"/>
          <w:szCs w:val="24"/>
        </w:rPr>
        <w:t>B</w:t>
      </w:r>
      <w:r w:rsidR="00E501A9" w:rsidRPr="00700FD4">
        <w:rPr>
          <w:rFonts w:ascii="Times New Roman" w:hAnsi="Times New Roman" w:cs="Times New Roman"/>
          <w:i/>
          <w:sz w:val="24"/>
          <w:szCs w:val="24"/>
        </w:rPr>
        <w:t>efor</w:t>
      </w:r>
      <w:r w:rsidR="00A14C4A">
        <w:rPr>
          <w:rFonts w:ascii="Times New Roman" w:hAnsi="Times New Roman" w:cs="Times New Roman"/>
          <w:i/>
          <w:sz w:val="24"/>
          <w:szCs w:val="24"/>
        </w:rPr>
        <w:t xml:space="preserve">e </w:t>
      </w:r>
      <w:r w:rsidR="00E501A9" w:rsidRPr="00700FD4">
        <w:rPr>
          <w:rFonts w:ascii="Times New Roman" w:hAnsi="Times New Roman" w:cs="Times New Roman"/>
          <w:i/>
          <w:sz w:val="24"/>
          <w:szCs w:val="24"/>
        </w:rPr>
        <w:t>COVID</w:t>
      </w:r>
      <w:r w:rsidR="00E501A9" w:rsidRPr="00837F9C">
        <w:rPr>
          <w:rFonts w:ascii="Times New Roman" w:hAnsi="Times New Roman" w:cs="Times New Roman"/>
          <w:sz w:val="24"/>
          <w:szCs w:val="24"/>
        </w:rPr>
        <w:t xml:space="preserve"> and </w:t>
      </w:r>
      <w:r w:rsidR="00E501A9" w:rsidRPr="00700FD4">
        <w:rPr>
          <w:rFonts w:ascii="Times New Roman" w:hAnsi="Times New Roman" w:cs="Times New Roman"/>
          <w:i/>
          <w:sz w:val="24"/>
          <w:szCs w:val="24"/>
        </w:rPr>
        <w:t>After</w:t>
      </w:r>
      <w:r w:rsidR="00A14C4A">
        <w:rPr>
          <w:rFonts w:ascii="Times New Roman" w:hAnsi="Times New Roman" w:cs="Times New Roman"/>
          <w:i/>
          <w:sz w:val="24"/>
          <w:szCs w:val="24"/>
        </w:rPr>
        <w:t xml:space="preserve"> </w:t>
      </w:r>
      <w:r w:rsidR="00E501A9" w:rsidRPr="00700FD4">
        <w:rPr>
          <w:rFonts w:ascii="Times New Roman" w:hAnsi="Times New Roman" w:cs="Times New Roman"/>
          <w:i/>
          <w:sz w:val="24"/>
          <w:szCs w:val="24"/>
        </w:rPr>
        <w:t>COVID</w:t>
      </w:r>
      <w:r w:rsidR="00E501A9" w:rsidRPr="00837F9C">
        <w:rPr>
          <w:rFonts w:ascii="Times New Roman" w:hAnsi="Times New Roman" w:cs="Times New Roman"/>
          <w:sz w:val="24"/>
          <w:szCs w:val="24"/>
        </w:rPr>
        <w:t xml:space="preserve"> </w:t>
      </w:r>
      <w:r w:rsidR="00A14C4A">
        <w:rPr>
          <w:rFonts w:ascii="Times New Roman" w:hAnsi="Times New Roman" w:cs="Times New Roman"/>
          <w:sz w:val="24"/>
          <w:szCs w:val="24"/>
        </w:rPr>
        <w:t xml:space="preserve">telework choices of </w:t>
      </w:r>
      <w:r w:rsidR="00E501A9" w:rsidRPr="00837F9C">
        <w:rPr>
          <w:rFonts w:ascii="Times New Roman" w:hAnsi="Times New Roman" w:cs="Times New Roman"/>
          <w:sz w:val="24"/>
          <w:szCs w:val="24"/>
        </w:rPr>
        <w:t>the same individual</w:t>
      </w:r>
      <w:r w:rsidR="00A14C4A">
        <w:rPr>
          <w:rFonts w:ascii="Times New Roman" w:hAnsi="Times New Roman" w:cs="Times New Roman"/>
          <w:sz w:val="24"/>
          <w:szCs w:val="24"/>
        </w:rPr>
        <w:t xml:space="preserve">. In general, we would expect these inter-temporal correlation effects for each dimension to be positive; that is, unobserved individual-specific factors that increase the propensity of telework adoption and telework frequency at the </w:t>
      </w:r>
      <w:r w:rsidR="00A14C4A" w:rsidRPr="006C3BCB">
        <w:rPr>
          <w:rFonts w:ascii="Times New Roman" w:hAnsi="Times New Roman" w:cs="Times New Roman"/>
          <w:i/>
          <w:sz w:val="24"/>
          <w:szCs w:val="24"/>
        </w:rPr>
        <w:t>Before</w:t>
      </w:r>
      <w:r w:rsidR="00A14C4A">
        <w:rPr>
          <w:rFonts w:ascii="Times New Roman" w:hAnsi="Times New Roman" w:cs="Times New Roman"/>
          <w:sz w:val="24"/>
          <w:szCs w:val="24"/>
        </w:rPr>
        <w:t xml:space="preserve"> COVID time point can be expected to increase the </w:t>
      </w:r>
      <w:r w:rsidR="00567B8E">
        <w:rPr>
          <w:rFonts w:ascii="Times New Roman" w:hAnsi="Times New Roman" w:cs="Times New Roman"/>
          <w:sz w:val="24"/>
          <w:szCs w:val="24"/>
        </w:rPr>
        <w:t xml:space="preserve">corresponding </w:t>
      </w:r>
      <w:r w:rsidR="00A14C4A">
        <w:rPr>
          <w:rFonts w:ascii="Times New Roman" w:hAnsi="Times New Roman" w:cs="Times New Roman"/>
          <w:sz w:val="24"/>
          <w:szCs w:val="24"/>
        </w:rPr>
        <w:t xml:space="preserve">propensity of telework at the </w:t>
      </w:r>
      <w:r w:rsidR="00A14C4A" w:rsidRPr="006C3BCB">
        <w:rPr>
          <w:rFonts w:ascii="Times New Roman" w:hAnsi="Times New Roman" w:cs="Times New Roman"/>
          <w:i/>
          <w:sz w:val="24"/>
          <w:szCs w:val="24"/>
        </w:rPr>
        <w:t xml:space="preserve">After </w:t>
      </w:r>
      <w:r w:rsidR="00A14C4A">
        <w:rPr>
          <w:rFonts w:ascii="Times New Roman" w:hAnsi="Times New Roman" w:cs="Times New Roman"/>
          <w:sz w:val="24"/>
          <w:szCs w:val="24"/>
        </w:rPr>
        <w:t xml:space="preserve">COVID time point. Similarly, </w:t>
      </w:r>
      <w:r w:rsidR="00567B8E">
        <w:rPr>
          <w:rFonts w:ascii="Times New Roman" w:hAnsi="Times New Roman" w:cs="Times New Roman"/>
          <w:sz w:val="24"/>
          <w:szCs w:val="24"/>
        </w:rPr>
        <w:t xml:space="preserve">unobserved factors that increase </w:t>
      </w:r>
      <w:r w:rsidR="00A14C4A">
        <w:rPr>
          <w:rFonts w:ascii="Times New Roman" w:hAnsi="Times New Roman" w:cs="Times New Roman"/>
          <w:sz w:val="24"/>
          <w:szCs w:val="24"/>
        </w:rPr>
        <w:t xml:space="preserve">the propensity for a specific </w:t>
      </w:r>
      <w:r w:rsidR="00EF7A2D">
        <w:rPr>
          <w:rFonts w:ascii="Times New Roman" w:hAnsi="Times New Roman" w:cs="Times New Roman"/>
          <w:sz w:val="24"/>
          <w:szCs w:val="24"/>
        </w:rPr>
        <w:t>telework location</w:t>
      </w:r>
      <w:r w:rsidR="00A14C4A">
        <w:rPr>
          <w:rFonts w:ascii="Times New Roman" w:hAnsi="Times New Roman" w:cs="Times New Roman"/>
          <w:sz w:val="24"/>
          <w:szCs w:val="24"/>
        </w:rPr>
        <w:t xml:space="preserve"> at the </w:t>
      </w:r>
      <w:r w:rsidR="00A14C4A" w:rsidRPr="006C3BCB">
        <w:rPr>
          <w:rFonts w:ascii="Times New Roman" w:hAnsi="Times New Roman" w:cs="Times New Roman"/>
          <w:i/>
          <w:sz w:val="24"/>
          <w:szCs w:val="24"/>
        </w:rPr>
        <w:t>Before</w:t>
      </w:r>
      <w:r w:rsidR="00A14C4A">
        <w:rPr>
          <w:rFonts w:ascii="Times New Roman" w:hAnsi="Times New Roman" w:cs="Times New Roman"/>
          <w:sz w:val="24"/>
          <w:szCs w:val="24"/>
        </w:rPr>
        <w:t xml:space="preserve"> COVID time point can be expected to increase the propensity for that </w:t>
      </w:r>
      <w:r w:rsidR="00EF7A2D">
        <w:rPr>
          <w:rFonts w:ascii="Times New Roman" w:hAnsi="Times New Roman" w:cs="Times New Roman"/>
          <w:sz w:val="24"/>
          <w:szCs w:val="24"/>
        </w:rPr>
        <w:t>telework location</w:t>
      </w:r>
      <w:r w:rsidR="00A14C4A">
        <w:rPr>
          <w:rFonts w:ascii="Times New Roman" w:hAnsi="Times New Roman" w:cs="Times New Roman"/>
          <w:sz w:val="24"/>
          <w:szCs w:val="24"/>
        </w:rPr>
        <w:t xml:space="preserve"> </w:t>
      </w:r>
      <w:r w:rsidR="00D47ABC">
        <w:rPr>
          <w:rFonts w:ascii="Times New Roman" w:hAnsi="Times New Roman" w:cs="Times New Roman"/>
          <w:sz w:val="24"/>
          <w:szCs w:val="24"/>
        </w:rPr>
        <w:t xml:space="preserve">at the </w:t>
      </w:r>
      <w:r w:rsidR="00A14C4A" w:rsidRPr="006C3BCB">
        <w:rPr>
          <w:rFonts w:ascii="Times New Roman" w:hAnsi="Times New Roman" w:cs="Times New Roman"/>
          <w:i/>
          <w:sz w:val="24"/>
          <w:szCs w:val="24"/>
        </w:rPr>
        <w:t>After</w:t>
      </w:r>
      <w:r w:rsidR="00A14C4A">
        <w:rPr>
          <w:rFonts w:ascii="Times New Roman" w:hAnsi="Times New Roman" w:cs="Times New Roman"/>
          <w:sz w:val="24"/>
          <w:szCs w:val="24"/>
        </w:rPr>
        <w:t xml:space="preserve"> COVID time point. </w:t>
      </w:r>
      <w:r w:rsidR="00D47ABC">
        <w:rPr>
          <w:rFonts w:ascii="Times New Roman" w:hAnsi="Times New Roman" w:cs="Times New Roman"/>
          <w:sz w:val="24"/>
          <w:szCs w:val="24"/>
        </w:rPr>
        <w:t xml:space="preserve">To our knowledge, </w:t>
      </w:r>
      <w:r w:rsidR="00842A5A">
        <w:rPr>
          <w:rFonts w:ascii="Times New Roman" w:hAnsi="Times New Roman" w:cs="Times New Roman"/>
          <w:sz w:val="24"/>
          <w:szCs w:val="24"/>
        </w:rPr>
        <w:t xml:space="preserve">from a methodological standpoint, </w:t>
      </w:r>
      <w:r w:rsidR="00D47ABC">
        <w:rPr>
          <w:rFonts w:ascii="Times New Roman" w:hAnsi="Times New Roman" w:cs="Times New Roman"/>
          <w:sz w:val="24"/>
          <w:szCs w:val="24"/>
        </w:rPr>
        <w:t xml:space="preserve">this is the first paper in the literature to jointly model all the three telework dimensions of adoption, frequency, and location across both the </w:t>
      </w:r>
      <w:r w:rsidR="00D47ABC" w:rsidRPr="006C3BCB">
        <w:rPr>
          <w:rFonts w:ascii="Times New Roman" w:hAnsi="Times New Roman" w:cs="Times New Roman"/>
          <w:i/>
          <w:sz w:val="24"/>
          <w:szCs w:val="24"/>
        </w:rPr>
        <w:t xml:space="preserve">Before </w:t>
      </w:r>
      <w:r w:rsidR="00D47ABC">
        <w:rPr>
          <w:rFonts w:ascii="Times New Roman" w:hAnsi="Times New Roman" w:cs="Times New Roman"/>
          <w:sz w:val="24"/>
          <w:szCs w:val="24"/>
        </w:rPr>
        <w:t xml:space="preserve">COVID and </w:t>
      </w:r>
      <w:r w:rsidR="00D47ABC" w:rsidRPr="006C3BCB">
        <w:rPr>
          <w:rFonts w:ascii="Times New Roman" w:hAnsi="Times New Roman" w:cs="Times New Roman"/>
          <w:i/>
          <w:sz w:val="24"/>
          <w:szCs w:val="24"/>
        </w:rPr>
        <w:t xml:space="preserve">After </w:t>
      </w:r>
      <w:r w:rsidR="00D47ABC">
        <w:rPr>
          <w:rFonts w:ascii="Times New Roman" w:hAnsi="Times New Roman" w:cs="Times New Roman"/>
          <w:sz w:val="24"/>
          <w:szCs w:val="24"/>
        </w:rPr>
        <w:t xml:space="preserve">COVID periods. </w:t>
      </w:r>
    </w:p>
    <w:p w14:paraId="54C89F4B" w14:textId="3562811E" w:rsidR="00D47ABC" w:rsidRDefault="00D47ABC" w:rsidP="000940B6">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From a substantive standpoint, we explicitly </w:t>
      </w:r>
      <w:r w:rsidR="005229D8" w:rsidRPr="00837F9C">
        <w:rPr>
          <w:rFonts w:ascii="Times New Roman" w:hAnsi="Times New Roman" w:cs="Times New Roman"/>
          <w:sz w:val="24"/>
          <w:szCs w:val="24"/>
        </w:rPr>
        <w:t xml:space="preserve">consider the possibility of working at a </w:t>
      </w:r>
      <w:r w:rsidR="004612CB">
        <w:rPr>
          <w:rFonts w:ascii="Times New Roman" w:hAnsi="Times New Roman" w:cs="Times New Roman"/>
          <w:sz w:val="24"/>
          <w:szCs w:val="24"/>
        </w:rPr>
        <w:t xml:space="preserve">non-home location </w:t>
      </w:r>
      <w:r w:rsidR="005229D8" w:rsidRPr="00837F9C">
        <w:rPr>
          <w:rFonts w:ascii="Times New Roman" w:hAnsi="Times New Roman" w:cs="Times New Roman"/>
          <w:sz w:val="24"/>
          <w:szCs w:val="24"/>
        </w:rPr>
        <w:t xml:space="preserve">as part of the </w:t>
      </w:r>
      <w:r w:rsidR="00EF7A2D">
        <w:rPr>
          <w:rFonts w:ascii="Times New Roman" w:hAnsi="Times New Roman" w:cs="Times New Roman"/>
          <w:sz w:val="24"/>
          <w:szCs w:val="24"/>
        </w:rPr>
        <w:t xml:space="preserve">telework </w:t>
      </w:r>
      <w:r w:rsidR="005229D8" w:rsidRPr="00837F9C">
        <w:rPr>
          <w:rFonts w:ascii="Times New Roman" w:hAnsi="Times New Roman" w:cs="Times New Roman"/>
          <w:i/>
          <w:iCs/>
          <w:sz w:val="24"/>
          <w:szCs w:val="24"/>
        </w:rPr>
        <w:t>location</w:t>
      </w:r>
      <w:r w:rsidR="005229D8" w:rsidRPr="00837F9C">
        <w:rPr>
          <w:rFonts w:ascii="Times New Roman" w:hAnsi="Times New Roman" w:cs="Times New Roman"/>
          <w:sz w:val="24"/>
          <w:szCs w:val="24"/>
        </w:rPr>
        <w:t xml:space="preserve"> dimension. In addition, th</w:t>
      </w:r>
      <w:r>
        <w:rPr>
          <w:rFonts w:ascii="Times New Roman" w:hAnsi="Times New Roman" w:cs="Times New Roman"/>
          <w:sz w:val="24"/>
          <w:szCs w:val="24"/>
        </w:rPr>
        <w:t>e</w:t>
      </w:r>
      <w:r w:rsidR="005229D8" w:rsidRPr="00837F9C">
        <w:rPr>
          <w:rFonts w:ascii="Times New Roman" w:hAnsi="Times New Roman" w:cs="Times New Roman"/>
          <w:sz w:val="24"/>
          <w:szCs w:val="24"/>
        </w:rPr>
        <w:t xml:space="preserve"> paper shed</w:t>
      </w:r>
      <w:r>
        <w:rPr>
          <w:rFonts w:ascii="Times New Roman" w:hAnsi="Times New Roman" w:cs="Times New Roman"/>
          <w:sz w:val="24"/>
          <w:szCs w:val="24"/>
        </w:rPr>
        <w:t>s</w:t>
      </w:r>
      <w:r w:rsidR="005229D8" w:rsidRPr="00837F9C">
        <w:rPr>
          <w:rFonts w:ascii="Times New Roman" w:hAnsi="Times New Roman" w:cs="Times New Roman"/>
          <w:sz w:val="24"/>
          <w:szCs w:val="24"/>
        </w:rPr>
        <w:t xml:space="preserve"> deep insights on the evolution </w:t>
      </w:r>
      <w:r w:rsidR="00555205">
        <w:rPr>
          <w:rFonts w:ascii="Times New Roman" w:hAnsi="Times New Roman" w:cs="Times New Roman"/>
          <w:sz w:val="24"/>
          <w:szCs w:val="24"/>
        </w:rPr>
        <w:t xml:space="preserve">(over the pandemic period) </w:t>
      </w:r>
      <w:r w:rsidR="005229D8" w:rsidRPr="00837F9C">
        <w:rPr>
          <w:rFonts w:ascii="Times New Roman" w:hAnsi="Times New Roman" w:cs="Times New Roman"/>
          <w:sz w:val="24"/>
          <w:szCs w:val="24"/>
        </w:rPr>
        <w:t>of work arrangements for different socio-economic</w:t>
      </w:r>
      <w:r>
        <w:rPr>
          <w:rFonts w:ascii="Times New Roman" w:hAnsi="Times New Roman" w:cs="Times New Roman"/>
          <w:sz w:val="24"/>
          <w:szCs w:val="24"/>
        </w:rPr>
        <w:t xml:space="preserve">, </w:t>
      </w:r>
      <w:r w:rsidR="005229D8" w:rsidRPr="00837F9C">
        <w:rPr>
          <w:rFonts w:ascii="Times New Roman" w:hAnsi="Times New Roman" w:cs="Times New Roman"/>
          <w:sz w:val="24"/>
          <w:szCs w:val="24"/>
        </w:rPr>
        <w:lastRenderedPageBreak/>
        <w:t>demographic</w:t>
      </w:r>
      <w:r>
        <w:rPr>
          <w:rFonts w:ascii="Times New Roman" w:hAnsi="Times New Roman" w:cs="Times New Roman"/>
          <w:sz w:val="24"/>
          <w:szCs w:val="24"/>
        </w:rPr>
        <w:t>, and work sector</w:t>
      </w:r>
      <w:r w:rsidR="005229D8" w:rsidRPr="00837F9C">
        <w:rPr>
          <w:rFonts w:ascii="Times New Roman" w:hAnsi="Times New Roman" w:cs="Times New Roman"/>
          <w:sz w:val="24"/>
          <w:szCs w:val="24"/>
        </w:rPr>
        <w:t xml:space="preserve"> groups. Through such an analysis, the paper aims to identify market segments that are more likely to continue teleworking into the future</w:t>
      </w:r>
      <w:r>
        <w:rPr>
          <w:rFonts w:ascii="Times New Roman" w:hAnsi="Times New Roman" w:cs="Times New Roman"/>
          <w:sz w:val="24"/>
          <w:szCs w:val="24"/>
        </w:rPr>
        <w:t>,</w:t>
      </w:r>
      <w:r w:rsidR="005229D8" w:rsidRPr="00837F9C">
        <w:rPr>
          <w:rFonts w:ascii="Times New Roman" w:hAnsi="Times New Roman" w:cs="Times New Roman"/>
          <w:sz w:val="24"/>
          <w:szCs w:val="24"/>
        </w:rPr>
        <w:t xml:space="preserve"> while also uncovering those demographic groups </w:t>
      </w:r>
      <w:r>
        <w:rPr>
          <w:rFonts w:ascii="Times New Roman" w:hAnsi="Times New Roman" w:cs="Times New Roman"/>
          <w:sz w:val="24"/>
          <w:szCs w:val="24"/>
        </w:rPr>
        <w:t>that</w:t>
      </w:r>
      <w:r w:rsidR="005229D8" w:rsidRPr="00837F9C">
        <w:rPr>
          <w:rFonts w:ascii="Times New Roman" w:hAnsi="Times New Roman" w:cs="Times New Roman"/>
          <w:sz w:val="24"/>
          <w:szCs w:val="24"/>
        </w:rPr>
        <w:t xml:space="preserve"> may be left behind </w:t>
      </w:r>
      <w:r>
        <w:rPr>
          <w:rFonts w:ascii="Times New Roman" w:hAnsi="Times New Roman" w:cs="Times New Roman"/>
          <w:sz w:val="24"/>
          <w:szCs w:val="24"/>
        </w:rPr>
        <w:t xml:space="preserve">by way of work arrangement options </w:t>
      </w:r>
      <w:r w:rsidR="005229D8" w:rsidRPr="00837F9C">
        <w:rPr>
          <w:rFonts w:ascii="Times New Roman" w:hAnsi="Times New Roman" w:cs="Times New Roman"/>
          <w:sz w:val="24"/>
          <w:szCs w:val="24"/>
        </w:rPr>
        <w:t xml:space="preserve">(leading to an inequitable future of work). </w:t>
      </w:r>
      <w:r w:rsidR="00567B8E">
        <w:rPr>
          <w:rFonts w:ascii="Times New Roman" w:hAnsi="Times New Roman" w:cs="Times New Roman"/>
          <w:sz w:val="24"/>
          <w:szCs w:val="24"/>
        </w:rPr>
        <w:t xml:space="preserve">In doing so, and unlike most studies in the teleworking literature at large, we go beyond the model estimates (that typically do not provide information about the directionality and magnitude effects of variables on the outcomes of interest) to computing the direction and size effects of exogenous variables on the actual outcomes of interest. </w:t>
      </w:r>
    </w:p>
    <w:p w14:paraId="1FADB332" w14:textId="53C313CA" w:rsidR="005229D8" w:rsidRDefault="00D47ABC" w:rsidP="00D47ABC">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5229D8" w:rsidRPr="00837F9C">
        <w:rPr>
          <w:rFonts w:ascii="Times New Roman" w:hAnsi="Times New Roman" w:cs="Times New Roman"/>
          <w:sz w:val="24"/>
          <w:szCs w:val="24"/>
        </w:rPr>
        <w:t>data for this study is derived from a workplace location choice</w:t>
      </w:r>
      <w:r>
        <w:rPr>
          <w:rFonts w:ascii="Times New Roman" w:hAnsi="Times New Roman" w:cs="Times New Roman"/>
          <w:sz w:val="24"/>
          <w:szCs w:val="24"/>
        </w:rPr>
        <w:t xml:space="preserve"> recall</w:t>
      </w:r>
      <w:r w:rsidR="005229D8" w:rsidRPr="00837F9C">
        <w:rPr>
          <w:rFonts w:ascii="Times New Roman" w:hAnsi="Times New Roman" w:cs="Times New Roman"/>
          <w:sz w:val="24"/>
          <w:szCs w:val="24"/>
        </w:rPr>
        <w:t xml:space="preserve"> survey conducted across Texas in February-March 2022. As such, the paper examines the evolution of telework arrangements between the pre-pandemic period and the February-March 2022 period. </w:t>
      </w:r>
      <w:bookmarkStart w:id="1" w:name="_Hlk133655087"/>
      <w:r w:rsidR="005229D8" w:rsidRPr="00837F9C">
        <w:rPr>
          <w:rFonts w:ascii="Times New Roman" w:hAnsi="Times New Roman" w:cs="Times New Roman"/>
          <w:sz w:val="24"/>
          <w:szCs w:val="24"/>
        </w:rPr>
        <w:t xml:space="preserve">Although it may be argued that COVID was still prevalent during February-March 2022, it can be safely </w:t>
      </w:r>
      <w:r>
        <w:rPr>
          <w:rFonts w:ascii="Times New Roman" w:hAnsi="Times New Roman" w:cs="Times New Roman"/>
          <w:sz w:val="24"/>
          <w:szCs w:val="24"/>
        </w:rPr>
        <w:t>assumed</w:t>
      </w:r>
      <w:r w:rsidR="005229D8" w:rsidRPr="00837F9C">
        <w:rPr>
          <w:rFonts w:ascii="Times New Roman" w:hAnsi="Times New Roman" w:cs="Times New Roman"/>
          <w:sz w:val="24"/>
          <w:szCs w:val="24"/>
        </w:rPr>
        <w:t xml:space="preserve"> that the worst of the pandemic was in the rearview mirror, with high rates of vaccination, lifting of mask and social distancing mandates, reopening of all establishments and workplaces, and a substantially diminished threat of death (or even severe complications) due to the virus.</w:t>
      </w:r>
      <w:bookmarkEnd w:id="1"/>
      <w:r w:rsidR="005229D8" w:rsidRPr="00837F9C">
        <w:rPr>
          <w:rFonts w:ascii="Times New Roman" w:hAnsi="Times New Roman" w:cs="Times New Roman"/>
          <w:sz w:val="24"/>
          <w:szCs w:val="24"/>
        </w:rPr>
        <w:t xml:space="preserve"> </w:t>
      </w:r>
      <w:r w:rsidR="005229D8">
        <w:rPr>
          <w:rFonts w:ascii="Times New Roman" w:hAnsi="Times New Roman" w:cs="Times New Roman"/>
          <w:sz w:val="24"/>
          <w:szCs w:val="24"/>
        </w:rPr>
        <w:t>I</w:t>
      </w:r>
      <w:r w:rsidR="005229D8" w:rsidRPr="00837F9C">
        <w:rPr>
          <w:rFonts w:ascii="Times New Roman" w:hAnsi="Times New Roman" w:cs="Times New Roman"/>
          <w:sz w:val="24"/>
          <w:szCs w:val="24"/>
        </w:rPr>
        <w:t xml:space="preserve">n this analysis, the February-March 2022 period will be referred to as the </w:t>
      </w:r>
      <w:r w:rsidR="005229D8" w:rsidRPr="00837F9C">
        <w:rPr>
          <w:rFonts w:ascii="Times New Roman" w:hAnsi="Times New Roman" w:cs="Times New Roman"/>
          <w:i/>
          <w:iCs/>
          <w:sz w:val="24"/>
          <w:szCs w:val="24"/>
        </w:rPr>
        <w:t>After</w:t>
      </w:r>
      <w:r w:rsidR="00567B8E" w:rsidRPr="00A15909">
        <w:rPr>
          <w:rFonts w:ascii="Times New Roman" w:hAnsi="Times New Roman" w:cs="Times New Roman"/>
          <w:iCs/>
          <w:sz w:val="24"/>
          <w:szCs w:val="24"/>
        </w:rPr>
        <w:t xml:space="preserve"> </w:t>
      </w:r>
      <w:r w:rsidR="005229D8" w:rsidRPr="00A15909">
        <w:rPr>
          <w:rFonts w:ascii="Times New Roman" w:hAnsi="Times New Roman" w:cs="Times New Roman"/>
          <w:iCs/>
          <w:sz w:val="24"/>
          <w:szCs w:val="24"/>
        </w:rPr>
        <w:t xml:space="preserve">COVID </w:t>
      </w:r>
      <w:r w:rsidR="005229D8" w:rsidRPr="00837F9C">
        <w:rPr>
          <w:rFonts w:ascii="Times New Roman" w:hAnsi="Times New Roman" w:cs="Times New Roman"/>
          <w:sz w:val="24"/>
          <w:szCs w:val="24"/>
        </w:rPr>
        <w:t xml:space="preserve">period (because it is </w:t>
      </w:r>
      <w:r w:rsidR="005229D8" w:rsidRPr="00837F9C">
        <w:rPr>
          <w:rFonts w:ascii="Times New Roman" w:hAnsi="Times New Roman" w:cs="Times New Roman"/>
          <w:i/>
          <w:iCs/>
          <w:sz w:val="24"/>
          <w:szCs w:val="24"/>
        </w:rPr>
        <w:t>after</w:t>
      </w:r>
      <w:r w:rsidR="005229D8" w:rsidRPr="00837F9C">
        <w:rPr>
          <w:rFonts w:ascii="Times New Roman" w:hAnsi="Times New Roman" w:cs="Times New Roman"/>
          <w:sz w:val="24"/>
          <w:szCs w:val="24"/>
        </w:rPr>
        <w:t xml:space="preserve"> the worst of the pandemic). The pre-pandemic period will be referred to as the </w:t>
      </w:r>
      <w:r w:rsidR="005229D8" w:rsidRPr="00837F9C">
        <w:rPr>
          <w:rFonts w:ascii="Times New Roman" w:hAnsi="Times New Roman" w:cs="Times New Roman"/>
          <w:i/>
          <w:iCs/>
          <w:sz w:val="24"/>
          <w:szCs w:val="24"/>
        </w:rPr>
        <w:t>Before</w:t>
      </w:r>
      <w:r w:rsidR="00567B8E">
        <w:rPr>
          <w:rFonts w:ascii="Times New Roman" w:hAnsi="Times New Roman" w:cs="Times New Roman"/>
          <w:i/>
          <w:iCs/>
          <w:sz w:val="24"/>
          <w:szCs w:val="24"/>
        </w:rPr>
        <w:t xml:space="preserve"> </w:t>
      </w:r>
      <w:r w:rsidR="005229D8" w:rsidRPr="00A15909">
        <w:rPr>
          <w:rFonts w:ascii="Times New Roman" w:hAnsi="Times New Roman" w:cs="Times New Roman"/>
          <w:iCs/>
          <w:sz w:val="24"/>
          <w:szCs w:val="24"/>
        </w:rPr>
        <w:t xml:space="preserve">COVID </w:t>
      </w:r>
      <w:r w:rsidR="005229D8" w:rsidRPr="00837F9C">
        <w:rPr>
          <w:rFonts w:ascii="Times New Roman" w:hAnsi="Times New Roman" w:cs="Times New Roman"/>
          <w:sz w:val="24"/>
          <w:szCs w:val="24"/>
        </w:rPr>
        <w:t xml:space="preserve">period. Through the inclusion of retrospective questions in the survey (to elicit information about </w:t>
      </w:r>
      <w:r w:rsidR="005229D8" w:rsidRPr="00961062">
        <w:rPr>
          <w:rFonts w:ascii="Times New Roman" w:hAnsi="Times New Roman" w:cs="Times New Roman"/>
          <w:i/>
          <w:sz w:val="24"/>
          <w:szCs w:val="24"/>
        </w:rPr>
        <w:t>Before</w:t>
      </w:r>
      <w:r w:rsidR="00567B8E">
        <w:rPr>
          <w:rFonts w:ascii="Times New Roman" w:hAnsi="Times New Roman" w:cs="Times New Roman"/>
          <w:i/>
          <w:sz w:val="24"/>
          <w:szCs w:val="24"/>
        </w:rPr>
        <w:t xml:space="preserve"> </w:t>
      </w:r>
      <w:r w:rsidR="005229D8" w:rsidRPr="00A15909">
        <w:rPr>
          <w:rFonts w:ascii="Times New Roman" w:hAnsi="Times New Roman" w:cs="Times New Roman"/>
          <w:sz w:val="24"/>
          <w:szCs w:val="24"/>
        </w:rPr>
        <w:t>COVID</w:t>
      </w:r>
      <w:r w:rsidR="005229D8" w:rsidRPr="00C711F7">
        <w:rPr>
          <w:rFonts w:ascii="Times New Roman" w:hAnsi="Times New Roman" w:cs="Times New Roman"/>
          <w:sz w:val="24"/>
          <w:szCs w:val="24"/>
        </w:rPr>
        <w:t xml:space="preserve"> </w:t>
      </w:r>
      <w:r w:rsidR="005229D8" w:rsidRPr="00837F9C">
        <w:rPr>
          <w:rFonts w:ascii="Times New Roman" w:hAnsi="Times New Roman" w:cs="Times New Roman"/>
          <w:sz w:val="24"/>
          <w:szCs w:val="24"/>
        </w:rPr>
        <w:t>behaviors), the resulting dataset essentially provid</w:t>
      </w:r>
      <w:r>
        <w:rPr>
          <w:rFonts w:ascii="Times New Roman" w:hAnsi="Times New Roman" w:cs="Times New Roman"/>
          <w:sz w:val="24"/>
          <w:szCs w:val="24"/>
        </w:rPr>
        <w:t>ed</w:t>
      </w:r>
      <w:r w:rsidR="005229D8" w:rsidRPr="00837F9C">
        <w:rPr>
          <w:rFonts w:ascii="Times New Roman" w:hAnsi="Times New Roman" w:cs="Times New Roman"/>
          <w:sz w:val="24"/>
          <w:szCs w:val="24"/>
        </w:rPr>
        <w:t xml:space="preserve"> information at </w:t>
      </w:r>
      <w:r w:rsidR="003E3F26">
        <w:rPr>
          <w:rFonts w:ascii="Times New Roman" w:hAnsi="Times New Roman" w:cs="Times New Roman"/>
          <w:sz w:val="24"/>
          <w:szCs w:val="24"/>
        </w:rPr>
        <w:t xml:space="preserve">the </w:t>
      </w:r>
      <w:r w:rsidR="005229D8" w:rsidRPr="00837F9C">
        <w:rPr>
          <w:rFonts w:ascii="Times New Roman" w:hAnsi="Times New Roman" w:cs="Times New Roman"/>
          <w:sz w:val="24"/>
          <w:szCs w:val="24"/>
        </w:rPr>
        <w:t xml:space="preserve">two time points </w:t>
      </w:r>
      <w:r w:rsidR="003E3F26">
        <w:rPr>
          <w:rFonts w:ascii="Times New Roman" w:hAnsi="Times New Roman" w:cs="Times New Roman"/>
          <w:sz w:val="24"/>
          <w:szCs w:val="24"/>
        </w:rPr>
        <w:t xml:space="preserve">of interest </w:t>
      </w:r>
      <w:r w:rsidR="005229D8" w:rsidRPr="00837F9C">
        <w:rPr>
          <w:rFonts w:ascii="Times New Roman" w:hAnsi="Times New Roman" w:cs="Times New Roman"/>
          <w:sz w:val="24"/>
          <w:szCs w:val="24"/>
        </w:rPr>
        <w:t>(</w:t>
      </w:r>
      <w:r w:rsidR="005229D8" w:rsidRPr="00961062">
        <w:rPr>
          <w:rFonts w:ascii="Times New Roman" w:hAnsi="Times New Roman" w:cs="Times New Roman"/>
          <w:i/>
          <w:sz w:val="24"/>
          <w:szCs w:val="24"/>
        </w:rPr>
        <w:t>Before</w:t>
      </w:r>
      <w:r w:rsidR="005229D8" w:rsidRPr="00837F9C">
        <w:rPr>
          <w:rFonts w:ascii="Times New Roman" w:hAnsi="Times New Roman" w:cs="Times New Roman"/>
          <w:sz w:val="24"/>
          <w:szCs w:val="24"/>
        </w:rPr>
        <w:t xml:space="preserve"> and </w:t>
      </w:r>
      <w:r w:rsidR="005229D8" w:rsidRPr="00961062">
        <w:rPr>
          <w:rFonts w:ascii="Times New Roman" w:hAnsi="Times New Roman" w:cs="Times New Roman"/>
          <w:i/>
          <w:sz w:val="24"/>
          <w:szCs w:val="24"/>
        </w:rPr>
        <w:t>After</w:t>
      </w:r>
      <w:r w:rsidR="00567B8E">
        <w:rPr>
          <w:rFonts w:ascii="Times New Roman" w:hAnsi="Times New Roman" w:cs="Times New Roman"/>
          <w:i/>
          <w:sz w:val="24"/>
          <w:szCs w:val="24"/>
        </w:rPr>
        <w:t xml:space="preserve"> </w:t>
      </w:r>
      <w:r w:rsidR="005229D8" w:rsidRPr="00A15909">
        <w:rPr>
          <w:rFonts w:ascii="Times New Roman" w:hAnsi="Times New Roman" w:cs="Times New Roman"/>
          <w:sz w:val="24"/>
          <w:szCs w:val="24"/>
        </w:rPr>
        <w:t>COVID</w:t>
      </w:r>
      <w:r w:rsidR="005229D8" w:rsidRPr="00837F9C">
        <w:rPr>
          <w:rFonts w:ascii="Times New Roman" w:hAnsi="Times New Roman" w:cs="Times New Roman"/>
          <w:sz w:val="24"/>
          <w:szCs w:val="24"/>
        </w:rPr>
        <w:t xml:space="preserve">) for the same set of individuals. </w:t>
      </w:r>
      <w:bookmarkStart w:id="2" w:name="_Hlk133654784"/>
      <w:r w:rsidR="00555205">
        <w:rPr>
          <w:rFonts w:ascii="Times New Roman" w:hAnsi="Times New Roman" w:cs="Times New Roman"/>
          <w:sz w:val="24"/>
          <w:szCs w:val="24"/>
        </w:rPr>
        <w:t>While there is a possibility of the presence of recall or misclassification error because of our retrospective approach to collect</w:t>
      </w:r>
      <w:r w:rsidR="00070985">
        <w:rPr>
          <w:rFonts w:ascii="Times New Roman" w:hAnsi="Times New Roman" w:cs="Times New Roman"/>
          <w:sz w:val="24"/>
          <w:szCs w:val="24"/>
        </w:rPr>
        <w:t>ing</w:t>
      </w:r>
      <w:r w:rsidR="00555205">
        <w:rPr>
          <w:rFonts w:ascii="Times New Roman" w:hAnsi="Times New Roman" w:cs="Times New Roman"/>
          <w:sz w:val="24"/>
          <w:szCs w:val="24"/>
        </w:rPr>
        <w:t xml:space="preserve"> the </w:t>
      </w:r>
      <w:r w:rsidR="00555205" w:rsidRPr="006C3BCB">
        <w:rPr>
          <w:rFonts w:ascii="Times New Roman" w:hAnsi="Times New Roman" w:cs="Times New Roman"/>
          <w:i/>
          <w:sz w:val="24"/>
          <w:szCs w:val="24"/>
        </w:rPr>
        <w:t>Before</w:t>
      </w:r>
      <w:r w:rsidR="00555205">
        <w:rPr>
          <w:rFonts w:ascii="Times New Roman" w:hAnsi="Times New Roman" w:cs="Times New Roman"/>
          <w:sz w:val="24"/>
          <w:szCs w:val="24"/>
        </w:rPr>
        <w:t xml:space="preserve"> COVID data, work-related arrangements (including telework arrangements) are relatively important determinants of one’s lifestyle and lifecycle rhythms, as also suggested by Ory and Mokhtarian (2006). </w:t>
      </w:r>
      <w:r w:rsidR="00070985">
        <w:rPr>
          <w:rFonts w:ascii="Times New Roman" w:hAnsi="Times New Roman" w:cs="Times New Roman"/>
          <w:sz w:val="24"/>
          <w:szCs w:val="24"/>
        </w:rPr>
        <w:t xml:space="preserve">And this was particularly so </w:t>
      </w:r>
      <w:r w:rsidR="00555205">
        <w:rPr>
          <w:rFonts w:ascii="Times New Roman" w:hAnsi="Times New Roman" w:cs="Times New Roman"/>
          <w:sz w:val="24"/>
          <w:szCs w:val="24"/>
        </w:rPr>
        <w:t xml:space="preserve">before COVID </w:t>
      </w:r>
      <w:r w:rsidR="00070985">
        <w:rPr>
          <w:rFonts w:ascii="Times New Roman" w:hAnsi="Times New Roman" w:cs="Times New Roman"/>
          <w:sz w:val="24"/>
          <w:szCs w:val="24"/>
        </w:rPr>
        <w:t>because any teleworking arrangements tended to be very</w:t>
      </w:r>
      <w:r w:rsidR="00555205">
        <w:rPr>
          <w:rFonts w:ascii="Times New Roman" w:hAnsi="Times New Roman" w:cs="Times New Roman"/>
          <w:sz w:val="24"/>
          <w:szCs w:val="24"/>
        </w:rPr>
        <w:t xml:space="preserve"> structure</w:t>
      </w:r>
      <w:r w:rsidR="00070985">
        <w:rPr>
          <w:rFonts w:ascii="Times New Roman" w:hAnsi="Times New Roman" w:cs="Times New Roman"/>
          <w:sz w:val="24"/>
          <w:szCs w:val="24"/>
        </w:rPr>
        <w:t>d, with clear employer-mandated regulations about the permissible extent and location of teleworking (</w:t>
      </w:r>
      <w:r w:rsidR="005730D9">
        <w:rPr>
          <w:rFonts w:ascii="Times New Roman" w:hAnsi="Times New Roman" w:cs="Times New Roman"/>
          <w:sz w:val="24"/>
          <w:szCs w:val="24"/>
        </w:rPr>
        <w:t>Boland et al., 2020</w:t>
      </w:r>
      <w:r w:rsidR="00070985">
        <w:rPr>
          <w:rFonts w:ascii="Times New Roman" w:hAnsi="Times New Roman" w:cs="Times New Roman"/>
          <w:sz w:val="24"/>
          <w:szCs w:val="24"/>
        </w:rPr>
        <w:t>)</w:t>
      </w:r>
      <w:r w:rsidR="00555205">
        <w:rPr>
          <w:rFonts w:ascii="Times New Roman" w:hAnsi="Times New Roman" w:cs="Times New Roman"/>
          <w:sz w:val="24"/>
          <w:szCs w:val="24"/>
        </w:rPr>
        <w:t xml:space="preserve">. </w:t>
      </w:r>
      <w:r w:rsidR="00070985">
        <w:rPr>
          <w:rFonts w:ascii="Times New Roman" w:hAnsi="Times New Roman" w:cs="Times New Roman"/>
          <w:sz w:val="24"/>
          <w:szCs w:val="24"/>
        </w:rPr>
        <w:t>Thus, it is only r</w:t>
      </w:r>
      <w:r w:rsidR="00555205">
        <w:rPr>
          <w:rFonts w:ascii="Times New Roman" w:hAnsi="Times New Roman" w:cs="Times New Roman"/>
          <w:sz w:val="24"/>
          <w:szCs w:val="24"/>
        </w:rPr>
        <w:t>easonabl</w:t>
      </w:r>
      <w:r w:rsidR="00070985">
        <w:rPr>
          <w:rFonts w:ascii="Times New Roman" w:hAnsi="Times New Roman" w:cs="Times New Roman"/>
          <w:sz w:val="24"/>
          <w:szCs w:val="24"/>
        </w:rPr>
        <w:t>e</w:t>
      </w:r>
      <w:r w:rsidR="00555205">
        <w:rPr>
          <w:rFonts w:ascii="Times New Roman" w:hAnsi="Times New Roman" w:cs="Times New Roman"/>
          <w:sz w:val="24"/>
          <w:szCs w:val="24"/>
        </w:rPr>
        <w:t xml:space="preserve"> </w:t>
      </w:r>
      <w:r w:rsidR="00070985">
        <w:rPr>
          <w:rFonts w:ascii="Times New Roman" w:hAnsi="Times New Roman" w:cs="Times New Roman"/>
          <w:sz w:val="24"/>
          <w:szCs w:val="24"/>
        </w:rPr>
        <w:t xml:space="preserve">to </w:t>
      </w:r>
      <w:r w:rsidR="00555205">
        <w:rPr>
          <w:rFonts w:ascii="Times New Roman" w:hAnsi="Times New Roman" w:cs="Times New Roman"/>
          <w:sz w:val="24"/>
          <w:szCs w:val="24"/>
        </w:rPr>
        <w:t>expect</w:t>
      </w:r>
      <w:r w:rsidR="00070985">
        <w:rPr>
          <w:rFonts w:ascii="Times New Roman" w:hAnsi="Times New Roman" w:cs="Times New Roman"/>
          <w:sz w:val="24"/>
          <w:szCs w:val="24"/>
        </w:rPr>
        <w:t xml:space="preserve"> </w:t>
      </w:r>
      <w:r w:rsidR="00555205">
        <w:rPr>
          <w:rFonts w:ascii="Times New Roman" w:hAnsi="Times New Roman" w:cs="Times New Roman"/>
          <w:sz w:val="24"/>
          <w:szCs w:val="24"/>
        </w:rPr>
        <w:t xml:space="preserve">that respondents </w:t>
      </w:r>
      <w:r w:rsidR="00070985">
        <w:rPr>
          <w:rFonts w:ascii="Times New Roman" w:hAnsi="Times New Roman" w:cs="Times New Roman"/>
          <w:sz w:val="24"/>
          <w:szCs w:val="24"/>
        </w:rPr>
        <w:t>sh</w:t>
      </w:r>
      <w:r w:rsidR="00555205">
        <w:rPr>
          <w:rFonts w:ascii="Times New Roman" w:hAnsi="Times New Roman" w:cs="Times New Roman"/>
          <w:sz w:val="24"/>
          <w:szCs w:val="24"/>
        </w:rPr>
        <w:t xml:space="preserve">ould be able to accurately recall </w:t>
      </w:r>
      <w:r w:rsidR="00DF7824">
        <w:rPr>
          <w:rFonts w:ascii="Times New Roman" w:hAnsi="Times New Roman" w:cs="Times New Roman"/>
          <w:sz w:val="24"/>
          <w:szCs w:val="24"/>
        </w:rPr>
        <w:t xml:space="preserve">their work </w:t>
      </w:r>
      <w:r w:rsidR="00070985">
        <w:rPr>
          <w:rFonts w:ascii="Times New Roman" w:hAnsi="Times New Roman" w:cs="Times New Roman"/>
          <w:sz w:val="24"/>
          <w:szCs w:val="24"/>
        </w:rPr>
        <w:t>arrangement</w:t>
      </w:r>
      <w:r w:rsidR="00DF7824">
        <w:rPr>
          <w:rFonts w:ascii="Times New Roman" w:hAnsi="Times New Roman" w:cs="Times New Roman"/>
          <w:sz w:val="24"/>
          <w:szCs w:val="24"/>
        </w:rPr>
        <w:t>s</w:t>
      </w:r>
      <w:r w:rsidR="00070985">
        <w:rPr>
          <w:rFonts w:ascii="Times New Roman" w:hAnsi="Times New Roman" w:cs="Times New Roman"/>
          <w:sz w:val="24"/>
          <w:szCs w:val="24"/>
        </w:rPr>
        <w:t xml:space="preserve"> </w:t>
      </w:r>
      <w:r w:rsidR="00555205">
        <w:rPr>
          <w:rFonts w:ascii="Times New Roman" w:hAnsi="Times New Roman" w:cs="Times New Roman"/>
          <w:sz w:val="24"/>
          <w:szCs w:val="24"/>
        </w:rPr>
        <w:t xml:space="preserve">even a couple of years later. </w:t>
      </w:r>
      <w:r w:rsidR="00070985">
        <w:rPr>
          <w:rFonts w:ascii="Times New Roman" w:hAnsi="Times New Roman" w:cs="Times New Roman"/>
          <w:sz w:val="24"/>
          <w:szCs w:val="24"/>
        </w:rPr>
        <w:t xml:space="preserve">Indeed, respondents seemed to have little trouble </w:t>
      </w:r>
      <w:r w:rsidR="00DF7824">
        <w:rPr>
          <w:rFonts w:ascii="Times New Roman" w:hAnsi="Times New Roman" w:cs="Times New Roman"/>
          <w:sz w:val="24"/>
          <w:szCs w:val="24"/>
        </w:rPr>
        <w:t xml:space="preserve">in the survey </w:t>
      </w:r>
      <w:r w:rsidR="00070985">
        <w:rPr>
          <w:rFonts w:ascii="Times New Roman" w:hAnsi="Times New Roman" w:cs="Times New Roman"/>
          <w:sz w:val="24"/>
          <w:szCs w:val="24"/>
        </w:rPr>
        <w:t>providing details of whether or not they teleworked, and the extent and location of their teleworking, with literally no missing or inappropriate data</w:t>
      </w:r>
      <w:r w:rsidR="00DF7824">
        <w:rPr>
          <w:rFonts w:ascii="Times New Roman" w:hAnsi="Times New Roman" w:cs="Times New Roman"/>
          <w:sz w:val="24"/>
          <w:szCs w:val="24"/>
        </w:rPr>
        <w:t xml:space="preserve"> responses. </w:t>
      </w:r>
      <w:bookmarkEnd w:id="2"/>
    </w:p>
    <w:p w14:paraId="1D2C7C04" w14:textId="27856C6E" w:rsidR="005229D8" w:rsidRDefault="005229D8" w:rsidP="005229D8">
      <w:pPr>
        <w:spacing w:after="0" w:line="276" w:lineRule="auto"/>
        <w:ind w:firstLine="720"/>
        <w:rPr>
          <w:rFonts w:ascii="Times New Roman" w:hAnsi="Times New Roman" w:cs="Times New Roman"/>
          <w:sz w:val="24"/>
          <w:szCs w:val="24"/>
        </w:rPr>
      </w:pPr>
      <w:r w:rsidRPr="00837F9C">
        <w:rPr>
          <w:rFonts w:ascii="Times New Roman" w:hAnsi="Times New Roman" w:cs="Times New Roman"/>
          <w:sz w:val="24"/>
          <w:szCs w:val="24"/>
        </w:rPr>
        <w:t xml:space="preserve">In </w:t>
      </w:r>
      <w:r w:rsidR="00555205">
        <w:rPr>
          <w:rFonts w:ascii="Times New Roman" w:hAnsi="Times New Roman" w:cs="Times New Roman"/>
          <w:sz w:val="24"/>
          <w:szCs w:val="24"/>
        </w:rPr>
        <w:t>the</w:t>
      </w:r>
      <w:r w:rsidR="00DF7824">
        <w:rPr>
          <w:rFonts w:ascii="Times New Roman" w:hAnsi="Times New Roman" w:cs="Times New Roman"/>
          <w:sz w:val="24"/>
          <w:szCs w:val="24"/>
        </w:rPr>
        <w:t xml:space="preserve"> empirical</w:t>
      </w:r>
      <w:r w:rsidR="00555205">
        <w:rPr>
          <w:rFonts w:ascii="Times New Roman" w:hAnsi="Times New Roman" w:cs="Times New Roman"/>
          <w:sz w:val="24"/>
          <w:szCs w:val="24"/>
        </w:rPr>
        <w:t xml:space="preserve"> </w:t>
      </w:r>
      <w:r w:rsidRPr="00837F9C">
        <w:rPr>
          <w:rFonts w:ascii="Times New Roman" w:hAnsi="Times New Roman" w:cs="Times New Roman"/>
          <w:sz w:val="24"/>
          <w:szCs w:val="24"/>
        </w:rPr>
        <w:t>analysis</w:t>
      </w:r>
      <w:r w:rsidR="00DF7824">
        <w:rPr>
          <w:rFonts w:ascii="Times New Roman" w:hAnsi="Times New Roman" w:cs="Times New Roman"/>
          <w:sz w:val="24"/>
          <w:szCs w:val="24"/>
        </w:rPr>
        <w:t xml:space="preserve"> of our paper</w:t>
      </w:r>
      <w:r w:rsidRPr="00837F9C">
        <w:rPr>
          <w:rFonts w:ascii="Times New Roman" w:hAnsi="Times New Roman" w:cs="Times New Roman"/>
          <w:sz w:val="24"/>
          <w:szCs w:val="24"/>
        </w:rPr>
        <w:t>, to appropriately tease out the effect</w:t>
      </w:r>
      <w:r w:rsidR="003E3F26">
        <w:rPr>
          <w:rFonts w:ascii="Times New Roman" w:hAnsi="Times New Roman" w:cs="Times New Roman"/>
          <w:sz w:val="24"/>
          <w:szCs w:val="24"/>
        </w:rPr>
        <w:t>s</w:t>
      </w:r>
      <w:r w:rsidRPr="00837F9C">
        <w:rPr>
          <w:rFonts w:ascii="Times New Roman" w:hAnsi="Times New Roman" w:cs="Times New Roman"/>
          <w:sz w:val="24"/>
          <w:szCs w:val="24"/>
        </w:rPr>
        <w:t xml:space="preserve"> of the pandemic on </w:t>
      </w:r>
      <w:r w:rsidR="00DF7824">
        <w:rPr>
          <w:rFonts w:ascii="Times New Roman" w:hAnsi="Times New Roman" w:cs="Times New Roman"/>
          <w:sz w:val="24"/>
          <w:szCs w:val="24"/>
        </w:rPr>
        <w:t xml:space="preserve">employee preferences regarding </w:t>
      </w:r>
      <w:r w:rsidRPr="00837F9C">
        <w:rPr>
          <w:rFonts w:ascii="Times New Roman" w:hAnsi="Times New Roman" w:cs="Times New Roman"/>
          <w:sz w:val="24"/>
          <w:szCs w:val="24"/>
        </w:rPr>
        <w:t xml:space="preserve">telework, we focus on </w:t>
      </w:r>
      <w:r w:rsidR="00DF7824">
        <w:rPr>
          <w:rFonts w:ascii="Times New Roman" w:hAnsi="Times New Roman" w:cs="Times New Roman"/>
          <w:sz w:val="24"/>
          <w:szCs w:val="24"/>
        </w:rPr>
        <w:t>only those</w:t>
      </w:r>
      <w:r w:rsidR="00280AB2">
        <w:rPr>
          <w:rFonts w:ascii="Times New Roman" w:hAnsi="Times New Roman" w:cs="Times New Roman"/>
          <w:sz w:val="24"/>
          <w:szCs w:val="24"/>
        </w:rPr>
        <w:t xml:space="preserve"> </w:t>
      </w:r>
      <w:r w:rsidR="00DF7824">
        <w:rPr>
          <w:rFonts w:ascii="Times New Roman" w:hAnsi="Times New Roman" w:cs="Times New Roman"/>
          <w:sz w:val="24"/>
          <w:szCs w:val="24"/>
        </w:rPr>
        <w:t xml:space="preserve">individuals </w:t>
      </w:r>
      <w:r w:rsidRPr="00837F9C">
        <w:rPr>
          <w:rFonts w:ascii="Times New Roman" w:hAnsi="Times New Roman" w:cs="Times New Roman"/>
          <w:sz w:val="24"/>
          <w:szCs w:val="24"/>
        </w:rPr>
        <w:t xml:space="preserve">who </w:t>
      </w:r>
      <w:r w:rsidR="00280AB2">
        <w:rPr>
          <w:rFonts w:ascii="Times New Roman" w:hAnsi="Times New Roman" w:cs="Times New Roman"/>
          <w:sz w:val="24"/>
          <w:szCs w:val="24"/>
        </w:rPr>
        <w:t xml:space="preserve">were employed, and </w:t>
      </w:r>
      <w:r w:rsidRPr="00837F9C">
        <w:rPr>
          <w:rFonts w:ascii="Times New Roman" w:hAnsi="Times New Roman" w:cs="Times New Roman"/>
          <w:sz w:val="24"/>
          <w:szCs w:val="24"/>
        </w:rPr>
        <w:t xml:space="preserve">had the allowance (from their employer) to work </w:t>
      </w:r>
      <w:r w:rsidRPr="004D5DF9">
        <w:rPr>
          <w:rFonts w:ascii="Times New Roman" w:hAnsi="Times New Roman" w:cs="Times New Roman"/>
          <w:sz w:val="24"/>
          <w:szCs w:val="24"/>
        </w:rPr>
        <w:t>remotely</w:t>
      </w:r>
      <w:r w:rsidR="00280AB2" w:rsidRPr="004D5DF9">
        <w:rPr>
          <w:rFonts w:ascii="Times New Roman" w:hAnsi="Times New Roman" w:cs="Times New Roman"/>
          <w:sz w:val="24"/>
          <w:szCs w:val="24"/>
        </w:rPr>
        <w:t>,</w:t>
      </w:r>
      <w:r w:rsidRPr="004D5DF9">
        <w:rPr>
          <w:rFonts w:ascii="Times New Roman" w:hAnsi="Times New Roman" w:cs="Times New Roman"/>
          <w:sz w:val="24"/>
          <w:szCs w:val="24"/>
        </w:rPr>
        <w:t xml:space="preserve"> both </w:t>
      </w:r>
      <w:r w:rsidRPr="00A15909">
        <w:rPr>
          <w:rFonts w:ascii="Times New Roman" w:hAnsi="Times New Roman" w:cs="Times New Roman"/>
          <w:sz w:val="24"/>
          <w:szCs w:val="24"/>
        </w:rPr>
        <w:t>before</w:t>
      </w:r>
      <w:r w:rsidRPr="004D5DF9">
        <w:rPr>
          <w:rFonts w:ascii="Times New Roman" w:hAnsi="Times New Roman" w:cs="Times New Roman"/>
          <w:sz w:val="24"/>
          <w:szCs w:val="24"/>
        </w:rPr>
        <w:t xml:space="preserve"> COVID and </w:t>
      </w:r>
      <w:r w:rsidRPr="00A15909">
        <w:rPr>
          <w:rFonts w:ascii="Times New Roman" w:hAnsi="Times New Roman" w:cs="Times New Roman"/>
          <w:sz w:val="24"/>
          <w:szCs w:val="24"/>
        </w:rPr>
        <w:t>after</w:t>
      </w:r>
      <w:r w:rsidRPr="004D5DF9">
        <w:rPr>
          <w:rFonts w:ascii="Times New Roman" w:hAnsi="Times New Roman" w:cs="Times New Roman"/>
          <w:sz w:val="24"/>
          <w:szCs w:val="24"/>
        </w:rPr>
        <w:t xml:space="preserve"> COVID (allowance refers here to whether the employers of the</w:t>
      </w:r>
      <w:r w:rsidR="00DF7824" w:rsidRPr="004D5DF9">
        <w:rPr>
          <w:rFonts w:ascii="Times New Roman" w:hAnsi="Times New Roman" w:cs="Times New Roman"/>
          <w:sz w:val="24"/>
          <w:szCs w:val="24"/>
        </w:rPr>
        <w:t xml:space="preserve"> r</w:t>
      </w:r>
      <w:r w:rsidR="00DF7824">
        <w:rPr>
          <w:rFonts w:ascii="Times New Roman" w:hAnsi="Times New Roman" w:cs="Times New Roman"/>
          <w:sz w:val="24"/>
          <w:szCs w:val="24"/>
        </w:rPr>
        <w:t>espondents</w:t>
      </w:r>
      <w:r w:rsidRPr="00837F9C">
        <w:rPr>
          <w:rFonts w:ascii="Times New Roman" w:hAnsi="Times New Roman" w:cs="Times New Roman"/>
          <w:sz w:val="24"/>
          <w:szCs w:val="24"/>
        </w:rPr>
        <w:t xml:space="preserve"> formally and officially sanctioned (with pay) the performance of work from a </w:t>
      </w:r>
      <w:r w:rsidR="005D7357">
        <w:rPr>
          <w:rFonts w:ascii="Times New Roman" w:hAnsi="Times New Roman" w:cs="Times New Roman"/>
          <w:sz w:val="24"/>
          <w:szCs w:val="24"/>
        </w:rPr>
        <w:t>telework location</w:t>
      </w:r>
      <w:r w:rsidRPr="00837F9C">
        <w:rPr>
          <w:rFonts w:ascii="Times New Roman" w:hAnsi="Times New Roman" w:cs="Times New Roman"/>
          <w:sz w:val="24"/>
          <w:szCs w:val="24"/>
        </w:rPr>
        <w:t xml:space="preserve"> on one or more days over a period of a month). Such control is important when considering shifts in telework adoption tendencies from an employee perspective. In the </w:t>
      </w:r>
      <w:r w:rsidRPr="00961062">
        <w:rPr>
          <w:rFonts w:ascii="Times New Roman" w:hAnsi="Times New Roman" w:cs="Times New Roman"/>
          <w:i/>
          <w:sz w:val="24"/>
          <w:szCs w:val="24"/>
        </w:rPr>
        <w:t>Before</w:t>
      </w:r>
      <w:r w:rsidR="00A91FDB">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837F9C">
        <w:rPr>
          <w:rFonts w:ascii="Times New Roman" w:hAnsi="Times New Roman" w:cs="Times New Roman"/>
          <w:sz w:val="24"/>
          <w:szCs w:val="24"/>
        </w:rPr>
        <w:t>period, estimates of teleworking allowance w</w:t>
      </w:r>
      <w:r w:rsidR="008A2A0F">
        <w:rPr>
          <w:rFonts w:ascii="Times New Roman" w:hAnsi="Times New Roman" w:cs="Times New Roman"/>
          <w:sz w:val="24"/>
          <w:szCs w:val="24"/>
        </w:rPr>
        <w:t>ere</w:t>
      </w:r>
      <w:r w:rsidRPr="00837F9C">
        <w:rPr>
          <w:rFonts w:ascii="Times New Roman" w:hAnsi="Times New Roman" w:cs="Times New Roman"/>
          <w:sz w:val="24"/>
          <w:szCs w:val="24"/>
        </w:rPr>
        <w:t xml:space="preserve"> in the order of 50</w:t>
      </w:r>
      <w:r>
        <w:rPr>
          <w:rFonts w:ascii="Times New Roman" w:hAnsi="Times New Roman" w:cs="Times New Roman"/>
          <w:sz w:val="24"/>
          <w:szCs w:val="24"/>
        </w:rPr>
        <w:t xml:space="preserve"> to 60 percent </w:t>
      </w:r>
      <w:r w:rsidRPr="00837F9C">
        <w:rPr>
          <w:rFonts w:ascii="Times New Roman" w:hAnsi="Times New Roman" w:cs="Times New Roman"/>
          <w:sz w:val="24"/>
          <w:szCs w:val="24"/>
        </w:rPr>
        <w:t xml:space="preserve">across all industries </w:t>
      </w:r>
      <w:r w:rsidRPr="00E1729F">
        <w:rPr>
          <w:rFonts w:ascii="Times New Roman" w:hAnsi="Times New Roman" w:cs="Times New Roman"/>
          <w:sz w:val="24"/>
          <w:szCs w:val="24"/>
        </w:rPr>
        <w:t>(</w:t>
      </w:r>
      <w:r w:rsidRPr="00837F9C">
        <w:rPr>
          <w:rFonts w:ascii="Times New Roman" w:hAnsi="Times New Roman" w:cs="Times New Roman"/>
          <w:sz w:val="24"/>
          <w:szCs w:val="24"/>
        </w:rPr>
        <w:t xml:space="preserve">this includes both workers </w:t>
      </w:r>
      <w:r w:rsidRPr="00E1729F">
        <w:rPr>
          <w:rFonts w:ascii="Times New Roman" w:hAnsi="Times New Roman" w:cs="Times New Roman"/>
          <w:sz w:val="24"/>
          <w:szCs w:val="24"/>
        </w:rPr>
        <w:t xml:space="preserve">allowed to telework as a matter of their employer’s </w:t>
      </w:r>
      <w:r>
        <w:rPr>
          <w:rFonts w:ascii="Times New Roman" w:hAnsi="Times New Roman" w:cs="Times New Roman"/>
          <w:sz w:val="24"/>
          <w:szCs w:val="24"/>
        </w:rPr>
        <w:t xml:space="preserve">universal </w:t>
      </w:r>
      <w:r w:rsidRPr="00E1729F">
        <w:rPr>
          <w:rFonts w:ascii="Times New Roman" w:hAnsi="Times New Roman" w:cs="Times New Roman"/>
          <w:sz w:val="24"/>
          <w:szCs w:val="24"/>
        </w:rPr>
        <w:t>policy</w:t>
      </w:r>
      <w:r w:rsidR="003E3F26">
        <w:rPr>
          <w:rFonts w:ascii="Times New Roman" w:hAnsi="Times New Roman" w:cs="Times New Roman"/>
          <w:sz w:val="24"/>
          <w:szCs w:val="24"/>
        </w:rPr>
        <w:t>,</w:t>
      </w:r>
      <w:r w:rsidRPr="00E1729F">
        <w:rPr>
          <w:rFonts w:ascii="Times New Roman" w:hAnsi="Times New Roman" w:cs="Times New Roman"/>
          <w:sz w:val="24"/>
          <w:szCs w:val="24"/>
        </w:rPr>
        <w:t xml:space="preserve"> and </w:t>
      </w:r>
      <w:r w:rsidRPr="00837F9C">
        <w:rPr>
          <w:rFonts w:ascii="Times New Roman" w:hAnsi="Times New Roman" w:cs="Times New Roman"/>
          <w:sz w:val="24"/>
          <w:szCs w:val="24"/>
        </w:rPr>
        <w:t>workers</w:t>
      </w:r>
      <w:r w:rsidRPr="00E1729F">
        <w:rPr>
          <w:rFonts w:ascii="Times New Roman" w:hAnsi="Times New Roman" w:cs="Times New Roman"/>
          <w:sz w:val="24"/>
          <w:szCs w:val="24"/>
        </w:rPr>
        <w:t xml:space="preserve"> allowed to telework at the discretion of their </w:t>
      </w:r>
      <w:r w:rsidRPr="00837F9C">
        <w:rPr>
          <w:rFonts w:ascii="Times New Roman" w:hAnsi="Times New Roman" w:cs="Times New Roman"/>
          <w:sz w:val="24"/>
          <w:szCs w:val="24"/>
        </w:rPr>
        <w:t xml:space="preserve">own </w:t>
      </w:r>
      <w:r w:rsidRPr="00E1729F">
        <w:rPr>
          <w:rFonts w:ascii="Times New Roman" w:hAnsi="Times New Roman" w:cs="Times New Roman"/>
          <w:sz w:val="24"/>
          <w:szCs w:val="24"/>
        </w:rPr>
        <w:t>manager;</w:t>
      </w:r>
      <w:r w:rsidRPr="00837F9C">
        <w:rPr>
          <w:rFonts w:ascii="Times New Roman" w:hAnsi="Times New Roman" w:cs="Times New Roman"/>
          <w:sz w:val="24"/>
          <w:szCs w:val="24"/>
        </w:rPr>
        <w:t xml:space="preserve"> Groen et al., 2018). However, only about 20</w:t>
      </w:r>
      <w:r>
        <w:rPr>
          <w:rFonts w:ascii="Times New Roman" w:hAnsi="Times New Roman" w:cs="Times New Roman"/>
          <w:sz w:val="24"/>
          <w:szCs w:val="24"/>
        </w:rPr>
        <w:t xml:space="preserve"> percent</w:t>
      </w:r>
      <w:r w:rsidRPr="00837F9C">
        <w:rPr>
          <w:rFonts w:ascii="Times New Roman" w:hAnsi="Times New Roman" w:cs="Times New Roman"/>
          <w:sz w:val="24"/>
          <w:szCs w:val="24"/>
        </w:rPr>
        <w:t xml:space="preserve"> of employees with such allowance appear to have adopted teleworking </w:t>
      </w:r>
      <w:r w:rsidR="00DF7824">
        <w:rPr>
          <w:rFonts w:ascii="Times New Roman" w:hAnsi="Times New Roman" w:cs="Times New Roman"/>
          <w:sz w:val="24"/>
          <w:szCs w:val="24"/>
        </w:rPr>
        <w:t>(</w:t>
      </w:r>
      <w:r w:rsidRPr="00837F9C">
        <w:rPr>
          <w:rFonts w:ascii="Times New Roman" w:hAnsi="Times New Roman" w:cs="Times New Roman"/>
          <w:sz w:val="24"/>
          <w:szCs w:val="24"/>
        </w:rPr>
        <w:t xml:space="preserve">Parker </w:t>
      </w:r>
      <w:r w:rsidRPr="00837F9C">
        <w:rPr>
          <w:rFonts w:ascii="Times New Roman" w:hAnsi="Times New Roman" w:cs="Times New Roman"/>
          <w:sz w:val="24"/>
          <w:szCs w:val="24"/>
        </w:rPr>
        <w:lastRenderedPageBreak/>
        <w:t xml:space="preserve">et al., 2022), </w:t>
      </w:r>
      <w:r w:rsidR="00DF7824">
        <w:rPr>
          <w:rFonts w:ascii="Times New Roman" w:hAnsi="Times New Roman" w:cs="Times New Roman"/>
          <w:sz w:val="24"/>
          <w:szCs w:val="24"/>
        </w:rPr>
        <w:t xml:space="preserve">presumably because of </w:t>
      </w:r>
      <w:r w:rsidR="00E06E81">
        <w:rPr>
          <w:rFonts w:ascii="Times New Roman" w:hAnsi="Times New Roman" w:cs="Times New Roman"/>
          <w:sz w:val="24"/>
          <w:szCs w:val="24"/>
        </w:rPr>
        <w:t xml:space="preserve">a </w:t>
      </w:r>
      <w:r w:rsidR="00DF7824">
        <w:rPr>
          <w:rFonts w:ascii="Times New Roman" w:hAnsi="Times New Roman" w:cs="Times New Roman"/>
          <w:sz w:val="24"/>
          <w:szCs w:val="24"/>
        </w:rPr>
        <w:t>desir</w:t>
      </w:r>
      <w:r w:rsidR="00E06E81">
        <w:rPr>
          <w:rFonts w:ascii="Times New Roman" w:hAnsi="Times New Roman" w:cs="Times New Roman"/>
          <w:sz w:val="24"/>
          <w:szCs w:val="24"/>
        </w:rPr>
        <w:t>e to partake in</w:t>
      </w:r>
      <w:r w:rsidR="00DF7824">
        <w:rPr>
          <w:rFonts w:ascii="Times New Roman" w:hAnsi="Times New Roman" w:cs="Times New Roman"/>
          <w:sz w:val="24"/>
          <w:szCs w:val="24"/>
        </w:rPr>
        <w:t xml:space="preserve"> </w:t>
      </w:r>
      <w:r w:rsidR="00E06E81">
        <w:rPr>
          <w:rFonts w:ascii="Times New Roman" w:hAnsi="Times New Roman" w:cs="Times New Roman"/>
          <w:sz w:val="24"/>
          <w:szCs w:val="24"/>
        </w:rPr>
        <w:t xml:space="preserve">work </w:t>
      </w:r>
      <w:r w:rsidRPr="00837F9C">
        <w:rPr>
          <w:rFonts w:ascii="Times New Roman" w:hAnsi="Times New Roman" w:cs="Times New Roman"/>
          <w:sz w:val="24"/>
          <w:szCs w:val="24"/>
        </w:rPr>
        <w:t>socialization and</w:t>
      </w:r>
      <w:r w:rsidR="00DF7824">
        <w:rPr>
          <w:rFonts w:ascii="Times New Roman" w:hAnsi="Times New Roman" w:cs="Times New Roman"/>
          <w:sz w:val="24"/>
          <w:szCs w:val="24"/>
        </w:rPr>
        <w:t>/or</w:t>
      </w:r>
      <w:r w:rsidRPr="00837F9C">
        <w:rPr>
          <w:rFonts w:ascii="Times New Roman" w:hAnsi="Times New Roman" w:cs="Times New Roman"/>
          <w:sz w:val="24"/>
          <w:szCs w:val="24"/>
        </w:rPr>
        <w:t xml:space="preserve"> </w:t>
      </w:r>
      <w:r w:rsidR="00DF7824">
        <w:rPr>
          <w:rFonts w:ascii="Times New Roman" w:hAnsi="Times New Roman" w:cs="Times New Roman"/>
          <w:sz w:val="24"/>
          <w:szCs w:val="24"/>
        </w:rPr>
        <w:t xml:space="preserve">due to wanting to be visible to upper management for </w:t>
      </w:r>
      <w:r w:rsidRPr="00837F9C">
        <w:rPr>
          <w:rFonts w:ascii="Times New Roman" w:hAnsi="Times New Roman" w:cs="Times New Roman"/>
          <w:sz w:val="24"/>
          <w:szCs w:val="24"/>
        </w:rPr>
        <w:t>professional career advancement</w:t>
      </w:r>
      <w:r w:rsidR="00E06E81">
        <w:rPr>
          <w:rFonts w:ascii="Times New Roman" w:hAnsi="Times New Roman" w:cs="Times New Roman"/>
          <w:sz w:val="24"/>
          <w:szCs w:val="24"/>
        </w:rPr>
        <w:t xml:space="preserve"> reasons</w:t>
      </w:r>
      <w:r w:rsidRPr="00837F9C">
        <w:rPr>
          <w:rFonts w:ascii="Times New Roman" w:hAnsi="Times New Roman" w:cs="Times New Roman"/>
          <w:sz w:val="24"/>
          <w:szCs w:val="24"/>
        </w:rPr>
        <w:t xml:space="preserve">. But, in the </w:t>
      </w:r>
      <w:r w:rsidRPr="00961062">
        <w:rPr>
          <w:rFonts w:ascii="Times New Roman" w:hAnsi="Times New Roman" w:cs="Times New Roman"/>
          <w:i/>
          <w:sz w:val="24"/>
          <w:szCs w:val="24"/>
        </w:rPr>
        <w:t>Afte</w:t>
      </w:r>
      <w:r w:rsidR="00A91FDB">
        <w:rPr>
          <w:rFonts w:ascii="Times New Roman" w:hAnsi="Times New Roman" w:cs="Times New Roman"/>
          <w:i/>
          <w:sz w:val="24"/>
          <w:szCs w:val="24"/>
        </w:rPr>
        <w:t xml:space="preserve">r </w:t>
      </w:r>
      <w:r w:rsidRPr="00A15909">
        <w:rPr>
          <w:rFonts w:ascii="Times New Roman" w:hAnsi="Times New Roman" w:cs="Times New Roman"/>
          <w:sz w:val="24"/>
          <w:szCs w:val="24"/>
        </w:rPr>
        <w:t>COVID</w:t>
      </w:r>
      <w:r w:rsidRPr="004D5DF9">
        <w:rPr>
          <w:rFonts w:ascii="Times New Roman" w:hAnsi="Times New Roman" w:cs="Times New Roman"/>
          <w:sz w:val="24"/>
          <w:szCs w:val="24"/>
        </w:rPr>
        <w:t xml:space="preserve"> </w:t>
      </w:r>
      <w:r w:rsidRPr="00837F9C">
        <w:rPr>
          <w:rFonts w:ascii="Times New Roman" w:hAnsi="Times New Roman" w:cs="Times New Roman"/>
          <w:sz w:val="24"/>
          <w:szCs w:val="24"/>
        </w:rPr>
        <w:t>period, teleworking allowance shot up to almost 80</w:t>
      </w:r>
      <w:r>
        <w:rPr>
          <w:rFonts w:ascii="Times New Roman" w:hAnsi="Times New Roman" w:cs="Times New Roman"/>
          <w:sz w:val="24"/>
          <w:szCs w:val="24"/>
        </w:rPr>
        <w:t xml:space="preserve"> percent</w:t>
      </w:r>
      <w:r w:rsidRPr="00837F9C">
        <w:rPr>
          <w:rFonts w:ascii="Times New Roman" w:hAnsi="Times New Roman" w:cs="Times New Roman"/>
          <w:sz w:val="24"/>
          <w:szCs w:val="24"/>
        </w:rPr>
        <w:t xml:space="preserve"> of employers </w:t>
      </w:r>
      <w:r w:rsidRPr="00E1729F">
        <w:rPr>
          <w:rFonts w:ascii="Times New Roman" w:hAnsi="Times New Roman" w:cs="Times New Roman"/>
          <w:sz w:val="24"/>
          <w:szCs w:val="24"/>
        </w:rPr>
        <w:t>(Wigert, 2022),</w:t>
      </w:r>
      <w:r w:rsidRPr="00837F9C">
        <w:rPr>
          <w:rFonts w:ascii="Times New Roman" w:hAnsi="Times New Roman" w:cs="Times New Roman"/>
          <w:sz w:val="24"/>
          <w:szCs w:val="24"/>
        </w:rPr>
        <w:t xml:space="preserve"> with </w:t>
      </w:r>
      <w:r>
        <w:rPr>
          <w:rFonts w:ascii="Times New Roman" w:hAnsi="Times New Roman" w:cs="Times New Roman"/>
          <w:sz w:val="24"/>
          <w:szCs w:val="24"/>
        </w:rPr>
        <w:t>87 percent</w:t>
      </w:r>
      <w:r w:rsidRPr="00837F9C">
        <w:rPr>
          <w:rFonts w:ascii="Times New Roman" w:hAnsi="Times New Roman" w:cs="Times New Roman"/>
          <w:sz w:val="24"/>
          <w:szCs w:val="24"/>
        </w:rPr>
        <w:t xml:space="preserve"> of</w:t>
      </w:r>
      <w:r>
        <w:rPr>
          <w:rFonts w:ascii="Times New Roman" w:hAnsi="Times New Roman" w:cs="Times New Roman"/>
          <w:sz w:val="24"/>
          <w:szCs w:val="24"/>
        </w:rPr>
        <w:t xml:space="preserve"> </w:t>
      </w:r>
      <w:r w:rsidR="005730D9">
        <w:rPr>
          <w:rFonts w:ascii="Times New Roman" w:hAnsi="Times New Roman" w:cs="Times New Roman"/>
          <w:sz w:val="24"/>
          <w:szCs w:val="24"/>
        </w:rPr>
        <w:t xml:space="preserve">these </w:t>
      </w:r>
      <w:r w:rsidRPr="00837F9C">
        <w:rPr>
          <w:rFonts w:ascii="Times New Roman" w:hAnsi="Times New Roman" w:cs="Times New Roman"/>
          <w:sz w:val="24"/>
          <w:szCs w:val="24"/>
        </w:rPr>
        <w:t xml:space="preserve">employees </w:t>
      </w:r>
      <w:r>
        <w:rPr>
          <w:rFonts w:ascii="Times New Roman" w:hAnsi="Times New Roman" w:cs="Times New Roman"/>
          <w:sz w:val="24"/>
          <w:szCs w:val="24"/>
        </w:rPr>
        <w:t xml:space="preserve">with the telework option </w:t>
      </w:r>
      <w:r w:rsidRPr="00837F9C">
        <w:rPr>
          <w:rFonts w:ascii="Times New Roman" w:hAnsi="Times New Roman" w:cs="Times New Roman"/>
          <w:sz w:val="24"/>
          <w:szCs w:val="24"/>
        </w:rPr>
        <w:t>availing of the opportunity</w:t>
      </w:r>
      <w:r w:rsidR="005730D9">
        <w:rPr>
          <w:rFonts w:ascii="Times New Roman" w:hAnsi="Times New Roman" w:cs="Times New Roman"/>
          <w:sz w:val="24"/>
          <w:szCs w:val="24"/>
        </w:rPr>
        <w:t xml:space="preserve"> for </w:t>
      </w:r>
      <w:r w:rsidR="00A039B2">
        <w:rPr>
          <w:rFonts w:ascii="Times New Roman" w:hAnsi="Times New Roman" w:cs="Times New Roman"/>
          <w:sz w:val="24"/>
          <w:szCs w:val="24"/>
        </w:rPr>
        <w:t xml:space="preserve">at least </w:t>
      </w:r>
      <w:r w:rsidR="005730D9">
        <w:rPr>
          <w:rFonts w:ascii="Times New Roman" w:hAnsi="Times New Roman" w:cs="Times New Roman"/>
          <w:sz w:val="24"/>
          <w:szCs w:val="24"/>
        </w:rPr>
        <w:t xml:space="preserve">some portion of their </w:t>
      </w:r>
      <w:r w:rsidR="00A039B2">
        <w:rPr>
          <w:rFonts w:ascii="Times New Roman" w:hAnsi="Times New Roman" w:cs="Times New Roman"/>
          <w:sz w:val="24"/>
          <w:szCs w:val="24"/>
        </w:rPr>
        <w:t>week</w:t>
      </w:r>
      <w:r w:rsidRPr="00837F9C">
        <w:rPr>
          <w:rFonts w:ascii="Times New Roman" w:hAnsi="Times New Roman" w:cs="Times New Roman"/>
          <w:sz w:val="24"/>
          <w:szCs w:val="24"/>
        </w:rPr>
        <w:t xml:space="preserve"> </w:t>
      </w:r>
      <w:r w:rsidRPr="00E1729F">
        <w:rPr>
          <w:rFonts w:ascii="Times New Roman" w:hAnsi="Times New Roman" w:cs="Times New Roman"/>
          <w:sz w:val="24"/>
          <w:szCs w:val="24"/>
        </w:rPr>
        <w:t>(Dua et al., 2022)</w:t>
      </w:r>
      <w:r w:rsidRPr="00837F9C">
        <w:rPr>
          <w:rFonts w:ascii="Times New Roman" w:hAnsi="Times New Roman" w:cs="Times New Roman"/>
          <w:sz w:val="24"/>
          <w:szCs w:val="24"/>
        </w:rPr>
        <w:t>.</w:t>
      </w:r>
      <w:r w:rsidR="00DB5F27">
        <w:rPr>
          <w:rFonts w:ascii="Times New Roman" w:hAnsi="Times New Roman" w:cs="Times New Roman"/>
          <w:sz w:val="24"/>
          <w:szCs w:val="24"/>
        </w:rPr>
        <w:t xml:space="preserve"> </w:t>
      </w:r>
      <w:r w:rsidRPr="00837F9C">
        <w:rPr>
          <w:rFonts w:ascii="Times New Roman" w:hAnsi="Times New Roman" w:cs="Times New Roman"/>
          <w:sz w:val="24"/>
          <w:szCs w:val="24"/>
        </w:rPr>
        <w:t xml:space="preserve">Clearly, the employee adoption change due to COVID may be attributed to both increased employer allowance of telework as well as increased employee adoption of telework given allowance. The emphasis in this paper, as just indicated, </w:t>
      </w:r>
      <w:r w:rsidR="003E3F26">
        <w:rPr>
          <w:rFonts w:ascii="Times New Roman" w:hAnsi="Times New Roman" w:cs="Times New Roman"/>
          <w:sz w:val="24"/>
          <w:szCs w:val="24"/>
        </w:rPr>
        <w:t xml:space="preserve">however, </w:t>
      </w:r>
      <w:r w:rsidRPr="00837F9C">
        <w:rPr>
          <w:rFonts w:ascii="Times New Roman" w:hAnsi="Times New Roman" w:cs="Times New Roman"/>
          <w:sz w:val="24"/>
          <w:szCs w:val="24"/>
        </w:rPr>
        <w:t xml:space="preserve">is on the latter employee adoption shift while controlling for employer allowance. This employee adoption shift has occurred because many individuals who never worked from home before the pandemic got to experience this new (for them) work modality. For most of these individuals, the time and cost savings of </w:t>
      </w:r>
      <w:r w:rsidR="00FC5545">
        <w:rPr>
          <w:rFonts w:ascii="Times New Roman" w:hAnsi="Times New Roman" w:cs="Times New Roman"/>
          <w:sz w:val="24"/>
          <w:szCs w:val="24"/>
        </w:rPr>
        <w:t>telework</w:t>
      </w:r>
      <w:r w:rsidRPr="00837F9C">
        <w:rPr>
          <w:rFonts w:ascii="Times New Roman" w:hAnsi="Times New Roman" w:cs="Times New Roman"/>
          <w:sz w:val="24"/>
          <w:szCs w:val="24"/>
        </w:rPr>
        <w:t xml:space="preserve">, along with the ensuing flexibility of the work itself, led to an overall positive valuation of </w:t>
      </w:r>
      <w:r w:rsidR="00FC5545">
        <w:rPr>
          <w:rFonts w:ascii="Times New Roman" w:hAnsi="Times New Roman" w:cs="Times New Roman"/>
          <w:sz w:val="24"/>
          <w:szCs w:val="24"/>
        </w:rPr>
        <w:t>tele</w:t>
      </w:r>
      <w:r w:rsidRPr="00837F9C">
        <w:rPr>
          <w:rFonts w:ascii="Times New Roman" w:hAnsi="Times New Roman" w:cs="Times New Roman"/>
          <w:sz w:val="24"/>
          <w:szCs w:val="24"/>
        </w:rPr>
        <w:t xml:space="preserve">work </w:t>
      </w:r>
      <w:r w:rsidRPr="00E1729F">
        <w:rPr>
          <w:rFonts w:ascii="Times New Roman" w:hAnsi="Times New Roman" w:cs="Times New Roman"/>
          <w:sz w:val="24"/>
          <w:szCs w:val="24"/>
        </w:rPr>
        <w:t>(</w:t>
      </w:r>
      <w:r w:rsidRPr="00837F9C">
        <w:rPr>
          <w:rFonts w:ascii="Times New Roman" w:hAnsi="Times New Roman" w:cs="Times New Roman"/>
          <w:sz w:val="24"/>
          <w:szCs w:val="24"/>
        </w:rPr>
        <w:t>Tursunbayeva</w:t>
      </w:r>
      <w:r w:rsidRPr="00E1729F">
        <w:rPr>
          <w:rFonts w:ascii="Times New Roman" w:hAnsi="Times New Roman" w:cs="Times New Roman"/>
          <w:sz w:val="24"/>
          <w:szCs w:val="24"/>
        </w:rPr>
        <w:t xml:space="preserve"> et al., 2022).</w:t>
      </w:r>
      <w:r w:rsidRPr="00837F9C">
        <w:rPr>
          <w:rFonts w:ascii="Times New Roman" w:hAnsi="Times New Roman" w:cs="Times New Roman"/>
          <w:sz w:val="24"/>
          <w:szCs w:val="24"/>
        </w:rPr>
        <w:t xml:space="preserve"> And for many who teleworked for a few days a month before the pandemic, doors opened up to work even more remotely. Further, our focus on employee adoption is also driven by the fact that, while employer allowance determined employee telework adoption in the </w:t>
      </w:r>
      <w:r w:rsidRPr="00700FD4">
        <w:rPr>
          <w:rFonts w:ascii="Times New Roman" w:hAnsi="Times New Roman" w:cs="Times New Roman"/>
          <w:i/>
          <w:sz w:val="24"/>
          <w:szCs w:val="24"/>
        </w:rPr>
        <w:t>Before</w:t>
      </w:r>
      <w:r w:rsidR="00C711F7">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837F9C">
        <w:rPr>
          <w:rFonts w:ascii="Times New Roman" w:hAnsi="Times New Roman" w:cs="Times New Roman"/>
          <w:sz w:val="24"/>
          <w:szCs w:val="24"/>
        </w:rPr>
        <w:t xml:space="preserve">period, the tables have turned </w:t>
      </w:r>
      <w:r w:rsidR="00DF7824">
        <w:rPr>
          <w:rFonts w:ascii="Times New Roman" w:hAnsi="Times New Roman" w:cs="Times New Roman"/>
          <w:sz w:val="24"/>
          <w:szCs w:val="24"/>
        </w:rPr>
        <w:t xml:space="preserve">a little </w:t>
      </w:r>
      <w:r w:rsidRPr="00837F9C">
        <w:rPr>
          <w:rFonts w:ascii="Times New Roman" w:hAnsi="Times New Roman" w:cs="Times New Roman"/>
          <w:sz w:val="24"/>
          <w:szCs w:val="24"/>
        </w:rPr>
        <w:t>more toward employee telework adoption preferences influencing employer telework allowances</w:t>
      </w:r>
      <w:r w:rsidR="00DF7824">
        <w:rPr>
          <w:rFonts w:ascii="Times New Roman" w:hAnsi="Times New Roman" w:cs="Times New Roman"/>
          <w:sz w:val="24"/>
          <w:szCs w:val="24"/>
        </w:rPr>
        <w:t xml:space="preserve"> (though, admittedly, this is also evolving)</w:t>
      </w:r>
      <w:r w:rsidRPr="00837F9C">
        <w:rPr>
          <w:rFonts w:ascii="Times New Roman" w:hAnsi="Times New Roman" w:cs="Times New Roman"/>
          <w:sz w:val="24"/>
          <w:szCs w:val="24"/>
        </w:rPr>
        <w:t xml:space="preserve">. Specifically, during a period dubbed in the popular press as the era of the “great resignation”, employers are increasingly aware of the need to provide work flexibility today as a means to attract new employees and retain experienced employees </w:t>
      </w:r>
      <w:r w:rsidRPr="00E1729F">
        <w:rPr>
          <w:rFonts w:ascii="Times New Roman" w:hAnsi="Times New Roman" w:cs="Times New Roman"/>
          <w:sz w:val="24"/>
          <w:szCs w:val="24"/>
        </w:rPr>
        <w:t>(Sheather and Slattery, 2021 and Hopkins and Figaro, 2021).</w:t>
      </w:r>
      <w:r w:rsidRPr="00837F9C">
        <w:rPr>
          <w:rFonts w:ascii="Times New Roman" w:hAnsi="Times New Roman" w:cs="Times New Roman"/>
          <w:sz w:val="24"/>
          <w:szCs w:val="24"/>
        </w:rPr>
        <w:t xml:space="preserve"> </w:t>
      </w:r>
      <w:r w:rsidR="00E06E81">
        <w:rPr>
          <w:rFonts w:ascii="Times New Roman" w:hAnsi="Times New Roman" w:cs="Times New Roman"/>
          <w:sz w:val="24"/>
          <w:szCs w:val="24"/>
        </w:rPr>
        <w:t>Of course</w:t>
      </w:r>
      <w:r w:rsidRPr="00837F9C">
        <w:rPr>
          <w:rFonts w:ascii="Times New Roman" w:hAnsi="Times New Roman" w:cs="Times New Roman"/>
          <w:sz w:val="24"/>
          <w:szCs w:val="24"/>
        </w:rPr>
        <w:t>, it would be of interest to investigate both the employee side adoption and employer side allowance issues together</w:t>
      </w:r>
      <w:r w:rsidR="00DF7824">
        <w:rPr>
          <w:rFonts w:ascii="Times New Roman" w:hAnsi="Times New Roman" w:cs="Times New Roman"/>
          <w:sz w:val="24"/>
          <w:szCs w:val="24"/>
        </w:rPr>
        <w:t>,</w:t>
      </w:r>
      <w:r w:rsidRPr="00837F9C">
        <w:rPr>
          <w:rFonts w:ascii="Times New Roman" w:hAnsi="Times New Roman" w:cs="Times New Roman"/>
          <w:sz w:val="24"/>
          <w:szCs w:val="24"/>
        </w:rPr>
        <w:t xml:space="preserve"> </w:t>
      </w:r>
      <w:r w:rsidR="00DF7824">
        <w:rPr>
          <w:rFonts w:ascii="Times New Roman" w:hAnsi="Times New Roman" w:cs="Times New Roman"/>
          <w:sz w:val="24"/>
          <w:szCs w:val="24"/>
        </w:rPr>
        <w:t xml:space="preserve">but a rigorous study of this complex </w:t>
      </w:r>
      <w:r w:rsidRPr="00837F9C">
        <w:rPr>
          <w:rFonts w:ascii="Times New Roman" w:hAnsi="Times New Roman" w:cs="Times New Roman"/>
          <w:sz w:val="24"/>
          <w:szCs w:val="24"/>
        </w:rPr>
        <w:t xml:space="preserve">interplay </w:t>
      </w:r>
      <w:r w:rsidR="00DF7824">
        <w:rPr>
          <w:rFonts w:ascii="Times New Roman" w:hAnsi="Times New Roman" w:cs="Times New Roman"/>
          <w:sz w:val="24"/>
          <w:szCs w:val="24"/>
        </w:rPr>
        <w:t xml:space="preserve">is left for </w:t>
      </w:r>
      <w:r w:rsidRPr="00837F9C">
        <w:rPr>
          <w:rFonts w:ascii="Times New Roman" w:hAnsi="Times New Roman" w:cs="Times New Roman"/>
          <w:sz w:val="24"/>
          <w:szCs w:val="24"/>
        </w:rPr>
        <w:t>future investigations.</w:t>
      </w:r>
      <w:r w:rsidRPr="00837F9C">
        <w:rPr>
          <w:rStyle w:val="FootnoteReference"/>
          <w:rFonts w:ascii="Times New Roman" w:hAnsi="Times New Roman" w:cs="Times New Roman"/>
          <w:sz w:val="24"/>
          <w:szCs w:val="24"/>
        </w:rPr>
        <w:footnoteReference w:id="4"/>
      </w:r>
      <w:r w:rsidRPr="00837F9C">
        <w:rPr>
          <w:rFonts w:ascii="Times New Roman" w:hAnsi="Times New Roman" w:cs="Times New Roman"/>
          <w:sz w:val="24"/>
          <w:szCs w:val="24"/>
        </w:rPr>
        <w:t xml:space="preserve"> </w:t>
      </w:r>
    </w:p>
    <w:p w14:paraId="6D20C56E" w14:textId="56997D31" w:rsidR="00C47D7C" w:rsidRDefault="001B0C44" w:rsidP="00167EAB">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The rest of this paper is organized as follow</w:t>
      </w:r>
      <w:r w:rsidR="005C1FD1">
        <w:rPr>
          <w:rFonts w:ascii="Times New Roman" w:hAnsi="Times New Roman" w:cs="Times New Roman"/>
          <w:sz w:val="24"/>
          <w:szCs w:val="24"/>
        </w:rPr>
        <w:t>s</w:t>
      </w:r>
      <w:r>
        <w:rPr>
          <w:rFonts w:ascii="Times New Roman" w:hAnsi="Times New Roman" w:cs="Times New Roman"/>
          <w:sz w:val="24"/>
          <w:szCs w:val="24"/>
        </w:rPr>
        <w:t xml:space="preserve">. The </w:t>
      </w:r>
      <w:r w:rsidR="00A03376">
        <w:rPr>
          <w:rFonts w:ascii="Times New Roman" w:hAnsi="Times New Roman" w:cs="Times New Roman"/>
          <w:sz w:val="24"/>
          <w:szCs w:val="24"/>
        </w:rPr>
        <w:t xml:space="preserve">third </w:t>
      </w:r>
      <w:r>
        <w:rPr>
          <w:rFonts w:ascii="Times New Roman" w:hAnsi="Times New Roman" w:cs="Times New Roman"/>
          <w:sz w:val="24"/>
          <w:szCs w:val="24"/>
        </w:rPr>
        <w:t xml:space="preserve">section </w:t>
      </w:r>
      <w:r w:rsidR="00E06E81">
        <w:rPr>
          <w:rFonts w:ascii="Times New Roman" w:hAnsi="Times New Roman" w:cs="Times New Roman"/>
          <w:sz w:val="24"/>
          <w:szCs w:val="24"/>
        </w:rPr>
        <w:t xml:space="preserve">presents details of the data and sample </w:t>
      </w:r>
      <w:r>
        <w:rPr>
          <w:rFonts w:ascii="Times New Roman" w:hAnsi="Times New Roman" w:cs="Times New Roman"/>
          <w:sz w:val="24"/>
          <w:szCs w:val="24"/>
        </w:rPr>
        <w:t xml:space="preserve">used, </w:t>
      </w:r>
      <w:r w:rsidR="00E06E81">
        <w:rPr>
          <w:rFonts w:ascii="Times New Roman" w:hAnsi="Times New Roman" w:cs="Times New Roman"/>
          <w:sz w:val="24"/>
          <w:szCs w:val="24"/>
        </w:rPr>
        <w:t xml:space="preserve">while </w:t>
      </w:r>
      <w:r>
        <w:rPr>
          <w:rFonts w:ascii="Times New Roman" w:hAnsi="Times New Roman" w:cs="Times New Roman"/>
          <w:sz w:val="24"/>
          <w:szCs w:val="24"/>
        </w:rPr>
        <w:t xml:space="preserve">the </w:t>
      </w:r>
      <w:r w:rsidR="00A03376">
        <w:rPr>
          <w:rFonts w:ascii="Times New Roman" w:hAnsi="Times New Roman" w:cs="Times New Roman"/>
          <w:sz w:val="24"/>
          <w:szCs w:val="24"/>
        </w:rPr>
        <w:t xml:space="preserve">fourth </w:t>
      </w:r>
      <w:r>
        <w:rPr>
          <w:rFonts w:ascii="Times New Roman" w:hAnsi="Times New Roman" w:cs="Times New Roman"/>
          <w:sz w:val="24"/>
          <w:szCs w:val="24"/>
        </w:rPr>
        <w:t>section discusse</w:t>
      </w:r>
      <w:r w:rsidR="00D94432">
        <w:rPr>
          <w:rFonts w:ascii="Times New Roman" w:hAnsi="Times New Roman" w:cs="Times New Roman"/>
          <w:sz w:val="24"/>
          <w:szCs w:val="24"/>
        </w:rPr>
        <w:t>s</w:t>
      </w:r>
      <w:r>
        <w:rPr>
          <w:rFonts w:ascii="Times New Roman" w:hAnsi="Times New Roman" w:cs="Times New Roman"/>
          <w:sz w:val="24"/>
          <w:szCs w:val="24"/>
        </w:rPr>
        <w:t xml:space="preserve"> the </w:t>
      </w:r>
      <w:r w:rsidR="00E06E81">
        <w:rPr>
          <w:rFonts w:ascii="Times New Roman" w:hAnsi="Times New Roman" w:cs="Times New Roman"/>
          <w:sz w:val="24"/>
          <w:szCs w:val="24"/>
        </w:rPr>
        <w:t xml:space="preserve">modeling </w:t>
      </w:r>
      <w:r>
        <w:rPr>
          <w:rFonts w:ascii="Times New Roman" w:hAnsi="Times New Roman" w:cs="Times New Roman"/>
          <w:sz w:val="24"/>
          <w:szCs w:val="24"/>
        </w:rPr>
        <w:t xml:space="preserve">methodology. Section </w:t>
      </w:r>
      <w:r w:rsidR="00A03376">
        <w:rPr>
          <w:rFonts w:ascii="Times New Roman" w:hAnsi="Times New Roman" w:cs="Times New Roman"/>
          <w:sz w:val="24"/>
          <w:szCs w:val="24"/>
        </w:rPr>
        <w:t xml:space="preserve">5 </w:t>
      </w:r>
      <w:r>
        <w:rPr>
          <w:rFonts w:ascii="Times New Roman" w:hAnsi="Times New Roman" w:cs="Times New Roman"/>
          <w:sz w:val="24"/>
          <w:szCs w:val="24"/>
        </w:rPr>
        <w:t>contains the model results</w:t>
      </w:r>
      <w:r w:rsidR="00A91FDB">
        <w:rPr>
          <w:rFonts w:ascii="Times New Roman" w:hAnsi="Times New Roman" w:cs="Times New Roman"/>
          <w:sz w:val="24"/>
          <w:szCs w:val="24"/>
        </w:rPr>
        <w:t>,</w:t>
      </w:r>
      <w:r>
        <w:rPr>
          <w:rFonts w:ascii="Times New Roman" w:hAnsi="Times New Roman" w:cs="Times New Roman"/>
          <w:sz w:val="24"/>
          <w:szCs w:val="24"/>
        </w:rPr>
        <w:t xml:space="preserve"> followed by the determination of variable size effects in Section </w:t>
      </w:r>
      <w:r w:rsidR="00A03376">
        <w:rPr>
          <w:rFonts w:ascii="Times New Roman" w:hAnsi="Times New Roman" w:cs="Times New Roman"/>
          <w:sz w:val="24"/>
          <w:szCs w:val="24"/>
        </w:rPr>
        <w:t>6</w:t>
      </w:r>
      <w:r>
        <w:rPr>
          <w:rFonts w:ascii="Times New Roman" w:hAnsi="Times New Roman" w:cs="Times New Roman"/>
          <w:sz w:val="24"/>
          <w:szCs w:val="24"/>
        </w:rPr>
        <w:t xml:space="preserve">. Study discussions and conclusions are provided in Section </w:t>
      </w:r>
      <w:r w:rsidR="00A03376">
        <w:rPr>
          <w:rFonts w:ascii="Times New Roman" w:hAnsi="Times New Roman" w:cs="Times New Roman"/>
          <w:sz w:val="24"/>
          <w:szCs w:val="24"/>
        </w:rPr>
        <w:t>7</w:t>
      </w:r>
      <w:r>
        <w:rPr>
          <w:rFonts w:ascii="Times New Roman" w:hAnsi="Times New Roman" w:cs="Times New Roman"/>
          <w:sz w:val="24"/>
          <w:szCs w:val="24"/>
        </w:rPr>
        <w:t xml:space="preserve">. </w:t>
      </w:r>
    </w:p>
    <w:p w14:paraId="7B025E19" w14:textId="77777777" w:rsidR="008A2A0F" w:rsidRPr="00837F9C" w:rsidRDefault="008A2A0F" w:rsidP="00167EAB">
      <w:pPr>
        <w:spacing w:after="0" w:line="276" w:lineRule="auto"/>
        <w:ind w:firstLine="360"/>
        <w:rPr>
          <w:rFonts w:ascii="Times New Roman" w:hAnsi="Times New Roman" w:cs="Times New Roman"/>
          <w:sz w:val="24"/>
          <w:szCs w:val="24"/>
        </w:rPr>
      </w:pPr>
    </w:p>
    <w:p w14:paraId="1B96847F" w14:textId="21D9AA3D" w:rsidR="006F4292" w:rsidRDefault="00F01CD3" w:rsidP="002A04F4">
      <w:pPr>
        <w:pStyle w:val="Heading1"/>
        <w:keepNext/>
        <w:keepLines/>
      </w:pPr>
      <w:r w:rsidRPr="00837F9C">
        <w:lastRenderedPageBreak/>
        <w:t>DATA</w:t>
      </w:r>
      <w:r w:rsidR="00B92EB1" w:rsidRPr="00837F9C">
        <w:t xml:space="preserve"> DESCRIPTION</w:t>
      </w:r>
    </w:p>
    <w:p w14:paraId="78FA250F" w14:textId="106E4AD9" w:rsidR="00F01CD3" w:rsidRPr="00837F9C" w:rsidRDefault="00A03376" w:rsidP="002A04F4">
      <w:pPr>
        <w:pStyle w:val="Heading2"/>
        <w:keepNext/>
        <w:keepLines/>
      </w:pPr>
      <w:r>
        <w:t>3</w:t>
      </w:r>
      <w:r w:rsidR="008328FD" w:rsidRPr="00023D98">
        <w:t xml:space="preserve">.1 </w:t>
      </w:r>
      <w:r w:rsidR="006F4292" w:rsidRPr="00023D98">
        <w:t>Survey Overview and Sample Characteristics</w:t>
      </w:r>
    </w:p>
    <w:p w14:paraId="46472F93" w14:textId="6109EA13" w:rsidR="000A7AED" w:rsidRPr="00837F9C" w:rsidRDefault="00280AB2" w:rsidP="002A04F4">
      <w:pPr>
        <w:keepNext/>
        <w:keepLines/>
        <w:spacing w:after="0" w:line="276" w:lineRule="auto"/>
        <w:rPr>
          <w:rFonts w:ascii="Times New Roman" w:hAnsi="Times New Roman" w:cs="Times New Roman"/>
          <w:sz w:val="24"/>
          <w:szCs w:val="24"/>
        </w:rPr>
      </w:pPr>
      <w:bookmarkStart w:id="3" w:name="_Hlk77971094"/>
      <w:r>
        <w:rPr>
          <w:rFonts w:ascii="Times New Roman" w:hAnsi="Times New Roman" w:cs="Times New Roman"/>
          <w:sz w:val="24"/>
          <w:szCs w:val="24"/>
        </w:rPr>
        <w:t xml:space="preserve">As indicated earlier, </w:t>
      </w:r>
      <w:r w:rsidR="00A91FDB">
        <w:rPr>
          <w:rFonts w:ascii="Times New Roman" w:hAnsi="Times New Roman" w:cs="Times New Roman"/>
          <w:sz w:val="24"/>
          <w:szCs w:val="24"/>
        </w:rPr>
        <w:t xml:space="preserve">the </w:t>
      </w:r>
      <w:r>
        <w:rPr>
          <w:rFonts w:ascii="Times New Roman" w:hAnsi="Times New Roman" w:cs="Times New Roman"/>
          <w:sz w:val="24"/>
          <w:szCs w:val="24"/>
        </w:rPr>
        <w:t>d</w:t>
      </w:r>
      <w:r w:rsidR="00A57BEF" w:rsidRPr="00837F9C">
        <w:rPr>
          <w:rFonts w:ascii="Times New Roman" w:hAnsi="Times New Roman" w:cs="Times New Roman"/>
          <w:sz w:val="24"/>
          <w:szCs w:val="24"/>
        </w:rPr>
        <w:t xml:space="preserve">ata for this study are derived from a workplace location choice survey deployed across the state of Texas in February-March 2022. The survey was undertaken as part of a study funded by the Texas Department of Transportation. </w:t>
      </w:r>
      <w:r>
        <w:rPr>
          <w:rFonts w:ascii="Times New Roman" w:hAnsi="Times New Roman" w:cs="Times New Roman"/>
          <w:sz w:val="24"/>
          <w:szCs w:val="24"/>
        </w:rPr>
        <w:t xml:space="preserve">Respondent recruitment was accomplished </w:t>
      </w:r>
      <w:r w:rsidR="00A57BEF" w:rsidRPr="00837F9C">
        <w:rPr>
          <w:rFonts w:ascii="Times New Roman" w:hAnsi="Times New Roman" w:cs="Times New Roman"/>
          <w:sz w:val="24"/>
          <w:szCs w:val="24"/>
        </w:rPr>
        <w:t xml:space="preserve">through a multipronged strategy.  Email messages were sent to several city Chambers of Commerce across the state, to businesses and professional organizations, </w:t>
      </w:r>
      <w:r w:rsidR="00E7788C" w:rsidRPr="00837F9C">
        <w:rPr>
          <w:rFonts w:ascii="Times New Roman" w:hAnsi="Times New Roman" w:cs="Times New Roman"/>
          <w:sz w:val="24"/>
          <w:szCs w:val="24"/>
        </w:rPr>
        <w:t xml:space="preserve">and </w:t>
      </w:r>
      <w:r w:rsidR="00A57BEF" w:rsidRPr="00837F9C">
        <w:rPr>
          <w:rFonts w:ascii="Times New Roman" w:hAnsi="Times New Roman" w:cs="Times New Roman"/>
          <w:sz w:val="24"/>
          <w:szCs w:val="24"/>
        </w:rPr>
        <w:t>to media outlets (requesting visibility and publicity)</w:t>
      </w:r>
      <w:r w:rsidR="00E7788C" w:rsidRPr="00837F9C">
        <w:rPr>
          <w:rFonts w:ascii="Times New Roman" w:hAnsi="Times New Roman" w:cs="Times New Roman"/>
          <w:sz w:val="24"/>
          <w:szCs w:val="24"/>
        </w:rPr>
        <w:t>, as well as to a database of roughly 55,00</w:t>
      </w:r>
      <w:r w:rsidR="00445AEA" w:rsidRPr="00837F9C">
        <w:rPr>
          <w:rFonts w:ascii="Times New Roman" w:hAnsi="Times New Roman" w:cs="Times New Roman"/>
          <w:sz w:val="24"/>
          <w:szCs w:val="24"/>
        </w:rPr>
        <w:t>0</w:t>
      </w:r>
      <w:r w:rsidR="00E7788C" w:rsidRPr="00837F9C">
        <w:rPr>
          <w:rFonts w:ascii="Times New Roman" w:hAnsi="Times New Roman" w:cs="Times New Roman"/>
          <w:sz w:val="24"/>
          <w:szCs w:val="24"/>
        </w:rPr>
        <w:t xml:space="preserve"> Texan residents’ email addresses</w:t>
      </w:r>
      <w:r w:rsidR="00A57BEF" w:rsidRPr="00837F9C">
        <w:rPr>
          <w:rFonts w:ascii="Times New Roman" w:hAnsi="Times New Roman" w:cs="Times New Roman"/>
          <w:sz w:val="24"/>
          <w:szCs w:val="24"/>
        </w:rPr>
        <w:t>. Through this outreach effort, employees at a variety of organizations were recruited to participate in the survey.</w:t>
      </w:r>
    </w:p>
    <w:p w14:paraId="5B659459" w14:textId="1184FC61" w:rsidR="00A57BEF" w:rsidRPr="0032006F" w:rsidRDefault="00A57BEF"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ab/>
        <w:t>The survey collected detailed information</w:t>
      </w:r>
      <w:r w:rsidR="00280AB2">
        <w:rPr>
          <w:rFonts w:ascii="Times New Roman" w:hAnsi="Times New Roman" w:cs="Times New Roman"/>
          <w:sz w:val="24"/>
          <w:szCs w:val="24"/>
        </w:rPr>
        <w:t xml:space="preserve"> on</w:t>
      </w:r>
      <w:r w:rsidRPr="00837F9C">
        <w:rPr>
          <w:rFonts w:ascii="Times New Roman" w:hAnsi="Times New Roman" w:cs="Times New Roman"/>
          <w:sz w:val="24"/>
          <w:szCs w:val="24"/>
        </w:rPr>
        <w:t xml:space="preserve"> household</w:t>
      </w:r>
      <w:r w:rsidR="00280AB2">
        <w:rPr>
          <w:rFonts w:ascii="Times New Roman" w:hAnsi="Times New Roman" w:cs="Times New Roman"/>
          <w:sz w:val="24"/>
          <w:szCs w:val="24"/>
        </w:rPr>
        <w:t>/</w:t>
      </w:r>
      <w:r w:rsidRPr="00837F9C">
        <w:rPr>
          <w:rFonts w:ascii="Times New Roman" w:hAnsi="Times New Roman" w:cs="Times New Roman"/>
          <w:sz w:val="24"/>
          <w:szCs w:val="24"/>
        </w:rPr>
        <w:t>personal socio-economic and demographic characteristics</w:t>
      </w:r>
      <w:r w:rsidR="00EF3E73">
        <w:rPr>
          <w:rFonts w:ascii="Times New Roman" w:hAnsi="Times New Roman" w:cs="Times New Roman"/>
          <w:sz w:val="24"/>
          <w:szCs w:val="24"/>
        </w:rPr>
        <w:t>, collected at the time of the survey</w:t>
      </w:r>
      <w:r w:rsidRPr="00837F9C">
        <w:rPr>
          <w:rFonts w:ascii="Times New Roman" w:hAnsi="Times New Roman" w:cs="Times New Roman"/>
          <w:sz w:val="24"/>
          <w:szCs w:val="24"/>
        </w:rPr>
        <w:t>.</w:t>
      </w:r>
      <w:r w:rsidR="00EF3E73">
        <w:rPr>
          <w:rStyle w:val="FootnoteReference"/>
          <w:rFonts w:ascii="Times New Roman" w:hAnsi="Times New Roman" w:cs="Times New Roman"/>
          <w:sz w:val="24"/>
          <w:szCs w:val="24"/>
        </w:rPr>
        <w:footnoteReference w:id="5"/>
      </w:r>
      <w:r w:rsidRPr="00837F9C">
        <w:rPr>
          <w:rFonts w:ascii="Times New Roman" w:hAnsi="Times New Roman" w:cs="Times New Roman"/>
          <w:sz w:val="24"/>
          <w:szCs w:val="24"/>
        </w:rPr>
        <w:t xml:space="preserve"> The survey also included questions to elicit information about travel behavior and mobility choices, mode usage, and activity engagement. Pertinent to this study, the survey included a battery of questions </w:t>
      </w:r>
      <w:r w:rsidR="00280AB2">
        <w:rPr>
          <w:rFonts w:ascii="Times New Roman" w:hAnsi="Times New Roman" w:cs="Times New Roman"/>
          <w:sz w:val="24"/>
          <w:szCs w:val="24"/>
        </w:rPr>
        <w:t xml:space="preserve">on </w:t>
      </w:r>
      <w:r w:rsidRPr="00837F9C">
        <w:rPr>
          <w:rFonts w:ascii="Times New Roman" w:hAnsi="Times New Roman" w:cs="Times New Roman"/>
          <w:sz w:val="24"/>
          <w:szCs w:val="24"/>
        </w:rPr>
        <w:t xml:space="preserve">work arrangements </w:t>
      </w:r>
      <w:r w:rsidR="00C70E90" w:rsidRPr="00961062">
        <w:rPr>
          <w:rFonts w:ascii="Times New Roman" w:hAnsi="Times New Roman" w:cs="Times New Roman"/>
          <w:i/>
          <w:sz w:val="24"/>
          <w:szCs w:val="24"/>
        </w:rPr>
        <w:t>Before</w:t>
      </w:r>
      <w:r w:rsidR="00C711F7">
        <w:rPr>
          <w:rFonts w:ascii="Times New Roman" w:hAnsi="Times New Roman" w:cs="Times New Roman"/>
          <w:i/>
          <w:sz w:val="24"/>
          <w:szCs w:val="24"/>
        </w:rPr>
        <w:t xml:space="preserve"> </w:t>
      </w:r>
      <w:r w:rsidR="00C70E90" w:rsidRPr="00A15909">
        <w:rPr>
          <w:rFonts w:ascii="Times New Roman" w:hAnsi="Times New Roman" w:cs="Times New Roman"/>
          <w:sz w:val="24"/>
          <w:szCs w:val="24"/>
        </w:rPr>
        <w:t>COVID</w:t>
      </w:r>
      <w:r w:rsidR="00C70E90" w:rsidRPr="00C711F7">
        <w:rPr>
          <w:rFonts w:ascii="Times New Roman" w:hAnsi="Times New Roman" w:cs="Times New Roman"/>
          <w:sz w:val="24"/>
          <w:szCs w:val="24"/>
        </w:rPr>
        <w:t xml:space="preserve"> </w:t>
      </w:r>
      <w:r w:rsidR="00C70E90">
        <w:rPr>
          <w:rFonts w:ascii="Times New Roman" w:hAnsi="Times New Roman" w:cs="Times New Roman"/>
          <w:sz w:val="24"/>
          <w:szCs w:val="24"/>
        </w:rPr>
        <w:t xml:space="preserve">and </w:t>
      </w:r>
      <w:r w:rsidR="00280AB2">
        <w:rPr>
          <w:rFonts w:ascii="Times New Roman" w:hAnsi="Times New Roman" w:cs="Times New Roman"/>
          <w:sz w:val="24"/>
          <w:szCs w:val="24"/>
        </w:rPr>
        <w:t xml:space="preserve">at the time of the survey (that is, the </w:t>
      </w:r>
      <w:r w:rsidR="00C70E90" w:rsidRPr="00961062">
        <w:rPr>
          <w:rFonts w:ascii="Times New Roman" w:hAnsi="Times New Roman" w:cs="Times New Roman"/>
          <w:i/>
          <w:sz w:val="24"/>
          <w:szCs w:val="24"/>
        </w:rPr>
        <w:t>After</w:t>
      </w:r>
      <w:r w:rsidR="00C711F7">
        <w:rPr>
          <w:rFonts w:ascii="Times New Roman" w:hAnsi="Times New Roman" w:cs="Times New Roman"/>
          <w:i/>
          <w:sz w:val="24"/>
          <w:szCs w:val="24"/>
        </w:rPr>
        <w:t xml:space="preserve"> </w:t>
      </w:r>
      <w:r w:rsidR="00C70E90" w:rsidRPr="00A15909">
        <w:rPr>
          <w:rFonts w:ascii="Times New Roman" w:hAnsi="Times New Roman" w:cs="Times New Roman"/>
          <w:sz w:val="24"/>
          <w:szCs w:val="24"/>
        </w:rPr>
        <w:t>COVID</w:t>
      </w:r>
      <w:r w:rsidR="00C70E90">
        <w:rPr>
          <w:rFonts w:ascii="Times New Roman" w:hAnsi="Times New Roman" w:cs="Times New Roman"/>
          <w:sz w:val="24"/>
          <w:szCs w:val="24"/>
        </w:rPr>
        <w:t xml:space="preserve"> period</w:t>
      </w:r>
      <w:r w:rsidR="00280AB2">
        <w:rPr>
          <w:rFonts w:ascii="Times New Roman" w:hAnsi="Times New Roman" w:cs="Times New Roman"/>
          <w:sz w:val="24"/>
          <w:szCs w:val="24"/>
        </w:rPr>
        <w:t>)</w:t>
      </w:r>
      <w:r w:rsidR="00C70E90">
        <w:rPr>
          <w:rFonts w:ascii="Times New Roman" w:hAnsi="Times New Roman" w:cs="Times New Roman"/>
          <w:sz w:val="24"/>
          <w:szCs w:val="24"/>
        </w:rPr>
        <w:t xml:space="preserve">. </w:t>
      </w:r>
      <w:bookmarkStart w:id="4" w:name="_Hlk133655138"/>
      <w:r w:rsidR="00B928E3">
        <w:rPr>
          <w:rFonts w:ascii="Times New Roman" w:hAnsi="Times New Roman" w:cs="Times New Roman"/>
          <w:sz w:val="24"/>
          <w:szCs w:val="24"/>
        </w:rPr>
        <w:t>Importantly, t</w:t>
      </w:r>
      <w:r w:rsidR="00B928E3" w:rsidRPr="000D4FD3">
        <w:rPr>
          <w:rFonts w:ascii="Times New Roman" w:hAnsi="Times New Roman" w:cs="Times New Roman"/>
          <w:sz w:val="24"/>
          <w:szCs w:val="24"/>
        </w:rPr>
        <w:t xml:space="preserve">he survey was deployed after the Omicron variant had passed its peak in Texas, and there were no </w:t>
      </w:r>
      <w:r w:rsidR="00B928E3">
        <w:rPr>
          <w:rFonts w:ascii="Times New Roman" w:hAnsi="Times New Roman" w:cs="Times New Roman"/>
          <w:sz w:val="24"/>
          <w:szCs w:val="24"/>
        </w:rPr>
        <w:t xml:space="preserve">mandatory </w:t>
      </w:r>
      <w:r w:rsidR="00B928E3" w:rsidRPr="000D4FD3">
        <w:rPr>
          <w:rFonts w:ascii="Times New Roman" w:hAnsi="Times New Roman" w:cs="Times New Roman"/>
          <w:sz w:val="24"/>
          <w:szCs w:val="24"/>
        </w:rPr>
        <w:t>pandemic-related safety measures</w:t>
      </w:r>
      <w:r w:rsidR="00B928E3">
        <w:rPr>
          <w:rFonts w:ascii="Times New Roman" w:hAnsi="Times New Roman" w:cs="Times New Roman"/>
          <w:sz w:val="24"/>
          <w:szCs w:val="24"/>
        </w:rPr>
        <w:t xml:space="preserve"> in place </w:t>
      </w:r>
      <w:r w:rsidR="00B928E3" w:rsidRPr="000D4FD3">
        <w:rPr>
          <w:rFonts w:ascii="Times New Roman" w:hAnsi="Times New Roman" w:cs="Times New Roman"/>
          <w:sz w:val="24"/>
          <w:szCs w:val="24"/>
        </w:rPr>
        <w:t>in Texas. Actually, all COVID-related mandates/restrictions had been lifted in the state as early as March 2021 (Office of</w:t>
      </w:r>
      <w:r w:rsidR="00B928E3" w:rsidRPr="00AB1428">
        <w:rPr>
          <w:rFonts w:ascii="Times New Roman" w:hAnsi="Times New Roman" w:cs="Times New Roman"/>
          <w:sz w:val="24"/>
          <w:szCs w:val="24"/>
        </w:rPr>
        <w:t xml:space="preserve"> the Texas Governor, 2021).</w:t>
      </w:r>
      <w:r w:rsidR="00A91FDB">
        <w:rPr>
          <w:rFonts w:ascii="Times New Roman" w:hAnsi="Times New Roman" w:cs="Times New Roman"/>
          <w:sz w:val="24"/>
          <w:szCs w:val="24"/>
        </w:rPr>
        <w:t xml:space="preserve"> </w:t>
      </w:r>
      <w:r w:rsidR="00A91FDB" w:rsidRPr="0032006F">
        <w:rPr>
          <w:rFonts w:ascii="Times New Roman" w:hAnsi="Times New Roman" w:cs="Times New Roman"/>
          <w:sz w:val="24"/>
          <w:szCs w:val="24"/>
        </w:rPr>
        <w:t>Also, when asked about what they believe will be their teleworking arrangement in the</w:t>
      </w:r>
      <w:r w:rsidR="0032006F" w:rsidRPr="0032006F">
        <w:rPr>
          <w:rFonts w:ascii="Times New Roman" w:hAnsi="Times New Roman" w:cs="Times New Roman"/>
          <w:sz w:val="24"/>
          <w:szCs w:val="24"/>
        </w:rPr>
        <w:t xml:space="preserve"> “not-so-distant </w:t>
      </w:r>
      <w:r w:rsidR="00A91FDB" w:rsidRPr="0032006F">
        <w:rPr>
          <w:rFonts w:ascii="Times New Roman" w:hAnsi="Times New Roman" w:cs="Times New Roman"/>
          <w:sz w:val="24"/>
          <w:szCs w:val="24"/>
        </w:rPr>
        <w:t>future</w:t>
      </w:r>
      <w:r w:rsidR="008A2A0F">
        <w:rPr>
          <w:rFonts w:ascii="Times New Roman" w:hAnsi="Times New Roman" w:cs="Times New Roman"/>
          <w:sz w:val="24"/>
          <w:szCs w:val="24"/>
        </w:rPr>
        <w:t>”</w:t>
      </w:r>
      <w:r w:rsidR="0032006F" w:rsidRPr="0032006F">
        <w:rPr>
          <w:rFonts w:ascii="Times New Roman" w:hAnsi="Times New Roman" w:cs="Times New Roman"/>
          <w:sz w:val="24"/>
          <w:szCs w:val="24"/>
        </w:rPr>
        <w:t xml:space="preserve">, </w:t>
      </w:r>
      <w:r w:rsidR="0032006F" w:rsidRPr="00EF49C0">
        <w:rPr>
          <w:rFonts w:ascii="Times New Roman" w:hAnsi="Times New Roman" w:cs="Times New Roman"/>
          <w:sz w:val="24"/>
          <w:szCs w:val="24"/>
        </w:rPr>
        <w:t>respondents indicated a work modality distribution that was largely similar to the current (</w:t>
      </w:r>
      <w:r w:rsidR="0032006F" w:rsidRPr="00EF49C0">
        <w:rPr>
          <w:rFonts w:ascii="Times New Roman" w:hAnsi="Times New Roman" w:cs="Times New Roman"/>
          <w:i/>
          <w:sz w:val="24"/>
          <w:szCs w:val="24"/>
        </w:rPr>
        <w:t>After</w:t>
      </w:r>
      <w:r w:rsidR="00C711F7">
        <w:rPr>
          <w:rFonts w:ascii="Times New Roman" w:hAnsi="Times New Roman" w:cs="Times New Roman"/>
          <w:i/>
          <w:sz w:val="24"/>
          <w:szCs w:val="24"/>
        </w:rPr>
        <w:t xml:space="preserve"> </w:t>
      </w:r>
      <w:r w:rsidR="0032006F" w:rsidRPr="00A15909">
        <w:rPr>
          <w:rFonts w:ascii="Times New Roman" w:hAnsi="Times New Roman" w:cs="Times New Roman"/>
          <w:sz w:val="24"/>
          <w:szCs w:val="24"/>
        </w:rPr>
        <w:t>COVID</w:t>
      </w:r>
      <w:r w:rsidR="0032006F" w:rsidRPr="00C711F7">
        <w:rPr>
          <w:rFonts w:ascii="Times New Roman" w:hAnsi="Times New Roman" w:cs="Times New Roman"/>
          <w:sz w:val="24"/>
          <w:szCs w:val="24"/>
        </w:rPr>
        <w:t>)</w:t>
      </w:r>
      <w:r w:rsidR="0032006F" w:rsidRPr="00EF49C0">
        <w:rPr>
          <w:rFonts w:ascii="Times New Roman" w:hAnsi="Times New Roman" w:cs="Times New Roman"/>
          <w:sz w:val="24"/>
          <w:szCs w:val="24"/>
        </w:rPr>
        <w:t xml:space="preserve"> work modality distribution, suggesting that, at least in Texas, the effects of COVID on work patterns may have relatively stabilized.</w:t>
      </w:r>
      <w:bookmarkEnd w:id="4"/>
    </w:p>
    <w:p w14:paraId="5F43B1DE" w14:textId="3C8AE9DF" w:rsidR="00C70E90" w:rsidRPr="00837F9C" w:rsidRDefault="00A57BEF" w:rsidP="00C70E90">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ab/>
      </w:r>
      <w:r w:rsidR="004C0E13" w:rsidRPr="00837F9C">
        <w:rPr>
          <w:rFonts w:ascii="Times New Roman" w:hAnsi="Times New Roman" w:cs="Times New Roman"/>
          <w:sz w:val="24"/>
          <w:szCs w:val="24"/>
        </w:rPr>
        <w:t xml:space="preserve">Table 1 </w:t>
      </w:r>
      <w:r w:rsidR="00280AB2">
        <w:rPr>
          <w:rFonts w:ascii="Times New Roman" w:hAnsi="Times New Roman" w:cs="Times New Roman"/>
          <w:sz w:val="24"/>
          <w:szCs w:val="24"/>
        </w:rPr>
        <w:t>provides information on the</w:t>
      </w:r>
      <w:r w:rsidRPr="00837F9C">
        <w:rPr>
          <w:rFonts w:ascii="Times New Roman" w:hAnsi="Times New Roman" w:cs="Times New Roman"/>
          <w:sz w:val="24"/>
          <w:szCs w:val="24"/>
        </w:rPr>
        <w:t xml:space="preserve"> </w:t>
      </w:r>
      <w:r w:rsidR="002D65A3" w:rsidRPr="00837F9C">
        <w:rPr>
          <w:rFonts w:ascii="Times New Roman" w:hAnsi="Times New Roman" w:cs="Times New Roman"/>
          <w:sz w:val="24"/>
          <w:szCs w:val="24"/>
        </w:rPr>
        <w:t>socio-economic and demographic characteristics</w:t>
      </w:r>
      <w:r w:rsidR="00CA20B8">
        <w:rPr>
          <w:rFonts w:ascii="Times New Roman" w:hAnsi="Times New Roman" w:cs="Times New Roman"/>
          <w:sz w:val="24"/>
          <w:szCs w:val="24"/>
        </w:rPr>
        <w:t xml:space="preserve"> of the sample of 980 individuals used in our analysis. </w:t>
      </w:r>
      <w:r w:rsidR="004A2BE1" w:rsidRPr="00837F9C">
        <w:rPr>
          <w:rFonts w:ascii="Times New Roman" w:hAnsi="Times New Roman" w:cs="Times New Roman"/>
          <w:sz w:val="24"/>
          <w:szCs w:val="24"/>
        </w:rPr>
        <w:t xml:space="preserve">The demographic composition exhibits a greater proportion of </w:t>
      </w:r>
      <w:r w:rsidR="00C70E90">
        <w:rPr>
          <w:rFonts w:ascii="Times New Roman" w:hAnsi="Times New Roman" w:cs="Times New Roman"/>
          <w:sz w:val="24"/>
          <w:szCs w:val="24"/>
        </w:rPr>
        <w:t>women</w:t>
      </w:r>
      <w:r w:rsidR="004A2BE1" w:rsidRPr="00837F9C">
        <w:rPr>
          <w:rFonts w:ascii="Times New Roman" w:hAnsi="Times New Roman" w:cs="Times New Roman"/>
          <w:sz w:val="24"/>
          <w:szCs w:val="24"/>
        </w:rPr>
        <w:t xml:space="preserve">, with 600 of the 980 individuals </w:t>
      </w:r>
      <w:r w:rsidR="003E3F26">
        <w:rPr>
          <w:rFonts w:ascii="Times New Roman" w:hAnsi="Times New Roman" w:cs="Times New Roman"/>
          <w:sz w:val="24"/>
          <w:szCs w:val="24"/>
        </w:rPr>
        <w:t xml:space="preserve">(61.2%) </w:t>
      </w:r>
      <w:r w:rsidR="004A2BE1" w:rsidRPr="00837F9C">
        <w:rPr>
          <w:rFonts w:ascii="Times New Roman" w:hAnsi="Times New Roman" w:cs="Times New Roman"/>
          <w:sz w:val="24"/>
          <w:szCs w:val="24"/>
        </w:rPr>
        <w:t xml:space="preserve">being </w:t>
      </w:r>
      <w:r w:rsidR="00AE590C">
        <w:rPr>
          <w:rFonts w:ascii="Times New Roman" w:hAnsi="Times New Roman" w:cs="Times New Roman"/>
          <w:sz w:val="24"/>
          <w:szCs w:val="24"/>
        </w:rPr>
        <w:t>women</w:t>
      </w:r>
      <w:r w:rsidR="004A2BE1" w:rsidRPr="00837F9C">
        <w:rPr>
          <w:rFonts w:ascii="Times New Roman" w:hAnsi="Times New Roman" w:cs="Times New Roman"/>
          <w:sz w:val="24"/>
          <w:szCs w:val="24"/>
        </w:rPr>
        <w:t>. Only 6.8 percent of the analysis sample is aged 18-29, while 44.4 percent are aged 50-64. Given that these individuals have the option to work remotely, it is not surprising that the sample exhibits a high education level</w:t>
      </w:r>
      <w:r w:rsidR="00641693" w:rsidRPr="00837F9C">
        <w:rPr>
          <w:rFonts w:ascii="Times New Roman" w:hAnsi="Times New Roman" w:cs="Times New Roman"/>
          <w:sz w:val="24"/>
          <w:szCs w:val="24"/>
        </w:rPr>
        <w:t>,</w:t>
      </w:r>
      <w:r w:rsidR="004A2BE1" w:rsidRPr="00837F9C">
        <w:rPr>
          <w:rFonts w:ascii="Times New Roman" w:hAnsi="Times New Roman" w:cs="Times New Roman"/>
          <w:sz w:val="24"/>
          <w:szCs w:val="24"/>
        </w:rPr>
        <w:t xml:space="preserve"> with more than one-half having a graduate degree.  In terms of residential characteristics, just under one-quarter reside in urban area</w:t>
      </w:r>
      <w:r w:rsidR="00641693" w:rsidRPr="00837F9C">
        <w:rPr>
          <w:rFonts w:ascii="Times New Roman" w:hAnsi="Times New Roman" w:cs="Times New Roman"/>
          <w:sz w:val="24"/>
          <w:szCs w:val="24"/>
        </w:rPr>
        <w:t>s</w:t>
      </w:r>
      <w:r w:rsidR="00C70E90">
        <w:rPr>
          <w:rFonts w:ascii="Times New Roman" w:hAnsi="Times New Roman" w:cs="Times New Roman"/>
          <w:sz w:val="24"/>
          <w:szCs w:val="24"/>
        </w:rPr>
        <w:t>,</w:t>
      </w:r>
      <w:r w:rsidR="004A2BE1" w:rsidRPr="00837F9C">
        <w:rPr>
          <w:rFonts w:ascii="Times New Roman" w:hAnsi="Times New Roman" w:cs="Times New Roman"/>
          <w:sz w:val="24"/>
          <w:szCs w:val="24"/>
        </w:rPr>
        <w:t xml:space="preserve"> while 57.4 percent reside in suburban area</w:t>
      </w:r>
      <w:r w:rsidR="00641693" w:rsidRPr="00837F9C">
        <w:rPr>
          <w:rFonts w:ascii="Times New Roman" w:hAnsi="Times New Roman" w:cs="Times New Roman"/>
          <w:sz w:val="24"/>
          <w:szCs w:val="24"/>
        </w:rPr>
        <w:t>s</w:t>
      </w:r>
      <w:r w:rsidR="004A2BE1" w:rsidRPr="00837F9C">
        <w:rPr>
          <w:rFonts w:ascii="Times New Roman" w:hAnsi="Times New Roman" w:cs="Times New Roman"/>
          <w:sz w:val="24"/>
          <w:szCs w:val="24"/>
        </w:rPr>
        <w:t>.</w:t>
      </w:r>
      <w:r w:rsidR="00B912F2">
        <w:rPr>
          <w:rFonts w:ascii="Times New Roman" w:hAnsi="Times New Roman" w:cs="Times New Roman"/>
          <w:sz w:val="24"/>
          <w:szCs w:val="24"/>
        </w:rPr>
        <w:t xml:space="preserve"> </w:t>
      </w:r>
      <w:r w:rsidR="004A2BE1" w:rsidRPr="00837F9C">
        <w:rPr>
          <w:rFonts w:ascii="Times New Roman" w:hAnsi="Times New Roman" w:cs="Times New Roman"/>
          <w:sz w:val="24"/>
          <w:szCs w:val="24"/>
        </w:rPr>
        <w:t xml:space="preserve">A vast majority (83.3 percent) reside in a stand-alone housing unit, and just about 78 percent indicate that </w:t>
      </w:r>
      <w:r w:rsidR="004A2BE1" w:rsidRPr="00837F9C">
        <w:rPr>
          <w:rFonts w:ascii="Times New Roman" w:hAnsi="Times New Roman" w:cs="Times New Roman"/>
          <w:sz w:val="24"/>
          <w:szCs w:val="24"/>
        </w:rPr>
        <w:lastRenderedPageBreak/>
        <w:t xml:space="preserve">they have a private study in their residence. About four-fifths of the sample reports working in employment locations that may be characterized as </w:t>
      </w:r>
      <w:r w:rsidR="003E3F26">
        <w:rPr>
          <w:rFonts w:ascii="Times New Roman" w:hAnsi="Times New Roman" w:cs="Times New Roman"/>
          <w:sz w:val="24"/>
          <w:szCs w:val="24"/>
        </w:rPr>
        <w:t>low-to-</w:t>
      </w:r>
      <w:r w:rsidR="004A2BE1" w:rsidRPr="00837F9C">
        <w:rPr>
          <w:rFonts w:ascii="Times New Roman" w:hAnsi="Times New Roman" w:cs="Times New Roman"/>
          <w:sz w:val="24"/>
          <w:szCs w:val="24"/>
        </w:rPr>
        <w:t>medium density. Respondents identified the zip code of their work location</w:t>
      </w:r>
      <w:r w:rsidR="00641693" w:rsidRPr="00837F9C">
        <w:rPr>
          <w:rFonts w:ascii="Times New Roman" w:hAnsi="Times New Roman" w:cs="Times New Roman"/>
          <w:sz w:val="24"/>
          <w:szCs w:val="24"/>
        </w:rPr>
        <w:t>, which</w:t>
      </w:r>
      <w:r w:rsidR="004A2BE1" w:rsidRPr="00837F9C">
        <w:rPr>
          <w:rFonts w:ascii="Times New Roman" w:hAnsi="Times New Roman" w:cs="Times New Roman"/>
          <w:sz w:val="24"/>
          <w:szCs w:val="24"/>
        </w:rPr>
        <w:t xml:space="preserve"> was used to link built environment variables and compute density as the ratio of number of jobs to unprotected acreage. Based on </w:t>
      </w:r>
      <w:r w:rsidR="004A2BE1" w:rsidRPr="00A16412">
        <w:rPr>
          <w:rFonts w:ascii="Times New Roman" w:hAnsi="Times New Roman" w:cs="Times New Roman"/>
          <w:sz w:val="24"/>
          <w:szCs w:val="24"/>
        </w:rPr>
        <w:t xml:space="preserve">Ramsey and Bell </w:t>
      </w:r>
      <w:r w:rsidR="00560549" w:rsidRPr="00A16412">
        <w:rPr>
          <w:rFonts w:ascii="Times New Roman" w:hAnsi="Times New Roman" w:cs="Times New Roman"/>
          <w:sz w:val="24"/>
          <w:szCs w:val="24"/>
        </w:rPr>
        <w:t>(2014</w:t>
      </w:r>
      <w:r w:rsidR="004A2BE1" w:rsidRPr="00A16412">
        <w:rPr>
          <w:rFonts w:ascii="Times New Roman" w:hAnsi="Times New Roman" w:cs="Times New Roman"/>
          <w:sz w:val="24"/>
          <w:szCs w:val="24"/>
        </w:rPr>
        <w:t>),</w:t>
      </w:r>
      <w:r w:rsidR="004A2BE1" w:rsidRPr="00837F9C">
        <w:rPr>
          <w:rFonts w:ascii="Times New Roman" w:hAnsi="Times New Roman" w:cs="Times New Roman"/>
          <w:sz w:val="24"/>
          <w:szCs w:val="24"/>
        </w:rPr>
        <w:t xml:space="preserve"> zip codes with an employment density less than 2.2 jobs per unprotected acre of land are classified as low density</w:t>
      </w:r>
      <w:r w:rsidR="003F6993" w:rsidRPr="00837F9C">
        <w:rPr>
          <w:rFonts w:ascii="Times New Roman" w:hAnsi="Times New Roman" w:cs="Times New Roman"/>
          <w:sz w:val="24"/>
          <w:szCs w:val="24"/>
        </w:rPr>
        <w:t xml:space="preserve">, while those with 5.2 or more jobs per unprotected acre of land are classified as high density.  All other zip codes are classified as medium density. </w:t>
      </w:r>
      <w:r w:rsidR="00C70E90">
        <w:rPr>
          <w:rFonts w:ascii="Times New Roman" w:hAnsi="Times New Roman" w:cs="Times New Roman"/>
          <w:sz w:val="24"/>
          <w:szCs w:val="24"/>
        </w:rPr>
        <w:t xml:space="preserve">In terms of household income, </w:t>
      </w:r>
      <w:r w:rsidR="00C70E90" w:rsidRPr="00837F9C">
        <w:rPr>
          <w:rFonts w:ascii="Times New Roman" w:hAnsi="Times New Roman" w:cs="Times New Roman"/>
          <w:sz w:val="24"/>
          <w:szCs w:val="24"/>
        </w:rPr>
        <w:t xml:space="preserve">the sample is skewed towards higher household income levels, consistent with what one would expect for a sample of </w:t>
      </w:r>
      <w:r w:rsidR="00FC5545">
        <w:rPr>
          <w:rFonts w:ascii="Times New Roman" w:hAnsi="Times New Roman" w:cs="Times New Roman"/>
          <w:sz w:val="24"/>
          <w:szCs w:val="24"/>
        </w:rPr>
        <w:t>tele</w:t>
      </w:r>
      <w:r w:rsidR="00C70E90" w:rsidRPr="00837F9C">
        <w:rPr>
          <w:rFonts w:ascii="Times New Roman" w:hAnsi="Times New Roman" w:cs="Times New Roman"/>
          <w:sz w:val="24"/>
          <w:szCs w:val="24"/>
        </w:rPr>
        <w:t xml:space="preserve">work capable workers.  Nearly 65 percent report annual household incomes of $100,000 or more. </w:t>
      </w:r>
    </w:p>
    <w:p w14:paraId="4F7DAE8B" w14:textId="4CB33CEC" w:rsidR="00813096" w:rsidRDefault="00813096" w:rsidP="00E1729F">
      <w:pPr>
        <w:spacing w:after="0" w:line="276" w:lineRule="auto"/>
        <w:rPr>
          <w:rFonts w:ascii="Times New Roman" w:hAnsi="Times New Roman" w:cs="Times New Roman"/>
          <w:sz w:val="24"/>
          <w:szCs w:val="24"/>
        </w:rPr>
        <w:sectPr w:rsidR="00813096" w:rsidSect="00301512">
          <w:headerReference w:type="default" r:id="rId14"/>
          <w:footerReference w:type="default" r:id="rId15"/>
          <w:pgSz w:w="12240" w:h="15840" w:code="1"/>
          <w:pgMar w:top="1440" w:right="1440" w:bottom="1440" w:left="1440" w:header="720" w:footer="720" w:gutter="0"/>
          <w:pgNumType w:start="1"/>
          <w:cols w:space="720"/>
          <w:docGrid w:linePitch="360"/>
        </w:sectPr>
      </w:pPr>
    </w:p>
    <w:p w14:paraId="35EE57B2" w14:textId="2611974D" w:rsidR="0016476B" w:rsidRPr="00837F9C" w:rsidRDefault="0016476B" w:rsidP="00E1729F">
      <w:pPr>
        <w:spacing w:after="0" w:line="276" w:lineRule="auto"/>
        <w:rPr>
          <w:rFonts w:ascii="Times New Roman" w:eastAsia="Calibri" w:hAnsi="Times New Roman" w:cs="Times New Roman"/>
          <w:b/>
          <w:sz w:val="24"/>
          <w:szCs w:val="24"/>
        </w:rPr>
      </w:pPr>
      <w:r w:rsidRPr="00837F9C">
        <w:rPr>
          <w:rFonts w:ascii="Times New Roman" w:eastAsia="Calibri" w:hAnsi="Times New Roman" w:cs="Times New Roman"/>
          <w:b/>
          <w:sz w:val="24"/>
          <w:szCs w:val="24"/>
        </w:rPr>
        <w:lastRenderedPageBreak/>
        <w:t>Table 1</w:t>
      </w:r>
      <w:r w:rsidR="002D65A3" w:rsidRPr="00837F9C">
        <w:rPr>
          <w:rFonts w:ascii="Times New Roman" w:eastAsia="Calibri" w:hAnsi="Times New Roman" w:cs="Times New Roman"/>
          <w:b/>
          <w:sz w:val="24"/>
          <w:szCs w:val="24"/>
        </w:rPr>
        <w:t xml:space="preserve">. </w:t>
      </w:r>
      <w:r w:rsidRPr="00837F9C">
        <w:rPr>
          <w:rFonts w:ascii="Times New Roman" w:eastAsia="Calibri" w:hAnsi="Times New Roman" w:cs="Times New Roman"/>
          <w:b/>
          <w:sz w:val="24"/>
          <w:szCs w:val="24"/>
        </w:rPr>
        <w:t>Survey Sample Characteristics</w:t>
      </w:r>
      <w:r w:rsidR="008A2A0F">
        <w:rPr>
          <w:rFonts w:ascii="Times New Roman" w:eastAsia="Calibri" w:hAnsi="Times New Roman" w:cs="Times New Roman"/>
          <w:b/>
          <w:sz w:val="24"/>
          <w:szCs w:val="24"/>
        </w:rPr>
        <w:t xml:space="preserve"> (Sample Size N=980)</w:t>
      </w:r>
    </w:p>
    <w:tbl>
      <w:tblPr>
        <w:tblW w:w="12765" w:type="dxa"/>
        <w:tblCellMar>
          <w:left w:w="0" w:type="dxa"/>
          <w:right w:w="0" w:type="dxa"/>
        </w:tblCellMar>
        <w:tblLook w:val="04A0" w:firstRow="1" w:lastRow="0" w:firstColumn="1" w:lastColumn="0" w:noHBand="0" w:noVBand="1"/>
      </w:tblPr>
      <w:tblGrid>
        <w:gridCol w:w="4755"/>
        <w:gridCol w:w="918"/>
        <w:gridCol w:w="882"/>
        <w:gridCol w:w="4320"/>
        <w:gridCol w:w="1008"/>
        <w:gridCol w:w="882"/>
      </w:tblGrid>
      <w:tr w:rsidR="00837F9C" w:rsidRPr="00837F9C" w14:paraId="4338F164" w14:textId="48744D5B" w:rsidTr="004C0E13">
        <w:trPr>
          <w:trHeight w:val="20"/>
        </w:trPr>
        <w:tc>
          <w:tcPr>
            <w:tcW w:w="4755"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14:paraId="13A70735" w14:textId="5EA8EA33"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Variable</w:t>
            </w:r>
          </w:p>
        </w:tc>
        <w:tc>
          <w:tcPr>
            <w:tcW w:w="918"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09CC30EF" w14:textId="112D9A98"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Count</w:t>
            </w:r>
          </w:p>
        </w:tc>
        <w:tc>
          <w:tcPr>
            <w:tcW w:w="882"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797DE888" w14:textId="6C0040E5"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w:t>
            </w:r>
          </w:p>
        </w:tc>
        <w:tc>
          <w:tcPr>
            <w:tcW w:w="4320"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14:paraId="6E4EB3F2" w14:textId="4ABA8269"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Variable</w:t>
            </w:r>
          </w:p>
        </w:tc>
        <w:tc>
          <w:tcPr>
            <w:tcW w:w="1008"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5C5A4592" w14:textId="7029D467"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Count </w:t>
            </w:r>
          </w:p>
        </w:tc>
        <w:tc>
          <w:tcPr>
            <w:tcW w:w="882"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0E2BD938" w14:textId="6AC50723"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w:t>
            </w:r>
            <w:r w:rsidR="00551DE9">
              <w:rPr>
                <w:rFonts w:ascii="Times New Roman" w:eastAsia="Calibri" w:hAnsi="Times New Roman" w:cs="Times New Roman"/>
                <w:sz w:val="20"/>
                <w:szCs w:val="20"/>
              </w:rPr>
              <w:t>*</w:t>
            </w:r>
          </w:p>
        </w:tc>
      </w:tr>
      <w:tr w:rsidR="00837F9C" w:rsidRPr="00837F9C" w14:paraId="463B1F76" w14:textId="4BD8B996" w:rsidTr="004C0E13">
        <w:trPr>
          <w:trHeight w:val="20"/>
        </w:trPr>
        <w:tc>
          <w:tcPr>
            <w:tcW w:w="4755"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14:paraId="7A915E12" w14:textId="30C8875B" w:rsidR="0016476B" w:rsidRPr="00E1729F" w:rsidRDefault="0016476B" w:rsidP="00E1729F">
            <w:pPr>
              <w:spacing w:after="0" w:line="276" w:lineRule="auto"/>
              <w:rPr>
                <w:rFonts w:ascii="Times New Roman" w:eastAsia="Calibri" w:hAnsi="Times New Roman" w:cs="Times New Roman"/>
                <w:i/>
                <w:iCs/>
                <w:sz w:val="20"/>
                <w:szCs w:val="20"/>
              </w:rPr>
            </w:pPr>
            <w:r w:rsidRPr="00E1729F">
              <w:rPr>
                <w:rFonts w:ascii="Times New Roman" w:eastAsia="Calibri" w:hAnsi="Times New Roman" w:cs="Times New Roman"/>
                <w:i/>
                <w:iCs/>
                <w:sz w:val="20"/>
                <w:szCs w:val="20"/>
              </w:rPr>
              <w:t xml:space="preserve"> Individual Demographics</w:t>
            </w:r>
          </w:p>
        </w:tc>
        <w:tc>
          <w:tcPr>
            <w:tcW w:w="918" w:type="dxa"/>
            <w:tcBorders>
              <w:top w:val="double" w:sz="4" w:space="0" w:color="auto"/>
              <w:left w:val="nil"/>
              <w:bottom w:val="nil"/>
              <w:right w:val="nil"/>
            </w:tcBorders>
            <w:shd w:val="clear" w:color="auto" w:fill="auto"/>
            <w:noWrap/>
            <w:tcMar>
              <w:top w:w="15" w:type="dxa"/>
              <w:left w:w="15" w:type="dxa"/>
              <w:bottom w:w="0" w:type="dxa"/>
              <w:right w:w="15" w:type="dxa"/>
            </w:tcMar>
            <w:vAlign w:val="center"/>
            <w:hideMark/>
          </w:tcPr>
          <w:p w14:paraId="35D2C317" w14:textId="17FD8C19" w:rsidR="0016476B" w:rsidRPr="00E1729F" w:rsidRDefault="0016476B" w:rsidP="00E1729F">
            <w:pPr>
              <w:spacing w:after="0" w:line="276" w:lineRule="auto"/>
              <w:rPr>
                <w:rFonts w:ascii="Times New Roman" w:eastAsia="Calibri" w:hAnsi="Times New Roman" w:cs="Times New Roman"/>
                <w:sz w:val="20"/>
                <w:szCs w:val="20"/>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hideMark/>
          </w:tcPr>
          <w:p w14:paraId="71930838" w14:textId="74F44CFB" w:rsidR="0016476B" w:rsidRPr="00837F9C" w:rsidRDefault="0016476B" w:rsidP="00E1729F">
            <w:pPr>
              <w:spacing w:after="0" w:line="276" w:lineRule="auto"/>
              <w:rPr>
                <w:rFonts w:ascii="Times New Roman" w:eastAsia="Calibri" w:hAnsi="Times New Roman" w:cs="Times New Roman"/>
                <w:sz w:val="20"/>
                <w:szCs w:val="20"/>
              </w:rPr>
            </w:pPr>
          </w:p>
        </w:tc>
        <w:tc>
          <w:tcPr>
            <w:tcW w:w="4320"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14:paraId="30AF3565" w14:textId="55A15494" w:rsidR="0016476B" w:rsidRPr="00837F9C" w:rsidRDefault="0016476B" w:rsidP="00E1729F">
            <w:pPr>
              <w:spacing w:after="0" w:line="276" w:lineRule="auto"/>
              <w:rPr>
                <w:rFonts w:ascii="Times New Roman" w:eastAsia="Calibri" w:hAnsi="Times New Roman" w:cs="Times New Roman"/>
                <w:i/>
                <w:iCs/>
                <w:sz w:val="20"/>
                <w:szCs w:val="20"/>
              </w:rPr>
            </w:pPr>
            <w:r w:rsidRPr="00837F9C">
              <w:rPr>
                <w:rFonts w:ascii="Times New Roman" w:eastAsia="Calibri" w:hAnsi="Times New Roman" w:cs="Times New Roman"/>
                <w:i/>
                <w:iCs/>
                <w:sz w:val="20"/>
                <w:szCs w:val="20"/>
              </w:rPr>
              <w:t xml:space="preserve"> Household Characteristic</w:t>
            </w:r>
            <w:r w:rsidR="008918BD">
              <w:rPr>
                <w:rFonts w:ascii="Times New Roman" w:eastAsia="Calibri" w:hAnsi="Times New Roman" w:cs="Times New Roman"/>
                <w:i/>
                <w:iCs/>
                <w:sz w:val="20"/>
                <w:szCs w:val="20"/>
              </w:rPr>
              <w:t>s</w:t>
            </w:r>
          </w:p>
        </w:tc>
        <w:tc>
          <w:tcPr>
            <w:tcW w:w="1008"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4CA030A4" w14:textId="63901E85" w:rsidR="0016476B" w:rsidRPr="00837F9C" w:rsidRDefault="0016476B" w:rsidP="00E1729F">
            <w:pPr>
              <w:spacing w:after="0" w:line="276" w:lineRule="auto"/>
              <w:rPr>
                <w:rFonts w:ascii="Times New Roman" w:eastAsia="Calibri" w:hAnsi="Times New Roman" w:cs="Times New Roman"/>
                <w:sz w:val="20"/>
                <w:szCs w:val="20"/>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3876F253" w14:textId="2AEFC802" w:rsidR="0016476B" w:rsidRPr="00837F9C" w:rsidRDefault="0016476B" w:rsidP="00E1729F">
            <w:pPr>
              <w:spacing w:after="0" w:line="276" w:lineRule="auto"/>
              <w:rPr>
                <w:rFonts w:ascii="Times New Roman" w:eastAsia="Calibri" w:hAnsi="Times New Roman" w:cs="Times New Roman"/>
                <w:sz w:val="20"/>
                <w:szCs w:val="20"/>
              </w:rPr>
            </w:pPr>
          </w:p>
        </w:tc>
      </w:tr>
      <w:tr w:rsidR="00837F9C" w:rsidRPr="00837F9C" w14:paraId="380FBE50" w14:textId="497CAE39"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6532CC61" w14:textId="5454868F" w:rsidR="0016476B" w:rsidRPr="00E1729F" w:rsidRDefault="0016476B" w:rsidP="00E1729F">
            <w:pPr>
              <w:spacing w:after="0" w:line="276" w:lineRule="auto"/>
              <w:rPr>
                <w:rFonts w:ascii="Times New Roman" w:eastAsia="Calibri" w:hAnsi="Times New Roman" w:cs="Times New Roman"/>
                <w:b/>
                <w:bCs/>
                <w:sz w:val="20"/>
                <w:szCs w:val="20"/>
              </w:rPr>
            </w:pPr>
            <w:r w:rsidRPr="00E1729F">
              <w:rPr>
                <w:rFonts w:ascii="Times New Roman" w:eastAsia="Calibri" w:hAnsi="Times New Roman" w:cs="Times New Roman"/>
                <w:b/>
                <w:bCs/>
                <w:sz w:val="20"/>
                <w:szCs w:val="20"/>
              </w:rPr>
              <w:t xml:space="preserve"> Gender</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hideMark/>
          </w:tcPr>
          <w:p w14:paraId="68D78F42" w14:textId="49BAF856" w:rsidR="0016476B" w:rsidRPr="00E1729F" w:rsidRDefault="0016476B" w:rsidP="00E1729F">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309FD801" w14:textId="24D5D3A9" w:rsidR="0016476B" w:rsidRPr="00837F9C" w:rsidRDefault="0016476B" w:rsidP="00E1729F">
            <w:pPr>
              <w:spacing w:after="0" w:line="276" w:lineRule="auto"/>
              <w:rPr>
                <w:rFonts w:ascii="Times New Roman" w:eastAsia="Calibri" w:hAnsi="Times New Roman" w:cs="Times New Roman"/>
                <w:sz w:val="20"/>
                <w:szCs w:val="20"/>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7F2E6FF5" w14:textId="547A7F70" w:rsidR="0016476B" w:rsidRPr="00837F9C" w:rsidRDefault="0016476B" w:rsidP="00E1729F">
            <w:pPr>
              <w:spacing w:after="0" w:line="276" w:lineRule="auto"/>
              <w:rPr>
                <w:rFonts w:ascii="Times New Roman" w:eastAsia="Calibri" w:hAnsi="Times New Roman" w:cs="Times New Roman"/>
                <w:b/>
                <w:bCs/>
                <w:sz w:val="20"/>
                <w:szCs w:val="20"/>
              </w:rPr>
            </w:pPr>
            <w:r w:rsidRPr="00837F9C">
              <w:rPr>
                <w:rFonts w:ascii="Times New Roman" w:eastAsia="Calibri" w:hAnsi="Times New Roman" w:cs="Times New Roman"/>
                <w:b/>
                <w:bCs/>
                <w:sz w:val="20"/>
                <w:szCs w:val="20"/>
              </w:rPr>
              <w:t xml:space="preserve"> Household Annual Income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38A02CA" w14:textId="7A77D928" w:rsidR="0016476B" w:rsidRPr="00837F9C" w:rsidRDefault="0016476B" w:rsidP="00E1729F">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099D1BA" w14:textId="62D2BBD4" w:rsidR="0016476B" w:rsidRPr="00837F9C" w:rsidRDefault="0016476B" w:rsidP="00E1729F">
            <w:pPr>
              <w:spacing w:after="0" w:line="276" w:lineRule="auto"/>
              <w:rPr>
                <w:rFonts w:ascii="Times New Roman" w:eastAsia="Calibri" w:hAnsi="Times New Roman" w:cs="Times New Roman"/>
                <w:sz w:val="20"/>
                <w:szCs w:val="20"/>
              </w:rPr>
            </w:pPr>
          </w:p>
        </w:tc>
      </w:tr>
      <w:tr w:rsidR="00837F9C" w:rsidRPr="00837F9C" w14:paraId="559BB57D" w14:textId="7BE23426"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F04D290" w14:textId="6ACDA457"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w:t>
            </w:r>
            <w:r w:rsidR="00AE590C">
              <w:rPr>
                <w:rFonts w:ascii="Times New Roman" w:eastAsia="Calibri" w:hAnsi="Times New Roman" w:cs="Times New Roman"/>
                <w:sz w:val="20"/>
                <w:szCs w:val="20"/>
              </w:rPr>
              <w:t>Women</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070EAD71" w14:textId="31924D97"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600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9207455" w14:textId="54B77079"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61.2</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D1BC821" w14:textId="1C62AAE6"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Less than $25,000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DD97F5E" w14:textId="10430456"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22</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BF809C5" w14:textId="760A155B"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2.2</w:t>
            </w:r>
          </w:p>
        </w:tc>
      </w:tr>
      <w:tr w:rsidR="00837F9C" w:rsidRPr="00837F9C" w14:paraId="0BAD2E4C" w14:textId="714C7C57"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518E5DF7" w14:textId="6E26927E"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w:t>
            </w:r>
            <w:r w:rsidR="00AE590C" w:rsidRPr="00E1729F">
              <w:rPr>
                <w:rFonts w:ascii="Times New Roman" w:eastAsia="Calibri" w:hAnsi="Times New Roman" w:cs="Times New Roman"/>
                <w:sz w:val="20"/>
                <w:szCs w:val="20"/>
              </w:rPr>
              <w:t>M</w:t>
            </w:r>
            <w:r w:rsidR="00AE590C">
              <w:rPr>
                <w:rFonts w:ascii="Times New Roman" w:eastAsia="Calibri" w:hAnsi="Times New Roman" w:cs="Times New Roman"/>
                <w:sz w:val="20"/>
                <w:szCs w:val="20"/>
              </w:rPr>
              <w:t>en</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5DB7B99A" w14:textId="46BBAE10"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380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C581FDC" w14:textId="29116D30"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38.8</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BCB2FBD" w14:textId="1C9687F5"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$25,000 to $49,999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CF32008" w14:textId="55EA7A59"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56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620997D" w14:textId="1F6498F4"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5.7</w:t>
            </w:r>
          </w:p>
        </w:tc>
      </w:tr>
      <w:tr w:rsidR="00837F9C" w:rsidRPr="00837F9C" w14:paraId="747CDE80" w14:textId="447794D7"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DD5E3F1" w14:textId="3DB9642D"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b/>
                <w:bCs/>
                <w:sz w:val="20"/>
                <w:szCs w:val="20"/>
              </w:rPr>
              <w:t xml:space="preserve"> Age</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61964F38" w14:textId="0C44E8AB" w:rsidR="0016476B" w:rsidRPr="00E1729F" w:rsidRDefault="0016476B" w:rsidP="00E1729F">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E69F9CC" w14:textId="4A9EA530" w:rsidR="0016476B" w:rsidRPr="00837F9C" w:rsidRDefault="0016476B" w:rsidP="00E1729F">
            <w:pPr>
              <w:spacing w:after="0" w:line="276" w:lineRule="auto"/>
              <w:rPr>
                <w:rFonts w:ascii="Times New Roman" w:eastAsia="Calibri" w:hAnsi="Times New Roman" w:cs="Times New Roman"/>
                <w:sz w:val="20"/>
                <w:szCs w:val="20"/>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2A0FAE0" w14:textId="4333FDB3"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$50,000 to $74,999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14C52F35" w14:textId="3C989F02"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BB0B0D5" w14:textId="4618E78B"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13.9</w:t>
            </w:r>
          </w:p>
        </w:tc>
      </w:tr>
      <w:tr w:rsidR="00837F9C" w:rsidRPr="00837F9C" w14:paraId="2891F200" w14:textId="464FBB6C"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7570CFE7" w14:textId="20999DF6" w:rsidR="0016476B" w:rsidRPr="00E1729F"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18 to 29</w:t>
            </w:r>
          </w:p>
        </w:tc>
        <w:tc>
          <w:tcPr>
            <w:tcW w:w="918" w:type="dxa"/>
            <w:tcBorders>
              <w:top w:val="nil"/>
              <w:left w:val="nil"/>
              <w:bottom w:val="nil"/>
              <w:right w:val="nil"/>
            </w:tcBorders>
            <w:shd w:val="clear" w:color="auto" w:fill="auto"/>
            <w:noWrap/>
            <w:tcMar>
              <w:top w:w="15" w:type="dxa"/>
              <w:left w:w="15" w:type="dxa"/>
              <w:bottom w:w="0" w:type="dxa"/>
              <w:right w:w="15" w:type="dxa"/>
            </w:tcMar>
            <w:vAlign w:val="bottom"/>
          </w:tcPr>
          <w:p w14:paraId="03E4D76B" w14:textId="404D9E1D"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67</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bottom"/>
          </w:tcPr>
          <w:p w14:paraId="7D28D924" w14:textId="7CB79DC4"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6.8</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31F3FE7" w14:textId="2B2C633D"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$75,000 to $99,999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0E34448" w14:textId="60E7D886"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9BF3CF3" w14:textId="396A83D1"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13.6</w:t>
            </w:r>
          </w:p>
        </w:tc>
      </w:tr>
      <w:tr w:rsidR="00837F9C" w:rsidRPr="00837F9C" w14:paraId="45AF150B" w14:textId="28C31C2C"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1FDA011" w14:textId="7BD5F78C"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30 to 49</w:t>
            </w:r>
          </w:p>
        </w:tc>
        <w:tc>
          <w:tcPr>
            <w:tcW w:w="918" w:type="dxa"/>
            <w:tcBorders>
              <w:top w:val="nil"/>
              <w:left w:val="nil"/>
              <w:bottom w:val="nil"/>
              <w:right w:val="nil"/>
            </w:tcBorders>
            <w:shd w:val="clear" w:color="auto" w:fill="auto"/>
            <w:noWrap/>
            <w:tcMar>
              <w:top w:w="15" w:type="dxa"/>
              <w:left w:w="15" w:type="dxa"/>
              <w:bottom w:w="0" w:type="dxa"/>
              <w:right w:w="15" w:type="dxa"/>
            </w:tcMar>
            <w:vAlign w:val="bottom"/>
          </w:tcPr>
          <w:p w14:paraId="79F24E87" w14:textId="5A86A37A"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339</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bottom"/>
          </w:tcPr>
          <w:p w14:paraId="5FBB88E4" w14:textId="7A3A75A1"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34.6</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87F8518" w14:textId="2FBF9A6D"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$100,000 to $149,999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F21C3A3" w14:textId="649401AA"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266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D5AF67F" w14:textId="1D10CE32"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27.1</w:t>
            </w:r>
          </w:p>
        </w:tc>
      </w:tr>
      <w:tr w:rsidR="00837F9C" w:rsidRPr="00837F9C" w14:paraId="2AF885FA" w14:textId="3696E72C"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68C71598" w14:textId="601C8CD0"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50 to 64</w:t>
            </w:r>
          </w:p>
        </w:tc>
        <w:tc>
          <w:tcPr>
            <w:tcW w:w="918" w:type="dxa"/>
            <w:tcBorders>
              <w:top w:val="nil"/>
              <w:left w:val="nil"/>
              <w:bottom w:val="nil"/>
              <w:right w:val="nil"/>
            </w:tcBorders>
            <w:shd w:val="clear" w:color="auto" w:fill="auto"/>
            <w:noWrap/>
            <w:tcMar>
              <w:top w:w="15" w:type="dxa"/>
              <w:left w:w="15" w:type="dxa"/>
              <w:bottom w:w="0" w:type="dxa"/>
              <w:right w:w="15" w:type="dxa"/>
            </w:tcMar>
            <w:vAlign w:val="bottom"/>
          </w:tcPr>
          <w:p w14:paraId="389456D0" w14:textId="03CE595E"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435</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bottom"/>
          </w:tcPr>
          <w:p w14:paraId="2DD3474D" w14:textId="1E470AB2"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44.4</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1D63115E" w14:textId="26721433"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$150,000 to $249,999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C9E060E" w14:textId="017DB196"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230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55B4F28" w14:textId="4E127ECA"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23.5</w:t>
            </w:r>
          </w:p>
        </w:tc>
      </w:tr>
      <w:tr w:rsidR="00837F9C" w:rsidRPr="00837F9C" w14:paraId="5D6D4ABC" w14:textId="5F5777D7" w:rsidTr="00445AEA">
        <w:trPr>
          <w:trHeight w:val="20"/>
        </w:trPr>
        <w:tc>
          <w:tcPr>
            <w:tcW w:w="4755" w:type="dxa"/>
            <w:tcBorders>
              <w:top w:val="nil"/>
              <w:left w:val="double" w:sz="4" w:space="0" w:color="auto"/>
              <w:right w:val="nil"/>
            </w:tcBorders>
            <w:shd w:val="clear" w:color="auto" w:fill="auto"/>
            <w:noWrap/>
            <w:tcMar>
              <w:top w:w="15" w:type="dxa"/>
              <w:left w:w="15" w:type="dxa"/>
              <w:bottom w:w="0" w:type="dxa"/>
              <w:right w:w="15" w:type="dxa"/>
            </w:tcMar>
            <w:vAlign w:val="center"/>
          </w:tcPr>
          <w:p w14:paraId="1B38967F" w14:textId="562F557B" w:rsidR="0016476B" w:rsidRPr="00837F9C" w:rsidRDefault="0016476B"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65 or older</w:t>
            </w:r>
          </w:p>
        </w:tc>
        <w:tc>
          <w:tcPr>
            <w:tcW w:w="918" w:type="dxa"/>
            <w:tcBorders>
              <w:top w:val="nil"/>
              <w:left w:val="nil"/>
              <w:right w:val="nil"/>
            </w:tcBorders>
            <w:shd w:val="clear" w:color="auto" w:fill="auto"/>
            <w:noWrap/>
            <w:tcMar>
              <w:top w:w="15" w:type="dxa"/>
              <w:left w:w="15" w:type="dxa"/>
              <w:bottom w:w="0" w:type="dxa"/>
              <w:right w:w="15" w:type="dxa"/>
            </w:tcMar>
            <w:vAlign w:val="bottom"/>
          </w:tcPr>
          <w:p w14:paraId="64F25556" w14:textId="70EF28FF"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139</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bottom"/>
          </w:tcPr>
          <w:p w14:paraId="3FC09DDB" w14:textId="2204AC42"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14.2</w:t>
            </w:r>
          </w:p>
        </w:tc>
        <w:tc>
          <w:tcPr>
            <w:tcW w:w="4320"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5B74BDB0" w14:textId="50EAA567" w:rsidR="0016476B" w:rsidRPr="00837F9C" w:rsidRDefault="0016476B" w:rsidP="00E1729F">
            <w:pPr>
              <w:spacing w:after="0" w:line="276" w:lineRule="auto"/>
              <w:rPr>
                <w:rFonts w:ascii="Times New Roman" w:eastAsia="Calibri" w:hAnsi="Times New Roman" w:cs="Times New Roman"/>
                <w:b/>
                <w:bCs/>
                <w:sz w:val="20"/>
                <w:szCs w:val="20"/>
              </w:rPr>
            </w:pPr>
            <w:r w:rsidRPr="00837F9C">
              <w:rPr>
                <w:rFonts w:ascii="Times New Roman" w:eastAsia="Calibri" w:hAnsi="Times New Roman" w:cs="Times New Roman"/>
                <w:b/>
                <w:bCs/>
                <w:sz w:val="20"/>
                <w:szCs w:val="20"/>
              </w:rPr>
              <w:t xml:space="preserve"> </w:t>
            </w:r>
            <w:r w:rsidRPr="00837F9C">
              <w:rPr>
                <w:rFonts w:ascii="Times New Roman" w:eastAsia="Calibri" w:hAnsi="Times New Roman" w:cs="Times New Roman"/>
                <w:sz w:val="20"/>
                <w:szCs w:val="20"/>
              </w:rPr>
              <w:t>$250,000 or more</w:t>
            </w:r>
          </w:p>
        </w:tc>
        <w:tc>
          <w:tcPr>
            <w:tcW w:w="1008"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289DEEB1" w14:textId="54D849EB"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137</w:t>
            </w:r>
          </w:p>
        </w:tc>
        <w:tc>
          <w:tcPr>
            <w:tcW w:w="882"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4DDAC967" w14:textId="08988C9F" w:rsidR="0016476B" w:rsidRPr="00E1729F" w:rsidRDefault="0016476B"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14.0</w:t>
            </w:r>
          </w:p>
        </w:tc>
      </w:tr>
      <w:tr w:rsidR="00837F9C" w:rsidRPr="00837F9C" w14:paraId="2A2D3770" w14:textId="6D7DF866" w:rsidTr="00445AEA">
        <w:trPr>
          <w:trHeight w:val="20"/>
        </w:trPr>
        <w:tc>
          <w:tcPr>
            <w:tcW w:w="4755"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44D8F1BA" w14:textId="399D6945" w:rsidR="00445AEA" w:rsidRPr="00837F9C" w:rsidRDefault="00445AEA" w:rsidP="00E1729F">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b/>
                <w:sz w:val="20"/>
                <w:szCs w:val="20"/>
              </w:rPr>
              <w:t xml:space="preserve"> Education Level </w:t>
            </w:r>
          </w:p>
        </w:tc>
        <w:tc>
          <w:tcPr>
            <w:tcW w:w="918" w:type="dxa"/>
            <w:tcBorders>
              <w:left w:val="nil"/>
              <w:bottom w:val="nil"/>
              <w:right w:val="nil"/>
            </w:tcBorders>
            <w:shd w:val="clear" w:color="auto" w:fill="auto"/>
            <w:noWrap/>
            <w:tcMar>
              <w:top w:w="15" w:type="dxa"/>
              <w:left w:w="15" w:type="dxa"/>
              <w:bottom w:w="0" w:type="dxa"/>
              <w:right w:w="15" w:type="dxa"/>
            </w:tcMar>
            <w:vAlign w:val="center"/>
          </w:tcPr>
          <w:p w14:paraId="51BE47D5" w14:textId="66DC40B3"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0BD6995D" w14:textId="2AAAFB8E" w:rsidR="00445AEA" w:rsidRPr="00837F9C" w:rsidRDefault="00445AEA" w:rsidP="00E1729F">
            <w:pPr>
              <w:spacing w:after="0" w:line="276" w:lineRule="auto"/>
              <w:rPr>
                <w:rFonts w:ascii="Times New Roman" w:eastAsia="Calibri" w:hAnsi="Times New Roman" w:cs="Times New Roman"/>
                <w:sz w:val="20"/>
                <w:szCs w:val="20"/>
              </w:rPr>
            </w:pPr>
          </w:p>
        </w:tc>
        <w:tc>
          <w:tcPr>
            <w:tcW w:w="4320"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tcPr>
          <w:p w14:paraId="42C6363D" w14:textId="5DF8B3C0" w:rsidR="00445AEA" w:rsidRPr="00837F9C" w:rsidRDefault="00445AEA" w:rsidP="00E1729F">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w:t>
            </w:r>
            <w:r w:rsidRPr="00837F9C">
              <w:rPr>
                <w:rFonts w:ascii="Times New Roman" w:eastAsia="Calibri" w:hAnsi="Times New Roman" w:cs="Times New Roman"/>
                <w:i/>
                <w:sz w:val="20"/>
                <w:szCs w:val="20"/>
              </w:rPr>
              <w:t>Job-related Characteristics</w:t>
            </w:r>
          </w:p>
        </w:tc>
        <w:tc>
          <w:tcPr>
            <w:tcW w:w="1008"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491B9781" w14:textId="2914C623"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4290056E" w14:textId="1D01EA15" w:rsidR="00445AEA" w:rsidRPr="00837F9C" w:rsidRDefault="00445AEA" w:rsidP="00E1729F">
            <w:pPr>
              <w:spacing w:after="0" w:line="276" w:lineRule="auto"/>
              <w:rPr>
                <w:rFonts w:ascii="Times New Roman" w:eastAsia="Calibri" w:hAnsi="Times New Roman" w:cs="Times New Roman"/>
                <w:sz w:val="20"/>
                <w:szCs w:val="20"/>
              </w:rPr>
            </w:pPr>
          </w:p>
        </w:tc>
      </w:tr>
      <w:tr w:rsidR="00837F9C" w:rsidRPr="00837F9C" w14:paraId="11B59428" w14:textId="2FD853BF"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3B47B70" w14:textId="14AF59EB"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Less than a Bachelor’s degree</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5DF0308E" w14:textId="26193F66"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110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283B29E" w14:textId="31A1FA48"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11.2</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71683AFA" w14:textId="7B7CB1A4"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sidRPr="00837F9C">
              <w:rPr>
                <w:rFonts w:ascii="Times New Roman" w:eastAsia="Calibri" w:hAnsi="Times New Roman" w:cs="Times New Roman"/>
                <w:b/>
                <w:sz w:val="20"/>
                <w:szCs w:val="20"/>
              </w:rPr>
              <w:t>Employment Status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6AB7205" w14:textId="79B7DB75"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A42048E" w14:textId="1D6B1383" w:rsidR="00445AEA" w:rsidRPr="00837F9C" w:rsidRDefault="00445AEA" w:rsidP="00E1729F">
            <w:pPr>
              <w:spacing w:after="0" w:line="276" w:lineRule="auto"/>
              <w:rPr>
                <w:rFonts w:ascii="Times New Roman" w:eastAsia="Calibri" w:hAnsi="Times New Roman" w:cs="Times New Roman"/>
                <w:sz w:val="20"/>
                <w:szCs w:val="20"/>
              </w:rPr>
            </w:pPr>
          </w:p>
        </w:tc>
      </w:tr>
      <w:tr w:rsidR="00837F9C" w:rsidRPr="00837F9C" w14:paraId="066796A9" w14:textId="5782E0D2" w:rsidTr="004C0E13">
        <w:trPr>
          <w:trHeight w:val="20"/>
        </w:trPr>
        <w:tc>
          <w:tcPr>
            <w:tcW w:w="4755" w:type="dxa"/>
            <w:tcBorders>
              <w:top w:val="nil"/>
              <w:left w:val="double" w:sz="4" w:space="0" w:color="auto"/>
              <w:right w:val="nil"/>
            </w:tcBorders>
            <w:shd w:val="clear" w:color="auto" w:fill="auto"/>
            <w:noWrap/>
            <w:tcMar>
              <w:top w:w="15" w:type="dxa"/>
              <w:left w:w="15" w:type="dxa"/>
              <w:bottom w:w="0" w:type="dxa"/>
              <w:right w:w="15" w:type="dxa"/>
            </w:tcMar>
            <w:vAlign w:val="center"/>
          </w:tcPr>
          <w:p w14:paraId="7E016A77" w14:textId="4F8DF8AC"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i/>
                <w:sz w:val="20"/>
                <w:szCs w:val="20"/>
              </w:rPr>
              <w:t xml:space="preserve"> </w:t>
            </w:r>
            <w:r w:rsidRPr="00837F9C">
              <w:rPr>
                <w:rFonts w:ascii="Times New Roman" w:eastAsia="Calibri" w:hAnsi="Times New Roman" w:cs="Times New Roman"/>
                <w:sz w:val="20"/>
                <w:szCs w:val="20"/>
              </w:rPr>
              <w:t>Bachelor’s degree</w:t>
            </w:r>
          </w:p>
        </w:tc>
        <w:tc>
          <w:tcPr>
            <w:tcW w:w="918" w:type="dxa"/>
            <w:tcBorders>
              <w:top w:val="nil"/>
              <w:left w:val="nil"/>
              <w:right w:val="nil"/>
            </w:tcBorders>
            <w:shd w:val="clear" w:color="auto" w:fill="auto"/>
            <w:noWrap/>
            <w:tcMar>
              <w:top w:w="15" w:type="dxa"/>
              <w:left w:w="15" w:type="dxa"/>
              <w:bottom w:w="0" w:type="dxa"/>
              <w:right w:w="15" w:type="dxa"/>
            </w:tcMar>
            <w:vAlign w:val="center"/>
          </w:tcPr>
          <w:p w14:paraId="175E5051" w14:textId="1489B002" w:rsidR="00445AEA" w:rsidRPr="00E1729F"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353</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183BFB49" w14:textId="0132082F" w:rsidR="00445AEA" w:rsidRPr="00E1729F"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36.0</w:t>
            </w:r>
          </w:p>
        </w:tc>
        <w:tc>
          <w:tcPr>
            <w:tcW w:w="4320" w:type="dxa"/>
            <w:tcBorders>
              <w:top w:val="nil"/>
              <w:left w:val="double" w:sz="4" w:space="0" w:color="auto"/>
              <w:right w:val="nil"/>
            </w:tcBorders>
            <w:shd w:val="clear" w:color="auto" w:fill="auto"/>
            <w:noWrap/>
            <w:tcMar>
              <w:top w:w="15" w:type="dxa"/>
              <w:left w:w="15" w:type="dxa"/>
              <w:bottom w:w="0" w:type="dxa"/>
              <w:right w:w="15" w:type="dxa"/>
            </w:tcMar>
            <w:vAlign w:val="center"/>
          </w:tcPr>
          <w:p w14:paraId="5023DA6A" w14:textId="5FFAC5B5" w:rsidR="00445AEA" w:rsidRPr="00837F9C" w:rsidRDefault="00445AEA" w:rsidP="00E1729F">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Full-time</w:t>
            </w:r>
            <w:r w:rsidR="003E3F26">
              <w:rPr>
                <w:rFonts w:ascii="Times New Roman" w:eastAsia="Calibri" w:hAnsi="Times New Roman" w:cs="Times New Roman"/>
                <w:sz w:val="20"/>
                <w:szCs w:val="20"/>
              </w:rPr>
              <w:t xml:space="preserve"> (≥16 days per month)</w:t>
            </w:r>
            <w:r w:rsidRPr="00837F9C">
              <w:rPr>
                <w:rFonts w:ascii="Times New Roman" w:eastAsia="Calibri" w:hAnsi="Times New Roman" w:cs="Times New Roman"/>
                <w:sz w:val="20"/>
                <w:szCs w:val="20"/>
              </w:rPr>
              <w:t>, self-employed</w:t>
            </w:r>
          </w:p>
        </w:tc>
        <w:tc>
          <w:tcPr>
            <w:tcW w:w="1008" w:type="dxa"/>
            <w:tcBorders>
              <w:top w:val="nil"/>
              <w:left w:val="nil"/>
              <w:right w:val="nil"/>
            </w:tcBorders>
            <w:shd w:val="clear" w:color="auto" w:fill="auto"/>
            <w:noWrap/>
            <w:tcMar>
              <w:top w:w="15" w:type="dxa"/>
              <w:left w:w="15" w:type="dxa"/>
              <w:bottom w:w="0" w:type="dxa"/>
              <w:right w:w="15" w:type="dxa"/>
            </w:tcMar>
            <w:vAlign w:val="center"/>
          </w:tcPr>
          <w:p w14:paraId="0A7EE582" w14:textId="60CB4442"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126</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41376D44" w14:textId="21265B22"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12.9</w:t>
            </w:r>
          </w:p>
        </w:tc>
      </w:tr>
      <w:tr w:rsidR="00837F9C" w:rsidRPr="00837F9C" w14:paraId="75E04E08" w14:textId="3E33C705" w:rsidTr="004C0E13">
        <w:trPr>
          <w:trHeight w:val="20"/>
        </w:trPr>
        <w:tc>
          <w:tcPr>
            <w:tcW w:w="4755" w:type="dxa"/>
            <w:tcBorders>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4F0B7369" w14:textId="52F7BE57"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Graduate degree</w:t>
            </w:r>
          </w:p>
        </w:tc>
        <w:tc>
          <w:tcPr>
            <w:tcW w:w="918" w:type="dxa"/>
            <w:tcBorders>
              <w:left w:val="nil"/>
              <w:bottom w:val="double" w:sz="4" w:space="0" w:color="auto"/>
              <w:right w:val="nil"/>
            </w:tcBorders>
            <w:shd w:val="clear" w:color="auto" w:fill="auto"/>
            <w:noWrap/>
            <w:tcMar>
              <w:top w:w="15" w:type="dxa"/>
              <w:left w:w="15" w:type="dxa"/>
              <w:bottom w:w="0" w:type="dxa"/>
              <w:right w:w="15" w:type="dxa"/>
            </w:tcMar>
            <w:vAlign w:val="center"/>
          </w:tcPr>
          <w:p w14:paraId="05576ED2" w14:textId="054DF895"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517</w:t>
            </w:r>
          </w:p>
        </w:tc>
        <w:tc>
          <w:tcPr>
            <w:tcW w:w="882"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06432271" w14:textId="1B4631F7"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52.8</w:t>
            </w:r>
          </w:p>
        </w:tc>
        <w:tc>
          <w:tcPr>
            <w:tcW w:w="4320"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588D0CB6" w14:textId="624B48BE" w:rsidR="00445AEA" w:rsidRPr="00837F9C" w:rsidRDefault="00445AEA" w:rsidP="00E1729F">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Part-time</w:t>
            </w:r>
            <w:r w:rsidR="003E3F26">
              <w:rPr>
                <w:rFonts w:ascii="Times New Roman" w:eastAsia="Calibri" w:hAnsi="Times New Roman" w:cs="Times New Roman"/>
                <w:sz w:val="20"/>
                <w:szCs w:val="20"/>
              </w:rPr>
              <w:t xml:space="preserve"> (</w:t>
            </w:r>
            <w:r w:rsidR="00BD5337">
              <w:rPr>
                <w:rFonts w:ascii="Times New Roman" w:eastAsia="Calibri" w:hAnsi="Times New Roman" w:cs="Times New Roman"/>
                <w:sz w:val="20"/>
                <w:szCs w:val="20"/>
              </w:rPr>
              <w:t>≤</w:t>
            </w:r>
            <w:r w:rsidR="003E3F26">
              <w:rPr>
                <w:rFonts w:ascii="Times New Roman" w:eastAsia="Calibri" w:hAnsi="Times New Roman" w:cs="Times New Roman"/>
                <w:sz w:val="20"/>
                <w:szCs w:val="20"/>
              </w:rPr>
              <w:t>1</w:t>
            </w:r>
            <w:r w:rsidR="00BD5337">
              <w:rPr>
                <w:rFonts w:ascii="Times New Roman" w:eastAsia="Calibri" w:hAnsi="Times New Roman" w:cs="Times New Roman"/>
                <w:sz w:val="20"/>
                <w:szCs w:val="20"/>
              </w:rPr>
              <w:t>5</w:t>
            </w:r>
            <w:r w:rsidR="003E3F26">
              <w:rPr>
                <w:rFonts w:ascii="Times New Roman" w:eastAsia="Calibri" w:hAnsi="Times New Roman" w:cs="Times New Roman"/>
                <w:sz w:val="20"/>
                <w:szCs w:val="20"/>
              </w:rPr>
              <w:t xml:space="preserve"> days per month)</w:t>
            </w:r>
            <w:r w:rsidRPr="00837F9C">
              <w:rPr>
                <w:rFonts w:ascii="Times New Roman" w:eastAsia="Calibri" w:hAnsi="Times New Roman" w:cs="Times New Roman"/>
                <w:sz w:val="20"/>
                <w:szCs w:val="20"/>
              </w:rPr>
              <w:t>, self-employed</w:t>
            </w:r>
          </w:p>
        </w:tc>
        <w:tc>
          <w:tcPr>
            <w:tcW w:w="1008" w:type="dxa"/>
            <w:tcBorders>
              <w:left w:val="nil"/>
              <w:bottom w:val="nil"/>
              <w:right w:val="nil"/>
            </w:tcBorders>
            <w:shd w:val="clear" w:color="auto" w:fill="auto"/>
            <w:noWrap/>
            <w:tcMar>
              <w:top w:w="15" w:type="dxa"/>
              <w:left w:w="15" w:type="dxa"/>
              <w:bottom w:w="0" w:type="dxa"/>
              <w:right w:w="15" w:type="dxa"/>
            </w:tcMar>
            <w:vAlign w:val="center"/>
          </w:tcPr>
          <w:p w14:paraId="362D7CC8" w14:textId="3C1F5663"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30</w:t>
            </w:r>
          </w:p>
        </w:tc>
        <w:tc>
          <w:tcPr>
            <w:tcW w:w="882"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0A18D642" w14:textId="105594A2"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3.0</w:t>
            </w:r>
          </w:p>
        </w:tc>
      </w:tr>
      <w:tr w:rsidR="00837F9C" w:rsidRPr="00837F9C" w14:paraId="3D52C955" w14:textId="51F6BC34" w:rsidTr="004C0E13">
        <w:trPr>
          <w:trHeight w:val="20"/>
        </w:trPr>
        <w:tc>
          <w:tcPr>
            <w:tcW w:w="4755"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tcPr>
          <w:p w14:paraId="391E819E" w14:textId="6D184143" w:rsidR="00445AEA" w:rsidRPr="00837F9C" w:rsidRDefault="00837F9C" w:rsidP="00E1729F">
            <w:pPr>
              <w:spacing w:after="0" w:line="276" w:lineRule="auto"/>
              <w:rPr>
                <w:rFonts w:ascii="Times New Roman" w:eastAsia="Calibri" w:hAnsi="Times New Roman" w:cs="Times New Roman"/>
                <w:sz w:val="20"/>
                <w:szCs w:val="20"/>
              </w:rPr>
            </w:pPr>
            <w:r>
              <w:rPr>
                <w:rFonts w:ascii="Times New Roman" w:eastAsia="Calibri" w:hAnsi="Times New Roman" w:cs="Times New Roman"/>
                <w:bCs/>
                <w:i/>
                <w:sz w:val="20"/>
                <w:szCs w:val="20"/>
              </w:rPr>
              <w:t xml:space="preserve"> </w:t>
            </w:r>
            <w:r w:rsidR="00445AEA" w:rsidRPr="00837F9C">
              <w:rPr>
                <w:rFonts w:ascii="Times New Roman" w:eastAsia="Calibri" w:hAnsi="Times New Roman" w:cs="Times New Roman"/>
                <w:bCs/>
                <w:i/>
                <w:sz w:val="20"/>
                <w:szCs w:val="20"/>
              </w:rPr>
              <w:t xml:space="preserve">Residential Characteristics </w:t>
            </w:r>
          </w:p>
        </w:tc>
        <w:tc>
          <w:tcPr>
            <w:tcW w:w="918"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625F55D9" w14:textId="47B1EAC3"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7E6D62A9" w14:textId="0F881415" w:rsidR="00445AEA" w:rsidRPr="00837F9C" w:rsidRDefault="00445AEA" w:rsidP="00E1729F">
            <w:pPr>
              <w:spacing w:after="0" w:line="276" w:lineRule="auto"/>
              <w:rPr>
                <w:rFonts w:ascii="Times New Roman" w:eastAsia="Calibri" w:hAnsi="Times New Roman" w:cs="Times New Roman"/>
                <w:sz w:val="20"/>
                <w:szCs w:val="20"/>
              </w:rPr>
            </w:pPr>
          </w:p>
        </w:tc>
        <w:tc>
          <w:tcPr>
            <w:tcW w:w="4320" w:type="dxa"/>
            <w:tcBorders>
              <w:top w:val="nil"/>
              <w:left w:val="double" w:sz="4" w:space="0" w:color="auto"/>
              <w:right w:val="nil"/>
            </w:tcBorders>
            <w:shd w:val="clear" w:color="auto" w:fill="auto"/>
            <w:noWrap/>
            <w:tcMar>
              <w:top w:w="15" w:type="dxa"/>
              <w:left w:w="15" w:type="dxa"/>
              <w:bottom w:w="0" w:type="dxa"/>
              <w:right w:w="15" w:type="dxa"/>
            </w:tcMar>
            <w:vAlign w:val="center"/>
          </w:tcPr>
          <w:p w14:paraId="456EDEC3" w14:textId="365F39EF"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Full-time</w:t>
            </w:r>
            <w:r w:rsidR="003E3F26">
              <w:rPr>
                <w:rFonts w:ascii="Times New Roman" w:eastAsia="Calibri" w:hAnsi="Times New Roman" w:cs="Times New Roman"/>
                <w:sz w:val="20"/>
                <w:szCs w:val="20"/>
              </w:rPr>
              <w:t xml:space="preserve"> (≥16 days per month)</w:t>
            </w:r>
            <w:r w:rsidRPr="00837F9C">
              <w:rPr>
                <w:rFonts w:ascii="Times New Roman" w:eastAsia="Calibri" w:hAnsi="Times New Roman" w:cs="Times New Roman"/>
                <w:sz w:val="20"/>
                <w:szCs w:val="20"/>
              </w:rPr>
              <w:t>, not self-employed</w:t>
            </w:r>
          </w:p>
        </w:tc>
        <w:tc>
          <w:tcPr>
            <w:tcW w:w="1008" w:type="dxa"/>
            <w:tcBorders>
              <w:top w:val="nil"/>
              <w:left w:val="nil"/>
              <w:right w:val="nil"/>
            </w:tcBorders>
            <w:shd w:val="clear" w:color="auto" w:fill="auto"/>
            <w:noWrap/>
            <w:tcMar>
              <w:top w:w="15" w:type="dxa"/>
              <w:left w:w="15" w:type="dxa"/>
              <w:bottom w:w="0" w:type="dxa"/>
              <w:right w:w="15" w:type="dxa"/>
            </w:tcMar>
            <w:vAlign w:val="center"/>
          </w:tcPr>
          <w:p w14:paraId="4964B1EF" w14:textId="0D051174"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782</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370B0886" w14:textId="14DF34BC"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79.8</w:t>
            </w:r>
          </w:p>
        </w:tc>
      </w:tr>
      <w:tr w:rsidR="00837F9C" w:rsidRPr="00837F9C" w14:paraId="66A805DA" w14:textId="19D5BB5C" w:rsidTr="00445AEA">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C0294C0" w14:textId="4C0FAA61" w:rsidR="00445AEA" w:rsidRPr="00837F9C" w:rsidRDefault="00445AEA" w:rsidP="00E1729F">
            <w:pPr>
              <w:spacing w:after="0" w:line="276" w:lineRule="auto"/>
              <w:rPr>
                <w:rFonts w:ascii="Times New Roman" w:eastAsia="Calibri" w:hAnsi="Times New Roman" w:cs="Times New Roman"/>
                <w:bCs/>
                <w:sz w:val="20"/>
                <w:szCs w:val="20"/>
              </w:rPr>
            </w:pPr>
            <w:r w:rsidRPr="00837F9C">
              <w:rPr>
                <w:rFonts w:ascii="Times New Roman" w:eastAsia="Calibri" w:hAnsi="Times New Roman" w:cs="Times New Roman"/>
                <w:b/>
                <w:sz w:val="20"/>
                <w:szCs w:val="20"/>
              </w:rPr>
              <w:t xml:space="preserve"> Community Region Type</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7A115F8A" w14:textId="100819FE"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78B3084" w14:textId="21D9E08B" w:rsidR="00445AEA" w:rsidRPr="00837F9C" w:rsidRDefault="00445AEA" w:rsidP="00E1729F">
            <w:pPr>
              <w:spacing w:after="0" w:line="276" w:lineRule="auto"/>
              <w:rPr>
                <w:rFonts w:ascii="Times New Roman" w:eastAsia="Calibri" w:hAnsi="Times New Roman" w:cs="Times New Roman"/>
                <w:sz w:val="20"/>
                <w:szCs w:val="20"/>
              </w:rPr>
            </w:pPr>
          </w:p>
        </w:tc>
        <w:tc>
          <w:tcPr>
            <w:tcW w:w="4320" w:type="dxa"/>
            <w:tcBorders>
              <w:left w:val="double" w:sz="4" w:space="0" w:color="auto"/>
              <w:right w:val="nil"/>
            </w:tcBorders>
            <w:shd w:val="clear" w:color="auto" w:fill="auto"/>
            <w:noWrap/>
            <w:tcMar>
              <w:top w:w="15" w:type="dxa"/>
              <w:left w:w="15" w:type="dxa"/>
              <w:bottom w:w="0" w:type="dxa"/>
              <w:right w:w="15" w:type="dxa"/>
            </w:tcMar>
            <w:vAlign w:val="center"/>
          </w:tcPr>
          <w:p w14:paraId="01D0E357" w14:textId="16A2E1D0"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Part-time</w:t>
            </w:r>
            <w:r w:rsidR="003E3F26">
              <w:rPr>
                <w:rFonts w:ascii="Times New Roman" w:eastAsia="Calibri" w:hAnsi="Times New Roman" w:cs="Times New Roman"/>
                <w:sz w:val="20"/>
                <w:szCs w:val="20"/>
              </w:rPr>
              <w:t xml:space="preserve"> (</w:t>
            </w:r>
            <w:r w:rsidR="00BD5337">
              <w:rPr>
                <w:rFonts w:ascii="Times New Roman" w:eastAsia="Calibri" w:hAnsi="Times New Roman" w:cs="Times New Roman"/>
                <w:sz w:val="20"/>
                <w:szCs w:val="20"/>
              </w:rPr>
              <w:t>≤</w:t>
            </w:r>
            <w:r w:rsidR="003E3F26">
              <w:rPr>
                <w:rFonts w:ascii="Times New Roman" w:eastAsia="Calibri" w:hAnsi="Times New Roman" w:cs="Times New Roman"/>
                <w:sz w:val="20"/>
                <w:szCs w:val="20"/>
              </w:rPr>
              <w:t>1</w:t>
            </w:r>
            <w:r w:rsidR="00BD5337">
              <w:rPr>
                <w:rFonts w:ascii="Times New Roman" w:eastAsia="Calibri" w:hAnsi="Times New Roman" w:cs="Times New Roman"/>
                <w:sz w:val="20"/>
                <w:szCs w:val="20"/>
              </w:rPr>
              <w:t>5</w:t>
            </w:r>
            <w:r w:rsidR="003E3F26">
              <w:rPr>
                <w:rFonts w:ascii="Times New Roman" w:eastAsia="Calibri" w:hAnsi="Times New Roman" w:cs="Times New Roman"/>
                <w:sz w:val="20"/>
                <w:szCs w:val="20"/>
              </w:rPr>
              <w:t xml:space="preserve"> days per month)</w:t>
            </w:r>
            <w:r w:rsidRPr="00837F9C">
              <w:rPr>
                <w:rFonts w:ascii="Times New Roman" w:eastAsia="Calibri" w:hAnsi="Times New Roman" w:cs="Times New Roman"/>
                <w:sz w:val="20"/>
                <w:szCs w:val="20"/>
              </w:rPr>
              <w:t>, not self-employed</w:t>
            </w:r>
          </w:p>
        </w:tc>
        <w:tc>
          <w:tcPr>
            <w:tcW w:w="1008" w:type="dxa"/>
            <w:tcBorders>
              <w:left w:val="nil"/>
              <w:right w:val="nil"/>
            </w:tcBorders>
            <w:shd w:val="clear" w:color="auto" w:fill="auto"/>
            <w:noWrap/>
            <w:tcMar>
              <w:top w:w="15" w:type="dxa"/>
              <w:left w:w="15" w:type="dxa"/>
              <w:bottom w:w="0" w:type="dxa"/>
              <w:right w:w="15" w:type="dxa"/>
            </w:tcMar>
            <w:vAlign w:val="center"/>
          </w:tcPr>
          <w:p w14:paraId="45AE3A9A" w14:textId="2E050C70"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42</w:t>
            </w:r>
          </w:p>
        </w:tc>
        <w:tc>
          <w:tcPr>
            <w:tcW w:w="882" w:type="dxa"/>
            <w:tcBorders>
              <w:left w:val="nil"/>
              <w:right w:val="double" w:sz="4" w:space="0" w:color="auto"/>
            </w:tcBorders>
            <w:shd w:val="clear" w:color="auto" w:fill="auto"/>
            <w:noWrap/>
            <w:tcMar>
              <w:top w:w="15" w:type="dxa"/>
              <w:left w:w="15" w:type="dxa"/>
              <w:bottom w:w="0" w:type="dxa"/>
              <w:right w:w="15" w:type="dxa"/>
            </w:tcMar>
            <w:vAlign w:val="center"/>
          </w:tcPr>
          <w:p w14:paraId="480AF00D" w14:textId="2B41E407"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 xml:space="preserve">  4.3</w:t>
            </w:r>
          </w:p>
        </w:tc>
      </w:tr>
      <w:tr w:rsidR="00837F9C" w:rsidRPr="00837F9C" w14:paraId="504017AF" w14:textId="6CF4DEE0" w:rsidTr="00445AEA">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56F561F2" w14:textId="7BEF9E65" w:rsidR="00445AEA" w:rsidRPr="00837F9C" w:rsidRDefault="00445AEA" w:rsidP="00E1729F">
            <w:pPr>
              <w:spacing w:after="0" w:line="276" w:lineRule="auto"/>
              <w:rPr>
                <w:rFonts w:ascii="Times New Roman" w:eastAsia="Calibri" w:hAnsi="Times New Roman" w:cs="Times New Roman"/>
                <w:bCs/>
                <w:i/>
                <w:sz w:val="20"/>
                <w:szCs w:val="20"/>
              </w:rPr>
            </w:pPr>
            <w:r w:rsidRPr="00837F9C">
              <w:rPr>
                <w:rFonts w:ascii="Times New Roman" w:eastAsia="Calibri" w:hAnsi="Times New Roman" w:cs="Times New Roman"/>
                <w:sz w:val="20"/>
                <w:szCs w:val="20"/>
              </w:rPr>
              <w:t xml:space="preserve"> Rural</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1EBB7462" w14:textId="3939D694"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179</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86C838F" w14:textId="746007B6" w:rsidR="00445AEA" w:rsidRPr="00837F9C" w:rsidRDefault="00445AEA" w:rsidP="00E1729F">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18.3</w:t>
            </w:r>
          </w:p>
        </w:tc>
        <w:tc>
          <w:tcPr>
            <w:tcW w:w="4320"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15FFC205" w14:textId="70250EBE" w:rsidR="00445AEA" w:rsidRPr="00837F9C" w:rsidRDefault="00445AEA" w:rsidP="00E1729F">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b/>
                <w:bCs/>
                <w:sz w:val="20"/>
                <w:szCs w:val="20"/>
              </w:rPr>
              <w:t xml:space="preserve"> Occupation/Industry Type </w:t>
            </w:r>
          </w:p>
        </w:tc>
        <w:tc>
          <w:tcPr>
            <w:tcW w:w="1008" w:type="dxa"/>
            <w:tcBorders>
              <w:left w:val="nil"/>
              <w:bottom w:val="nil"/>
              <w:right w:val="nil"/>
            </w:tcBorders>
            <w:shd w:val="clear" w:color="auto" w:fill="auto"/>
            <w:noWrap/>
            <w:tcMar>
              <w:top w:w="15" w:type="dxa"/>
              <w:left w:w="15" w:type="dxa"/>
              <w:bottom w:w="0" w:type="dxa"/>
              <w:right w:w="15" w:type="dxa"/>
            </w:tcMar>
            <w:vAlign w:val="center"/>
          </w:tcPr>
          <w:p w14:paraId="0FC2EEB8" w14:textId="58B37560" w:rsidR="00445AEA" w:rsidRPr="00837F9C" w:rsidRDefault="00445AEA" w:rsidP="00E1729F">
            <w:pPr>
              <w:spacing w:after="0" w:line="276" w:lineRule="auto"/>
              <w:rPr>
                <w:rFonts w:ascii="Times New Roman" w:eastAsia="Calibri" w:hAnsi="Times New Roman" w:cs="Times New Roman"/>
                <w:sz w:val="20"/>
                <w:szCs w:val="20"/>
              </w:rPr>
            </w:pPr>
          </w:p>
        </w:tc>
        <w:tc>
          <w:tcPr>
            <w:tcW w:w="882"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444CC576" w14:textId="77AAC282" w:rsidR="00445AEA" w:rsidRPr="00837F9C" w:rsidRDefault="00445AEA" w:rsidP="00E1729F">
            <w:pPr>
              <w:spacing w:after="0" w:line="276" w:lineRule="auto"/>
              <w:rPr>
                <w:rFonts w:ascii="Times New Roman" w:eastAsia="Calibri" w:hAnsi="Times New Roman" w:cs="Times New Roman"/>
                <w:sz w:val="20"/>
                <w:szCs w:val="20"/>
              </w:rPr>
            </w:pPr>
          </w:p>
        </w:tc>
      </w:tr>
      <w:tr w:rsidR="001B650D" w:rsidRPr="00837F9C" w14:paraId="23F9E755" w14:textId="28679AA2"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5D969EB" w14:textId="44335D5E" w:rsidR="001B650D" w:rsidRPr="00837F9C" w:rsidRDefault="001B650D" w:rsidP="001B650D">
            <w:pPr>
              <w:spacing w:after="0" w:line="276" w:lineRule="auto"/>
              <w:rPr>
                <w:rFonts w:ascii="Times New Roman" w:eastAsia="Calibri" w:hAnsi="Times New Roman" w:cs="Times New Roman"/>
                <w:b/>
                <w:sz w:val="20"/>
                <w:szCs w:val="20"/>
              </w:rPr>
            </w:pPr>
            <w:bookmarkStart w:id="5" w:name="_Hlk107931453"/>
            <w:r w:rsidRPr="00837F9C">
              <w:rPr>
                <w:rFonts w:ascii="Times New Roman" w:eastAsia="Calibri" w:hAnsi="Times New Roman" w:cs="Times New Roman"/>
                <w:b/>
                <w:bCs/>
                <w:sz w:val="20"/>
                <w:szCs w:val="20"/>
              </w:rPr>
              <w:t xml:space="preserve"> </w:t>
            </w:r>
            <w:r w:rsidRPr="00837F9C">
              <w:rPr>
                <w:rFonts w:ascii="Times New Roman" w:eastAsia="Calibri" w:hAnsi="Times New Roman" w:cs="Times New Roman"/>
                <w:bCs/>
                <w:sz w:val="20"/>
                <w:szCs w:val="20"/>
              </w:rPr>
              <w:t>Suburban</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40C131F1" w14:textId="4F7547F1" w:rsidR="001B650D" w:rsidRPr="00837F9C"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563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EA5AEA9" w14:textId="33E6BE41" w:rsidR="001B650D" w:rsidRPr="00837F9C"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57.4</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52A6781" w14:textId="72BC44BB"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Healthcare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6D19F1A" w14:textId="3BA5C141"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43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2D156C1" w14:textId="60F3B640"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4.4</w:t>
            </w:r>
          </w:p>
        </w:tc>
      </w:tr>
      <w:bookmarkEnd w:id="5"/>
      <w:tr w:rsidR="001B650D" w:rsidRPr="00837F9C" w14:paraId="0146C3CD" w14:textId="1E09975A"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52C6AB7" w14:textId="514C2F23"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Urban</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5406C938" w14:textId="72B93824" w:rsidR="001B650D" w:rsidRPr="00E1729F"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238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36241E9" w14:textId="46ABA288" w:rsidR="001B650D" w:rsidRPr="00E1729F"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24.3</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B8755F3" w14:textId="00A394B6" w:rsidR="001B650D" w:rsidRPr="00837F9C" w:rsidRDefault="001B650D" w:rsidP="001B650D">
            <w:pPr>
              <w:spacing w:after="0" w:line="276" w:lineRule="auto"/>
              <w:rPr>
                <w:rFonts w:ascii="Times New Roman" w:eastAsia="Calibri" w:hAnsi="Times New Roman" w:cs="Times New Roman"/>
                <w:i/>
                <w:sz w:val="20"/>
                <w:szCs w:val="20"/>
              </w:rPr>
            </w:pPr>
            <w:r w:rsidRPr="00837F9C">
              <w:rPr>
                <w:rFonts w:ascii="Times New Roman" w:eastAsia="Calibri" w:hAnsi="Times New Roman" w:cs="Times New Roman"/>
                <w:bCs/>
                <w:sz w:val="20"/>
                <w:szCs w:val="20"/>
              </w:rPr>
              <w:t xml:space="preserve"> Education/Social Services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1F8F7A2" w14:textId="1E8CCD55" w:rsidR="001B650D" w:rsidRPr="00E1729F"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396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740F013" w14:textId="1AADE6BC"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40.4</w:t>
            </w:r>
          </w:p>
        </w:tc>
      </w:tr>
      <w:tr w:rsidR="001B650D" w:rsidRPr="00837F9C" w14:paraId="4BBD5DF2" w14:textId="5E2F6F34"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12D23A1C" w14:textId="2E56D381" w:rsidR="001B650D" w:rsidRPr="00837F9C" w:rsidRDefault="001B650D" w:rsidP="001B650D">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w:t>
            </w:r>
            <w:r w:rsidRPr="00837F9C">
              <w:rPr>
                <w:rFonts w:ascii="Times New Roman" w:eastAsia="Calibri" w:hAnsi="Times New Roman" w:cs="Times New Roman"/>
                <w:b/>
                <w:sz w:val="20"/>
                <w:szCs w:val="20"/>
              </w:rPr>
              <w:t>Stand-Alone House</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260C0536" w14:textId="53FCCF8F" w:rsidR="001B650D" w:rsidRPr="00E1729F" w:rsidRDefault="001B650D" w:rsidP="001B650D">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630C112" w14:textId="24B376AB" w:rsidR="001B650D" w:rsidRPr="00E1729F" w:rsidRDefault="001B650D" w:rsidP="001B650D">
            <w:pPr>
              <w:spacing w:after="0" w:line="276" w:lineRule="auto"/>
              <w:rPr>
                <w:rFonts w:ascii="Times New Roman" w:eastAsia="Calibri" w:hAnsi="Times New Roman" w:cs="Times New Roman"/>
                <w:sz w:val="20"/>
                <w:szCs w:val="20"/>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76BA692" w14:textId="1C7989C3" w:rsidR="001B650D" w:rsidRPr="00837F9C" w:rsidRDefault="001B650D" w:rsidP="001B650D">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Public Administration</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7E1F4B9" w14:textId="7DA6B64B"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5</w:t>
            </w:r>
            <w:r w:rsidR="00224692">
              <w:rPr>
                <w:rFonts w:ascii="Times New Roman" w:eastAsia="Calibri" w:hAnsi="Times New Roman" w:cs="Times New Roman"/>
                <w:sz w:val="20"/>
                <w:szCs w:val="20"/>
              </w:rPr>
              <w:t>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2763433" w14:textId="7FAC697E"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5.4</w:t>
            </w:r>
          </w:p>
        </w:tc>
      </w:tr>
      <w:tr w:rsidR="001B650D" w:rsidRPr="00837F9C" w14:paraId="63CD009E" w14:textId="7DC6215D"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AC9E973" w14:textId="5CCA0E95" w:rsidR="001B650D" w:rsidRPr="00837F9C" w:rsidRDefault="001B650D" w:rsidP="001B650D">
            <w:pPr>
              <w:spacing w:after="0" w:line="276" w:lineRule="auto"/>
              <w:rPr>
                <w:rFonts w:ascii="Times New Roman" w:eastAsia="Calibri" w:hAnsi="Times New Roman" w:cs="Times New Roman"/>
                <w:bCs/>
                <w:sz w:val="20"/>
                <w:szCs w:val="20"/>
              </w:rPr>
            </w:pPr>
            <w:r w:rsidRPr="00837F9C">
              <w:rPr>
                <w:rFonts w:ascii="Times New Roman" w:eastAsia="Calibri" w:hAnsi="Times New Roman" w:cs="Times New Roman"/>
                <w:bCs/>
                <w:sz w:val="20"/>
                <w:szCs w:val="20"/>
              </w:rPr>
              <w:t xml:space="preserve"> Yes</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6F0DC720" w14:textId="4E9E4B29" w:rsidR="001B650D" w:rsidRPr="00E1729F"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816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E9D1B78" w14:textId="29B6465A" w:rsidR="001B650D" w:rsidRPr="00E1729F" w:rsidRDefault="001B650D" w:rsidP="001B650D">
            <w:pPr>
              <w:spacing w:after="0" w:line="276" w:lineRule="auto"/>
              <w:rPr>
                <w:rFonts w:ascii="Times New Roman" w:eastAsia="Calibri" w:hAnsi="Times New Roman" w:cs="Times New Roman"/>
                <w:sz w:val="20"/>
                <w:szCs w:val="20"/>
              </w:rPr>
            </w:pPr>
            <w:r w:rsidRPr="00E1729F">
              <w:rPr>
                <w:rFonts w:ascii="Times New Roman" w:eastAsia="Calibri" w:hAnsi="Times New Roman" w:cs="Times New Roman"/>
                <w:sz w:val="20"/>
                <w:szCs w:val="20"/>
              </w:rPr>
              <w:t>83.3</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6C33CCBE" w14:textId="14581451"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Professional Services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1A42827F" w14:textId="12101F8D"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160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4950427" w14:textId="0F971993"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16.3</w:t>
            </w:r>
          </w:p>
        </w:tc>
      </w:tr>
      <w:tr w:rsidR="001B650D" w:rsidRPr="00837F9C" w14:paraId="5BF0D8F1" w14:textId="5B8E68E4" w:rsidTr="004C0E13">
        <w:trPr>
          <w:trHeight w:val="20"/>
        </w:trPr>
        <w:tc>
          <w:tcPr>
            <w:tcW w:w="475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A9D8CEF" w14:textId="2C95D404"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sidRPr="00837F9C">
              <w:rPr>
                <w:rFonts w:ascii="Times New Roman" w:eastAsia="Calibri" w:hAnsi="Times New Roman" w:cs="Times New Roman"/>
                <w:b/>
                <w:sz w:val="20"/>
                <w:szCs w:val="20"/>
              </w:rPr>
              <w:t>Private Study</w:t>
            </w:r>
          </w:p>
        </w:tc>
        <w:tc>
          <w:tcPr>
            <w:tcW w:w="918" w:type="dxa"/>
            <w:tcBorders>
              <w:top w:val="nil"/>
              <w:left w:val="nil"/>
              <w:bottom w:val="nil"/>
              <w:right w:val="nil"/>
            </w:tcBorders>
            <w:shd w:val="clear" w:color="auto" w:fill="auto"/>
            <w:noWrap/>
            <w:tcMar>
              <w:top w:w="15" w:type="dxa"/>
              <w:left w:w="15" w:type="dxa"/>
              <w:bottom w:w="0" w:type="dxa"/>
              <w:right w:w="15" w:type="dxa"/>
            </w:tcMar>
            <w:vAlign w:val="center"/>
          </w:tcPr>
          <w:p w14:paraId="19347702" w14:textId="0AF3768C" w:rsidR="001B650D" w:rsidRPr="00E1729F" w:rsidRDefault="001B650D" w:rsidP="001B650D">
            <w:pPr>
              <w:spacing w:after="0" w:line="276" w:lineRule="auto"/>
              <w:rPr>
                <w:rFonts w:ascii="Times New Roman" w:eastAsia="Calibri" w:hAnsi="Times New Roman" w:cs="Times New Roman"/>
                <w:sz w:val="20"/>
                <w:szCs w:val="20"/>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CC63476" w14:textId="39178B36" w:rsidR="001B650D" w:rsidRPr="00E1729F" w:rsidRDefault="001B650D" w:rsidP="001B650D">
            <w:pPr>
              <w:spacing w:after="0" w:line="276" w:lineRule="auto"/>
              <w:rPr>
                <w:rFonts w:ascii="Times New Roman" w:eastAsia="Calibri" w:hAnsi="Times New Roman" w:cs="Times New Roman"/>
                <w:sz w:val="20"/>
                <w:szCs w:val="20"/>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AD75734" w14:textId="6DA15F2A"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Information/Finance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2239328B" w14:textId="62CCB50F"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97</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754D15F" w14:textId="624AE261"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9.9</w:t>
            </w:r>
          </w:p>
        </w:tc>
      </w:tr>
      <w:tr w:rsidR="00224692" w:rsidRPr="00837F9C" w14:paraId="6715E74F" w14:textId="521C6C60" w:rsidTr="004C0E13">
        <w:trPr>
          <w:trHeight w:val="20"/>
        </w:trPr>
        <w:tc>
          <w:tcPr>
            <w:tcW w:w="475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41BF6E91" w14:textId="14EE9C56" w:rsidR="00224692" w:rsidRPr="00837F9C" w:rsidRDefault="00224692" w:rsidP="00224692">
            <w:pPr>
              <w:spacing w:after="0" w:line="276" w:lineRule="auto"/>
              <w:rPr>
                <w:rFonts w:ascii="Times New Roman" w:eastAsia="Calibri" w:hAnsi="Times New Roman" w:cs="Times New Roman"/>
                <w:bCs/>
                <w:sz w:val="20"/>
                <w:szCs w:val="20"/>
              </w:rPr>
            </w:pPr>
            <w:r w:rsidRPr="00837F9C">
              <w:rPr>
                <w:rFonts w:ascii="Times New Roman" w:eastAsia="Calibri" w:hAnsi="Times New Roman" w:cs="Times New Roman"/>
                <w:sz w:val="20"/>
                <w:szCs w:val="20"/>
              </w:rPr>
              <w:t xml:space="preserve"> Yes</w:t>
            </w:r>
          </w:p>
        </w:tc>
        <w:tc>
          <w:tcPr>
            <w:tcW w:w="918"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6801826C" w14:textId="3F0829D1" w:rsidR="00224692" w:rsidRPr="00E1729F"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763</w:t>
            </w:r>
          </w:p>
        </w:tc>
        <w:tc>
          <w:tcPr>
            <w:tcW w:w="882"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1CF54998" w14:textId="2118C9DD" w:rsidR="00224692" w:rsidRPr="00E1729F"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77.9</w:t>
            </w:r>
          </w:p>
        </w:tc>
        <w:tc>
          <w:tcPr>
            <w:tcW w:w="4320" w:type="dxa"/>
            <w:tcBorders>
              <w:top w:val="nil"/>
              <w:left w:val="double" w:sz="4" w:space="0" w:color="auto"/>
              <w:right w:val="nil"/>
            </w:tcBorders>
            <w:shd w:val="clear" w:color="auto" w:fill="auto"/>
            <w:noWrap/>
            <w:tcMar>
              <w:top w:w="15" w:type="dxa"/>
              <w:left w:w="15" w:type="dxa"/>
              <w:bottom w:w="0" w:type="dxa"/>
              <w:right w:w="15" w:type="dxa"/>
            </w:tcMar>
            <w:vAlign w:val="center"/>
          </w:tcPr>
          <w:p w14:paraId="09151654" w14:textId="6DDB8C96"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b/>
                <w:bCs/>
                <w:sz w:val="20"/>
                <w:szCs w:val="20"/>
              </w:rPr>
              <w:t xml:space="preserve"> </w:t>
            </w:r>
            <w:r w:rsidRPr="00837F9C">
              <w:rPr>
                <w:rFonts w:ascii="Times New Roman" w:eastAsia="Calibri" w:hAnsi="Times New Roman" w:cs="Times New Roman"/>
                <w:bCs/>
                <w:sz w:val="20"/>
                <w:szCs w:val="20"/>
              </w:rPr>
              <w:t>Manufacturing/Construction/Farming/Warehousing</w:t>
            </w:r>
          </w:p>
        </w:tc>
        <w:tc>
          <w:tcPr>
            <w:tcW w:w="1008" w:type="dxa"/>
            <w:tcBorders>
              <w:top w:val="nil"/>
              <w:left w:val="nil"/>
              <w:right w:val="nil"/>
            </w:tcBorders>
            <w:shd w:val="clear" w:color="auto" w:fill="auto"/>
            <w:noWrap/>
            <w:tcMar>
              <w:top w:w="15" w:type="dxa"/>
              <w:left w:w="15" w:type="dxa"/>
              <w:bottom w:w="0" w:type="dxa"/>
              <w:right w:w="15" w:type="dxa"/>
            </w:tcMar>
            <w:vAlign w:val="center"/>
          </w:tcPr>
          <w:p w14:paraId="09063A48" w14:textId="1AAD3F2B"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43</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4EF6A49C" w14:textId="035D2506"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4.4</w:t>
            </w:r>
          </w:p>
        </w:tc>
      </w:tr>
      <w:tr w:rsidR="00224692" w:rsidRPr="00837F9C" w14:paraId="54F6ACA7" w14:textId="7634D393" w:rsidTr="0016476B">
        <w:trPr>
          <w:trHeight w:val="20"/>
        </w:trPr>
        <w:tc>
          <w:tcPr>
            <w:tcW w:w="4755" w:type="dxa"/>
            <w:tcBorders>
              <w:top w:val="double" w:sz="4" w:space="0" w:color="auto"/>
              <w:left w:val="double" w:sz="4" w:space="0" w:color="auto"/>
              <w:bottom w:val="single" w:sz="4" w:space="0" w:color="FFFFFF"/>
              <w:right w:val="nil"/>
            </w:tcBorders>
            <w:shd w:val="clear" w:color="auto" w:fill="auto"/>
            <w:noWrap/>
            <w:tcMar>
              <w:top w:w="15" w:type="dxa"/>
              <w:left w:w="15" w:type="dxa"/>
              <w:bottom w:w="0" w:type="dxa"/>
              <w:right w:w="15" w:type="dxa"/>
            </w:tcMar>
            <w:vAlign w:val="center"/>
          </w:tcPr>
          <w:p w14:paraId="4E57BE74" w14:textId="568CA332" w:rsidR="00224692" w:rsidRPr="00837F9C" w:rsidRDefault="00224692" w:rsidP="00224692">
            <w:pPr>
              <w:spacing w:after="0" w:line="276" w:lineRule="auto"/>
              <w:rPr>
                <w:rFonts w:ascii="Times New Roman" w:eastAsia="Calibri" w:hAnsi="Times New Roman" w:cs="Times New Roman"/>
                <w:sz w:val="20"/>
                <w:szCs w:val="20"/>
              </w:rPr>
            </w:pPr>
            <w:r>
              <w:rPr>
                <w:rFonts w:ascii="Times New Roman" w:eastAsia="Calibri" w:hAnsi="Times New Roman" w:cs="Times New Roman"/>
                <w:i/>
                <w:sz w:val="20"/>
                <w:szCs w:val="20"/>
              </w:rPr>
              <w:t xml:space="preserve"> </w:t>
            </w:r>
            <w:r w:rsidRPr="00837F9C">
              <w:rPr>
                <w:rFonts w:ascii="Times New Roman" w:eastAsia="Calibri" w:hAnsi="Times New Roman" w:cs="Times New Roman"/>
                <w:i/>
                <w:sz w:val="20"/>
                <w:szCs w:val="20"/>
              </w:rPr>
              <w:t>In-Person Workplace Characteristics</w:t>
            </w:r>
          </w:p>
        </w:tc>
        <w:tc>
          <w:tcPr>
            <w:tcW w:w="918" w:type="dxa"/>
            <w:tcBorders>
              <w:top w:val="double" w:sz="4" w:space="0" w:color="auto"/>
              <w:left w:val="nil"/>
              <w:bottom w:val="single" w:sz="4" w:space="0" w:color="FFFFFF"/>
              <w:right w:val="nil"/>
            </w:tcBorders>
            <w:shd w:val="clear" w:color="auto" w:fill="auto"/>
            <w:noWrap/>
            <w:tcMar>
              <w:top w:w="15" w:type="dxa"/>
              <w:left w:w="15" w:type="dxa"/>
              <w:bottom w:w="0" w:type="dxa"/>
              <w:right w:w="15" w:type="dxa"/>
            </w:tcMar>
            <w:vAlign w:val="center"/>
          </w:tcPr>
          <w:p w14:paraId="1732528B" w14:textId="0F78275A" w:rsidR="00224692" w:rsidRPr="00837F9C" w:rsidRDefault="00224692" w:rsidP="00224692">
            <w:pPr>
              <w:spacing w:after="0" w:line="276" w:lineRule="auto"/>
              <w:rPr>
                <w:rFonts w:ascii="Times New Roman" w:eastAsia="Calibri" w:hAnsi="Times New Roman" w:cs="Times New Roman"/>
                <w:sz w:val="20"/>
                <w:szCs w:val="20"/>
              </w:rPr>
            </w:pPr>
          </w:p>
        </w:tc>
        <w:tc>
          <w:tcPr>
            <w:tcW w:w="882" w:type="dxa"/>
            <w:tcBorders>
              <w:top w:val="double" w:sz="4" w:space="0" w:color="auto"/>
              <w:left w:val="nil"/>
              <w:bottom w:val="single" w:sz="4" w:space="0" w:color="FFFFFF"/>
              <w:right w:val="double" w:sz="4" w:space="0" w:color="auto"/>
            </w:tcBorders>
            <w:shd w:val="clear" w:color="auto" w:fill="auto"/>
            <w:noWrap/>
            <w:tcMar>
              <w:top w:w="15" w:type="dxa"/>
              <w:left w:w="15" w:type="dxa"/>
              <w:bottom w:w="0" w:type="dxa"/>
              <w:right w:w="15" w:type="dxa"/>
            </w:tcMar>
            <w:vAlign w:val="center"/>
          </w:tcPr>
          <w:p w14:paraId="00954F47" w14:textId="0F8A637E" w:rsidR="00224692" w:rsidRPr="00837F9C" w:rsidRDefault="00224692" w:rsidP="00224692">
            <w:pPr>
              <w:spacing w:after="0" w:line="276" w:lineRule="auto"/>
              <w:rPr>
                <w:rFonts w:ascii="Times New Roman" w:eastAsia="Calibri" w:hAnsi="Times New Roman" w:cs="Times New Roman"/>
                <w:sz w:val="20"/>
                <w:szCs w:val="20"/>
              </w:rPr>
            </w:pPr>
          </w:p>
        </w:tc>
        <w:tc>
          <w:tcPr>
            <w:tcW w:w="4320" w:type="dxa"/>
            <w:tcBorders>
              <w:left w:val="double" w:sz="4" w:space="0" w:color="auto"/>
              <w:right w:val="nil"/>
            </w:tcBorders>
            <w:shd w:val="clear" w:color="auto" w:fill="auto"/>
            <w:noWrap/>
            <w:tcMar>
              <w:top w:w="15" w:type="dxa"/>
              <w:left w:w="15" w:type="dxa"/>
              <w:bottom w:w="0" w:type="dxa"/>
              <w:right w:w="15" w:type="dxa"/>
            </w:tcMar>
            <w:vAlign w:val="center"/>
          </w:tcPr>
          <w:p w14:paraId="7B0F13C8" w14:textId="276206D6"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Sales/Food Services</w:t>
            </w:r>
          </w:p>
        </w:tc>
        <w:tc>
          <w:tcPr>
            <w:tcW w:w="1008" w:type="dxa"/>
            <w:tcBorders>
              <w:left w:val="nil"/>
              <w:right w:val="nil"/>
            </w:tcBorders>
            <w:shd w:val="clear" w:color="auto" w:fill="auto"/>
            <w:noWrap/>
            <w:tcMar>
              <w:top w:w="15" w:type="dxa"/>
              <w:left w:w="15" w:type="dxa"/>
              <w:bottom w:w="0" w:type="dxa"/>
              <w:right w:w="15" w:type="dxa"/>
            </w:tcMar>
            <w:vAlign w:val="center"/>
          </w:tcPr>
          <w:p w14:paraId="0C76DA52" w14:textId="76AD074C"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2</w:t>
            </w:r>
          </w:p>
        </w:tc>
        <w:tc>
          <w:tcPr>
            <w:tcW w:w="882" w:type="dxa"/>
            <w:tcBorders>
              <w:left w:val="nil"/>
              <w:right w:val="double" w:sz="4" w:space="0" w:color="auto"/>
            </w:tcBorders>
            <w:shd w:val="clear" w:color="auto" w:fill="auto"/>
            <w:noWrap/>
            <w:tcMar>
              <w:top w:w="15" w:type="dxa"/>
              <w:left w:w="15" w:type="dxa"/>
              <w:bottom w:w="0" w:type="dxa"/>
              <w:right w:w="15" w:type="dxa"/>
            </w:tcMar>
            <w:vAlign w:val="center"/>
          </w:tcPr>
          <w:p w14:paraId="46A221C7" w14:textId="66FDDA5B" w:rsidR="00224692" w:rsidRPr="00837F9C" w:rsidRDefault="00224692" w:rsidP="00224692">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0.2</w:t>
            </w:r>
          </w:p>
        </w:tc>
      </w:tr>
      <w:tr w:rsidR="001B650D" w:rsidRPr="00837F9C" w14:paraId="3B3E4A95" w14:textId="252E07C3" w:rsidTr="00445AEA">
        <w:trPr>
          <w:trHeight w:val="20"/>
        </w:trPr>
        <w:tc>
          <w:tcPr>
            <w:tcW w:w="4755" w:type="dxa"/>
            <w:tcBorders>
              <w:top w:val="nil"/>
              <w:left w:val="double" w:sz="4" w:space="0" w:color="auto"/>
              <w:bottom w:val="single" w:sz="4" w:space="0" w:color="FFFFFF"/>
              <w:right w:val="nil"/>
            </w:tcBorders>
            <w:shd w:val="clear" w:color="auto" w:fill="auto"/>
            <w:noWrap/>
            <w:tcMar>
              <w:top w:w="15" w:type="dxa"/>
              <w:left w:w="15" w:type="dxa"/>
              <w:bottom w:w="0" w:type="dxa"/>
              <w:right w:w="15" w:type="dxa"/>
            </w:tcMar>
            <w:vAlign w:val="center"/>
          </w:tcPr>
          <w:p w14:paraId="164A68F3" w14:textId="003B165B"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sidRPr="00837F9C">
              <w:rPr>
                <w:rFonts w:ascii="Times New Roman" w:eastAsia="Calibri" w:hAnsi="Times New Roman" w:cs="Times New Roman"/>
                <w:b/>
                <w:sz w:val="20"/>
                <w:szCs w:val="20"/>
              </w:rPr>
              <w:t>Employment Density</w:t>
            </w:r>
          </w:p>
        </w:tc>
        <w:tc>
          <w:tcPr>
            <w:tcW w:w="918" w:type="dxa"/>
            <w:tcBorders>
              <w:top w:val="nil"/>
              <w:left w:val="nil"/>
              <w:bottom w:val="single" w:sz="4" w:space="0" w:color="FFFFFF"/>
              <w:right w:val="nil"/>
            </w:tcBorders>
            <w:shd w:val="clear" w:color="auto" w:fill="auto"/>
            <w:noWrap/>
            <w:tcMar>
              <w:top w:w="15" w:type="dxa"/>
              <w:left w:w="15" w:type="dxa"/>
              <w:bottom w:w="0" w:type="dxa"/>
              <w:right w:w="15" w:type="dxa"/>
            </w:tcMar>
            <w:vAlign w:val="center"/>
          </w:tcPr>
          <w:p w14:paraId="3FA8E36E" w14:textId="75D5488B" w:rsidR="001B650D" w:rsidRPr="00837F9C" w:rsidRDefault="001B650D" w:rsidP="001B650D">
            <w:pPr>
              <w:spacing w:after="0" w:line="276" w:lineRule="auto"/>
              <w:rPr>
                <w:rFonts w:ascii="Times New Roman" w:eastAsia="Calibri" w:hAnsi="Times New Roman" w:cs="Times New Roman"/>
                <w:sz w:val="20"/>
                <w:szCs w:val="20"/>
              </w:rPr>
            </w:pPr>
          </w:p>
        </w:tc>
        <w:tc>
          <w:tcPr>
            <w:tcW w:w="882" w:type="dxa"/>
            <w:tcBorders>
              <w:top w:val="nil"/>
              <w:left w:val="nil"/>
              <w:bottom w:val="single" w:sz="4" w:space="0" w:color="FFFFFF"/>
              <w:right w:val="double" w:sz="4" w:space="0" w:color="auto"/>
            </w:tcBorders>
            <w:shd w:val="clear" w:color="auto" w:fill="auto"/>
            <w:noWrap/>
            <w:tcMar>
              <w:top w:w="15" w:type="dxa"/>
              <w:left w:w="15" w:type="dxa"/>
              <w:bottom w:w="0" w:type="dxa"/>
              <w:right w:w="15" w:type="dxa"/>
            </w:tcMar>
            <w:vAlign w:val="center"/>
          </w:tcPr>
          <w:p w14:paraId="4D29D2CB" w14:textId="124CF223" w:rsidR="001B650D" w:rsidRPr="00837F9C" w:rsidRDefault="001B650D" w:rsidP="001B650D">
            <w:pPr>
              <w:spacing w:after="0" w:line="276" w:lineRule="auto"/>
              <w:rPr>
                <w:rFonts w:ascii="Times New Roman" w:eastAsia="Calibri" w:hAnsi="Times New Roman" w:cs="Times New Roman"/>
                <w:sz w:val="20"/>
                <w:szCs w:val="20"/>
              </w:rPr>
            </w:pPr>
          </w:p>
        </w:tc>
        <w:tc>
          <w:tcPr>
            <w:tcW w:w="4320" w:type="dxa"/>
            <w:tcBorders>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58889BCC" w14:textId="33AEB6B1" w:rsidR="001B650D" w:rsidRPr="00837F9C" w:rsidRDefault="001B650D" w:rsidP="001B650D">
            <w:pPr>
              <w:spacing w:after="0" w:line="276" w:lineRule="auto"/>
              <w:rPr>
                <w:rFonts w:ascii="Times New Roman" w:eastAsia="Calibri" w:hAnsi="Times New Roman" w:cs="Times New Roman"/>
                <w:b/>
                <w:bCs/>
                <w:sz w:val="20"/>
                <w:szCs w:val="20"/>
              </w:rPr>
            </w:pPr>
            <w:r w:rsidRPr="00837F9C">
              <w:rPr>
                <w:rFonts w:ascii="Times New Roman" w:eastAsia="Calibri" w:hAnsi="Times New Roman" w:cs="Times New Roman"/>
                <w:sz w:val="20"/>
                <w:szCs w:val="20"/>
              </w:rPr>
              <w:t xml:space="preserve"> </w:t>
            </w:r>
            <w:r>
              <w:rPr>
                <w:rFonts w:ascii="Times New Roman" w:eastAsia="Calibri" w:hAnsi="Times New Roman" w:cs="Times New Roman"/>
                <w:sz w:val="20"/>
                <w:szCs w:val="20"/>
              </w:rPr>
              <w:t>Managerial/Technical</w:t>
            </w:r>
          </w:p>
        </w:tc>
        <w:tc>
          <w:tcPr>
            <w:tcW w:w="1008" w:type="dxa"/>
            <w:tcBorders>
              <w:left w:val="nil"/>
              <w:bottom w:val="double" w:sz="4" w:space="0" w:color="auto"/>
              <w:right w:val="nil"/>
            </w:tcBorders>
            <w:shd w:val="clear" w:color="auto" w:fill="auto"/>
            <w:noWrap/>
            <w:tcMar>
              <w:top w:w="15" w:type="dxa"/>
              <w:left w:w="15" w:type="dxa"/>
              <w:bottom w:w="0" w:type="dxa"/>
              <w:right w:w="15" w:type="dxa"/>
            </w:tcMar>
            <w:vAlign w:val="center"/>
          </w:tcPr>
          <w:p w14:paraId="0BCDCA16" w14:textId="666A4183"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183</w:t>
            </w:r>
          </w:p>
        </w:tc>
        <w:tc>
          <w:tcPr>
            <w:tcW w:w="882"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70CE73D3" w14:textId="156029BD"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19.0</w:t>
            </w:r>
          </w:p>
        </w:tc>
      </w:tr>
      <w:tr w:rsidR="001B650D" w:rsidRPr="00837F9C" w14:paraId="38C7FDAB" w14:textId="26A9A870" w:rsidTr="00445AEA">
        <w:trPr>
          <w:trHeight w:val="20"/>
        </w:trPr>
        <w:tc>
          <w:tcPr>
            <w:tcW w:w="4755" w:type="dxa"/>
            <w:tcBorders>
              <w:top w:val="nil"/>
              <w:left w:val="double" w:sz="4" w:space="0" w:color="auto"/>
              <w:right w:val="nil"/>
            </w:tcBorders>
            <w:shd w:val="clear" w:color="auto" w:fill="auto"/>
            <w:noWrap/>
            <w:tcMar>
              <w:top w:w="15" w:type="dxa"/>
              <w:left w:w="15" w:type="dxa"/>
              <w:bottom w:w="0" w:type="dxa"/>
              <w:right w:w="15" w:type="dxa"/>
            </w:tcMar>
            <w:vAlign w:val="center"/>
          </w:tcPr>
          <w:p w14:paraId="5FC00361" w14:textId="2E728B31"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sidR="003E3F26">
              <w:rPr>
                <w:rFonts w:ascii="Times New Roman" w:eastAsia="Calibri" w:hAnsi="Times New Roman" w:cs="Times New Roman"/>
                <w:sz w:val="20"/>
                <w:szCs w:val="20"/>
              </w:rPr>
              <w:t>L</w:t>
            </w:r>
            <w:r w:rsidRPr="00837F9C">
              <w:rPr>
                <w:rFonts w:ascii="Times New Roman" w:eastAsia="Calibri" w:hAnsi="Times New Roman" w:cs="Times New Roman"/>
                <w:sz w:val="20"/>
                <w:szCs w:val="20"/>
              </w:rPr>
              <w:t>ow</w:t>
            </w:r>
            <w:r w:rsidR="003E3F26">
              <w:rPr>
                <w:rFonts w:ascii="Times New Roman" w:eastAsia="Calibri" w:hAnsi="Times New Roman" w:cs="Times New Roman"/>
                <w:sz w:val="20"/>
                <w:szCs w:val="20"/>
              </w:rPr>
              <w:t xml:space="preserve"> to medium</w:t>
            </w:r>
          </w:p>
        </w:tc>
        <w:tc>
          <w:tcPr>
            <w:tcW w:w="918" w:type="dxa"/>
            <w:tcBorders>
              <w:top w:val="nil"/>
              <w:left w:val="nil"/>
              <w:right w:val="nil"/>
            </w:tcBorders>
            <w:shd w:val="clear" w:color="auto" w:fill="auto"/>
            <w:noWrap/>
            <w:tcMar>
              <w:top w:w="15" w:type="dxa"/>
              <w:left w:w="15" w:type="dxa"/>
              <w:bottom w:w="0" w:type="dxa"/>
              <w:right w:w="15" w:type="dxa"/>
            </w:tcMar>
            <w:vAlign w:val="center"/>
          </w:tcPr>
          <w:p w14:paraId="644E847E" w14:textId="55CD79DE"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784</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333DB0F6" w14:textId="46C92445"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20.0</w:t>
            </w:r>
          </w:p>
        </w:tc>
        <w:tc>
          <w:tcPr>
            <w:tcW w:w="4320" w:type="dxa"/>
            <w:tcBorders>
              <w:top w:val="double" w:sz="4" w:space="0" w:color="auto"/>
              <w:left w:val="double" w:sz="4" w:space="0" w:color="auto"/>
              <w:right w:val="nil"/>
            </w:tcBorders>
            <w:shd w:val="clear" w:color="auto" w:fill="auto"/>
            <w:noWrap/>
            <w:tcMar>
              <w:top w:w="15" w:type="dxa"/>
              <w:left w:w="15" w:type="dxa"/>
              <w:bottom w:w="0" w:type="dxa"/>
              <w:right w:w="15" w:type="dxa"/>
            </w:tcMar>
            <w:vAlign w:val="center"/>
          </w:tcPr>
          <w:p w14:paraId="60BAA961" w14:textId="55F7CA87"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bCs/>
                <w:i/>
                <w:sz w:val="20"/>
                <w:szCs w:val="20"/>
              </w:rPr>
              <w:t xml:space="preserve"> COVID-19 Threat</w:t>
            </w:r>
          </w:p>
        </w:tc>
        <w:tc>
          <w:tcPr>
            <w:tcW w:w="1008" w:type="dxa"/>
            <w:tcBorders>
              <w:top w:val="double" w:sz="4" w:space="0" w:color="auto"/>
              <w:left w:val="nil"/>
              <w:right w:val="nil"/>
            </w:tcBorders>
            <w:shd w:val="clear" w:color="auto" w:fill="auto"/>
            <w:noWrap/>
            <w:tcMar>
              <w:top w:w="15" w:type="dxa"/>
              <w:left w:w="15" w:type="dxa"/>
              <w:bottom w:w="0" w:type="dxa"/>
              <w:right w:w="15" w:type="dxa"/>
            </w:tcMar>
            <w:vAlign w:val="center"/>
          </w:tcPr>
          <w:p w14:paraId="7400CA2C" w14:textId="1E217277" w:rsidR="001B650D" w:rsidRPr="00E1729F" w:rsidRDefault="001B650D" w:rsidP="001B650D">
            <w:pPr>
              <w:spacing w:after="0" w:line="276" w:lineRule="auto"/>
              <w:rPr>
                <w:rFonts w:ascii="Times New Roman" w:eastAsia="Calibri" w:hAnsi="Times New Roman" w:cs="Times New Roman"/>
                <w:sz w:val="20"/>
                <w:szCs w:val="20"/>
              </w:rPr>
            </w:pPr>
          </w:p>
        </w:tc>
        <w:tc>
          <w:tcPr>
            <w:tcW w:w="882" w:type="dxa"/>
            <w:tcBorders>
              <w:top w:val="double" w:sz="4" w:space="0" w:color="auto"/>
              <w:left w:val="nil"/>
              <w:right w:val="double" w:sz="4" w:space="0" w:color="auto"/>
            </w:tcBorders>
            <w:shd w:val="clear" w:color="auto" w:fill="auto"/>
            <w:noWrap/>
            <w:tcMar>
              <w:top w:w="15" w:type="dxa"/>
              <w:left w:w="15" w:type="dxa"/>
              <w:bottom w:w="0" w:type="dxa"/>
              <w:right w:w="15" w:type="dxa"/>
            </w:tcMar>
            <w:vAlign w:val="center"/>
          </w:tcPr>
          <w:p w14:paraId="5D58F551" w14:textId="58CED366" w:rsidR="001B650D" w:rsidRPr="00E1729F" w:rsidRDefault="001B650D" w:rsidP="001B650D">
            <w:pPr>
              <w:spacing w:after="0" w:line="276" w:lineRule="auto"/>
              <w:rPr>
                <w:rFonts w:ascii="Times New Roman" w:eastAsia="Calibri" w:hAnsi="Times New Roman" w:cs="Times New Roman"/>
                <w:sz w:val="20"/>
                <w:szCs w:val="20"/>
              </w:rPr>
            </w:pPr>
          </w:p>
        </w:tc>
      </w:tr>
      <w:tr w:rsidR="001B650D" w:rsidRPr="00837F9C" w14:paraId="6DF274F7" w14:textId="6AD6FD0D" w:rsidTr="00445AEA">
        <w:trPr>
          <w:trHeight w:val="20"/>
        </w:trPr>
        <w:tc>
          <w:tcPr>
            <w:tcW w:w="4755" w:type="dxa"/>
            <w:tcBorders>
              <w:left w:val="double" w:sz="4" w:space="0" w:color="auto"/>
              <w:right w:val="nil"/>
            </w:tcBorders>
            <w:shd w:val="clear" w:color="auto" w:fill="auto"/>
            <w:noWrap/>
            <w:tcMar>
              <w:top w:w="15" w:type="dxa"/>
              <w:left w:w="15" w:type="dxa"/>
              <w:bottom w:w="0" w:type="dxa"/>
              <w:right w:w="15" w:type="dxa"/>
            </w:tcMar>
            <w:vAlign w:val="center"/>
          </w:tcPr>
          <w:p w14:paraId="6B5B4968" w14:textId="4B50FB34" w:rsidR="001B650D" w:rsidRPr="00837F9C" w:rsidRDefault="001B650D" w:rsidP="001B650D">
            <w:pPr>
              <w:spacing w:after="0" w:line="276" w:lineRule="auto"/>
              <w:rPr>
                <w:rFonts w:ascii="Times New Roman" w:eastAsia="Calibri" w:hAnsi="Times New Roman" w:cs="Times New Roman"/>
                <w:b/>
                <w:sz w:val="20"/>
                <w:szCs w:val="20"/>
              </w:rPr>
            </w:pPr>
            <w:r w:rsidRPr="00837F9C">
              <w:rPr>
                <w:rFonts w:ascii="Times New Roman" w:eastAsia="Calibri" w:hAnsi="Times New Roman" w:cs="Times New Roman"/>
                <w:sz w:val="20"/>
                <w:szCs w:val="20"/>
              </w:rPr>
              <w:t xml:space="preserve"> High</w:t>
            </w:r>
          </w:p>
        </w:tc>
        <w:tc>
          <w:tcPr>
            <w:tcW w:w="918" w:type="dxa"/>
            <w:tcBorders>
              <w:left w:val="nil"/>
              <w:right w:val="nil"/>
            </w:tcBorders>
            <w:shd w:val="clear" w:color="auto" w:fill="auto"/>
            <w:noWrap/>
            <w:tcMar>
              <w:top w:w="15" w:type="dxa"/>
              <w:left w:w="15" w:type="dxa"/>
              <w:bottom w:w="0" w:type="dxa"/>
              <w:right w:w="15" w:type="dxa"/>
            </w:tcMar>
            <w:vAlign w:val="center"/>
          </w:tcPr>
          <w:p w14:paraId="281C1524" w14:textId="7CC1D17A"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196</w:t>
            </w:r>
          </w:p>
        </w:tc>
        <w:tc>
          <w:tcPr>
            <w:tcW w:w="882" w:type="dxa"/>
            <w:tcBorders>
              <w:left w:val="nil"/>
              <w:right w:val="double" w:sz="4" w:space="0" w:color="auto"/>
            </w:tcBorders>
            <w:shd w:val="clear" w:color="auto" w:fill="auto"/>
            <w:noWrap/>
            <w:tcMar>
              <w:top w:w="15" w:type="dxa"/>
              <w:left w:w="15" w:type="dxa"/>
              <w:bottom w:w="0" w:type="dxa"/>
              <w:right w:w="15" w:type="dxa"/>
            </w:tcMar>
            <w:vAlign w:val="center"/>
          </w:tcPr>
          <w:p w14:paraId="5863D161" w14:textId="328E427D" w:rsidR="001B650D" w:rsidRPr="00837F9C"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80.0</w:t>
            </w:r>
          </w:p>
        </w:tc>
        <w:tc>
          <w:tcPr>
            <w:tcW w:w="4320"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08646523" w14:textId="1790102C"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b/>
                <w:sz w:val="20"/>
                <w:szCs w:val="20"/>
              </w:rPr>
              <w:t xml:space="preserve"> Immunocompromised Status</w:t>
            </w:r>
          </w:p>
        </w:tc>
        <w:tc>
          <w:tcPr>
            <w:tcW w:w="1008" w:type="dxa"/>
            <w:tcBorders>
              <w:left w:val="nil"/>
              <w:bottom w:val="nil"/>
              <w:right w:val="nil"/>
            </w:tcBorders>
            <w:shd w:val="clear" w:color="auto" w:fill="auto"/>
            <w:noWrap/>
            <w:tcMar>
              <w:top w:w="15" w:type="dxa"/>
              <w:left w:w="15" w:type="dxa"/>
              <w:bottom w:w="0" w:type="dxa"/>
              <w:right w:w="15" w:type="dxa"/>
            </w:tcMar>
            <w:vAlign w:val="center"/>
          </w:tcPr>
          <w:p w14:paraId="0E889C9A" w14:textId="0CC92A4D" w:rsidR="001B650D" w:rsidRPr="00E1729F" w:rsidRDefault="001B650D" w:rsidP="001B650D">
            <w:pPr>
              <w:spacing w:after="0" w:line="276" w:lineRule="auto"/>
              <w:rPr>
                <w:rFonts w:ascii="Times New Roman" w:eastAsia="Calibri" w:hAnsi="Times New Roman" w:cs="Times New Roman"/>
                <w:sz w:val="20"/>
                <w:szCs w:val="20"/>
              </w:rPr>
            </w:pPr>
          </w:p>
        </w:tc>
        <w:tc>
          <w:tcPr>
            <w:tcW w:w="882"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29EC6BDB" w14:textId="1190D1FD" w:rsidR="001B650D" w:rsidRPr="00E1729F" w:rsidRDefault="001B650D" w:rsidP="001B650D">
            <w:pPr>
              <w:spacing w:after="0" w:line="276" w:lineRule="auto"/>
              <w:rPr>
                <w:rFonts w:ascii="Times New Roman" w:eastAsia="Calibri" w:hAnsi="Times New Roman" w:cs="Times New Roman"/>
                <w:sz w:val="20"/>
                <w:szCs w:val="20"/>
              </w:rPr>
            </w:pPr>
          </w:p>
        </w:tc>
      </w:tr>
      <w:tr w:rsidR="001B650D" w:rsidRPr="00837F9C" w14:paraId="6507D1C3" w14:textId="09F21E44" w:rsidTr="00445AEA">
        <w:trPr>
          <w:trHeight w:val="20"/>
        </w:trPr>
        <w:tc>
          <w:tcPr>
            <w:tcW w:w="4755"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097E21B8" w14:textId="54B6C73E" w:rsidR="001B650D" w:rsidRPr="00837F9C" w:rsidRDefault="001B650D" w:rsidP="001B650D">
            <w:pPr>
              <w:spacing w:after="0" w:line="276" w:lineRule="auto"/>
              <w:rPr>
                <w:rFonts w:ascii="Times New Roman" w:eastAsia="Calibri" w:hAnsi="Times New Roman" w:cs="Times New Roman"/>
                <w:b/>
                <w:bCs/>
                <w:sz w:val="20"/>
                <w:szCs w:val="20"/>
              </w:rPr>
            </w:pPr>
          </w:p>
        </w:tc>
        <w:tc>
          <w:tcPr>
            <w:tcW w:w="918" w:type="dxa"/>
            <w:tcBorders>
              <w:left w:val="nil"/>
              <w:bottom w:val="nil"/>
              <w:right w:val="nil"/>
            </w:tcBorders>
            <w:shd w:val="clear" w:color="auto" w:fill="auto"/>
            <w:noWrap/>
            <w:tcMar>
              <w:top w:w="15" w:type="dxa"/>
              <w:left w:w="15" w:type="dxa"/>
              <w:bottom w:w="0" w:type="dxa"/>
              <w:right w:w="15" w:type="dxa"/>
            </w:tcMar>
            <w:vAlign w:val="center"/>
          </w:tcPr>
          <w:p w14:paraId="46E0383B" w14:textId="0306888B" w:rsidR="001B650D" w:rsidRPr="00837F9C" w:rsidRDefault="001B650D" w:rsidP="001B650D">
            <w:pPr>
              <w:spacing w:after="0" w:line="276" w:lineRule="auto"/>
              <w:rPr>
                <w:rFonts w:ascii="Times New Roman" w:eastAsia="Calibri" w:hAnsi="Times New Roman" w:cs="Times New Roman"/>
                <w:sz w:val="20"/>
                <w:szCs w:val="20"/>
              </w:rPr>
            </w:pPr>
          </w:p>
        </w:tc>
        <w:tc>
          <w:tcPr>
            <w:tcW w:w="882"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22DA059A" w14:textId="2CB0E901" w:rsidR="001B650D" w:rsidRPr="00837F9C" w:rsidRDefault="001B650D" w:rsidP="001B650D">
            <w:pPr>
              <w:spacing w:after="0" w:line="276" w:lineRule="auto"/>
              <w:rPr>
                <w:rFonts w:ascii="Times New Roman" w:eastAsia="Calibri" w:hAnsi="Times New Roman" w:cs="Times New Roman"/>
                <w:sz w:val="20"/>
                <w:szCs w:val="20"/>
              </w:rPr>
            </w:pPr>
          </w:p>
        </w:tc>
        <w:tc>
          <w:tcPr>
            <w:tcW w:w="4320" w:type="dxa"/>
            <w:tcBorders>
              <w:top w:val="nil"/>
              <w:left w:val="double" w:sz="4" w:space="0" w:color="auto"/>
              <w:right w:val="nil"/>
            </w:tcBorders>
            <w:shd w:val="clear" w:color="auto" w:fill="auto"/>
            <w:noWrap/>
            <w:tcMar>
              <w:top w:w="15" w:type="dxa"/>
              <w:left w:w="15" w:type="dxa"/>
              <w:bottom w:w="0" w:type="dxa"/>
              <w:right w:w="15" w:type="dxa"/>
            </w:tcMar>
            <w:vAlign w:val="center"/>
          </w:tcPr>
          <w:p w14:paraId="2115BA71" w14:textId="661E6B8C"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Someone frequently seen is immunocompromised</w:t>
            </w:r>
          </w:p>
        </w:tc>
        <w:tc>
          <w:tcPr>
            <w:tcW w:w="1008" w:type="dxa"/>
            <w:tcBorders>
              <w:top w:val="nil"/>
              <w:left w:val="nil"/>
              <w:right w:val="nil"/>
            </w:tcBorders>
            <w:shd w:val="clear" w:color="auto" w:fill="auto"/>
            <w:noWrap/>
            <w:tcMar>
              <w:top w:w="15" w:type="dxa"/>
              <w:left w:w="15" w:type="dxa"/>
              <w:bottom w:w="0" w:type="dxa"/>
              <w:right w:w="15" w:type="dxa"/>
            </w:tcMar>
            <w:vAlign w:val="center"/>
          </w:tcPr>
          <w:p w14:paraId="599E3E31" w14:textId="76F82719"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387</w:t>
            </w:r>
          </w:p>
        </w:tc>
        <w:tc>
          <w:tcPr>
            <w:tcW w:w="882" w:type="dxa"/>
            <w:tcBorders>
              <w:top w:val="nil"/>
              <w:left w:val="nil"/>
              <w:right w:val="double" w:sz="4" w:space="0" w:color="auto"/>
            </w:tcBorders>
            <w:shd w:val="clear" w:color="auto" w:fill="auto"/>
            <w:noWrap/>
            <w:tcMar>
              <w:top w:w="15" w:type="dxa"/>
              <w:left w:w="15" w:type="dxa"/>
              <w:bottom w:w="0" w:type="dxa"/>
              <w:right w:w="15" w:type="dxa"/>
            </w:tcMar>
            <w:vAlign w:val="center"/>
          </w:tcPr>
          <w:p w14:paraId="26C4C009" w14:textId="7BD499E5"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Pr>
                <w:rFonts w:ascii="Times New Roman" w:eastAsia="Calibri" w:hAnsi="Times New Roman" w:cs="Times New Roman"/>
                <w:sz w:val="20"/>
                <w:szCs w:val="20"/>
              </w:rPr>
              <w:t>39.5</w:t>
            </w:r>
          </w:p>
        </w:tc>
      </w:tr>
      <w:tr w:rsidR="001B650D" w:rsidRPr="00837F9C" w14:paraId="03E9FFB5" w14:textId="5756CCB6" w:rsidTr="007E29C4">
        <w:trPr>
          <w:trHeight w:val="20"/>
        </w:trPr>
        <w:tc>
          <w:tcPr>
            <w:tcW w:w="4755" w:type="dxa"/>
            <w:tcBorders>
              <w:top w:val="single" w:sz="4" w:space="0" w:color="FFFFFF"/>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78072464" w14:textId="287FBC3E" w:rsidR="001B650D" w:rsidRPr="00837F9C" w:rsidRDefault="001B650D" w:rsidP="001B650D">
            <w:pPr>
              <w:spacing w:after="0" w:line="276" w:lineRule="auto"/>
              <w:rPr>
                <w:rFonts w:ascii="Times New Roman" w:eastAsia="Calibri" w:hAnsi="Times New Roman" w:cs="Times New Roman"/>
                <w:sz w:val="20"/>
                <w:szCs w:val="20"/>
              </w:rPr>
            </w:pPr>
          </w:p>
        </w:tc>
        <w:tc>
          <w:tcPr>
            <w:tcW w:w="918" w:type="dxa"/>
            <w:tcBorders>
              <w:top w:val="single" w:sz="4" w:space="0" w:color="FFFFFF"/>
              <w:left w:val="nil"/>
              <w:bottom w:val="double" w:sz="4" w:space="0" w:color="auto"/>
              <w:right w:val="nil"/>
            </w:tcBorders>
            <w:shd w:val="clear" w:color="auto" w:fill="auto"/>
            <w:noWrap/>
            <w:tcMar>
              <w:top w:w="15" w:type="dxa"/>
              <w:left w:w="15" w:type="dxa"/>
              <w:bottom w:w="0" w:type="dxa"/>
              <w:right w:w="15" w:type="dxa"/>
            </w:tcMar>
            <w:vAlign w:val="center"/>
          </w:tcPr>
          <w:p w14:paraId="450C0883" w14:textId="47657070" w:rsidR="001B650D" w:rsidRPr="00837F9C" w:rsidRDefault="001B650D" w:rsidP="001B650D">
            <w:pPr>
              <w:spacing w:after="0" w:line="276" w:lineRule="auto"/>
              <w:rPr>
                <w:rFonts w:ascii="Times New Roman" w:eastAsia="Calibri" w:hAnsi="Times New Roman" w:cs="Times New Roman"/>
                <w:sz w:val="20"/>
                <w:szCs w:val="20"/>
              </w:rPr>
            </w:pPr>
          </w:p>
        </w:tc>
        <w:tc>
          <w:tcPr>
            <w:tcW w:w="882" w:type="dxa"/>
            <w:tcBorders>
              <w:top w:val="single" w:sz="4" w:space="0" w:color="FFFFFF"/>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79AF70EA" w14:textId="19975155" w:rsidR="001B650D" w:rsidRPr="00837F9C" w:rsidRDefault="001B650D" w:rsidP="001B650D">
            <w:pPr>
              <w:spacing w:after="0" w:line="276" w:lineRule="auto"/>
              <w:rPr>
                <w:rFonts w:ascii="Times New Roman" w:eastAsia="Calibri" w:hAnsi="Times New Roman" w:cs="Times New Roman"/>
                <w:sz w:val="20"/>
                <w:szCs w:val="20"/>
              </w:rPr>
            </w:pPr>
          </w:p>
        </w:tc>
        <w:tc>
          <w:tcPr>
            <w:tcW w:w="4320"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5A8BAD5A" w14:textId="76E4659E"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Individual is immunocompromised</w:t>
            </w:r>
          </w:p>
        </w:tc>
        <w:tc>
          <w:tcPr>
            <w:tcW w:w="1008"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3B8648B6" w14:textId="39658A02"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164</w:t>
            </w:r>
          </w:p>
        </w:tc>
        <w:tc>
          <w:tcPr>
            <w:tcW w:w="882"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29A040FD" w14:textId="2620CEDE" w:rsidR="001B650D" w:rsidRPr="00E1729F" w:rsidRDefault="001B650D" w:rsidP="001B650D">
            <w:pPr>
              <w:spacing w:after="0" w:line="276" w:lineRule="auto"/>
              <w:rPr>
                <w:rFonts w:ascii="Times New Roman" w:eastAsia="Calibri" w:hAnsi="Times New Roman" w:cs="Times New Roman"/>
                <w:sz w:val="20"/>
                <w:szCs w:val="20"/>
              </w:rPr>
            </w:pPr>
            <w:r w:rsidRPr="00837F9C">
              <w:rPr>
                <w:rFonts w:ascii="Times New Roman" w:eastAsia="Calibri" w:hAnsi="Times New Roman" w:cs="Times New Roman"/>
                <w:sz w:val="20"/>
                <w:szCs w:val="20"/>
              </w:rPr>
              <w:t xml:space="preserve">  </w:t>
            </w:r>
            <w:r>
              <w:rPr>
                <w:rFonts w:ascii="Times New Roman" w:eastAsia="Calibri" w:hAnsi="Times New Roman" w:cs="Times New Roman"/>
                <w:sz w:val="20"/>
                <w:szCs w:val="20"/>
              </w:rPr>
              <w:t>16.7</w:t>
            </w:r>
          </w:p>
        </w:tc>
      </w:tr>
    </w:tbl>
    <w:p w14:paraId="10DB0767" w14:textId="406E5131" w:rsidR="00454203" w:rsidRPr="000D4FD3" w:rsidRDefault="00454203">
      <w:pPr>
        <w:spacing w:after="0" w:line="276" w:lineRule="auto"/>
        <w:rPr>
          <w:rFonts w:ascii="Times New Roman" w:hAnsi="Times New Roman" w:cs="Times New Roman"/>
          <w:sz w:val="20"/>
          <w:szCs w:val="24"/>
        </w:rPr>
        <w:sectPr w:rsidR="00454203" w:rsidRPr="000D4FD3" w:rsidSect="00E1729F">
          <w:pgSz w:w="15840" w:h="12240" w:orient="landscape" w:code="1"/>
          <w:pgMar w:top="1440" w:right="1440" w:bottom="1440" w:left="1440" w:header="720" w:footer="720" w:gutter="0"/>
          <w:cols w:space="720"/>
          <w:docGrid w:linePitch="360"/>
        </w:sectPr>
      </w:pPr>
    </w:p>
    <w:p w14:paraId="05BD27EB" w14:textId="469BC047" w:rsidR="00AD02CA" w:rsidRPr="00837F9C" w:rsidRDefault="003F6993"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lastRenderedPageBreak/>
        <w:tab/>
        <w:t>Just about 80 percent of the workers indicate that they are full-time</w:t>
      </w:r>
      <w:r w:rsidR="001B650D">
        <w:rPr>
          <w:rFonts w:ascii="Times New Roman" w:hAnsi="Times New Roman" w:cs="Times New Roman"/>
          <w:sz w:val="24"/>
          <w:szCs w:val="24"/>
        </w:rPr>
        <w:t xml:space="preserve"> (working 16 days or more per month)</w:t>
      </w:r>
      <w:r w:rsidRPr="00837F9C">
        <w:rPr>
          <w:rFonts w:ascii="Times New Roman" w:hAnsi="Times New Roman" w:cs="Times New Roman"/>
          <w:sz w:val="24"/>
          <w:szCs w:val="24"/>
        </w:rPr>
        <w:t>, not-</w:t>
      </w:r>
      <w:r w:rsidR="003445F1" w:rsidRPr="00837F9C">
        <w:rPr>
          <w:rFonts w:ascii="Times New Roman" w:hAnsi="Times New Roman" w:cs="Times New Roman"/>
          <w:sz w:val="24"/>
          <w:szCs w:val="24"/>
        </w:rPr>
        <w:t>self-employed</w:t>
      </w:r>
      <w:r w:rsidR="001B650D">
        <w:rPr>
          <w:rFonts w:ascii="Times New Roman" w:hAnsi="Times New Roman" w:cs="Times New Roman"/>
          <w:sz w:val="24"/>
          <w:szCs w:val="24"/>
        </w:rPr>
        <w:t xml:space="preserve">. </w:t>
      </w:r>
      <w:r w:rsidRPr="00837F9C">
        <w:rPr>
          <w:rFonts w:ascii="Times New Roman" w:hAnsi="Times New Roman" w:cs="Times New Roman"/>
          <w:sz w:val="24"/>
          <w:szCs w:val="24"/>
        </w:rPr>
        <w:t>About 13 percent report that they are full-time self-employed workers. A total of 7.3 percent of respondents are part-time workers</w:t>
      </w:r>
      <w:r w:rsidR="001B650D">
        <w:rPr>
          <w:rFonts w:ascii="Times New Roman" w:hAnsi="Times New Roman" w:cs="Times New Roman"/>
          <w:sz w:val="24"/>
          <w:szCs w:val="24"/>
        </w:rPr>
        <w:t xml:space="preserve"> (working 15 days or less per month</w:t>
      </w:r>
      <w:r w:rsidRPr="00837F9C">
        <w:rPr>
          <w:rFonts w:ascii="Times New Roman" w:hAnsi="Times New Roman" w:cs="Times New Roman"/>
          <w:sz w:val="24"/>
          <w:szCs w:val="24"/>
        </w:rPr>
        <w:t>.</w:t>
      </w:r>
      <w:r w:rsidR="00B912F2">
        <w:rPr>
          <w:rFonts w:ascii="Times New Roman" w:hAnsi="Times New Roman" w:cs="Times New Roman"/>
          <w:sz w:val="24"/>
          <w:szCs w:val="24"/>
        </w:rPr>
        <w:t xml:space="preserve"> </w:t>
      </w:r>
      <w:r w:rsidRPr="00837F9C">
        <w:rPr>
          <w:rFonts w:ascii="Times New Roman" w:hAnsi="Times New Roman" w:cs="Times New Roman"/>
          <w:sz w:val="24"/>
          <w:szCs w:val="24"/>
        </w:rPr>
        <w:t>The respondents are largely employed in occupations that are remote-work friendly (e.g., education/social services, professional</w:t>
      </w:r>
      <w:r w:rsidR="001B650D">
        <w:rPr>
          <w:rFonts w:ascii="Times New Roman" w:hAnsi="Times New Roman" w:cs="Times New Roman"/>
          <w:sz w:val="24"/>
          <w:szCs w:val="24"/>
        </w:rPr>
        <w:t xml:space="preserve"> services</w:t>
      </w:r>
      <w:r w:rsidRPr="00837F9C">
        <w:rPr>
          <w:rFonts w:ascii="Times New Roman" w:hAnsi="Times New Roman" w:cs="Times New Roman"/>
          <w:sz w:val="24"/>
          <w:szCs w:val="24"/>
        </w:rPr>
        <w:t>, information/finance).</w:t>
      </w:r>
      <w:r w:rsidR="00B912F2">
        <w:rPr>
          <w:rFonts w:ascii="Times New Roman" w:hAnsi="Times New Roman" w:cs="Times New Roman"/>
          <w:sz w:val="24"/>
          <w:szCs w:val="24"/>
        </w:rPr>
        <w:t xml:space="preserve"> </w:t>
      </w:r>
      <w:r w:rsidR="00890122">
        <w:rPr>
          <w:rFonts w:ascii="Times New Roman" w:hAnsi="Times New Roman" w:cs="Times New Roman"/>
          <w:sz w:val="24"/>
          <w:szCs w:val="24"/>
        </w:rPr>
        <w:t xml:space="preserve">Very </w:t>
      </w:r>
      <w:r w:rsidRPr="00837F9C">
        <w:rPr>
          <w:rFonts w:ascii="Times New Roman" w:hAnsi="Times New Roman" w:cs="Times New Roman"/>
          <w:sz w:val="24"/>
          <w:szCs w:val="24"/>
        </w:rPr>
        <w:t>small percentages are employed in occupations that may be viewed as more of in-</w:t>
      </w:r>
      <w:r w:rsidRPr="004D5DF9">
        <w:rPr>
          <w:rFonts w:ascii="Times New Roman" w:hAnsi="Times New Roman" w:cs="Times New Roman"/>
          <w:sz w:val="24"/>
          <w:szCs w:val="24"/>
        </w:rPr>
        <w:t xml:space="preserve">person in nature (e.g., </w:t>
      </w:r>
      <w:r w:rsidRPr="00A15909">
        <w:rPr>
          <w:rFonts w:ascii="Times New Roman" w:hAnsi="Times New Roman" w:cs="Times New Roman"/>
          <w:sz w:val="24"/>
          <w:szCs w:val="24"/>
        </w:rPr>
        <w:t>manufacturing/construction</w:t>
      </w:r>
      <w:r w:rsidR="00224692" w:rsidRPr="00A15909">
        <w:rPr>
          <w:rFonts w:ascii="Times New Roman" w:hAnsi="Times New Roman" w:cs="Times New Roman"/>
          <w:sz w:val="24"/>
          <w:szCs w:val="24"/>
        </w:rPr>
        <w:t>/farming/warehousing</w:t>
      </w:r>
      <w:r w:rsidRPr="00A15909">
        <w:rPr>
          <w:rFonts w:ascii="Times New Roman" w:hAnsi="Times New Roman" w:cs="Times New Roman"/>
          <w:sz w:val="24"/>
          <w:szCs w:val="24"/>
        </w:rPr>
        <w:t>, sales/food service, healthcare</w:t>
      </w:r>
      <w:r w:rsidRPr="004D5DF9">
        <w:rPr>
          <w:rFonts w:ascii="Times New Roman" w:hAnsi="Times New Roman" w:cs="Times New Roman"/>
          <w:sz w:val="24"/>
          <w:szCs w:val="24"/>
        </w:rPr>
        <w:t xml:space="preserve">). </w:t>
      </w:r>
      <w:r w:rsidR="00C70E90" w:rsidRPr="004D5DF9">
        <w:rPr>
          <w:rFonts w:ascii="Times New Roman" w:hAnsi="Times New Roman" w:cs="Times New Roman"/>
          <w:sz w:val="24"/>
          <w:szCs w:val="24"/>
        </w:rPr>
        <w:t>Nearly</w:t>
      </w:r>
      <w:r w:rsidR="00C70E90" w:rsidRPr="00837F9C">
        <w:rPr>
          <w:rFonts w:ascii="Times New Roman" w:hAnsi="Times New Roman" w:cs="Times New Roman"/>
          <w:sz w:val="24"/>
          <w:szCs w:val="24"/>
        </w:rPr>
        <w:t xml:space="preserve"> 40 percent indicate that they see an immunocompromised individual frequently, while 16.7 percent indicate that they themselves are immunocompromised (these two groups are not necessarily mutually exclusive).  </w:t>
      </w:r>
    </w:p>
    <w:p w14:paraId="7FD8B93F" w14:textId="77777777" w:rsidR="00B00597" w:rsidRPr="00837F9C" w:rsidRDefault="00B00597" w:rsidP="00E1729F">
      <w:pPr>
        <w:spacing w:after="0" w:line="276" w:lineRule="auto"/>
        <w:rPr>
          <w:rFonts w:ascii="Times New Roman" w:hAnsi="Times New Roman" w:cs="Times New Roman"/>
          <w:sz w:val="24"/>
          <w:szCs w:val="24"/>
        </w:rPr>
      </w:pPr>
    </w:p>
    <w:p w14:paraId="5C106857" w14:textId="6AD0985C" w:rsidR="000C1B07" w:rsidRPr="00837F9C" w:rsidRDefault="00A03376" w:rsidP="000D4FD3">
      <w:pPr>
        <w:pStyle w:val="Heading2"/>
      </w:pPr>
      <w:r>
        <w:t>3</w:t>
      </w:r>
      <w:r w:rsidR="006F4292" w:rsidRPr="00837F9C">
        <w:t xml:space="preserve">.2. </w:t>
      </w:r>
      <w:r w:rsidR="00CA20B8">
        <w:t>Telew</w:t>
      </w:r>
      <w:r w:rsidR="0016476B" w:rsidRPr="00837F9C">
        <w:t xml:space="preserve">ork </w:t>
      </w:r>
      <w:r w:rsidR="00CA20B8">
        <w:t>Dimensions</w:t>
      </w:r>
      <w:r w:rsidR="0016476B" w:rsidRPr="00837F9C">
        <w:t xml:space="preserve"> </w:t>
      </w:r>
      <w:bookmarkEnd w:id="3"/>
    </w:p>
    <w:p w14:paraId="74205501" w14:textId="655C755C" w:rsidR="00BB2916" w:rsidRPr="00837F9C" w:rsidRDefault="000F1B54" w:rsidP="00E1729F">
      <w:pPr>
        <w:keepNext/>
        <w:spacing w:after="0" w:line="276" w:lineRule="auto"/>
        <w:rPr>
          <w:rFonts w:ascii="Times New Roman" w:hAnsi="Times New Roman" w:cs="Times New Roman"/>
          <w:sz w:val="24"/>
          <w:szCs w:val="24"/>
        </w:rPr>
      </w:pPr>
      <w:r w:rsidRPr="00837F9C">
        <w:rPr>
          <w:rFonts w:ascii="Times New Roman" w:hAnsi="Times New Roman" w:cs="Times New Roman"/>
          <w:sz w:val="24"/>
          <w:szCs w:val="24"/>
        </w:rPr>
        <w:t>This study is concerned with modeling th</w:t>
      </w:r>
      <w:r w:rsidR="00B16A84">
        <w:rPr>
          <w:rFonts w:ascii="Times New Roman" w:hAnsi="Times New Roman" w:cs="Times New Roman"/>
          <w:sz w:val="24"/>
          <w:szCs w:val="24"/>
        </w:rPr>
        <w:t xml:space="preserve">ree </w:t>
      </w:r>
      <w:r w:rsidRPr="00837F9C">
        <w:rPr>
          <w:rFonts w:ascii="Times New Roman" w:hAnsi="Times New Roman" w:cs="Times New Roman"/>
          <w:sz w:val="24"/>
          <w:szCs w:val="24"/>
        </w:rPr>
        <w:t xml:space="preserve">aspects of </w:t>
      </w:r>
      <w:r w:rsidR="00B16A84">
        <w:rPr>
          <w:rFonts w:ascii="Times New Roman" w:hAnsi="Times New Roman" w:cs="Times New Roman"/>
          <w:sz w:val="24"/>
          <w:szCs w:val="24"/>
        </w:rPr>
        <w:t>tele</w:t>
      </w:r>
      <w:r w:rsidRPr="00837F9C">
        <w:rPr>
          <w:rFonts w:ascii="Times New Roman" w:hAnsi="Times New Roman" w:cs="Times New Roman"/>
          <w:sz w:val="24"/>
          <w:szCs w:val="24"/>
        </w:rPr>
        <w:t>work arrangements</w:t>
      </w:r>
      <w:r w:rsidR="00B16A84">
        <w:rPr>
          <w:rFonts w:ascii="Times New Roman" w:hAnsi="Times New Roman" w:cs="Times New Roman"/>
          <w:sz w:val="24"/>
          <w:szCs w:val="24"/>
        </w:rPr>
        <w:t xml:space="preserve"> at each of the </w:t>
      </w:r>
      <w:r w:rsidR="00B16A84" w:rsidRPr="00EF49C0">
        <w:rPr>
          <w:rFonts w:ascii="Times New Roman" w:hAnsi="Times New Roman" w:cs="Times New Roman"/>
          <w:i/>
          <w:sz w:val="24"/>
          <w:szCs w:val="24"/>
        </w:rPr>
        <w:t>Before</w:t>
      </w:r>
      <w:r w:rsidR="00B16A84">
        <w:rPr>
          <w:rFonts w:ascii="Times New Roman" w:hAnsi="Times New Roman" w:cs="Times New Roman"/>
          <w:sz w:val="24"/>
          <w:szCs w:val="24"/>
        </w:rPr>
        <w:t xml:space="preserve"> COVID and </w:t>
      </w:r>
      <w:r w:rsidR="00B16A84" w:rsidRPr="00EF49C0">
        <w:rPr>
          <w:rFonts w:ascii="Times New Roman" w:hAnsi="Times New Roman" w:cs="Times New Roman"/>
          <w:i/>
          <w:sz w:val="24"/>
          <w:szCs w:val="24"/>
        </w:rPr>
        <w:t>After</w:t>
      </w:r>
      <w:r w:rsidR="00B16A84">
        <w:rPr>
          <w:rFonts w:ascii="Times New Roman" w:hAnsi="Times New Roman" w:cs="Times New Roman"/>
          <w:sz w:val="24"/>
          <w:szCs w:val="24"/>
        </w:rPr>
        <w:t xml:space="preserve"> COVID periods</w:t>
      </w:r>
      <w:r w:rsidRPr="00837F9C">
        <w:rPr>
          <w:rFonts w:ascii="Times New Roman" w:hAnsi="Times New Roman" w:cs="Times New Roman"/>
          <w:sz w:val="24"/>
          <w:szCs w:val="24"/>
        </w:rPr>
        <w:t xml:space="preserve">.  </w:t>
      </w:r>
    </w:p>
    <w:p w14:paraId="4AAF8665" w14:textId="16A23080" w:rsidR="000F1B54" w:rsidRPr="00837F9C" w:rsidRDefault="000F1B54" w:rsidP="00DA63C4">
      <w:pPr>
        <w:pStyle w:val="ListParagraph"/>
        <w:keepNext/>
        <w:numPr>
          <w:ilvl w:val="0"/>
          <w:numId w:val="53"/>
        </w:num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Adoption: whether to work at a remote location or not</w:t>
      </w:r>
      <w:r w:rsidR="00BE5D16">
        <w:rPr>
          <w:rFonts w:ascii="Times New Roman" w:hAnsi="Times New Roman" w:cs="Times New Roman"/>
          <w:sz w:val="24"/>
          <w:szCs w:val="24"/>
        </w:rPr>
        <w:t xml:space="preserve"> (a binary outcome)</w:t>
      </w:r>
    </w:p>
    <w:p w14:paraId="6C721208" w14:textId="156E5BA4" w:rsidR="000F1B54" w:rsidRPr="00837F9C" w:rsidRDefault="000F1B54" w:rsidP="00DA63C4">
      <w:pPr>
        <w:pStyle w:val="ListParagraph"/>
        <w:keepNext/>
        <w:numPr>
          <w:ilvl w:val="0"/>
          <w:numId w:val="53"/>
        </w:num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 xml:space="preserve">Frequency: </w:t>
      </w:r>
      <w:r w:rsidR="00BB7062" w:rsidRPr="00837F9C">
        <w:rPr>
          <w:rFonts w:ascii="Times New Roman" w:hAnsi="Times New Roman" w:cs="Times New Roman"/>
          <w:sz w:val="24"/>
          <w:szCs w:val="24"/>
        </w:rPr>
        <w:t xml:space="preserve">number of times that the individual engages in </w:t>
      </w:r>
      <w:r w:rsidR="005D7357">
        <w:rPr>
          <w:rFonts w:ascii="Times New Roman" w:hAnsi="Times New Roman" w:cs="Times New Roman"/>
          <w:sz w:val="24"/>
          <w:szCs w:val="24"/>
        </w:rPr>
        <w:t>telework</w:t>
      </w:r>
      <w:r w:rsidR="00BE5D16">
        <w:rPr>
          <w:rFonts w:ascii="Times New Roman" w:hAnsi="Times New Roman" w:cs="Times New Roman"/>
          <w:sz w:val="24"/>
          <w:szCs w:val="24"/>
        </w:rPr>
        <w:t xml:space="preserve"> (characterized as an ordinal outcome with the alternatives of “Few times/month”, “Once/week”, “2-4 days/week”, and “5 days per week”)</w:t>
      </w:r>
    </w:p>
    <w:p w14:paraId="3D163B8E" w14:textId="52433227" w:rsidR="00837F9C" w:rsidRPr="00B912F2" w:rsidRDefault="00BB7062" w:rsidP="00DA63C4">
      <w:pPr>
        <w:pStyle w:val="ListParagraph"/>
        <w:keepNext/>
        <w:numPr>
          <w:ilvl w:val="0"/>
          <w:numId w:val="53"/>
        </w:num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 xml:space="preserve">Location: location of </w:t>
      </w:r>
      <w:r w:rsidR="005D7357">
        <w:rPr>
          <w:rFonts w:ascii="Times New Roman" w:hAnsi="Times New Roman" w:cs="Times New Roman"/>
          <w:sz w:val="24"/>
          <w:szCs w:val="24"/>
        </w:rPr>
        <w:t>tele</w:t>
      </w:r>
      <w:r w:rsidRPr="00837F9C">
        <w:rPr>
          <w:rFonts w:ascii="Times New Roman" w:hAnsi="Times New Roman" w:cs="Times New Roman"/>
          <w:sz w:val="24"/>
          <w:szCs w:val="24"/>
        </w:rPr>
        <w:t xml:space="preserve">work, if the individual participated in </w:t>
      </w:r>
      <w:r w:rsidR="005D7357">
        <w:rPr>
          <w:rFonts w:ascii="Times New Roman" w:hAnsi="Times New Roman" w:cs="Times New Roman"/>
          <w:sz w:val="24"/>
          <w:szCs w:val="24"/>
        </w:rPr>
        <w:t>tele</w:t>
      </w:r>
      <w:r w:rsidRPr="00837F9C">
        <w:rPr>
          <w:rFonts w:ascii="Times New Roman" w:hAnsi="Times New Roman" w:cs="Times New Roman"/>
          <w:sz w:val="24"/>
          <w:szCs w:val="24"/>
        </w:rPr>
        <w:t>work</w:t>
      </w:r>
      <w:r w:rsidR="00BE5D16">
        <w:rPr>
          <w:rFonts w:ascii="Times New Roman" w:hAnsi="Times New Roman" w:cs="Times New Roman"/>
          <w:sz w:val="24"/>
          <w:szCs w:val="24"/>
        </w:rPr>
        <w:t xml:space="preserve"> (characterized as a nominal outcome with the alternatives of “Home only”, “Third location Only”, and “Both home and third location”</w:t>
      </w:r>
      <w:r w:rsidR="004612CB">
        <w:rPr>
          <w:rFonts w:ascii="Times New Roman" w:hAnsi="Times New Roman" w:cs="Times New Roman"/>
          <w:sz w:val="24"/>
          <w:szCs w:val="24"/>
        </w:rPr>
        <w:t>; note that we will use the label “third location” instead of “non-home”, just to emphasize that non-home here is in the context of teleworking, and should not be confused with the designated out-of-home employer work office</w:t>
      </w:r>
      <w:r w:rsidR="00BE5D16">
        <w:rPr>
          <w:rFonts w:ascii="Times New Roman" w:hAnsi="Times New Roman" w:cs="Times New Roman"/>
          <w:sz w:val="24"/>
          <w:szCs w:val="24"/>
        </w:rPr>
        <w:t>).</w:t>
      </w:r>
    </w:p>
    <w:p w14:paraId="2817279A" w14:textId="76196451" w:rsidR="00BB7062" w:rsidRPr="00837F9C" w:rsidRDefault="00437853" w:rsidP="00DA63C4">
      <w:pPr>
        <w:keepNext/>
        <w:spacing w:before="120" w:after="0" w:line="276" w:lineRule="auto"/>
        <w:ind w:firstLine="720"/>
        <w:rPr>
          <w:rFonts w:ascii="Times New Roman" w:hAnsi="Times New Roman" w:cs="Times New Roman"/>
          <w:sz w:val="24"/>
          <w:szCs w:val="24"/>
        </w:rPr>
      </w:pPr>
      <w:r w:rsidRPr="00837F9C">
        <w:rPr>
          <w:rFonts w:ascii="Times New Roman" w:hAnsi="Times New Roman" w:cs="Times New Roman"/>
          <w:sz w:val="24"/>
          <w:szCs w:val="24"/>
        </w:rPr>
        <w:t xml:space="preserve">Table 2 presents a detailed description of the endogenous variables of interest. </w:t>
      </w:r>
      <w:r w:rsidR="00B16A84">
        <w:rPr>
          <w:rFonts w:ascii="Times New Roman" w:hAnsi="Times New Roman" w:cs="Times New Roman"/>
          <w:sz w:val="24"/>
          <w:szCs w:val="24"/>
        </w:rPr>
        <w:t xml:space="preserve">Note that, because the sample </w:t>
      </w:r>
      <w:r w:rsidR="00C0014E" w:rsidRPr="00837F9C">
        <w:rPr>
          <w:rFonts w:ascii="Times New Roman" w:hAnsi="Times New Roman" w:cs="Times New Roman"/>
          <w:sz w:val="24"/>
          <w:szCs w:val="24"/>
        </w:rPr>
        <w:t xml:space="preserve">is limited to those employed </w:t>
      </w:r>
      <w:r w:rsidR="00B16A84">
        <w:rPr>
          <w:rFonts w:ascii="Times New Roman" w:hAnsi="Times New Roman" w:cs="Times New Roman"/>
          <w:sz w:val="24"/>
          <w:szCs w:val="24"/>
        </w:rPr>
        <w:t xml:space="preserve">individuals with the option to work remotely </w:t>
      </w:r>
      <w:r w:rsidR="00C0014E" w:rsidRPr="00837F9C">
        <w:rPr>
          <w:rFonts w:ascii="Times New Roman" w:hAnsi="Times New Roman" w:cs="Times New Roman"/>
          <w:sz w:val="24"/>
          <w:szCs w:val="24"/>
        </w:rPr>
        <w:t xml:space="preserve">at </w:t>
      </w:r>
      <w:r w:rsidR="00C70E90">
        <w:rPr>
          <w:rFonts w:ascii="Times New Roman" w:hAnsi="Times New Roman" w:cs="Times New Roman"/>
          <w:sz w:val="24"/>
          <w:szCs w:val="24"/>
        </w:rPr>
        <w:t xml:space="preserve">both the </w:t>
      </w:r>
      <w:r w:rsidR="00C70E90" w:rsidRPr="00961062">
        <w:rPr>
          <w:rFonts w:ascii="Times New Roman" w:hAnsi="Times New Roman" w:cs="Times New Roman"/>
          <w:i/>
          <w:sz w:val="24"/>
          <w:szCs w:val="24"/>
        </w:rPr>
        <w:t>Before</w:t>
      </w:r>
      <w:r w:rsidR="00890122" w:rsidRPr="00A15909">
        <w:rPr>
          <w:rFonts w:ascii="Times New Roman" w:hAnsi="Times New Roman" w:cs="Times New Roman"/>
          <w:sz w:val="24"/>
          <w:szCs w:val="24"/>
        </w:rPr>
        <w:t xml:space="preserve"> </w:t>
      </w:r>
      <w:r w:rsidR="00C70E90" w:rsidRPr="00A15909">
        <w:rPr>
          <w:rFonts w:ascii="Times New Roman" w:hAnsi="Times New Roman" w:cs="Times New Roman"/>
          <w:sz w:val="24"/>
          <w:szCs w:val="24"/>
        </w:rPr>
        <w:t>COVID</w:t>
      </w:r>
      <w:r w:rsidR="00C70E90" w:rsidRPr="00C711F7">
        <w:rPr>
          <w:rFonts w:ascii="Times New Roman" w:hAnsi="Times New Roman" w:cs="Times New Roman"/>
          <w:sz w:val="24"/>
          <w:szCs w:val="24"/>
        </w:rPr>
        <w:t xml:space="preserve"> </w:t>
      </w:r>
      <w:r w:rsidR="00C70E90">
        <w:rPr>
          <w:rFonts w:ascii="Times New Roman" w:hAnsi="Times New Roman" w:cs="Times New Roman"/>
          <w:sz w:val="24"/>
          <w:szCs w:val="24"/>
        </w:rPr>
        <w:t xml:space="preserve">and </w:t>
      </w:r>
      <w:r w:rsidR="00C70E90" w:rsidRPr="00C711F7">
        <w:rPr>
          <w:rFonts w:ascii="Times New Roman" w:hAnsi="Times New Roman" w:cs="Times New Roman"/>
          <w:i/>
          <w:sz w:val="24"/>
          <w:szCs w:val="24"/>
        </w:rPr>
        <w:t>After</w:t>
      </w:r>
      <w:r w:rsidR="00890122" w:rsidRPr="00C711F7">
        <w:rPr>
          <w:rFonts w:ascii="Times New Roman" w:hAnsi="Times New Roman" w:cs="Times New Roman"/>
          <w:i/>
          <w:sz w:val="24"/>
          <w:szCs w:val="24"/>
        </w:rPr>
        <w:t xml:space="preserve"> </w:t>
      </w:r>
      <w:r w:rsidR="00C70E90" w:rsidRPr="00A15909">
        <w:rPr>
          <w:rFonts w:ascii="Times New Roman" w:hAnsi="Times New Roman" w:cs="Times New Roman"/>
          <w:sz w:val="24"/>
          <w:szCs w:val="24"/>
        </w:rPr>
        <w:t>COVID</w:t>
      </w:r>
      <w:r w:rsidR="00C70E90" w:rsidRPr="00C711F7">
        <w:rPr>
          <w:rFonts w:ascii="Times New Roman" w:hAnsi="Times New Roman" w:cs="Times New Roman"/>
          <w:sz w:val="24"/>
          <w:szCs w:val="24"/>
        </w:rPr>
        <w:t xml:space="preserve"> </w:t>
      </w:r>
      <w:r w:rsidR="00C0014E" w:rsidRPr="00837F9C">
        <w:rPr>
          <w:rFonts w:ascii="Times New Roman" w:hAnsi="Times New Roman" w:cs="Times New Roman"/>
          <w:sz w:val="24"/>
          <w:szCs w:val="24"/>
        </w:rPr>
        <w:t>points in time</w:t>
      </w:r>
      <w:r w:rsidR="00B16A84">
        <w:rPr>
          <w:rFonts w:ascii="Times New Roman" w:hAnsi="Times New Roman" w:cs="Times New Roman"/>
          <w:sz w:val="24"/>
          <w:szCs w:val="24"/>
        </w:rPr>
        <w:t xml:space="preserve">, </w:t>
      </w:r>
      <w:r w:rsidR="00C0014E" w:rsidRPr="00837F9C">
        <w:rPr>
          <w:rFonts w:ascii="Times New Roman" w:hAnsi="Times New Roman" w:cs="Times New Roman"/>
          <w:sz w:val="24"/>
          <w:szCs w:val="24"/>
        </w:rPr>
        <w:t xml:space="preserve">the statistics </w:t>
      </w:r>
      <w:r w:rsidR="00B16A84">
        <w:rPr>
          <w:rFonts w:ascii="Times New Roman" w:hAnsi="Times New Roman" w:cs="Times New Roman"/>
          <w:sz w:val="24"/>
          <w:szCs w:val="24"/>
        </w:rPr>
        <w:t xml:space="preserve">naturally </w:t>
      </w:r>
      <w:r w:rsidR="00C0014E" w:rsidRPr="00837F9C">
        <w:rPr>
          <w:rFonts w:ascii="Times New Roman" w:hAnsi="Times New Roman" w:cs="Times New Roman"/>
          <w:sz w:val="24"/>
          <w:szCs w:val="24"/>
        </w:rPr>
        <w:t xml:space="preserve">depict a high level of </w:t>
      </w:r>
      <w:r w:rsidR="005D7357">
        <w:rPr>
          <w:rFonts w:ascii="Times New Roman" w:hAnsi="Times New Roman" w:cs="Times New Roman"/>
          <w:sz w:val="24"/>
          <w:szCs w:val="24"/>
        </w:rPr>
        <w:t>tele</w:t>
      </w:r>
      <w:r w:rsidR="00C0014E" w:rsidRPr="00837F9C">
        <w:rPr>
          <w:rFonts w:ascii="Times New Roman" w:hAnsi="Times New Roman" w:cs="Times New Roman"/>
          <w:sz w:val="24"/>
          <w:szCs w:val="24"/>
        </w:rPr>
        <w:t xml:space="preserve">work engagement (when compared with typical </w:t>
      </w:r>
      <w:r w:rsidR="00E737EE" w:rsidRPr="00837F9C">
        <w:rPr>
          <w:rFonts w:ascii="Times New Roman" w:hAnsi="Times New Roman" w:cs="Times New Roman"/>
          <w:sz w:val="24"/>
          <w:szCs w:val="24"/>
        </w:rPr>
        <w:t xml:space="preserve">employment </w:t>
      </w:r>
      <w:r w:rsidR="00C0014E" w:rsidRPr="00837F9C">
        <w:rPr>
          <w:rFonts w:ascii="Times New Roman" w:hAnsi="Times New Roman" w:cs="Times New Roman"/>
          <w:sz w:val="24"/>
          <w:szCs w:val="24"/>
        </w:rPr>
        <w:t>leve</w:t>
      </w:r>
      <w:r w:rsidR="00E737EE" w:rsidRPr="00837F9C">
        <w:rPr>
          <w:rFonts w:ascii="Times New Roman" w:hAnsi="Times New Roman" w:cs="Times New Roman"/>
          <w:sz w:val="24"/>
          <w:szCs w:val="24"/>
        </w:rPr>
        <w:t>l</w:t>
      </w:r>
      <w:r w:rsidR="00C0014E" w:rsidRPr="00837F9C">
        <w:rPr>
          <w:rFonts w:ascii="Times New Roman" w:hAnsi="Times New Roman" w:cs="Times New Roman"/>
          <w:sz w:val="24"/>
          <w:szCs w:val="24"/>
        </w:rPr>
        <w:t xml:space="preserve"> census statistics).</w:t>
      </w:r>
      <w:r w:rsidR="00B912F2">
        <w:rPr>
          <w:rFonts w:ascii="Times New Roman" w:hAnsi="Times New Roman" w:cs="Times New Roman"/>
          <w:sz w:val="24"/>
          <w:szCs w:val="24"/>
        </w:rPr>
        <w:t xml:space="preserve"> </w:t>
      </w:r>
      <w:r w:rsidR="00C0014E" w:rsidRPr="00837F9C">
        <w:rPr>
          <w:rFonts w:ascii="Times New Roman" w:hAnsi="Times New Roman" w:cs="Times New Roman"/>
          <w:sz w:val="24"/>
          <w:szCs w:val="24"/>
        </w:rPr>
        <w:t xml:space="preserve">Before COVID, about </w:t>
      </w:r>
      <w:r w:rsidR="00B16A84">
        <w:rPr>
          <w:rFonts w:ascii="Times New Roman" w:hAnsi="Times New Roman" w:cs="Times New Roman"/>
          <w:sz w:val="24"/>
          <w:szCs w:val="24"/>
        </w:rPr>
        <w:t>59.4</w:t>
      </w:r>
      <w:r w:rsidR="00C0014E" w:rsidRPr="00837F9C">
        <w:rPr>
          <w:rFonts w:ascii="Times New Roman" w:hAnsi="Times New Roman" w:cs="Times New Roman"/>
          <w:sz w:val="24"/>
          <w:szCs w:val="24"/>
        </w:rPr>
        <w:t xml:space="preserve"> percent indicated that they never tele</w:t>
      </w:r>
      <w:r w:rsidR="00B16A84">
        <w:rPr>
          <w:rFonts w:ascii="Times New Roman" w:hAnsi="Times New Roman" w:cs="Times New Roman"/>
          <w:sz w:val="24"/>
          <w:szCs w:val="24"/>
        </w:rPr>
        <w:t>worked,</w:t>
      </w:r>
      <w:r w:rsidR="00C0014E" w:rsidRPr="00837F9C">
        <w:rPr>
          <w:rFonts w:ascii="Times New Roman" w:hAnsi="Times New Roman" w:cs="Times New Roman"/>
          <w:sz w:val="24"/>
          <w:szCs w:val="24"/>
        </w:rPr>
        <w:t xml:space="preserve"> while </w:t>
      </w:r>
      <w:r w:rsidR="00890122">
        <w:rPr>
          <w:rFonts w:ascii="Times New Roman" w:hAnsi="Times New Roman" w:cs="Times New Roman"/>
          <w:sz w:val="24"/>
          <w:szCs w:val="24"/>
        </w:rPr>
        <w:t xml:space="preserve">this percentage decreased to 34.1% in the </w:t>
      </w:r>
      <w:r w:rsidR="00890122" w:rsidRPr="00961062">
        <w:rPr>
          <w:rFonts w:ascii="Times New Roman" w:hAnsi="Times New Roman" w:cs="Times New Roman"/>
          <w:i/>
          <w:sz w:val="24"/>
          <w:szCs w:val="24"/>
        </w:rPr>
        <w:t>After</w:t>
      </w:r>
      <w:r w:rsidR="00890122">
        <w:rPr>
          <w:rFonts w:ascii="Times New Roman" w:hAnsi="Times New Roman" w:cs="Times New Roman"/>
          <w:i/>
          <w:sz w:val="24"/>
          <w:szCs w:val="24"/>
        </w:rPr>
        <w:t xml:space="preserve"> </w:t>
      </w:r>
      <w:r w:rsidR="00890122" w:rsidRPr="00A15909">
        <w:rPr>
          <w:rFonts w:ascii="Times New Roman" w:hAnsi="Times New Roman" w:cs="Times New Roman"/>
          <w:sz w:val="24"/>
          <w:szCs w:val="24"/>
        </w:rPr>
        <w:t>COVID</w:t>
      </w:r>
      <w:r w:rsidR="00890122" w:rsidRPr="00C711F7">
        <w:rPr>
          <w:rFonts w:ascii="Times New Roman" w:hAnsi="Times New Roman" w:cs="Times New Roman"/>
          <w:sz w:val="24"/>
          <w:szCs w:val="24"/>
        </w:rPr>
        <w:t xml:space="preserve"> </w:t>
      </w:r>
      <w:r w:rsidR="00890122">
        <w:rPr>
          <w:rFonts w:ascii="Times New Roman" w:hAnsi="Times New Roman" w:cs="Times New Roman"/>
          <w:sz w:val="24"/>
          <w:szCs w:val="24"/>
        </w:rPr>
        <w:t xml:space="preserve">period. </w:t>
      </w:r>
      <w:r w:rsidR="00DA1591">
        <w:rPr>
          <w:rFonts w:ascii="Times New Roman" w:hAnsi="Times New Roman" w:cs="Times New Roman"/>
          <w:sz w:val="24"/>
          <w:szCs w:val="24"/>
        </w:rPr>
        <w:t xml:space="preserve">Among teleworkers (see the teleworking frequency distribution in Table 1), there is a tangible decrease in the lower frequency ordinal categories and a clear increase in the higher frequency ordinal categories between the </w:t>
      </w:r>
      <w:r w:rsidR="00DA1591" w:rsidRPr="00961062">
        <w:rPr>
          <w:rFonts w:ascii="Times New Roman" w:hAnsi="Times New Roman" w:cs="Times New Roman"/>
          <w:i/>
          <w:sz w:val="24"/>
          <w:szCs w:val="24"/>
        </w:rPr>
        <w:t>Before</w:t>
      </w:r>
      <w:r w:rsidR="00DA1591" w:rsidRPr="00A15909">
        <w:rPr>
          <w:rFonts w:ascii="Times New Roman" w:hAnsi="Times New Roman" w:cs="Times New Roman"/>
          <w:sz w:val="24"/>
          <w:szCs w:val="24"/>
        </w:rPr>
        <w:t xml:space="preserve"> COVID</w:t>
      </w:r>
      <w:r w:rsidR="00DA1591" w:rsidRPr="00C711F7">
        <w:rPr>
          <w:rFonts w:ascii="Times New Roman" w:hAnsi="Times New Roman" w:cs="Times New Roman"/>
          <w:sz w:val="24"/>
          <w:szCs w:val="24"/>
        </w:rPr>
        <w:t xml:space="preserve"> </w:t>
      </w:r>
      <w:r w:rsidR="00DA1591">
        <w:rPr>
          <w:rFonts w:ascii="Times New Roman" w:hAnsi="Times New Roman" w:cs="Times New Roman"/>
          <w:sz w:val="24"/>
          <w:szCs w:val="24"/>
        </w:rPr>
        <w:t xml:space="preserve">and </w:t>
      </w:r>
      <w:r w:rsidR="00DA1591" w:rsidRPr="00961062">
        <w:rPr>
          <w:rFonts w:ascii="Times New Roman" w:hAnsi="Times New Roman" w:cs="Times New Roman"/>
          <w:i/>
          <w:sz w:val="24"/>
          <w:szCs w:val="24"/>
        </w:rPr>
        <w:t>After</w:t>
      </w:r>
      <w:r w:rsidR="00DA1591">
        <w:rPr>
          <w:rFonts w:ascii="Times New Roman" w:hAnsi="Times New Roman" w:cs="Times New Roman"/>
          <w:i/>
          <w:sz w:val="24"/>
          <w:szCs w:val="24"/>
        </w:rPr>
        <w:t xml:space="preserve"> </w:t>
      </w:r>
      <w:r w:rsidR="00DA1591" w:rsidRPr="00A15909">
        <w:rPr>
          <w:rFonts w:ascii="Times New Roman" w:hAnsi="Times New Roman" w:cs="Times New Roman"/>
          <w:sz w:val="24"/>
          <w:szCs w:val="24"/>
        </w:rPr>
        <w:t>COVID</w:t>
      </w:r>
      <w:r w:rsidR="00DA1591" w:rsidRPr="00C711F7">
        <w:rPr>
          <w:rFonts w:ascii="Times New Roman" w:hAnsi="Times New Roman" w:cs="Times New Roman"/>
          <w:sz w:val="24"/>
          <w:szCs w:val="24"/>
        </w:rPr>
        <w:t xml:space="preserve"> periods</w:t>
      </w:r>
      <w:r w:rsidR="00DA1591">
        <w:rPr>
          <w:rFonts w:ascii="Times New Roman" w:hAnsi="Times New Roman" w:cs="Times New Roman"/>
          <w:sz w:val="24"/>
          <w:szCs w:val="24"/>
        </w:rPr>
        <w:t xml:space="preserve">, indicating that not only are more individuals adopting telework in the </w:t>
      </w:r>
      <w:r w:rsidR="00DA1591" w:rsidRPr="00961062">
        <w:rPr>
          <w:rFonts w:ascii="Times New Roman" w:hAnsi="Times New Roman" w:cs="Times New Roman"/>
          <w:i/>
          <w:sz w:val="24"/>
          <w:szCs w:val="24"/>
        </w:rPr>
        <w:t>After</w:t>
      </w:r>
      <w:r w:rsidR="00DA1591">
        <w:rPr>
          <w:rFonts w:ascii="Times New Roman" w:hAnsi="Times New Roman" w:cs="Times New Roman"/>
          <w:i/>
          <w:sz w:val="24"/>
          <w:szCs w:val="24"/>
        </w:rPr>
        <w:t xml:space="preserve"> </w:t>
      </w:r>
      <w:r w:rsidR="00DA1591" w:rsidRPr="00A15909">
        <w:rPr>
          <w:rFonts w:ascii="Times New Roman" w:hAnsi="Times New Roman" w:cs="Times New Roman"/>
          <w:sz w:val="24"/>
          <w:szCs w:val="24"/>
        </w:rPr>
        <w:t>COVID</w:t>
      </w:r>
      <w:r w:rsidR="00DA1591" w:rsidRPr="00C711F7">
        <w:rPr>
          <w:rFonts w:ascii="Times New Roman" w:hAnsi="Times New Roman" w:cs="Times New Roman"/>
          <w:sz w:val="24"/>
          <w:szCs w:val="24"/>
        </w:rPr>
        <w:t xml:space="preserve"> </w:t>
      </w:r>
      <w:r w:rsidR="00DA1591" w:rsidRPr="00837F9C">
        <w:rPr>
          <w:rFonts w:ascii="Times New Roman" w:hAnsi="Times New Roman" w:cs="Times New Roman"/>
          <w:sz w:val="24"/>
          <w:szCs w:val="24"/>
        </w:rPr>
        <w:t>p</w:t>
      </w:r>
      <w:r w:rsidR="00DA1591">
        <w:rPr>
          <w:rFonts w:ascii="Times New Roman" w:hAnsi="Times New Roman" w:cs="Times New Roman"/>
          <w:sz w:val="24"/>
          <w:szCs w:val="24"/>
        </w:rPr>
        <w:t>eriod, but also the teleworking frequency of teleworkers has increased. Overall, i</w:t>
      </w:r>
      <w:r w:rsidR="0002034A" w:rsidRPr="00837F9C">
        <w:rPr>
          <w:rFonts w:ascii="Times New Roman" w:hAnsi="Times New Roman" w:cs="Times New Roman"/>
          <w:sz w:val="24"/>
          <w:szCs w:val="24"/>
        </w:rPr>
        <w:t xml:space="preserve">n the </w:t>
      </w:r>
      <w:r w:rsidR="00C70E90" w:rsidRPr="00961062">
        <w:rPr>
          <w:rFonts w:ascii="Times New Roman" w:hAnsi="Times New Roman" w:cs="Times New Roman"/>
          <w:i/>
          <w:sz w:val="24"/>
          <w:szCs w:val="24"/>
        </w:rPr>
        <w:t>After</w:t>
      </w:r>
      <w:r w:rsidR="00C711F7">
        <w:rPr>
          <w:rFonts w:ascii="Times New Roman" w:hAnsi="Times New Roman" w:cs="Times New Roman"/>
          <w:i/>
          <w:sz w:val="24"/>
          <w:szCs w:val="24"/>
        </w:rPr>
        <w:t xml:space="preserve"> </w:t>
      </w:r>
      <w:r w:rsidR="00C70E90" w:rsidRPr="00A15909">
        <w:rPr>
          <w:rFonts w:ascii="Times New Roman" w:hAnsi="Times New Roman" w:cs="Times New Roman"/>
          <w:sz w:val="24"/>
          <w:szCs w:val="24"/>
        </w:rPr>
        <w:t>COVID</w:t>
      </w:r>
      <w:r w:rsidR="00C70E90" w:rsidRPr="00C711F7">
        <w:rPr>
          <w:rFonts w:ascii="Times New Roman" w:hAnsi="Times New Roman" w:cs="Times New Roman"/>
          <w:sz w:val="24"/>
          <w:szCs w:val="24"/>
        </w:rPr>
        <w:t xml:space="preserve"> </w:t>
      </w:r>
      <w:r w:rsidR="00C7648C">
        <w:rPr>
          <w:rFonts w:ascii="Times New Roman" w:hAnsi="Times New Roman" w:cs="Times New Roman"/>
          <w:sz w:val="24"/>
          <w:szCs w:val="24"/>
        </w:rPr>
        <w:t xml:space="preserve">period </w:t>
      </w:r>
      <w:r w:rsidR="0002034A" w:rsidRPr="00837F9C">
        <w:rPr>
          <w:rFonts w:ascii="Times New Roman" w:hAnsi="Times New Roman" w:cs="Times New Roman"/>
          <w:sz w:val="24"/>
          <w:szCs w:val="24"/>
        </w:rPr>
        <w:t xml:space="preserve">(which reflects a period when vaccinations were widespread and the worst of the pandemic was in the past), a hybrid work arrangement </w:t>
      </w:r>
      <w:r w:rsidR="00DA1591">
        <w:rPr>
          <w:rFonts w:ascii="Times New Roman" w:hAnsi="Times New Roman" w:cs="Times New Roman"/>
          <w:sz w:val="24"/>
          <w:szCs w:val="24"/>
        </w:rPr>
        <w:t xml:space="preserve">of working both from the regular workplace as well as from a </w:t>
      </w:r>
      <w:r w:rsidR="005D7357">
        <w:rPr>
          <w:rFonts w:ascii="Times New Roman" w:hAnsi="Times New Roman" w:cs="Times New Roman"/>
          <w:sz w:val="24"/>
          <w:szCs w:val="24"/>
        </w:rPr>
        <w:t>telework location</w:t>
      </w:r>
      <w:r w:rsidR="00DA1591">
        <w:rPr>
          <w:rFonts w:ascii="Times New Roman" w:hAnsi="Times New Roman" w:cs="Times New Roman"/>
          <w:sz w:val="24"/>
          <w:szCs w:val="24"/>
        </w:rPr>
        <w:t xml:space="preserve"> </w:t>
      </w:r>
      <w:r w:rsidR="0002034A" w:rsidRPr="00837F9C">
        <w:rPr>
          <w:rFonts w:ascii="Times New Roman" w:hAnsi="Times New Roman" w:cs="Times New Roman"/>
          <w:sz w:val="24"/>
          <w:szCs w:val="24"/>
        </w:rPr>
        <w:t>emerged as the dominant modality</w:t>
      </w:r>
      <w:r w:rsidR="00DA1591">
        <w:rPr>
          <w:rFonts w:ascii="Times New Roman" w:hAnsi="Times New Roman" w:cs="Times New Roman"/>
          <w:sz w:val="24"/>
          <w:szCs w:val="24"/>
        </w:rPr>
        <w:t xml:space="preserve">, with 34.1% of employees working only from the work office (never adopted teleworking), </w:t>
      </w:r>
      <w:r w:rsidR="0032006F">
        <w:rPr>
          <w:rFonts w:ascii="Times New Roman" w:hAnsi="Times New Roman" w:cs="Times New Roman"/>
          <w:sz w:val="24"/>
          <w:szCs w:val="24"/>
        </w:rPr>
        <w:t xml:space="preserve">40.7% </w:t>
      </w:r>
      <w:r w:rsidR="0032006F">
        <w:rPr>
          <w:rFonts w:ascii="Times New Roman" w:hAnsi="Times New Roman" w:cs="Times New Roman"/>
          <w:sz w:val="24"/>
          <w:szCs w:val="24"/>
        </w:rPr>
        <w:lastRenderedPageBreak/>
        <w:t>[=(20.6+11.0+30.2)</w:t>
      </w:r>
      <w:r w:rsidR="00BF3822">
        <w:rPr>
          <w:rFonts w:ascii="Times New Roman" w:hAnsi="Times New Roman" w:cs="Times New Roman"/>
          <w:sz w:val="24"/>
          <w:szCs w:val="24"/>
        </w:rPr>
        <w:t>×</w:t>
      </w:r>
      <w:r w:rsidR="0032006F">
        <w:rPr>
          <w:rFonts w:ascii="Times New Roman" w:hAnsi="Times New Roman" w:cs="Times New Roman"/>
          <w:sz w:val="24"/>
          <w:szCs w:val="24"/>
        </w:rPr>
        <w:t>65.9/100] working in hybrid mode fashion, and 25.2% [=38.2</w:t>
      </w:r>
      <w:r w:rsidR="00BF3822">
        <w:rPr>
          <w:rFonts w:ascii="Times New Roman" w:hAnsi="Times New Roman" w:cs="Times New Roman"/>
          <w:sz w:val="24"/>
          <w:szCs w:val="24"/>
        </w:rPr>
        <w:t>×</w:t>
      </w:r>
      <w:r w:rsidR="0032006F">
        <w:rPr>
          <w:rFonts w:ascii="Times New Roman" w:hAnsi="Times New Roman" w:cs="Times New Roman"/>
          <w:sz w:val="24"/>
          <w:szCs w:val="24"/>
        </w:rPr>
        <w:t xml:space="preserve">65.9/100] working only remotely. </w:t>
      </w:r>
    </w:p>
    <w:p w14:paraId="66D51187" w14:textId="428FA14E" w:rsidR="00700FD4" w:rsidRDefault="0002034A" w:rsidP="00700FD4">
      <w:pPr>
        <w:keepNext/>
        <w:spacing w:after="0" w:line="276" w:lineRule="auto"/>
        <w:rPr>
          <w:rFonts w:ascii="Times New Roman" w:hAnsi="Times New Roman" w:cs="Times New Roman"/>
          <w:sz w:val="24"/>
          <w:szCs w:val="24"/>
        </w:rPr>
      </w:pPr>
      <w:r w:rsidRPr="00837F9C">
        <w:rPr>
          <w:rFonts w:ascii="Times New Roman" w:hAnsi="Times New Roman" w:cs="Times New Roman"/>
          <w:sz w:val="24"/>
          <w:szCs w:val="24"/>
        </w:rPr>
        <w:tab/>
        <w:t xml:space="preserve">The </w:t>
      </w:r>
      <w:r w:rsidR="0032006F">
        <w:rPr>
          <w:rFonts w:ascii="Times New Roman" w:hAnsi="Times New Roman" w:cs="Times New Roman"/>
          <w:sz w:val="24"/>
          <w:szCs w:val="24"/>
        </w:rPr>
        <w:t>next telework location</w:t>
      </w:r>
      <w:r w:rsidRPr="00837F9C">
        <w:rPr>
          <w:rFonts w:ascii="Times New Roman" w:hAnsi="Times New Roman" w:cs="Times New Roman"/>
          <w:sz w:val="24"/>
          <w:szCs w:val="24"/>
        </w:rPr>
        <w:t xml:space="preserve"> part of the table shows tha</w:t>
      </w:r>
      <w:r w:rsidR="00BE5D16">
        <w:rPr>
          <w:rFonts w:ascii="Times New Roman" w:hAnsi="Times New Roman" w:cs="Times New Roman"/>
          <w:sz w:val="24"/>
          <w:szCs w:val="24"/>
        </w:rPr>
        <w:t>t</w:t>
      </w:r>
      <w:r w:rsidR="0032006F">
        <w:rPr>
          <w:rFonts w:ascii="Times New Roman" w:hAnsi="Times New Roman" w:cs="Times New Roman"/>
          <w:sz w:val="24"/>
          <w:szCs w:val="24"/>
        </w:rPr>
        <w:t>,</w:t>
      </w:r>
      <w:r w:rsidR="00BE5D16">
        <w:rPr>
          <w:rFonts w:ascii="Times New Roman" w:hAnsi="Times New Roman" w:cs="Times New Roman"/>
          <w:sz w:val="24"/>
          <w:szCs w:val="24"/>
        </w:rPr>
        <w:t xml:space="preserve"> </w:t>
      </w:r>
      <w:r w:rsidR="00004D3F">
        <w:rPr>
          <w:rFonts w:ascii="Times New Roman" w:hAnsi="Times New Roman" w:cs="Times New Roman"/>
          <w:sz w:val="24"/>
          <w:szCs w:val="24"/>
        </w:rPr>
        <w:t xml:space="preserve">in both the </w:t>
      </w:r>
      <w:r w:rsidR="00004D3F" w:rsidRPr="00961062">
        <w:rPr>
          <w:rFonts w:ascii="Times New Roman" w:hAnsi="Times New Roman" w:cs="Times New Roman"/>
          <w:i/>
          <w:sz w:val="24"/>
          <w:szCs w:val="24"/>
        </w:rPr>
        <w:t>Before</w:t>
      </w:r>
      <w:r w:rsidR="00362010" w:rsidRPr="00A15909">
        <w:rPr>
          <w:rFonts w:ascii="Times New Roman" w:hAnsi="Times New Roman" w:cs="Times New Roman"/>
          <w:sz w:val="24"/>
          <w:szCs w:val="24"/>
        </w:rPr>
        <w:t xml:space="preserve"> </w:t>
      </w:r>
      <w:r w:rsidR="00004D3F" w:rsidRPr="00A15909">
        <w:rPr>
          <w:rFonts w:ascii="Times New Roman" w:hAnsi="Times New Roman" w:cs="Times New Roman"/>
          <w:sz w:val="24"/>
          <w:szCs w:val="24"/>
        </w:rPr>
        <w:t>COVID</w:t>
      </w:r>
      <w:r w:rsidR="00004D3F" w:rsidRPr="00C711F7">
        <w:rPr>
          <w:rFonts w:ascii="Times New Roman" w:hAnsi="Times New Roman" w:cs="Times New Roman"/>
          <w:sz w:val="24"/>
          <w:szCs w:val="24"/>
        </w:rPr>
        <w:t xml:space="preserve"> </w:t>
      </w:r>
      <w:r w:rsidR="00004D3F">
        <w:rPr>
          <w:rFonts w:ascii="Times New Roman" w:hAnsi="Times New Roman" w:cs="Times New Roman"/>
          <w:sz w:val="24"/>
          <w:szCs w:val="24"/>
        </w:rPr>
        <w:t xml:space="preserve">and </w:t>
      </w:r>
      <w:r w:rsidR="00004D3F" w:rsidRPr="00961062">
        <w:rPr>
          <w:rFonts w:ascii="Times New Roman" w:hAnsi="Times New Roman" w:cs="Times New Roman"/>
          <w:i/>
          <w:sz w:val="24"/>
          <w:szCs w:val="24"/>
        </w:rPr>
        <w:t>After</w:t>
      </w:r>
      <w:r w:rsidR="00362010">
        <w:rPr>
          <w:rFonts w:ascii="Times New Roman" w:hAnsi="Times New Roman" w:cs="Times New Roman"/>
          <w:i/>
          <w:sz w:val="24"/>
          <w:szCs w:val="24"/>
        </w:rPr>
        <w:t xml:space="preserve"> </w:t>
      </w:r>
      <w:r w:rsidR="00004D3F" w:rsidRPr="00A15909">
        <w:rPr>
          <w:rFonts w:ascii="Times New Roman" w:hAnsi="Times New Roman" w:cs="Times New Roman"/>
          <w:sz w:val="24"/>
          <w:szCs w:val="24"/>
        </w:rPr>
        <w:t>COVID</w:t>
      </w:r>
      <w:r w:rsidR="00004D3F" w:rsidRPr="00C711F7">
        <w:rPr>
          <w:rFonts w:ascii="Times New Roman" w:hAnsi="Times New Roman" w:cs="Times New Roman"/>
          <w:sz w:val="24"/>
          <w:szCs w:val="24"/>
        </w:rPr>
        <w:t xml:space="preserve"> </w:t>
      </w:r>
      <w:r w:rsidR="00004D3F" w:rsidRPr="00837F9C">
        <w:rPr>
          <w:rFonts w:ascii="Times New Roman" w:hAnsi="Times New Roman" w:cs="Times New Roman"/>
          <w:sz w:val="24"/>
          <w:szCs w:val="24"/>
        </w:rPr>
        <w:t>periods,</w:t>
      </w:r>
      <w:r w:rsidRPr="00837F9C">
        <w:rPr>
          <w:rFonts w:ascii="Times New Roman" w:hAnsi="Times New Roman" w:cs="Times New Roman"/>
          <w:sz w:val="24"/>
          <w:szCs w:val="24"/>
        </w:rPr>
        <w:t xml:space="preserve"> more than 85 percent of </w:t>
      </w:r>
      <w:r w:rsidR="00BE5D16">
        <w:rPr>
          <w:rFonts w:ascii="Times New Roman" w:hAnsi="Times New Roman" w:cs="Times New Roman"/>
          <w:sz w:val="24"/>
          <w:szCs w:val="24"/>
        </w:rPr>
        <w:t xml:space="preserve">teleworkers </w:t>
      </w:r>
      <w:r w:rsidRPr="00837F9C">
        <w:rPr>
          <w:rFonts w:ascii="Times New Roman" w:hAnsi="Times New Roman" w:cs="Times New Roman"/>
          <w:sz w:val="24"/>
          <w:szCs w:val="24"/>
        </w:rPr>
        <w:t xml:space="preserve">reported doing so only </w:t>
      </w:r>
      <w:r w:rsidR="00BE5D16">
        <w:rPr>
          <w:rFonts w:ascii="Times New Roman" w:hAnsi="Times New Roman" w:cs="Times New Roman"/>
          <w:sz w:val="24"/>
          <w:szCs w:val="24"/>
        </w:rPr>
        <w:t>from</w:t>
      </w:r>
      <w:r w:rsidRPr="00837F9C">
        <w:rPr>
          <w:rFonts w:ascii="Times New Roman" w:hAnsi="Times New Roman" w:cs="Times New Roman"/>
          <w:sz w:val="24"/>
          <w:szCs w:val="24"/>
        </w:rPr>
        <w:t xml:space="preserve"> home</w:t>
      </w:r>
      <w:r w:rsidR="00454203">
        <w:rPr>
          <w:rStyle w:val="FootnoteReference"/>
          <w:rFonts w:ascii="Times New Roman" w:hAnsi="Times New Roman" w:cs="Times New Roman"/>
          <w:sz w:val="24"/>
          <w:szCs w:val="24"/>
        </w:rPr>
        <w:footnoteReference w:id="6"/>
      </w:r>
      <w:r w:rsidRPr="00837F9C">
        <w:rPr>
          <w:rFonts w:ascii="Times New Roman" w:hAnsi="Times New Roman" w:cs="Times New Roman"/>
          <w:sz w:val="24"/>
          <w:szCs w:val="24"/>
        </w:rPr>
        <w:t>.</w:t>
      </w:r>
      <w:r w:rsidR="00362010">
        <w:rPr>
          <w:rFonts w:ascii="Times New Roman" w:hAnsi="Times New Roman" w:cs="Times New Roman"/>
          <w:sz w:val="24"/>
          <w:szCs w:val="24"/>
        </w:rPr>
        <w:t xml:space="preserve"> In fact, as one would expect, the “home only” teleworkers increased from the </w:t>
      </w:r>
      <w:r w:rsidR="00362010" w:rsidRPr="00EF49C0">
        <w:rPr>
          <w:rFonts w:ascii="Times New Roman" w:hAnsi="Times New Roman" w:cs="Times New Roman"/>
          <w:i/>
          <w:sz w:val="24"/>
          <w:szCs w:val="24"/>
        </w:rPr>
        <w:t>Before</w:t>
      </w:r>
      <w:r w:rsidR="00362010">
        <w:rPr>
          <w:rFonts w:ascii="Times New Roman" w:hAnsi="Times New Roman" w:cs="Times New Roman"/>
          <w:sz w:val="24"/>
          <w:szCs w:val="24"/>
        </w:rPr>
        <w:t xml:space="preserve"> COVID to </w:t>
      </w:r>
      <w:r w:rsidR="00362010" w:rsidRPr="00EF49C0">
        <w:rPr>
          <w:rFonts w:ascii="Times New Roman" w:hAnsi="Times New Roman" w:cs="Times New Roman"/>
          <w:i/>
          <w:sz w:val="24"/>
          <w:szCs w:val="24"/>
        </w:rPr>
        <w:t xml:space="preserve">After </w:t>
      </w:r>
      <w:r w:rsidR="00362010">
        <w:rPr>
          <w:rFonts w:ascii="Times New Roman" w:hAnsi="Times New Roman" w:cs="Times New Roman"/>
          <w:sz w:val="24"/>
          <w:szCs w:val="24"/>
        </w:rPr>
        <w:t xml:space="preserve">COVID periods, given individuals may have gotten somewhat comfortable working from home after being strictly restricted to do so by government mandates during the height of the pandemic. However, also important to note is that the number of teleworkers working from a third location increased by 47% (from 17 to 25 teleworkers) between the </w:t>
      </w:r>
      <w:r w:rsidR="00362010" w:rsidRPr="00961062">
        <w:rPr>
          <w:rFonts w:ascii="Times New Roman" w:hAnsi="Times New Roman" w:cs="Times New Roman"/>
          <w:i/>
          <w:sz w:val="24"/>
          <w:szCs w:val="24"/>
        </w:rPr>
        <w:t>Before</w:t>
      </w:r>
      <w:r w:rsidR="00362010">
        <w:rPr>
          <w:rFonts w:ascii="Times New Roman" w:hAnsi="Times New Roman" w:cs="Times New Roman"/>
          <w:i/>
          <w:sz w:val="24"/>
          <w:szCs w:val="24"/>
        </w:rPr>
        <w:t xml:space="preserve"> </w:t>
      </w:r>
      <w:r w:rsidR="00362010" w:rsidRPr="00A15909">
        <w:rPr>
          <w:rFonts w:ascii="Times New Roman" w:hAnsi="Times New Roman" w:cs="Times New Roman"/>
          <w:sz w:val="24"/>
          <w:szCs w:val="24"/>
        </w:rPr>
        <w:t>COVID</w:t>
      </w:r>
      <w:r w:rsidR="00362010" w:rsidRPr="00C711F7">
        <w:rPr>
          <w:rFonts w:ascii="Times New Roman" w:hAnsi="Times New Roman" w:cs="Times New Roman"/>
          <w:sz w:val="24"/>
          <w:szCs w:val="24"/>
        </w:rPr>
        <w:t xml:space="preserve"> </w:t>
      </w:r>
      <w:r w:rsidR="00362010">
        <w:rPr>
          <w:rFonts w:ascii="Times New Roman" w:hAnsi="Times New Roman" w:cs="Times New Roman"/>
          <w:sz w:val="24"/>
          <w:szCs w:val="24"/>
        </w:rPr>
        <w:t xml:space="preserve">and </w:t>
      </w:r>
      <w:r w:rsidR="00362010" w:rsidRPr="00961062">
        <w:rPr>
          <w:rFonts w:ascii="Times New Roman" w:hAnsi="Times New Roman" w:cs="Times New Roman"/>
          <w:i/>
          <w:sz w:val="24"/>
          <w:szCs w:val="24"/>
        </w:rPr>
        <w:t>After</w:t>
      </w:r>
      <w:r w:rsidR="00362010">
        <w:rPr>
          <w:rFonts w:ascii="Times New Roman" w:hAnsi="Times New Roman" w:cs="Times New Roman"/>
          <w:i/>
          <w:sz w:val="24"/>
          <w:szCs w:val="24"/>
        </w:rPr>
        <w:t xml:space="preserve"> </w:t>
      </w:r>
      <w:r w:rsidR="00362010" w:rsidRPr="00A15909">
        <w:rPr>
          <w:rFonts w:ascii="Times New Roman" w:hAnsi="Times New Roman" w:cs="Times New Roman"/>
          <w:sz w:val="24"/>
          <w:szCs w:val="24"/>
        </w:rPr>
        <w:t>COVID</w:t>
      </w:r>
      <w:r w:rsidR="00362010" w:rsidRPr="00C711F7">
        <w:rPr>
          <w:rFonts w:ascii="Times New Roman" w:hAnsi="Times New Roman" w:cs="Times New Roman"/>
          <w:sz w:val="24"/>
          <w:szCs w:val="24"/>
        </w:rPr>
        <w:t xml:space="preserve"> </w:t>
      </w:r>
      <w:r w:rsidR="00362010" w:rsidRPr="00837F9C">
        <w:rPr>
          <w:rFonts w:ascii="Times New Roman" w:hAnsi="Times New Roman" w:cs="Times New Roman"/>
          <w:sz w:val="24"/>
          <w:szCs w:val="24"/>
        </w:rPr>
        <w:t>periods</w:t>
      </w:r>
      <w:r w:rsidR="00362010">
        <w:rPr>
          <w:rFonts w:ascii="Times New Roman" w:hAnsi="Times New Roman" w:cs="Times New Roman"/>
          <w:sz w:val="24"/>
          <w:szCs w:val="24"/>
        </w:rPr>
        <w:t>.</w:t>
      </w:r>
      <w:r w:rsidR="00FA6EC2" w:rsidRPr="00FA6EC2">
        <w:rPr>
          <w:rStyle w:val="FootnoteReference"/>
          <w:rFonts w:ascii="Times New Roman" w:hAnsi="Times New Roman" w:cs="Times New Roman"/>
          <w:sz w:val="24"/>
          <w:szCs w:val="24"/>
        </w:rPr>
        <w:t xml:space="preserve"> </w:t>
      </w:r>
      <w:r w:rsidR="00FA6EC2">
        <w:rPr>
          <w:rStyle w:val="FootnoteReference"/>
          <w:rFonts w:ascii="Times New Roman" w:hAnsi="Times New Roman" w:cs="Times New Roman"/>
          <w:sz w:val="24"/>
          <w:szCs w:val="24"/>
        </w:rPr>
        <w:footnoteReference w:id="7"/>
      </w:r>
      <w:r w:rsidR="00362010">
        <w:rPr>
          <w:rFonts w:ascii="Times New Roman" w:hAnsi="Times New Roman" w:cs="Times New Roman"/>
          <w:sz w:val="24"/>
          <w:szCs w:val="24"/>
        </w:rPr>
        <w:t xml:space="preserve"> </w:t>
      </w:r>
    </w:p>
    <w:p w14:paraId="1D2E01BF" w14:textId="77777777" w:rsidR="00DA63C4" w:rsidRPr="00E1729F" w:rsidRDefault="00DA63C4" w:rsidP="00DA63C4">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T</w:t>
      </w:r>
      <w:r w:rsidRPr="00E1729F">
        <w:rPr>
          <w:rFonts w:ascii="Times New Roman" w:hAnsi="Times New Roman" w:cs="Times New Roman"/>
          <w:sz w:val="24"/>
          <w:szCs w:val="24"/>
        </w:rPr>
        <w:t xml:space="preserve">he </w:t>
      </w:r>
      <w:r>
        <w:rPr>
          <w:rFonts w:ascii="Times New Roman" w:hAnsi="Times New Roman" w:cs="Times New Roman"/>
          <w:sz w:val="24"/>
          <w:szCs w:val="24"/>
        </w:rPr>
        <w:t xml:space="preserve">final </w:t>
      </w:r>
      <w:r w:rsidRPr="00E1729F">
        <w:rPr>
          <w:rFonts w:ascii="Times New Roman" w:hAnsi="Times New Roman" w:cs="Times New Roman"/>
          <w:sz w:val="24"/>
          <w:szCs w:val="24"/>
        </w:rPr>
        <w:t xml:space="preserve">part of the table depicts the transition in </w:t>
      </w:r>
      <w:r>
        <w:rPr>
          <w:rFonts w:ascii="Times New Roman" w:hAnsi="Times New Roman" w:cs="Times New Roman"/>
          <w:sz w:val="24"/>
          <w:szCs w:val="24"/>
        </w:rPr>
        <w:t>tele</w:t>
      </w:r>
      <w:r w:rsidRPr="00E1729F">
        <w:rPr>
          <w:rFonts w:ascii="Times New Roman" w:hAnsi="Times New Roman" w:cs="Times New Roman"/>
          <w:sz w:val="24"/>
          <w:szCs w:val="24"/>
        </w:rPr>
        <w:t xml:space="preserve">work </w:t>
      </w:r>
      <w:r>
        <w:rPr>
          <w:rFonts w:ascii="Times New Roman" w:hAnsi="Times New Roman" w:cs="Times New Roman"/>
          <w:sz w:val="24"/>
          <w:szCs w:val="24"/>
        </w:rPr>
        <w:t xml:space="preserve">adoption/frequency </w:t>
      </w:r>
      <w:r w:rsidRPr="00E1729F">
        <w:rPr>
          <w:rFonts w:ascii="Times New Roman" w:hAnsi="Times New Roman" w:cs="Times New Roman"/>
          <w:sz w:val="24"/>
          <w:szCs w:val="24"/>
        </w:rPr>
        <w:t xml:space="preserve">between the </w:t>
      </w:r>
      <w:r>
        <w:rPr>
          <w:rFonts w:ascii="Times New Roman" w:hAnsi="Times New Roman" w:cs="Times New Roman"/>
          <w:i/>
          <w:sz w:val="24"/>
          <w:szCs w:val="24"/>
        </w:rPr>
        <w:t>B</w:t>
      </w:r>
      <w:r w:rsidRPr="00961062">
        <w:rPr>
          <w:rFonts w:ascii="Times New Roman" w:hAnsi="Times New Roman" w:cs="Times New Roman"/>
          <w:i/>
          <w:sz w:val="24"/>
          <w:szCs w:val="24"/>
        </w:rPr>
        <w:t>efore</w:t>
      </w:r>
      <w:r>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E1729F">
        <w:rPr>
          <w:rFonts w:ascii="Times New Roman" w:hAnsi="Times New Roman" w:cs="Times New Roman"/>
          <w:sz w:val="24"/>
          <w:szCs w:val="24"/>
        </w:rPr>
        <w:t xml:space="preserve">period and the </w:t>
      </w:r>
      <w:r>
        <w:rPr>
          <w:rFonts w:ascii="Times New Roman" w:hAnsi="Times New Roman" w:cs="Times New Roman"/>
          <w:i/>
          <w:sz w:val="24"/>
          <w:szCs w:val="24"/>
        </w:rPr>
        <w:t xml:space="preserve">After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E1729F">
        <w:rPr>
          <w:rFonts w:ascii="Times New Roman" w:hAnsi="Times New Roman" w:cs="Times New Roman"/>
          <w:sz w:val="24"/>
          <w:szCs w:val="24"/>
        </w:rPr>
        <w:t xml:space="preserve">period. Among those who </w:t>
      </w:r>
      <w:r>
        <w:rPr>
          <w:rFonts w:ascii="Times New Roman" w:hAnsi="Times New Roman" w:cs="Times New Roman"/>
          <w:sz w:val="24"/>
          <w:szCs w:val="24"/>
        </w:rPr>
        <w:t>did not</w:t>
      </w:r>
      <w:r w:rsidRPr="00E1729F">
        <w:rPr>
          <w:rFonts w:ascii="Times New Roman" w:hAnsi="Times New Roman" w:cs="Times New Roman"/>
          <w:sz w:val="24"/>
          <w:szCs w:val="24"/>
        </w:rPr>
        <w:t xml:space="preserve"> </w:t>
      </w:r>
      <w:r>
        <w:rPr>
          <w:rFonts w:ascii="Times New Roman" w:hAnsi="Times New Roman" w:cs="Times New Roman"/>
          <w:sz w:val="24"/>
          <w:szCs w:val="24"/>
        </w:rPr>
        <w:t>adopt telework</w:t>
      </w:r>
      <w:r w:rsidRPr="00E1729F">
        <w:rPr>
          <w:rFonts w:ascii="Times New Roman" w:hAnsi="Times New Roman" w:cs="Times New Roman"/>
          <w:sz w:val="24"/>
          <w:szCs w:val="24"/>
        </w:rPr>
        <w:t xml:space="preserve"> prior to COVID, 47.3 percent transitioned to some level of </w:t>
      </w:r>
      <w:r>
        <w:rPr>
          <w:rFonts w:ascii="Times New Roman" w:hAnsi="Times New Roman" w:cs="Times New Roman"/>
          <w:sz w:val="24"/>
          <w:szCs w:val="24"/>
        </w:rPr>
        <w:t>tele</w:t>
      </w:r>
      <w:r w:rsidRPr="00E1729F">
        <w:rPr>
          <w:rFonts w:ascii="Times New Roman" w:hAnsi="Times New Roman" w:cs="Times New Roman"/>
          <w:sz w:val="24"/>
          <w:szCs w:val="24"/>
        </w:rPr>
        <w:t>work with 11.5 percent doing so every day. Among those who tele</w:t>
      </w:r>
      <w:r>
        <w:rPr>
          <w:rFonts w:ascii="Times New Roman" w:hAnsi="Times New Roman" w:cs="Times New Roman"/>
          <w:sz w:val="24"/>
          <w:szCs w:val="24"/>
        </w:rPr>
        <w:t>worked</w:t>
      </w:r>
      <w:r w:rsidRPr="00E1729F">
        <w:rPr>
          <w:rFonts w:ascii="Times New Roman" w:hAnsi="Times New Roman" w:cs="Times New Roman"/>
          <w:sz w:val="24"/>
          <w:szCs w:val="24"/>
        </w:rPr>
        <w:t xml:space="preserve"> a few times per month before COVID, about one-third continued to do so at that level in the </w:t>
      </w:r>
      <w:r w:rsidRPr="00700FD4">
        <w:rPr>
          <w:rFonts w:ascii="Times New Roman" w:hAnsi="Times New Roman" w:cs="Times New Roman"/>
          <w:i/>
          <w:sz w:val="24"/>
          <w:szCs w:val="24"/>
        </w:rPr>
        <w:t>Afte</w:t>
      </w:r>
      <w:r>
        <w:rPr>
          <w:rFonts w:ascii="Times New Roman" w:hAnsi="Times New Roman" w:cs="Times New Roman"/>
          <w:i/>
          <w:sz w:val="24"/>
          <w:szCs w:val="24"/>
        </w:rPr>
        <w:t xml:space="preserve">r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E1729F">
        <w:rPr>
          <w:rFonts w:ascii="Times New Roman" w:hAnsi="Times New Roman" w:cs="Times New Roman"/>
          <w:sz w:val="24"/>
          <w:szCs w:val="24"/>
        </w:rPr>
        <w:t xml:space="preserve">period, but one-quarter </w:t>
      </w:r>
      <w:r>
        <w:rPr>
          <w:rFonts w:ascii="Times New Roman" w:hAnsi="Times New Roman" w:cs="Times New Roman"/>
          <w:sz w:val="24"/>
          <w:szCs w:val="24"/>
        </w:rPr>
        <w:t>tele</w:t>
      </w:r>
      <w:r w:rsidRPr="00E1729F">
        <w:rPr>
          <w:rFonts w:ascii="Times New Roman" w:hAnsi="Times New Roman" w:cs="Times New Roman"/>
          <w:sz w:val="24"/>
          <w:szCs w:val="24"/>
        </w:rPr>
        <w:t>worked 2-4 days per week and another one-quarter transitioned to full-time</w:t>
      </w:r>
      <w:r>
        <w:rPr>
          <w:rFonts w:ascii="Times New Roman" w:hAnsi="Times New Roman" w:cs="Times New Roman"/>
          <w:sz w:val="24"/>
          <w:szCs w:val="24"/>
        </w:rPr>
        <w:t xml:space="preserve"> tele</w:t>
      </w:r>
      <w:r w:rsidRPr="00E1729F">
        <w:rPr>
          <w:rFonts w:ascii="Times New Roman" w:hAnsi="Times New Roman" w:cs="Times New Roman"/>
          <w:sz w:val="24"/>
          <w:szCs w:val="24"/>
        </w:rPr>
        <w:t xml:space="preserve">work.  Similar patterns are seen among other occasional teleworker groups; in general, they transitioned to higher levels of teleworking in the </w:t>
      </w:r>
      <w:r>
        <w:rPr>
          <w:rFonts w:ascii="Times New Roman" w:hAnsi="Times New Roman" w:cs="Times New Roman"/>
          <w:i/>
          <w:sz w:val="24"/>
          <w:szCs w:val="24"/>
        </w:rPr>
        <w:t xml:space="preserve">After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E1729F">
        <w:rPr>
          <w:rFonts w:ascii="Times New Roman" w:hAnsi="Times New Roman" w:cs="Times New Roman"/>
          <w:sz w:val="24"/>
          <w:szCs w:val="24"/>
        </w:rPr>
        <w:t xml:space="preserve">period compared with </w:t>
      </w:r>
      <w:r>
        <w:rPr>
          <w:rFonts w:ascii="Times New Roman" w:hAnsi="Times New Roman" w:cs="Times New Roman"/>
          <w:i/>
          <w:sz w:val="24"/>
          <w:szCs w:val="24"/>
        </w:rPr>
        <w:t>B</w:t>
      </w:r>
      <w:r w:rsidRPr="00961062">
        <w:rPr>
          <w:rFonts w:ascii="Times New Roman" w:hAnsi="Times New Roman" w:cs="Times New Roman"/>
          <w:i/>
          <w:sz w:val="24"/>
          <w:szCs w:val="24"/>
        </w:rPr>
        <w:t>efore</w:t>
      </w:r>
      <w:r>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w:t>
      </w:r>
      <w:r>
        <w:rPr>
          <w:rFonts w:ascii="Times New Roman" w:hAnsi="Times New Roman" w:cs="Times New Roman"/>
          <w:sz w:val="24"/>
          <w:szCs w:val="24"/>
        </w:rPr>
        <w:t xml:space="preserve"> Not surprisingly, only 47 individuals (see the lower diagonal cells of the table), constituting roughly 4.8 percent of all</w:t>
      </w:r>
      <w:r w:rsidRPr="00E1729F">
        <w:rPr>
          <w:rFonts w:ascii="Times New Roman" w:hAnsi="Times New Roman" w:cs="Times New Roman"/>
          <w:sz w:val="24"/>
          <w:szCs w:val="24"/>
        </w:rPr>
        <w:t xml:space="preserve"> individuals</w:t>
      </w:r>
      <w:r>
        <w:rPr>
          <w:rFonts w:ascii="Times New Roman" w:hAnsi="Times New Roman" w:cs="Times New Roman"/>
          <w:sz w:val="24"/>
          <w:szCs w:val="24"/>
        </w:rPr>
        <w:t xml:space="preserve"> in the sample,</w:t>
      </w:r>
      <w:r w:rsidRPr="00E1729F">
        <w:rPr>
          <w:rFonts w:ascii="Times New Roman" w:hAnsi="Times New Roman" w:cs="Times New Roman"/>
          <w:sz w:val="24"/>
          <w:szCs w:val="24"/>
        </w:rPr>
        <w:t xml:space="preserve"> experienced a decrease in the level of </w:t>
      </w:r>
      <w:r>
        <w:rPr>
          <w:rFonts w:ascii="Times New Roman" w:hAnsi="Times New Roman" w:cs="Times New Roman"/>
          <w:sz w:val="24"/>
          <w:szCs w:val="24"/>
        </w:rPr>
        <w:t>tele</w:t>
      </w:r>
      <w:r w:rsidRPr="00E1729F">
        <w:rPr>
          <w:rFonts w:ascii="Times New Roman" w:hAnsi="Times New Roman" w:cs="Times New Roman"/>
          <w:sz w:val="24"/>
          <w:szCs w:val="24"/>
        </w:rPr>
        <w:t xml:space="preserve">work in the </w:t>
      </w:r>
      <w:r>
        <w:rPr>
          <w:rFonts w:ascii="Times New Roman" w:hAnsi="Times New Roman" w:cs="Times New Roman"/>
          <w:i/>
          <w:sz w:val="24"/>
          <w:szCs w:val="24"/>
        </w:rPr>
        <w:t xml:space="preserve">After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E1729F">
        <w:rPr>
          <w:rFonts w:ascii="Times New Roman" w:hAnsi="Times New Roman" w:cs="Times New Roman"/>
          <w:sz w:val="24"/>
          <w:szCs w:val="24"/>
        </w:rPr>
        <w:t>period</w:t>
      </w:r>
      <w:r>
        <w:rPr>
          <w:rFonts w:ascii="Times New Roman" w:hAnsi="Times New Roman" w:cs="Times New Roman"/>
          <w:sz w:val="24"/>
          <w:szCs w:val="24"/>
        </w:rPr>
        <w:t>.</w:t>
      </w:r>
      <w:r w:rsidRPr="00E1729F">
        <w:rPr>
          <w:rFonts w:ascii="Times New Roman" w:hAnsi="Times New Roman" w:cs="Times New Roman"/>
          <w:sz w:val="24"/>
          <w:szCs w:val="24"/>
        </w:rPr>
        <w:t xml:space="preserve"> Overall, the trends </w:t>
      </w:r>
      <w:r>
        <w:rPr>
          <w:rFonts w:ascii="Times New Roman" w:hAnsi="Times New Roman" w:cs="Times New Roman"/>
          <w:sz w:val="24"/>
          <w:szCs w:val="24"/>
        </w:rPr>
        <w:t xml:space="preserve">again </w:t>
      </w:r>
      <w:r w:rsidRPr="00E1729F">
        <w:rPr>
          <w:rFonts w:ascii="Times New Roman" w:hAnsi="Times New Roman" w:cs="Times New Roman"/>
          <w:sz w:val="24"/>
          <w:szCs w:val="24"/>
        </w:rPr>
        <w:t xml:space="preserve">depict a pattern </w:t>
      </w:r>
      <w:r>
        <w:rPr>
          <w:rFonts w:ascii="Times New Roman" w:hAnsi="Times New Roman" w:cs="Times New Roman"/>
          <w:sz w:val="24"/>
          <w:szCs w:val="24"/>
        </w:rPr>
        <w:t xml:space="preserve">of </w:t>
      </w:r>
      <w:r w:rsidRPr="00E1729F">
        <w:rPr>
          <w:rFonts w:ascii="Times New Roman" w:hAnsi="Times New Roman" w:cs="Times New Roman"/>
          <w:sz w:val="24"/>
          <w:szCs w:val="24"/>
        </w:rPr>
        <w:t>greater adoption of hybrid work arrangements</w:t>
      </w:r>
      <w:r>
        <w:rPr>
          <w:rFonts w:ascii="Times New Roman" w:hAnsi="Times New Roman" w:cs="Times New Roman"/>
          <w:sz w:val="24"/>
          <w:szCs w:val="24"/>
        </w:rPr>
        <w:t xml:space="preserve"> </w:t>
      </w:r>
      <w:r w:rsidRPr="00E1729F">
        <w:rPr>
          <w:rFonts w:ascii="Times New Roman" w:hAnsi="Times New Roman" w:cs="Times New Roman"/>
          <w:sz w:val="24"/>
          <w:szCs w:val="24"/>
        </w:rPr>
        <w:t>after COVID</w:t>
      </w:r>
      <w:r>
        <w:rPr>
          <w:rFonts w:ascii="Times New Roman" w:hAnsi="Times New Roman" w:cs="Times New Roman"/>
          <w:sz w:val="24"/>
          <w:szCs w:val="24"/>
        </w:rPr>
        <w:t xml:space="preserve">. </w:t>
      </w:r>
    </w:p>
    <w:p w14:paraId="194708CA" w14:textId="77777777" w:rsidR="00A92632" w:rsidRDefault="00A92632" w:rsidP="00700FD4">
      <w:pPr>
        <w:keepNext/>
        <w:spacing w:after="0" w:line="276" w:lineRule="auto"/>
        <w:rPr>
          <w:rFonts w:ascii="Times New Roman" w:hAnsi="Times New Roman" w:cs="Times New Roman"/>
          <w:sz w:val="24"/>
          <w:szCs w:val="24"/>
        </w:rPr>
      </w:pPr>
    </w:p>
    <w:p w14:paraId="1F2148BF" w14:textId="77777777" w:rsidR="00A92632" w:rsidRDefault="00A92632" w:rsidP="00700FD4">
      <w:pPr>
        <w:keepNext/>
        <w:spacing w:after="0" w:line="276" w:lineRule="auto"/>
        <w:rPr>
          <w:rFonts w:ascii="Times New Roman" w:hAnsi="Times New Roman" w:cs="Times New Roman"/>
          <w:sz w:val="24"/>
          <w:szCs w:val="24"/>
        </w:rPr>
      </w:pPr>
    </w:p>
    <w:p w14:paraId="5CFFFDB4" w14:textId="5528F3E4" w:rsidR="00A92632" w:rsidRDefault="00A92632" w:rsidP="00700FD4">
      <w:pPr>
        <w:keepNext/>
        <w:spacing w:after="0" w:line="276" w:lineRule="auto"/>
        <w:rPr>
          <w:rFonts w:ascii="Times New Roman" w:hAnsi="Times New Roman" w:cs="Times New Roman"/>
          <w:sz w:val="24"/>
          <w:szCs w:val="24"/>
        </w:rPr>
        <w:sectPr w:rsidR="00A92632" w:rsidSect="00700FD4">
          <w:pgSz w:w="12240" w:h="15840" w:code="1"/>
          <w:pgMar w:top="1440" w:right="1440" w:bottom="1440" w:left="1440" w:header="720" w:footer="720" w:gutter="0"/>
          <w:cols w:space="720"/>
          <w:docGrid w:linePitch="360"/>
        </w:sectPr>
      </w:pPr>
    </w:p>
    <w:p w14:paraId="4B6E0313" w14:textId="79382618" w:rsidR="00BB7062" w:rsidRDefault="00BB7062" w:rsidP="00167EAB">
      <w:pPr>
        <w:spacing w:after="0" w:line="276" w:lineRule="auto"/>
        <w:rPr>
          <w:rFonts w:ascii="Times New Roman" w:eastAsia="Calibri" w:hAnsi="Times New Roman" w:cs="Times New Roman"/>
          <w:b/>
          <w:sz w:val="24"/>
          <w:szCs w:val="24"/>
        </w:rPr>
      </w:pPr>
      <w:r w:rsidRPr="00837F9C">
        <w:rPr>
          <w:rFonts w:ascii="Times New Roman" w:eastAsia="Calibri" w:hAnsi="Times New Roman" w:cs="Times New Roman"/>
          <w:b/>
          <w:sz w:val="24"/>
          <w:szCs w:val="24"/>
        </w:rPr>
        <w:lastRenderedPageBreak/>
        <w:t xml:space="preserve">Table </w:t>
      </w:r>
      <w:r w:rsidR="00585CA4" w:rsidRPr="00837F9C">
        <w:rPr>
          <w:rFonts w:ascii="Times New Roman" w:eastAsia="Calibri" w:hAnsi="Times New Roman" w:cs="Times New Roman"/>
          <w:b/>
          <w:sz w:val="24"/>
          <w:szCs w:val="24"/>
        </w:rPr>
        <w:t>2.</w:t>
      </w:r>
      <w:r w:rsidRPr="00837F9C">
        <w:rPr>
          <w:rFonts w:ascii="Times New Roman" w:eastAsia="Calibri" w:hAnsi="Times New Roman" w:cs="Times New Roman"/>
          <w:b/>
          <w:sz w:val="24"/>
          <w:szCs w:val="24"/>
        </w:rPr>
        <w:t xml:space="preserve"> Descriptive Characteristics of Endogenous Work Arrangement Variables</w:t>
      </w:r>
      <w:r w:rsidR="008A2A0F">
        <w:rPr>
          <w:rFonts w:ascii="Times New Roman" w:eastAsia="Calibri" w:hAnsi="Times New Roman" w:cs="Times New Roman"/>
          <w:b/>
          <w:sz w:val="24"/>
          <w:szCs w:val="24"/>
        </w:rPr>
        <w:t xml:space="preserve"> (Sample Size N=980)</w:t>
      </w:r>
    </w:p>
    <w:tbl>
      <w:tblPr>
        <w:tblStyle w:val="TableGrid"/>
        <w:tblW w:w="12945" w:type="dxa"/>
        <w:tblInd w:w="0" w:type="dxa"/>
        <w:tblLayout w:type="fixed"/>
        <w:tblLook w:val="06A0" w:firstRow="1" w:lastRow="0" w:firstColumn="1" w:lastColumn="0" w:noHBand="1" w:noVBand="1"/>
      </w:tblPr>
      <w:tblGrid>
        <w:gridCol w:w="2045"/>
        <w:gridCol w:w="977"/>
        <w:gridCol w:w="16"/>
        <w:gridCol w:w="7"/>
        <w:gridCol w:w="991"/>
        <w:gridCol w:w="997"/>
        <w:gridCol w:w="468"/>
        <w:gridCol w:w="19"/>
        <w:gridCol w:w="512"/>
        <w:gridCol w:w="998"/>
        <w:gridCol w:w="955"/>
        <w:gridCol w:w="10"/>
        <w:gridCol w:w="1035"/>
        <w:gridCol w:w="998"/>
        <w:gridCol w:w="436"/>
        <w:gridCol w:w="6"/>
        <w:gridCol w:w="557"/>
        <w:gridCol w:w="998"/>
        <w:gridCol w:w="920"/>
      </w:tblGrid>
      <w:tr w:rsidR="004B061D" w:rsidRPr="00837F9C" w14:paraId="1544C3AF" w14:textId="77777777" w:rsidTr="00A15909">
        <w:trPr>
          <w:trHeight w:val="288"/>
        </w:trPr>
        <w:tc>
          <w:tcPr>
            <w:tcW w:w="12945" w:type="dxa"/>
            <w:gridSpan w:val="19"/>
            <w:tcBorders>
              <w:top w:val="double" w:sz="4" w:space="0" w:color="auto"/>
              <w:left w:val="double" w:sz="4" w:space="0" w:color="auto"/>
              <w:right w:val="double" w:sz="4" w:space="0" w:color="auto"/>
            </w:tcBorders>
            <w:noWrap/>
          </w:tcPr>
          <w:p w14:paraId="60D63890" w14:textId="77777777" w:rsidR="004B061D" w:rsidRPr="00E1729F" w:rsidRDefault="004B061D" w:rsidP="004B061D">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Telework Adoption</w:t>
            </w:r>
          </w:p>
        </w:tc>
      </w:tr>
      <w:tr w:rsidR="004B061D" w:rsidRPr="00837F9C" w14:paraId="4ED8025C" w14:textId="77777777" w:rsidTr="00A15909">
        <w:trPr>
          <w:trHeight w:val="288"/>
        </w:trPr>
        <w:tc>
          <w:tcPr>
            <w:tcW w:w="3045" w:type="dxa"/>
            <w:gridSpan w:val="4"/>
            <w:vMerge w:val="restart"/>
            <w:tcBorders>
              <w:top w:val="double" w:sz="4" w:space="0" w:color="auto"/>
              <w:left w:val="double" w:sz="4" w:space="0" w:color="auto"/>
              <w:right w:val="single" w:sz="12" w:space="0" w:color="auto"/>
            </w:tcBorders>
            <w:noWrap/>
            <w:vAlign w:val="center"/>
          </w:tcPr>
          <w:p w14:paraId="0A13BC1C" w14:textId="77777777" w:rsidR="004B061D" w:rsidRPr="00933CF5" w:rsidRDefault="004B061D" w:rsidP="004B061D">
            <w:pPr>
              <w:spacing w:line="276" w:lineRule="auto"/>
              <w:jc w:val="left"/>
              <w:rPr>
                <w:rFonts w:ascii="Times New Roman" w:eastAsia="Times New Roman" w:hAnsi="Times New Roman" w:cs="Times New Roman"/>
              </w:rPr>
            </w:pPr>
            <w:r w:rsidRPr="00933CF5">
              <w:rPr>
                <w:rFonts w:ascii="Times New Roman" w:eastAsia="Times New Roman" w:hAnsi="Times New Roman" w:cs="Times New Roman"/>
              </w:rPr>
              <w:t>H</w:t>
            </w:r>
            <w:r>
              <w:rPr>
                <w:rFonts w:ascii="Times New Roman" w:eastAsia="Times New Roman" w:hAnsi="Times New Roman" w:cs="Times New Roman"/>
              </w:rPr>
              <w:t xml:space="preserve">as individual </w:t>
            </w:r>
            <w:r w:rsidRPr="00933CF5">
              <w:rPr>
                <w:rFonts w:ascii="Times New Roman" w:eastAsia="Times New Roman" w:hAnsi="Times New Roman" w:cs="Times New Roman"/>
              </w:rPr>
              <w:t>worked remote</w:t>
            </w:r>
            <w:r>
              <w:rPr>
                <w:rFonts w:ascii="Times New Roman" w:eastAsia="Times New Roman" w:hAnsi="Times New Roman" w:cs="Times New Roman"/>
              </w:rPr>
              <w:t xml:space="preserve">ly </w:t>
            </w:r>
            <w:r w:rsidRPr="00933CF5">
              <w:rPr>
                <w:rFonts w:ascii="Times New Roman" w:eastAsia="Times New Roman" w:hAnsi="Times New Roman" w:cs="Times New Roman"/>
              </w:rPr>
              <w:t>in the past month?</w:t>
            </w:r>
          </w:p>
        </w:tc>
        <w:tc>
          <w:tcPr>
            <w:tcW w:w="4950" w:type="dxa"/>
            <w:gridSpan w:val="8"/>
            <w:tcBorders>
              <w:top w:val="double" w:sz="4" w:space="0" w:color="auto"/>
              <w:left w:val="single" w:sz="12" w:space="0" w:color="auto"/>
              <w:right w:val="single" w:sz="12" w:space="0" w:color="auto"/>
            </w:tcBorders>
            <w:vAlign w:val="bottom"/>
          </w:tcPr>
          <w:p w14:paraId="3224461B" w14:textId="77777777" w:rsidR="004B061D" w:rsidRPr="009267DB" w:rsidRDefault="004B061D" w:rsidP="004B061D">
            <w:pPr>
              <w:spacing w:line="276" w:lineRule="auto"/>
              <w:jc w:val="center"/>
              <w:rPr>
                <w:rFonts w:ascii="Times New Roman" w:eastAsia="Times New Roman" w:hAnsi="Times New Roman" w:cs="Times New Roman"/>
                <w:bCs/>
                <w:i/>
              </w:rPr>
            </w:pPr>
            <w:r w:rsidRPr="009267DB">
              <w:rPr>
                <w:rFonts w:ascii="Times New Roman" w:eastAsia="Times New Roman" w:hAnsi="Times New Roman" w:cs="Times New Roman"/>
                <w:bCs/>
                <w:i/>
              </w:rPr>
              <w:t>Before</w:t>
            </w:r>
            <w:r>
              <w:rPr>
                <w:rFonts w:ascii="Times New Roman" w:eastAsia="Times New Roman" w:hAnsi="Times New Roman" w:cs="Times New Roman"/>
                <w:bCs/>
                <w:i/>
              </w:rPr>
              <w:t xml:space="preserve"> </w:t>
            </w:r>
            <w:r w:rsidRPr="00B42E2E">
              <w:rPr>
                <w:rFonts w:ascii="Times New Roman" w:eastAsia="Times New Roman" w:hAnsi="Times New Roman" w:cs="Times New Roman"/>
                <w:bCs/>
              </w:rPr>
              <w:t>COVID</w:t>
            </w:r>
          </w:p>
        </w:tc>
        <w:tc>
          <w:tcPr>
            <w:tcW w:w="4950" w:type="dxa"/>
            <w:gridSpan w:val="7"/>
            <w:tcBorders>
              <w:top w:val="double" w:sz="4" w:space="0" w:color="auto"/>
              <w:left w:val="single" w:sz="12" w:space="0" w:color="auto"/>
              <w:right w:val="double" w:sz="4" w:space="0" w:color="auto"/>
            </w:tcBorders>
            <w:vAlign w:val="bottom"/>
          </w:tcPr>
          <w:p w14:paraId="34A23BAC" w14:textId="77777777" w:rsidR="004B061D" w:rsidRPr="009267DB" w:rsidRDefault="004B061D" w:rsidP="004B061D">
            <w:pPr>
              <w:spacing w:line="276" w:lineRule="auto"/>
              <w:jc w:val="center"/>
              <w:rPr>
                <w:rFonts w:ascii="Times New Roman" w:eastAsia="Times New Roman" w:hAnsi="Times New Roman" w:cs="Times New Roman"/>
                <w:bCs/>
                <w:i/>
              </w:rPr>
            </w:pPr>
            <w:r w:rsidRPr="009267DB">
              <w:rPr>
                <w:rFonts w:ascii="Times New Roman" w:eastAsia="Times New Roman" w:hAnsi="Times New Roman" w:cs="Times New Roman"/>
                <w:bCs/>
                <w:i/>
              </w:rPr>
              <w:t>After</w:t>
            </w:r>
            <w:r>
              <w:rPr>
                <w:rFonts w:ascii="Times New Roman" w:eastAsia="Times New Roman" w:hAnsi="Times New Roman" w:cs="Times New Roman"/>
                <w:bCs/>
                <w:i/>
              </w:rPr>
              <w:t xml:space="preserve"> </w:t>
            </w:r>
            <w:r w:rsidRPr="00B42E2E">
              <w:rPr>
                <w:rFonts w:ascii="Times New Roman" w:eastAsia="Times New Roman" w:hAnsi="Times New Roman" w:cs="Times New Roman"/>
                <w:bCs/>
              </w:rPr>
              <w:t>COVID</w:t>
            </w:r>
          </w:p>
        </w:tc>
      </w:tr>
      <w:tr w:rsidR="004B061D" w:rsidRPr="00837F9C" w14:paraId="587EDC5F" w14:textId="77777777" w:rsidTr="00A15909">
        <w:trPr>
          <w:trHeight w:val="340"/>
        </w:trPr>
        <w:tc>
          <w:tcPr>
            <w:tcW w:w="3045" w:type="dxa"/>
            <w:gridSpan w:val="4"/>
            <w:vMerge/>
            <w:tcBorders>
              <w:left w:val="double" w:sz="4" w:space="0" w:color="auto"/>
              <w:bottom w:val="single" w:sz="12" w:space="0" w:color="auto"/>
              <w:right w:val="single" w:sz="12" w:space="0" w:color="auto"/>
            </w:tcBorders>
            <w:noWrap/>
          </w:tcPr>
          <w:p w14:paraId="4FDF6B32" w14:textId="77777777" w:rsidR="004B061D" w:rsidRPr="00933CF5" w:rsidRDefault="004B061D" w:rsidP="004B061D">
            <w:pPr>
              <w:spacing w:line="276" w:lineRule="auto"/>
              <w:jc w:val="center"/>
              <w:rPr>
                <w:rFonts w:ascii="Times New Roman" w:eastAsia="Times New Roman" w:hAnsi="Times New Roman" w:cs="Times New Roman"/>
              </w:rPr>
            </w:pPr>
          </w:p>
        </w:tc>
        <w:tc>
          <w:tcPr>
            <w:tcW w:w="2475" w:type="dxa"/>
            <w:gridSpan w:val="4"/>
            <w:tcBorders>
              <w:top w:val="single" w:sz="4" w:space="0" w:color="auto"/>
              <w:left w:val="single" w:sz="12" w:space="0" w:color="auto"/>
              <w:bottom w:val="single" w:sz="12" w:space="0" w:color="auto"/>
              <w:right w:val="single" w:sz="4" w:space="0" w:color="auto"/>
            </w:tcBorders>
          </w:tcPr>
          <w:p w14:paraId="49204CF5"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Count</w:t>
            </w:r>
          </w:p>
        </w:tc>
        <w:tc>
          <w:tcPr>
            <w:tcW w:w="2475" w:type="dxa"/>
            <w:gridSpan w:val="4"/>
            <w:tcBorders>
              <w:top w:val="single" w:sz="4" w:space="0" w:color="auto"/>
              <w:left w:val="single" w:sz="4" w:space="0" w:color="auto"/>
              <w:bottom w:val="single" w:sz="12" w:space="0" w:color="auto"/>
              <w:right w:val="single" w:sz="12" w:space="0" w:color="auto"/>
            </w:tcBorders>
          </w:tcPr>
          <w:p w14:paraId="77352D24"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Percent</w:t>
            </w:r>
          </w:p>
        </w:tc>
        <w:tc>
          <w:tcPr>
            <w:tcW w:w="2475" w:type="dxa"/>
            <w:gridSpan w:val="4"/>
            <w:tcBorders>
              <w:top w:val="single" w:sz="4" w:space="0" w:color="auto"/>
              <w:left w:val="single" w:sz="12" w:space="0" w:color="auto"/>
              <w:bottom w:val="single" w:sz="12" w:space="0" w:color="auto"/>
              <w:right w:val="single" w:sz="4" w:space="0" w:color="auto"/>
            </w:tcBorders>
          </w:tcPr>
          <w:p w14:paraId="4E11AB9F"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Count</w:t>
            </w:r>
          </w:p>
        </w:tc>
        <w:tc>
          <w:tcPr>
            <w:tcW w:w="2475" w:type="dxa"/>
            <w:gridSpan w:val="3"/>
            <w:tcBorders>
              <w:top w:val="single" w:sz="4" w:space="0" w:color="auto"/>
              <w:left w:val="single" w:sz="4" w:space="0" w:color="auto"/>
              <w:bottom w:val="single" w:sz="12" w:space="0" w:color="auto"/>
              <w:right w:val="double" w:sz="4" w:space="0" w:color="auto"/>
            </w:tcBorders>
          </w:tcPr>
          <w:p w14:paraId="16F1E22F"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Percent</w:t>
            </w:r>
          </w:p>
        </w:tc>
      </w:tr>
      <w:tr w:rsidR="004B061D" w:rsidRPr="00837F9C" w14:paraId="428C05E4" w14:textId="77777777" w:rsidTr="00A15909">
        <w:trPr>
          <w:trHeight w:val="340"/>
        </w:trPr>
        <w:tc>
          <w:tcPr>
            <w:tcW w:w="3045" w:type="dxa"/>
            <w:gridSpan w:val="4"/>
            <w:tcBorders>
              <w:top w:val="single" w:sz="12" w:space="0" w:color="auto"/>
              <w:left w:val="double" w:sz="4" w:space="0" w:color="auto"/>
              <w:right w:val="single" w:sz="12" w:space="0" w:color="auto"/>
            </w:tcBorders>
            <w:noWrap/>
          </w:tcPr>
          <w:p w14:paraId="15D9044D" w14:textId="77777777" w:rsidR="004B061D" w:rsidRPr="00933CF5"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No</w:t>
            </w:r>
          </w:p>
        </w:tc>
        <w:tc>
          <w:tcPr>
            <w:tcW w:w="2475" w:type="dxa"/>
            <w:gridSpan w:val="4"/>
            <w:tcBorders>
              <w:top w:val="single" w:sz="12" w:space="0" w:color="auto"/>
              <w:left w:val="single" w:sz="12" w:space="0" w:color="auto"/>
              <w:right w:val="single" w:sz="4" w:space="0" w:color="auto"/>
            </w:tcBorders>
          </w:tcPr>
          <w:p w14:paraId="4186C501"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582</w:t>
            </w:r>
          </w:p>
        </w:tc>
        <w:tc>
          <w:tcPr>
            <w:tcW w:w="2475" w:type="dxa"/>
            <w:gridSpan w:val="4"/>
            <w:tcBorders>
              <w:top w:val="single" w:sz="12" w:space="0" w:color="auto"/>
              <w:left w:val="single" w:sz="4" w:space="0" w:color="auto"/>
              <w:right w:val="single" w:sz="12" w:space="0" w:color="auto"/>
            </w:tcBorders>
          </w:tcPr>
          <w:p w14:paraId="6A4098B1"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59.4%</w:t>
            </w:r>
          </w:p>
        </w:tc>
        <w:tc>
          <w:tcPr>
            <w:tcW w:w="2475" w:type="dxa"/>
            <w:gridSpan w:val="4"/>
            <w:tcBorders>
              <w:top w:val="single" w:sz="12" w:space="0" w:color="auto"/>
              <w:left w:val="single" w:sz="12" w:space="0" w:color="auto"/>
              <w:right w:val="single" w:sz="4" w:space="0" w:color="auto"/>
            </w:tcBorders>
          </w:tcPr>
          <w:p w14:paraId="4B2EBCA1"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334</w:t>
            </w:r>
          </w:p>
        </w:tc>
        <w:tc>
          <w:tcPr>
            <w:tcW w:w="2475" w:type="dxa"/>
            <w:gridSpan w:val="3"/>
            <w:tcBorders>
              <w:top w:val="single" w:sz="12" w:space="0" w:color="auto"/>
              <w:left w:val="single" w:sz="4" w:space="0" w:color="auto"/>
              <w:right w:val="double" w:sz="4" w:space="0" w:color="auto"/>
            </w:tcBorders>
          </w:tcPr>
          <w:p w14:paraId="5B074FC4"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34.1%</w:t>
            </w:r>
          </w:p>
        </w:tc>
      </w:tr>
      <w:tr w:rsidR="004B061D" w:rsidRPr="00837F9C" w14:paraId="1FF3FA9C" w14:textId="77777777" w:rsidTr="00A15909">
        <w:trPr>
          <w:trHeight w:val="340"/>
        </w:trPr>
        <w:tc>
          <w:tcPr>
            <w:tcW w:w="3045" w:type="dxa"/>
            <w:gridSpan w:val="4"/>
            <w:tcBorders>
              <w:top w:val="single" w:sz="4" w:space="0" w:color="auto"/>
              <w:left w:val="double" w:sz="4" w:space="0" w:color="auto"/>
              <w:right w:val="single" w:sz="12" w:space="0" w:color="auto"/>
            </w:tcBorders>
            <w:noWrap/>
          </w:tcPr>
          <w:p w14:paraId="10CAE70E" w14:textId="77777777" w:rsidR="004B061D" w:rsidRPr="00933CF5"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Yes</w:t>
            </w:r>
          </w:p>
        </w:tc>
        <w:tc>
          <w:tcPr>
            <w:tcW w:w="2475" w:type="dxa"/>
            <w:gridSpan w:val="4"/>
            <w:tcBorders>
              <w:top w:val="single" w:sz="4" w:space="0" w:color="auto"/>
              <w:left w:val="single" w:sz="12" w:space="0" w:color="auto"/>
              <w:right w:val="single" w:sz="4" w:space="0" w:color="auto"/>
            </w:tcBorders>
          </w:tcPr>
          <w:p w14:paraId="530EB4CA"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398</w:t>
            </w:r>
          </w:p>
        </w:tc>
        <w:tc>
          <w:tcPr>
            <w:tcW w:w="2475" w:type="dxa"/>
            <w:gridSpan w:val="4"/>
            <w:tcBorders>
              <w:top w:val="single" w:sz="4" w:space="0" w:color="auto"/>
              <w:left w:val="single" w:sz="4" w:space="0" w:color="auto"/>
              <w:right w:val="single" w:sz="12" w:space="0" w:color="auto"/>
            </w:tcBorders>
          </w:tcPr>
          <w:p w14:paraId="763A85C4"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40.6</w:t>
            </w:r>
            <w:r>
              <w:rPr>
                <w:rFonts w:ascii="Times New Roman" w:eastAsia="Times New Roman" w:hAnsi="Times New Roman" w:cs="Times New Roman"/>
              </w:rPr>
              <w:t>%</w:t>
            </w:r>
          </w:p>
        </w:tc>
        <w:tc>
          <w:tcPr>
            <w:tcW w:w="2475" w:type="dxa"/>
            <w:gridSpan w:val="4"/>
            <w:tcBorders>
              <w:top w:val="single" w:sz="4" w:space="0" w:color="auto"/>
              <w:left w:val="single" w:sz="12" w:space="0" w:color="auto"/>
              <w:right w:val="single" w:sz="4" w:space="0" w:color="auto"/>
            </w:tcBorders>
          </w:tcPr>
          <w:p w14:paraId="3E2AAEFB"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646</w:t>
            </w:r>
          </w:p>
        </w:tc>
        <w:tc>
          <w:tcPr>
            <w:tcW w:w="2475" w:type="dxa"/>
            <w:gridSpan w:val="3"/>
            <w:tcBorders>
              <w:top w:val="single" w:sz="4" w:space="0" w:color="auto"/>
              <w:left w:val="single" w:sz="4" w:space="0" w:color="auto"/>
              <w:right w:val="double" w:sz="4" w:space="0" w:color="auto"/>
            </w:tcBorders>
          </w:tcPr>
          <w:p w14:paraId="0687B9EA" w14:textId="77777777" w:rsidR="004B061D" w:rsidRPr="00933CF5" w:rsidRDefault="004B061D" w:rsidP="004B061D">
            <w:pPr>
              <w:spacing w:line="276" w:lineRule="auto"/>
              <w:jc w:val="center"/>
              <w:rPr>
                <w:rFonts w:ascii="Times New Roman" w:eastAsia="Times New Roman" w:hAnsi="Times New Roman" w:cs="Times New Roman"/>
              </w:rPr>
            </w:pPr>
            <w:r w:rsidRPr="00933CF5">
              <w:rPr>
                <w:rFonts w:ascii="Times New Roman" w:eastAsia="Times New Roman" w:hAnsi="Times New Roman" w:cs="Times New Roman"/>
              </w:rPr>
              <w:t>65.9%</w:t>
            </w:r>
          </w:p>
        </w:tc>
      </w:tr>
      <w:tr w:rsidR="004B061D" w:rsidRPr="00837F9C" w14:paraId="11382F99" w14:textId="77777777" w:rsidTr="00A15909">
        <w:trPr>
          <w:trHeight w:val="288"/>
        </w:trPr>
        <w:tc>
          <w:tcPr>
            <w:tcW w:w="12945" w:type="dxa"/>
            <w:gridSpan w:val="19"/>
            <w:tcBorders>
              <w:top w:val="double" w:sz="4" w:space="0" w:color="auto"/>
              <w:left w:val="double" w:sz="4" w:space="0" w:color="auto"/>
              <w:right w:val="double" w:sz="4" w:space="0" w:color="auto"/>
            </w:tcBorders>
            <w:noWrap/>
          </w:tcPr>
          <w:p w14:paraId="6DE1F9C7" w14:textId="77777777" w:rsidR="004B061D" w:rsidRPr="00E1729F" w:rsidRDefault="004B061D" w:rsidP="004B061D">
            <w:pPr>
              <w:spacing w:line="276" w:lineRule="auto"/>
              <w:jc w:val="center"/>
              <w:rPr>
                <w:rFonts w:ascii="Times New Roman" w:eastAsia="Times New Roman" w:hAnsi="Times New Roman" w:cs="Times New Roman"/>
                <w:b/>
              </w:rPr>
            </w:pPr>
            <w:r w:rsidRPr="00E1729F">
              <w:rPr>
                <w:rFonts w:ascii="Times New Roman" w:eastAsia="Times New Roman" w:hAnsi="Times New Roman" w:cs="Times New Roman"/>
                <w:b/>
              </w:rPr>
              <w:t>Telework Frequency</w:t>
            </w:r>
          </w:p>
        </w:tc>
      </w:tr>
      <w:tr w:rsidR="004D5DF9" w:rsidRPr="00837F9C" w14:paraId="6FAD111A" w14:textId="77777777" w:rsidTr="00725E2D">
        <w:trPr>
          <w:trHeight w:val="288"/>
        </w:trPr>
        <w:tc>
          <w:tcPr>
            <w:tcW w:w="3022" w:type="dxa"/>
            <w:gridSpan w:val="2"/>
            <w:vMerge w:val="restart"/>
            <w:tcBorders>
              <w:top w:val="double" w:sz="4" w:space="0" w:color="auto"/>
              <w:left w:val="double" w:sz="4" w:space="0" w:color="auto"/>
              <w:right w:val="single" w:sz="12" w:space="0" w:color="auto"/>
            </w:tcBorders>
            <w:noWrap/>
            <w:vAlign w:val="center"/>
            <w:hideMark/>
          </w:tcPr>
          <w:p w14:paraId="3386AE11" w14:textId="77777777" w:rsidR="004B061D" w:rsidRPr="00E1729F" w:rsidRDefault="004B061D" w:rsidP="004B061D">
            <w:pPr>
              <w:spacing w:line="276" w:lineRule="auto"/>
              <w:jc w:val="left"/>
              <w:rPr>
                <w:rFonts w:ascii="Times New Roman" w:eastAsia="Times New Roman" w:hAnsi="Times New Roman" w:cs="Times New Roman"/>
                <w:bCs/>
              </w:rPr>
            </w:pPr>
            <w:r w:rsidRPr="00E1729F">
              <w:rPr>
                <w:rFonts w:ascii="Times New Roman" w:eastAsia="Times New Roman" w:hAnsi="Times New Roman" w:cs="Times New Roman"/>
                <w:bCs/>
              </w:rPr>
              <w:t>Telework Frequency</w:t>
            </w:r>
          </w:p>
        </w:tc>
        <w:tc>
          <w:tcPr>
            <w:tcW w:w="4963" w:type="dxa"/>
            <w:gridSpan w:val="9"/>
            <w:tcBorders>
              <w:top w:val="double" w:sz="4" w:space="0" w:color="auto"/>
              <w:left w:val="single" w:sz="12" w:space="0" w:color="auto"/>
              <w:right w:val="single" w:sz="12" w:space="0" w:color="auto"/>
            </w:tcBorders>
            <w:noWrap/>
            <w:vAlign w:val="bottom"/>
            <w:hideMark/>
          </w:tcPr>
          <w:p w14:paraId="50D07F77" w14:textId="77777777" w:rsidR="004B061D" w:rsidRPr="009267DB" w:rsidRDefault="004B061D" w:rsidP="004B061D">
            <w:pPr>
              <w:spacing w:line="276" w:lineRule="auto"/>
              <w:jc w:val="center"/>
              <w:rPr>
                <w:rFonts w:ascii="Times New Roman" w:eastAsia="Times New Roman" w:hAnsi="Times New Roman" w:cs="Times New Roman"/>
                <w:bCs/>
                <w:i/>
              </w:rPr>
            </w:pPr>
            <w:r w:rsidRPr="009267DB">
              <w:rPr>
                <w:rFonts w:ascii="Times New Roman" w:eastAsia="Times New Roman" w:hAnsi="Times New Roman" w:cs="Times New Roman"/>
                <w:bCs/>
                <w:i/>
              </w:rPr>
              <w:t>Before</w:t>
            </w:r>
            <w:r>
              <w:rPr>
                <w:rFonts w:ascii="Times New Roman" w:eastAsia="Times New Roman" w:hAnsi="Times New Roman" w:cs="Times New Roman"/>
                <w:bCs/>
                <w:i/>
              </w:rPr>
              <w:t xml:space="preserve"> </w:t>
            </w:r>
            <w:r w:rsidRPr="00B42E2E">
              <w:rPr>
                <w:rFonts w:ascii="Times New Roman" w:eastAsia="Times New Roman" w:hAnsi="Times New Roman" w:cs="Times New Roman"/>
                <w:bCs/>
              </w:rPr>
              <w:t>COVID</w:t>
            </w:r>
          </w:p>
        </w:tc>
        <w:tc>
          <w:tcPr>
            <w:tcW w:w="4960" w:type="dxa"/>
            <w:gridSpan w:val="8"/>
            <w:tcBorders>
              <w:top w:val="double" w:sz="4" w:space="0" w:color="auto"/>
              <w:left w:val="single" w:sz="12" w:space="0" w:color="auto"/>
              <w:right w:val="double" w:sz="4" w:space="0" w:color="auto"/>
            </w:tcBorders>
            <w:noWrap/>
            <w:vAlign w:val="bottom"/>
            <w:hideMark/>
          </w:tcPr>
          <w:p w14:paraId="69B6E865" w14:textId="77777777" w:rsidR="004B061D" w:rsidRPr="009267DB" w:rsidRDefault="004B061D" w:rsidP="004B061D">
            <w:pPr>
              <w:spacing w:line="276" w:lineRule="auto"/>
              <w:jc w:val="center"/>
              <w:rPr>
                <w:rFonts w:ascii="Times New Roman" w:eastAsia="Times New Roman" w:hAnsi="Times New Roman" w:cs="Times New Roman"/>
                <w:bCs/>
                <w:i/>
              </w:rPr>
            </w:pPr>
            <w:r w:rsidRPr="009267DB">
              <w:rPr>
                <w:rFonts w:ascii="Times New Roman" w:eastAsia="Times New Roman" w:hAnsi="Times New Roman" w:cs="Times New Roman"/>
                <w:bCs/>
                <w:i/>
              </w:rPr>
              <w:t>After</w:t>
            </w:r>
            <w:r>
              <w:rPr>
                <w:rFonts w:ascii="Times New Roman" w:eastAsia="Times New Roman" w:hAnsi="Times New Roman" w:cs="Times New Roman"/>
                <w:bCs/>
                <w:i/>
              </w:rPr>
              <w:t xml:space="preserve"> </w:t>
            </w:r>
            <w:r w:rsidRPr="00B42E2E">
              <w:rPr>
                <w:rFonts w:ascii="Times New Roman" w:eastAsia="Times New Roman" w:hAnsi="Times New Roman" w:cs="Times New Roman"/>
                <w:bCs/>
              </w:rPr>
              <w:t>COVID</w:t>
            </w:r>
          </w:p>
        </w:tc>
      </w:tr>
      <w:tr w:rsidR="00725E2D" w:rsidRPr="00837F9C" w14:paraId="3C0241F8" w14:textId="77777777" w:rsidTr="00A15909">
        <w:trPr>
          <w:trHeight w:val="288"/>
        </w:trPr>
        <w:tc>
          <w:tcPr>
            <w:tcW w:w="3022" w:type="dxa"/>
            <w:gridSpan w:val="2"/>
            <w:vMerge/>
            <w:tcBorders>
              <w:left w:val="double" w:sz="4" w:space="0" w:color="auto"/>
              <w:bottom w:val="single" w:sz="12" w:space="0" w:color="auto"/>
              <w:right w:val="single" w:sz="12" w:space="0" w:color="auto"/>
            </w:tcBorders>
            <w:noWrap/>
            <w:hideMark/>
          </w:tcPr>
          <w:p w14:paraId="42DC0A6D" w14:textId="77777777" w:rsidR="004B061D" w:rsidRPr="00837F9C" w:rsidRDefault="004B061D" w:rsidP="004B061D">
            <w:pPr>
              <w:spacing w:line="276" w:lineRule="auto"/>
              <w:jc w:val="left"/>
              <w:rPr>
                <w:rFonts w:ascii="Times New Roman" w:eastAsia="Times New Roman" w:hAnsi="Times New Roman" w:cs="Times New Roman"/>
                <w:bCs/>
              </w:rPr>
            </w:pPr>
          </w:p>
        </w:tc>
        <w:tc>
          <w:tcPr>
            <w:tcW w:w="2479" w:type="dxa"/>
            <w:gridSpan w:val="5"/>
            <w:tcBorders>
              <w:left w:val="single" w:sz="12" w:space="0" w:color="auto"/>
              <w:bottom w:val="single" w:sz="12" w:space="0" w:color="auto"/>
            </w:tcBorders>
            <w:noWrap/>
            <w:vAlign w:val="bottom"/>
            <w:hideMark/>
          </w:tcPr>
          <w:p w14:paraId="0E88C261"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Count</w:t>
            </w:r>
          </w:p>
        </w:tc>
        <w:tc>
          <w:tcPr>
            <w:tcW w:w="2484" w:type="dxa"/>
            <w:gridSpan w:val="4"/>
            <w:tcBorders>
              <w:bottom w:val="single" w:sz="12" w:space="0" w:color="auto"/>
              <w:right w:val="single" w:sz="12" w:space="0" w:color="auto"/>
            </w:tcBorders>
            <w:noWrap/>
            <w:vAlign w:val="bottom"/>
          </w:tcPr>
          <w:p w14:paraId="2F95C15B" w14:textId="77777777" w:rsidR="004B061D" w:rsidRPr="00E1729F" w:rsidRDefault="004B061D" w:rsidP="004B061D">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Percent</w:t>
            </w:r>
          </w:p>
        </w:tc>
        <w:tc>
          <w:tcPr>
            <w:tcW w:w="2479" w:type="dxa"/>
            <w:gridSpan w:val="4"/>
            <w:tcBorders>
              <w:left w:val="single" w:sz="12" w:space="0" w:color="auto"/>
              <w:bottom w:val="single" w:sz="12" w:space="0" w:color="auto"/>
            </w:tcBorders>
            <w:noWrap/>
            <w:vAlign w:val="bottom"/>
            <w:hideMark/>
          </w:tcPr>
          <w:p w14:paraId="1F2789CA"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Count</w:t>
            </w:r>
          </w:p>
        </w:tc>
        <w:tc>
          <w:tcPr>
            <w:tcW w:w="2481" w:type="dxa"/>
            <w:gridSpan w:val="4"/>
            <w:tcBorders>
              <w:bottom w:val="single" w:sz="12" w:space="0" w:color="auto"/>
              <w:right w:val="double" w:sz="4" w:space="0" w:color="auto"/>
            </w:tcBorders>
            <w:noWrap/>
            <w:vAlign w:val="bottom"/>
          </w:tcPr>
          <w:p w14:paraId="4ADDDA08" w14:textId="77777777" w:rsidR="004B061D" w:rsidRPr="00E1729F" w:rsidRDefault="004B061D" w:rsidP="004B061D">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Percent</w:t>
            </w:r>
          </w:p>
        </w:tc>
      </w:tr>
      <w:tr w:rsidR="00725E2D" w:rsidRPr="00837F9C" w14:paraId="54C35F48" w14:textId="77777777" w:rsidTr="00A15909">
        <w:trPr>
          <w:trHeight w:val="288"/>
        </w:trPr>
        <w:tc>
          <w:tcPr>
            <w:tcW w:w="3022" w:type="dxa"/>
            <w:gridSpan w:val="2"/>
            <w:tcBorders>
              <w:left w:val="double" w:sz="4" w:space="0" w:color="auto"/>
              <w:right w:val="single" w:sz="12" w:space="0" w:color="auto"/>
            </w:tcBorders>
            <w:noWrap/>
            <w:hideMark/>
          </w:tcPr>
          <w:p w14:paraId="3DA9917F" w14:textId="77777777" w:rsidR="004B061D" w:rsidRPr="00E1729F" w:rsidRDefault="004B061D" w:rsidP="004B061D">
            <w:pPr>
              <w:spacing w:line="276" w:lineRule="auto"/>
              <w:jc w:val="left"/>
              <w:rPr>
                <w:rFonts w:ascii="Times New Roman" w:eastAsia="Times New Roman" w:hAnsi="Times New Roman" w:cs="Times New Roman"/>
                <w:bCs/>
              </w:rPr>
            </w:pPr>
            <w:r w:rsidRPr="00E1729F">
              <w:rPr>
                <w:rFonts w:ascii="Times New Roman" w:eastAsia="Times New Roman" w:hAnsi="Times New Roman" w:cs="Times New Roman"/>
                <w:bCs/>
              </w:rPr>
              <w:t>Few times/month</w:t>
            </w:r>
          </w:p>
        </w:tc>
        <w:tc>
          <w:tcPr>
            <w:tcW w:w="2479" w:type="dxa"/>
            <w:gridSpan w:val="5"/>
            <w:tcBorders>
              <w:left w:val="single" w:sz="12" w:space="0" w:color="auto"/>
            </w:tcBorders>
            <w:noWrap/>
            <w:vAlign w:val="center"/>
            <w:hideMark/>
          </w:tcPr>
          <w:p w14:paraId="2D3F9D23"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161</w:t>
            </w:r>
          </w:p>
        </w:tc>
        <w:tc>
          <w:tcPr>
            <w:tcW w:w="2484" w:type="dxa"/>
            <w:gridSpan w:val="4"/>
            <w:tcBorders>
              <w:right w:val="single" w:sz="12" w:space="0" w:color="auto"/>
            </w:tcBorders>
            <w:noWrap/>
            <w:vAlign w:val="center"/>
          </w:tcPr>
          <w:p w14:paraId="7C7C260C"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40.5%</w:t>
            </w:r>
          </w:p>
        </w:tc>
        <w:tc>
          <w:tcPr>
            <w:tcW w:w="2479" w:type="dxa"/>
            <w:gridSpan w:val="4"/>
            <w:tcBorders>
              <w:left w:val="single" w:sz="12" w:space="0" w:color="auto"/>
            </w:tcBorders>
            <w:noWrap/>
            <w:vAlign w:val="center"/>
            <w:hideMark/>
          </w:tcPr>
          <w:p w14:paraId="41CC8E80"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133</w:t>
            </w:r>
          </w:p>
        </w:tc>
        <w:tc>
          <w:tcPr>
            <w:tcW w:w="2481" w:type="dxa"/>
            <w:gridSpan w:val="4"/>
            <w:tcBorders>
              <w:right w:val="double" w:sz="4" w:space="0" w:color="auto"/>
            </w:tcBorders>
            <w:noWrap/>
            <w:vAlign w:val="center"/>
          </w:tcPr>
          <w:p w14:paraId="5F838CF4"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20.6%</w:t>
            </w:r>
          </w:p>
        </w:tc>
      </w:tr>
      <w:tr w:rsidR="00725E2D" w:rsidRPr="00837F9C" w14:paraId="61E44D61" w14:textId="77777777" w:rsidTr="00A15909">
        <w:trPr>
          <w:trHeight w:val="288"/>
        </w:trPr>
        <w:tc>
          <w:tcPr>
            <w:tcW w:w="3022" w:type="dxa"/>
            <w:gridSpan w:val="2"/>
            <w:tcBorders>
              <w:left w:val="double" w:sz="4" w:space="0" w:color="auto"/>
              <w:right w:val="single" w:sz="12" w:space="0" w:color="auto"/>
            </w:tcBorders>
            <w:noWrap/>
            <w:hideMark/>
          </w:tcPr>
          <w:p w14:paraId="662B238C" w14:textId="77777777" w:rsidR="004B061D" w:rsidRPr="00E1729F" w:rsidRDefault="004B061D" w:rsidP="004B061D">
            <w:pPr>
              <w:spacing w:line="276" w:lineRule="auto"/>
              <w:jc w:val="left"/>
              <w:rPr>
                <w:rFonts w:ascii="Times New Roman" w:eastAsia="Times New Roman" w:hAnsi="Times New Roman" w:cs="Times New Roman"/>
                <w:bCs/>
              </w:rPr>
            </w:pPr>
            <w:r w:rsidRPr="00E1729F">
              <w:rPr>
                <w:rFonts w:ascii="Times New Roman" w:eastAsia="Times New Roman" w:hAnsi="Times New Roman" w:cs="Times New Roman"/>
                <w:bCs/>
              </w:rPr>
              <w:t>Once/week</w:t>
            </w:r>
          </w:p>
        </w:tc>
        <w:tc>
          <w:tcPr>
            <w:tcW w:w="2479" w:type="dxa"/>
            <w:gridSpan w:val="5"/>
            <w:tcBorders>
              <w:left w:val="single" w:sz="12" w:space="0" w:color="auto"/>
            </w:tcBorders>
            <w:noWrap/>
            <w:vAlign w:val="center"/>
            <w:hideMark/>
          </w:tcPr>
          <w:p w14:paraId="1FFF9C43"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58</w:t>
            </w:r>
          </w:p>
        </w:tc>
        <w:tc>
          <w:tcPr>
            <w:tcW w:w="2484" w:type="dxa"/>
            <w:gridSpan w:val="4"/>
            <w:tcBorders>
              <w:right w:val="single" w:sz="12" w:space="0" w:color="auto"/>
            </w:tcBorders>
            <w:noWrap/>
            <w:vAlign w:val="center"/>
          </w:tcPr>
          <w:p w14:paraId="2C1A671F"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14.6%</w:t>
            </w:r>
          </w:p>
        </w:tc>
        <w:tc>
          <w:tcPr>
            <w:tcW w:w="2479" w:type="dxa"/>
            <w:gridSpan w:val="4"/>
            <w:tcBorders>
              <w:left w:val="single" w:sz="12" w:space="0" w:color="auto"/>
            </w:tcBorders>
            <w:noWrap/>
            <w:vAlign w:val="center"/>
            <w:hideMark/>
          </w:tcPr>
          <w:p w14:paraId="0BF2CD42"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71</w:t>
            </w:r>
          </w:p>
        </w:tc>
        <w:tc>
          <w:tcPr>
            <w:tcW w:w="2481" w:type="dxa"/>
            <w:gridSpan w:val="4"/>
            <w:tcBorders>
              <w:right w:val="double" w:sz="4" w:space="0" w:color="auto"/>
            </w:tcBorders>
            <w:noWrap/>
            <w:vAlign w:val="center"/>
          </w:tcPr>
          <w:p w14:paraId="7CB90AE7"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11.0%</w:t>
            </w:r>
          </w:p>
        </w:tc>
      </w:tr>
      <w:tr w:rsidR="00725E2D" w:rsidRPr="00837F9C" w14:paraId="4CAA56B0" w14:textId="77777777" w:rsidTr="00A15909">
        <w:trPr>
          <w:trHeight w:val="288"/>
        </w:trPr>
        <w:tc>
          <w:tcPr>
            <w:tcW w:w="3022" w:type="dxa"/>
            <w:gridSpan w:val="2"/>
            <w:tcBorders>
              <w:left w:val="double" w:sz="4" w:space="0" w:color="auto"/>
              <w:right w:val="single" w:sz="12" w:space="0" w:color="auto"/>
            </w:tcBorders>
            <w:noWrap/>
            <w:hideMark/>
          </w:tcPr>
          <w:p w14:paraId="0E79800C" w14:textId="77777777" w:rsidR="004B061D" w:rsidRPr="00E1729F" w:rsidRDefault="004B061D" w:rsidP="004B061D">
            <w:pPr>
              <w:spacing w:line="276" w:lineRule="auto"/>
              <w:jc w:val="left"/>
              <w:rPr>
                <w:rFonts w:ascii="Times New Roman" w:eastAsia="Times New Roman" w:hAnsi="Times New Roman" w:cs="Times New Roman"/>
                <w:bCs/>
              </w:rPr>
            </w:pPr>
            <w:r w:rsidRPr="00E1729F">
              <w:rPr>
                <w:rFonts w:ascii="Times New Roman" w:eastAsia="Times New Roman" w:hAnsi="Times New Roman" w:cs="Times New Roman"/>
                <w:bCs/>
              </w:rPr>
              <w:t>2-4 days/week</w:t>
            </w:r>
          </w:p>
        </w:tc>
        <w:tc>
          <w:tcPr>
            <w:tcW w:w="2479" w:type="dxa"/>
            <w:gridSpan w:val="5"/>
            <w:tcBorders>
              <w:left w:val="single" w:sz="12" w:space="0" w:color="auto"/>
            </w:tcBorders>
            <w:noWrap/>
            <w:vAlign w:val="center"/>
            <w:hideMark/>
          </w:tcPr>
          <w:p w14:paraId="6631FEDC"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68</w:t>
            </w:r>
          </w:p>
        </w:tc>
        <w:tc>
          <w:tcPr>
            <w:tcW w:w="2484" w:type="dxa"/>
            <w:gridSpan w:val="4"/>
            <w:tcBorders>
              <w:right w:val="single" w:sz="12" w:space="0" w:color="auto"/>
            </w:tcBorders>
            <w:noWrap/>
            <w:vAlign w:val="center"/>
          </w:tcPr>
          <w:p w14:paraId="270B2819"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17.0%</w:t>
            </w:r>
          </w:p>
        </w:tc>
        <w:tc>
          <w:tcPr>
            <w:tcW w:w="2479" w:type="dxa"/>
            <w:gridSpan w:val="4"/>
            <w:tcBorders>
              <w:left w:val="single" w:sz="12" w:space="0" w:color="auto"/>
            </w:tcBorders>
            <w:noWrap/>
            <w:vAlign w:val="center"/>
            <w:hideMark/>
          </w:tcPr>
          <w:p w14:paraId="720E0951"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195</w:t>
            </w:r>
          </w:p>
        </w:tc>
        <w:tc>
          <w:tcPr>
            <w:tcW w:w="2481" w:type="dxa"/>
            <w:gridSpan w:val="4"/>
            <w:tcBorders>
              <w:right w:val="double" w:sz="4" w:space="0" w:color="auto"/>
            </w:tcBorders>
            <w:noWrap/>
            <w:vAlign w:val="center"/>
          </w:tcPr>
          <w:p w14:paraId="1F885825"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30.2%</w:t>
            </w:r>
          </w:p>
        </w:tc>
      </w:tr>
      <w:tr w:rsidR="00725E2D" w:rsidRPr="00837F9C" w14:paraId="1B8696B0" w14:textId="77777777" w:rsidTr="00A15909">
        <w:trPr>
          <w:trHeight w:val="288"/>
        </w:trPr>
        <w:tc>
          <w:tcPr>
            <w:tcW w:w="3022" w:type="dxa"/>
            <w:gridSpan w:val="2"/>
            <w:tcBorders>
              <w:left w:val="double" w:sz="4" w:space="0" w:color="auto"/>
              <w:bottom w:val="double" w:sz="4" w:space="0" w:color="auto"/>
              <w:right w:val="single" w:sz="12" w:space="0" w:color="auto"/>
            </w:tcBorders>
            <w:noWrap/>
            <w:hideMark/>
          </w:tcPr>
          <w:p w14:paraId="3DCC7036" w14:textId="77777777" w:rsidR="004B061D" w:rsidRPr="00E1729F" w:rsidRDefault="004B061D" w:rsidP="004B061D">
            <w:pPr>
              <w:spacing w:line="276" w:lineRule="auto"/>
              <w:jc w:val="left"/>
              <w:rPr>
                <w:rFonts w:ascii="Times New Roman" w:eastAsia="Times New Roman" w:hAnsi="Times New Roman" w:cs="Times New Roman"/>
                <w:bCs/>
              </w:rPr>
            </w:pPr>
            <w:r w:rsidRPr="00E1729F">
              <w:rPr>
                <w:rFonts w:ascii="Times New Roman" w:eastAsia="Times New Roman" w:hAnsi="Times New Roman" w:cs="Times New Roman"/>
                <w:bCs/>
              </w:rPr>
              <w:t>5 days/week</w:t>
            </w:r>
          </w:p>
        </w:tc>
        <w:tc>
          <w:tcPr>
            <w:tcW w:w="2479" w:type="dxa"/>
            <w:gridSpan w:val="5"/>
            <w:tcBorders>
              <w:left w:val="single" w:sz="12" w:space="0" w:color="auto"/>
              <w:bottom w:val="double" w:sz="4" w:space="0" w:color="auto"/>
            </w:tcBorders>
            <w:noWrap/>
            <w:vAlign w:val="center"/>
            <w:hideMark/>
          </w:tcPr>
          <w:p w14:paraId="66F98C06"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111</w:t>
            </w:r>
          </w:p>
        </w:tc>
        <w:tc>
          <w:tcPr>
            <w:tcW w:w="2484" w:type="dxa"/>
            <w:gridSpan w:val="4"/>
            <w:tcBorders>
              <w:bottom w:val="double" w:sz="4" w:space="0" w:color="auto"/>
              <w:right w:val="single" w:sz="12" w:space="0" w:color="auto"/>
            </w:tcBorders>
            <w:noWrap/>
            <w:vAlign w:val="center"/>
          </w:tcPr>
          <w:p w14:paraId="0E7DBC2B"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27.9%</w:t>
            </w:r>
          </w:p>
        </w:tc>
        <w:tc>
          <w:tcPr>
            <w:tcW w:w="2479" w:type="dxa"/>
            <w:gridSpan w:val="4"/>
            <w:tcBorders>
              <w:left w:val="single" w:sz="12" w:space="0" w:color="auto"/>
              <w:bottom w:val="double" w:sz="4" w:space="0" w:color="auto"/>
            </w:tcBorders>
            <w:noWrap/>
            <w:vAlign w:val="center"/>
            <w:hideMark/>
          </w:tcPr>
          <w:p w14:paraId="08A86603"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247</w:t>
            </w:r>
          </w:p>
        </w:tc>
        <w:tc>
          <w:tcPr>
            <w:tcW w:w="2481" w:type="dxa"/>
            <w:gridSpan w:val="4"/>
            <w:tcBorders>
              <w:bottom w:val="double" w:sz="4" w:space="0" w:color="auto"/>
              <w:right w:val="double" w:sz="4" w:space="0" w:color="auto"/>
            </w:tcBorders>
            <w:noWrap/>
            <w:vAlign w:val="center"/>
          </w:tcPr>
          <w:p w14:paraId="3F5E30E5" w14:textId="77777777" w:rsidR="004B061D" w:rsidRPr="00E1729F" w:rsidRDefault="004B061D" w:rsidP="004B061D">
            <w:pPr>
              <w:spacing w:line="276" w:lineRule="auto"/>
              <w:jc w:val="center"/>
              <w:rPr>
                <w:rFonts w:ascii="Times New Roman" w:eastAsia="Times New Roman" w:hAnsi="Times New Roman" w:cs="Times New Roman"/>
                <w:bCs/>
              </w:rPr>
            </w:pPr>
            <w:r w:rsidRPr="00E1729F">
              <w:rPr>
                <w:rFonts w:ascii="Times New Roman" w:eastAsia="Times New Roman" w:hAnsi="Times New Roman" w:cs="Times New Roman"/>
                <w:bCs/>
              </w:rPr>
              <w:t>38.2%</w:t>
            </w:r>
          </w:p>
        </w:tc>
      </w:tr>
      <w:tr w:rsidR="004B061D" w:rsidRPr="00837F9C" w14:paraId="29FD3080" w14:textId="77777777" w:rsidTr="00A15909">
        <w:tc>
          <w:tcPr>
            <w:tcW w:w="12945" w:type="dxa"/>
            <w:gridSpan w:val="19"/>
            <w:tcBorders>
              <w:top w:val="double" w:sz="4" w:space="0" w:color="auto"/>
              <w:left w:val="double" w:sz="4" w:space="0" w:color="auto"/>
              <w:bottom w:val="double" w:sz="4" w:space="0" w:color="auto"/>
              <w:right w:val="double" w:sz="4" w:space="0" w:color="auto"/>
            </w:tcBorders>
            <w:vAlign w:val="center"/>
          </w:tcPr>
          <w:p w14:paraId="154F9B15" w14:textId="77777777" w:rsidR="004B061D" w:rsidRPr="00E1729F" w:rsidRDefault="004B061D" w:rsidP="004B061D">
            <w:pPr>
              <w:spacing w:line="276" w:lineRule="auto"/>
              <w:jc w:val="center"/>
              <w:rPr>
                <w:rFonts w:ascii="Times New Roman" w:hAnsi="Times New Roman" w:cs="Times New Roman"/>
                <w:b/>
                <w:bCs/>
              </w:rPr>
            </w:pPr>
            <w:r w:rsidRPr="00E1729F">
              <w:rPr>
                <w:rFonts w:ascii="Times New Roman" w:hAnsi="Times New Roman" w:cs="Times New Roman"/>
                <w:b/>
                <w:bCs/>
              </w:rPr>
              <w:t>Telework Location</w:t>
            </w:r>
          </w:p>
        </w:tc>
      </w:tr>
      <w:tr w:rsidR="004B061D" w:rsidRPr="00837F9C" w14:paraId="426602F0" w14:textId="77777777" w:rsidTr="00A15909">
        <w:tc>
          <w:tcPr>
            <w:tcW w:w="3022" w:type="dxa"/>
            <w:gridSpan w:val="2"/>
            <w:vMerge w:val="restart"/>
            <w:tcBorders>
              <w:top w:val="double" w:sz="4" w:space="0" w:color="auto"/>
              <w:left w:val="double" w:sz="4" w:space="0" w:color="auto"/>
              <w:right w:val="single" w:sz="12" w:space="0" w:color="auto"/>
            </w:tcBorders>
            <w:vAlign w:val="center"/>
          </w:tcPr>
          <w:p w14:paraId="713A56FE" w14:textId="77777777" w:rsidR="004B061D" w:rsidRPr="00E1729F" w:rsidRDefault="004B061D" w:rsidP="004B061D">
            <w:pPr>
              <w:spacing w:line="276" w:lineRule="auto"/>
              <w:jc w:val="left"/>
              <w:rPr>
                <w:rFonts w:ascii="Times New Roman" w:hAnsi="Times New Roman" w:cs="Times New Roman"/>
              </w:rPr>
            </w:pPr>
            <w:r w:rsidRPr="00E1729F">
              <w:rPr>
                <w:rFonts w:ascii="Times New Roman" w:hAnsi="Times New Roman" w:cs="Times New Roman"/>
              </w:rPr>
              <w:t>Where has individual teleworked?</w:t>
            </w:r>
          </w:p>
        </w:tc>
        <w:tc>
          <w:tcPr>
            <w:tcW w:w="4963" w:type="dxa"/>
            <w:gridSpan w:val="9"/>
            <w:tcBorders>
              <w:top w:val="double" w:sz="4" w:space="0" w:color="auto"/>
              <w:left w:val="single" w:sz="12" w:space="0" w:color="auto"/>
              <w:right w:val="single" w:sz="12" w:space="0" w:color="auto"/>
            </w:tcBorders>
          </w:tcPr>
          <w:p w14:paraId="66284CD3" w14:textId="77777777" w:rsidR="004B061D" w:rsidRPr="009267DB" w:rsidRDefault="004B061D" w:rsidP="004B061D">
            <w:pPr>
              <w:spacing w:line="276" w:lineRule="auto"/>
              <w:jc w:val="center"/>
              <w:rPr>
                <w:rFonts w:ascii="Times New Roman" w:hAnsi="Times New Roman" w:cs="Times New Roman"/>
                <w:i/>
              </w:rPr>
            </w:pPr>
            <w:r w:rsidRPr="009267DB">
              <w:rPr>
                <w:rFonts w:ascii="Times New Roman" w:hAnsi="Times New Roman" w:cs="Times New Roman"/>
                <w:i/>
              </w:rPr>
              <w:t>Before</w:t>
            </w:r>
            <w:r>
              <w:rPr>
                <w:rFonts w:ascii="Times New Roman" w:hAnsi="Times New Roman" w:cs="Times New Roman"/>
                <w:i/>
              </w:rPr>
              <w:t xml:space="preserve"> </w:t>
            </w:r>
            <w:r w:rsidRPr="00B42E2E">
              <w:rPr>
                <w:rFonts w:ascii="Times New Roman" w:hAnsi="Times New Roman" w:cs="Times New Roman"/>
              </w:rPr>
              <w:t>COVID</w:t>
            </w:r>
          </w:p>
        </w:tc>
        <w:tc>
          <w:tcPr>
            <w:tcW w:w="4960" w:type="dxa"/>
            <w:gridSpan w:val="8"/>
            <w:tcBorders>
              <w:top w:val="double" w:sz="4" w:space="0" w:color="auto"/>
              <w:left w:val="single" w:sz="12" w:space="0" w:color="auto"/>
              <w:right w:val="double" w:sz="4" w:space="0" w:color="auto"/>
            </w:tcBorders>
          </w:tcPr>
          <w:p w14:paraId="331832EA" w14:textId="77777777" w:rsidR="004B061D" w:rsidRPr="009267DB" w:rsidRDefault="004B061D" w:rsidP="004B061D">
            <w:pPr>
              <w:spacing w:line="276" w:lineRule="auto"/>
              <w:jc w:val="center"/>
              <w:rPr>
                <w:rFonts w:ascii="Times New Roman" w:hAnsi="Times New Roman" w:cs="Times New Roman"/>
                <w:i/>
              </w:rPr>
            </w:pPr>
            <w:r w:rsidRPr="009267DB">
              <w:rPr>
                <w:rFonts w:ascii="Times New Roman" w:hAnsi="Times New Roman" w:cs="Times New Roman"/>
                <w:i/>
              </w:rPr>
              <w:t>After</w:t>
            </w:r>
            <w:r>
              <w:rPr>
                <w:rFonts w:ascii="Times New Roman" w:hAnsi="Times New Roman" w:cs="Times New Roman"/>
                <w:i/>
              </w:rPr>
              <w:t xml:space="preserve"> </w:t>
            </w:r>
            <w:r w:rsidRPr="00B42E2E">
              <w:rPr>
                <w:rFonts w:ascii="Times New Roman" w:hAnsi="Times New Roman" w:cs="Times New Roman"/>
              </w:rPr>
              <w:t>COVID</w:t>
            </w:r>
          </w:p>
        </w:tc>
      </w:tr>
      <w:tr w:rsidR="004B061D" w:rsidRPr="00837F9C" w14:paraId="7118FC85" w14:textId="77777777" w:rsidTr="00A15909">
        <w:tc>
          <w:tcPr>
            <w:tcW w:w="3022" w:type="dxa"/>
            <w:gridSpan w:val="2"/>
            <w:vMerge/>
            <w:tcBorders>
              <w:left w:val="double" w:sz="4" w:space="0" w:color="auto"/>
              <w:bottom w:val="single" w:sz="12" w:space="0" w:color="auto"/>
              <w:right w:val="single" w:sz="12" w:space="0" w:color="auto"/>
            </w:tcBorders>
          </w:tcPr>
          <w:p w14:paraId="5E8B9969" w14:textId="77777777" w:rsidR="004B061D" w:rsidRPr="00E1729F" w:rsidRDefault="004B061D" w:rsidP="004B061D">
            <w:pPr>
              <w:spacing w:line="276" w:lineRule="auto"/>
              <w:jc w:val="left"/>
              <w:rPr>
                <w:rFonts w:ascii="Times New Roman" w:hAnsi="Times New Roman" w:cs="Times New Roman"/>
              </w:rPr>
            </w:pPr>
          </w:p>
        </w:tc>
        <w:tc>
          <w:tcPr>
            <w:tcW w:w="2479" w:type="dxa"/>
            <w:gridSpan w:val="5"/>
            <w:tcBorders>
              <w:left w:val="single" w:sz="12" w:space="0" w:color="auto"/>
              <w:bottom w:val="single" w:sz="12" w:space="0" w:color="auto"/>
            </w:tcBorders>
          </w:tcPr>
          <w:p w14:paraId="2C894463" w14:textId="77777777" w:rsidR="004B061D" w:rsidRPr="00E1729F" w:rsidRDefault="004B061D" w:rsidP="004B061D">
            <w:pPr>
              <w:spacing w:line="276" w:lineRule="auto"/>
              <w:jc w:val="center"/>
              <w:rPr>
                <w:rFonts w:ascii="Times New Roman" w:hAnsi="Times New Roman" w:cs="Times New Roman"/>
              </w:rPr>
            </w:pPr>
            <w:r w:rsidRPr="00E1729F">
              <w:rPr>
                <w:rFonts w:ascii="Times New Roman" w:hAnsi="Times New Roman" w:cs="Times New Roman"/>
              </w:rPr>
              <w:t>Count</w:t>
            </w:r>
          </w:p>
        </w:tc>
        <w:tc>
          <w:tcPr>
            <w:tcW w:w="2484" w:type="dxa"/>
            <w:gridSpan w:val="4"/>
            <w:tcBorders>
              <w:bottom w:val="single" w:sz="12" w:space="0" w:color="auto"/>
              <w:right w:val="single" w:sz="12" w:space="0" w:color="auto"/>
            </w:tcBorders>
          </w:tcPr>
          <w:p w14:paraId="29114B61" w14:textId="77777777" w:rsidR="004B061D" w:rsidRPr="00E1729F" w:rsidRDefault="004B061D" w:rsidP="004B061D">
            <w:pPr>
              <w:spacing w:line="276" w:lineRule="auto"/>
              <w:jc w:val="center"/>
              <w:rPr>
                <w:rFonts w:ascii="Times New Roman" w:hAnsi="Times New Roman" w:cs="Times New Roman"/>
                <w:vertAlign w:val="superscript"/>
              </w:rPr>
            </w:pPr>
            <w:r w:rsidRPr="00E1729F">
              <w:rPr>
                <w:rFonts w:ascii="Times New Roman" w:hAnsi="Times New Roman" w:cs="Times New Roman"/>
              </w:rPr>
              <w:t>Percent</w:t>
            </w:r>
            <w:r w:rsidRPr="00E1729F">
              <w:rPr>
                <w:rFonts w:ascii="Times New Roman" w:hAnsi="Times New Roman" w:cs="Times New Roman"/>
                <w:vertAlign w:val="superscript"/>
              </w:rPr>
              <w:t>a</w:t>
            </w:r>
          </w:p>
        </w:tc>
        <w:tc>
          <w:tcPr>
            <w:tcW w:w="2479" w:type="dxa"/>
            <w:gridSpan w:val="4"/>
            <w:tcBorders>
              <w:left w:val="single" w:sz="12" w:space="0" w:color="auto"/>
              <w:bottom w:val="single" w:sz="12" w:space="0" w:color="auto"/>
            </w:tcBorders>
          </w:tcPr>
          <w:p w14:paraId="178591AC" w14:textId="77777777" w:rsidR="004B061D" w:rsidRPr="00E1729F" w:rsidRDefault="004B061D" w:rsidP="004B061D">
            <w:pPr>
              <w:spacing w:line="276" w:lineRule="auto"/>
              <w:jc w:val="center"/>
              <w:rPr>
                <w:rFonts w:ascii="Times New Roman" w:hAnsi="Times New Roman" w:cs="Times New Roman"/>
              </w:rPr>
            </w:pPr>
            <w:r w:rsidRPr="00E1729F">
              <w:rPr>
                <w:rFonts w:ascii="Times New Roman" w:hAnsi="Times New Roman" w:cs="Times New Roman"/>
              </w:rPr>
              <w:t>Count</w:t>
            </w:r>
          </w:p>
        </w:tc>
        <w:tc>
          <w:tcPr>
            <w:tcW w:w="2481" w:type="dxa"/>
            <w:gridSpan w:val="4"/>
            <w:tcBorders>
              <w:bottom w:val="single" w:sz="12" w:space="0" w:color="auto"/>
              <w:right w:val="double" w:sz="4" w:space="0" w:color="auto"/>
            </w:tcBorders>
          </w:tcPr>
          <w:p w14:paraId="7A322742" w14:textId="77777777" w:rsidR="004B061D" w:rsidRPr="00E1729F" w:rsidRDefault="004B061D" w:rsidP="004B061D">
            <w:pPr>
              <w:spacing w:line="276" w:lineRule="auto"/>
              <w:jc w:val="center"/>
              <w:rPr>
                <w:rFonts w:ascii="Times New Roman" w:hAnsi="Times New Roman" w:cs="Times New Roman"/>
                <w:vertAlign w:val="superscript"/>
              </w:rPr>
            </w:pPr>
            <w:r w:rsidRPr="00E1729F">
              <w:rPr>
                <w:rFonts w:ascii="Times New Roman" w:hAnsi="Times New Roman" w:cs="Times New Roman"/>
              </w:rPr>
              <w:t>Percent</w:t>
            </w:r>
            <w:r w:rsidRPr="00E1729F">
              <w:rPr>
                <w:rFonts w:ascii="Times New Roman" w:hAnsi="Times New Roman" w:cs="Times New Roman"/>
                <w:vertAlign w:val="superscript"/>
              </w:rPr>
              <w:t>a</w:t>
            </w:r>
          </w:p>
        </w:tc>
      </w:tr>
      <w:tr w:rsidR="004B061D" w:rsidRPr="00837F9C" w14:paraId="7EC23A54" w14:textId="77777777" w:rsidTr="00A15909">
        <w:tc>
          <w:tcPr>
            <w:tcW w:w="3022" w:type="dxa"/>
            <w:gridSpan w:val="2"/>
            <w:tcBorders>
              <w:top w:val="single" w:sz="12" w:space="0" w:color="auto"/>
              <w:left w:val="double" w:sz="4" w:space="0" w:color="auto"/>
              <w:right w:val="single" w:sz="12" w:space="0" w:color="auto"/>
            </w:tcBorders>
            <w:vAlign w:val="bottom"/>
          </w:tcPr>
          <w:p w14:paraId="669C69BC" w14:textId="77777777" w:rsidR="004B061D" w:rsidRPr="00E1729F" w:rsidRDefault="004B061D" w:rsidP="004B061D">
            <w:pPr>
              <w:spacing w:line="276" w:lineRule="auto"/>
              <w:jc w:val="left"/>
              <w:rPr>
                <w:rFonts w:ascii="Times New Roman" w:hAnsi="Times New Roman" w:cs="Times New Roman"/>
                <w:bCs/>
              </w:rPr>
            </w:pPr>
            <w:r w:rsidRPr="00E1729F">
              <w:rPr>
                <w:rFonts w:ascii="Times New Roman" w:eastAsia="Times New Roman" w:hAnsi="Times New Roman" w:cs="Times New Roman"/>
                <w:bCs/>
              </w:rPr>
              <w:t>Home only</w:t>
            </w:r>
          </w:p>
        </w:tc>
        <w:tc>
          <w:tcPr>
            <w:tcW w:w="2479" w:type="dxa"/>
            <w:gridSpan w:val="5"/>
            <w:tcBorders>
              <w:top w:val="single" w:sz="12" w:space="0" w:color="auto"/>
              <w:left w:val="single" w:sz="12" w:space="0" w:color="auto"/>
            </w:tcBorders>
            <w:vAlign w:val="center"/>
          </w:tcPr>
          <w:p w14:paraId="19912F09"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340</w:t>
            </w:r>
          </w:p>
        </w:tc>
        <w:tc>
          <w:tcPr>
            <w:tcW w:w="2484" w:type="dxa"/>
            <w:gridSpan w:val="4"/>
            <w:tcBorders>
              <w:top w:val="single" w:sz="12" w:space="0" w:color="auto"/>
              <w:right w:val="single" w:sz="12" w:space="0" w:color="auto"/>
            </w:tcBorders>
            <w:vAlign w:val="center"/>
          </w:tcPr>
          <w:p w14:paraId="71C628A9"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85.4%</w:t>
            </w:r>
          </w:p>
        </w:tc>
        <w:tc>
          <w:tcPr>
            <w:tcW w:w="2479" w:type="dxa"/>
            <w:gridSpan w:val="4"/>
            <w:tcBorders>
              <w:top w:val="single" w:sz="12" w:space="0" w:color="auto"/>
              <w:left w:val="single" w:sz="12" w:space="0" w:color="auto"/>
            </w:tcBorders>
            <w:vAlign w:val="center"/>
          </w:tcPr>
          <w:p w14:paraId="5A12C4AB"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580</w:t>
            </w:r>
          </w:p>
        </w:tc>
        <w:tc>
          <w:tcPr>
            <w:tcW w:w="2481" w:type="dxa"/>
            <w:gridSpan w:val="4"/>
            <w:tcBorders>
              <w:top w:val="single" w:sz="12" w:space="0" w:color="auto"/>
              <w:right w:val="double" w:sz="4" w:space="0" w:color="auto"/>
            </w:tcBorders>
            <w:vAlign w:val="center"/>
          </w:tcPr>
          <w:p w14:paraId="1D0FB5E8"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89.8%</w:t>
            </w:r>
          </w:p>
        </w:tc>
      </w:tr>
      <w:tr w:rsidR="004B061D" w:rsidRPr="00837F9C" w14:paraId="009987E7" w14:textId="77777777" w:rsidTr="00A15909">
        <w:tc>
          <w:tcPr>
            <w:tcW w:w="3022" w:type="dxa"/>
            <w:gridSpan w:val="2"/>
            <w:tcBorders>
              <w:left w:val="double" w:sz="4" w:space="0" w:color="auto"/>
              <w:right w:val="single" w:sz="12" w:space="0" w:color="auto"/>
            </w:tcBorders>
            <w:vAlign w:val="bottom"/>
          </w:tcPr>
          <w:p w14:paraId="7C44996E" w14:textId="77777777" w:rsidR="004B061D" w:rsidRPr="00E1729F" w:rsidRDefault="004B061D" w:rsidP="004B061D">
            <w:pPr>
              <w:spacing w:line="276" w:lineRule="auto"/>
              <w:jc w:val="left"/>
              <w:rPr>
                <w:rFonts w:ascii="Times New Roman" w:hAnsi="Times New Roman" w:cs="Times New Roman"/>
                <w:bCs/>
              </w:rPr>
            </w:pPr>
            <w:r w:rsidRPr="00E1729F">
              <w:rPr>
                <w:rFonts w:ascii="Times New Roman" w:eastAsia="Times New Roman" w:hAnsi="Times New Roman" w:cs="Times New Roman"/>
                <w:bCs/>
              </w:rPr>
              <w:t>Third Location only</w:t>
            </w:r>
          </w:p>
        </w:tc>
        <w:tc>
          <w:tcPr>
            <w:tcW w:w="2479" w:type="dxa"/>
            <w:gridSpan w:val="5"/>
            <w:tcBorders>
              <w:left w:val="single" w:sz="12" w:space="0" w:color="auto"/>
            </w:tcBorders>
            <w:vAlign w:val="center"/>
          </w:tcPr>
          <w:p w14:paraId="6EBF06F8"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17</w:t>
            </w:r>
          </w:p>
        </w:tc>
        <w:tc>
          <w:tcPr>
            <w:tcW w:w="2484" w:type="dxa"/>
            <w:gridSpan w:val="4"/>
            <w:tcBorders>
              <w:right w:val="single" w:sz="12" w:space="0" w:color="auto"/>
            </w:tcBorders>
            <w:vAlign w:val="center"/>
          </w:tcPr>
          <w:p w14:paraId="317B5B98"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4.3%</w:t>
            </w:r>
          </w:p>
        </w:tc>
        <w:tc>
          <w:tcPr>
            <w:tcW w:w="2479" w:type="dxa"/>
            <w:gridSpan w:val="4"/>
            <w:tcBorders>
              <w:left w:val="single" w:sz="12" w:space="0" w:color="auto"/>
            </w:tcBorders>
            <w:vAlign w:val="center"/>
          </w:tcPr>
          <w:p w14:paraId="6475A7AA"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25</w:t>
            </w:r>
          </w:p>
        </w:tc>
        <w:tc>
          <w:tcPr>
            <w:tcW w:w="2481" w:type="dxa"/>
            <w:gridSpan w:val="4"/>
            <w:tcBorders>
              <w:right w:val="double" w:sz="4" w:space="0" w:color="auto"/>
            </w:tcBorders>
            <w:vAlign w:val="center"/>
          </w:tcPr>
          <w:p w14:paraId="10AE0F9C"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3.9%</w:t>
            </w:r>
          </w:p>
        </w:tc>
      </w:tr>
      <w:tr w:rsidR="004B061D" w:rsidRPr="00837F9C" w14:paraId="006FB3A1" w14:textId="77777777" w:rsidTr="00A15909">
        <w:tc>
          <w:tcPr>
            <w:tcW w:w="3022" w:type="dxa"/>
            <w:gridSpan w:val="2"/>
            <w:tcBorders>
              <w:left w:val="double" w:sz="4" w:space="0" w:color="auto"/>
              <w:bottom w:val="double" w:sz="4" w:space="0" w:color="auto"/>
              <w:right w:val="single" w:sz="12" w:space="0" w:color="auto"/>
            </w:tcBorders>
            <w:vAlign w:val="bottom"/>
          </w:tcPr>
          <w:p w14:paraId="1CFF4D30" w14:textId="77777777" w:rsidR="004B061D" w:rsidRPr="00E1729F" w:rsidRDefault="004B061D" w:rsidP="004B061D">
            <w:pPr>
              <w:spacing w:line="276" w:lineRule="auto"/>
              <w:jc w:val="left"/>
              <w:rPr>
                <w:rFonts w:ascii="Times New Roman" w:hAnsi="Times New Roman" w:cs="Times New Roman"/>
                <w:bCs/>
              </w:rPr>
            </w:pPr>
            <w:r w:rsidRPr="00E1729F">
              <w:rPr>
                <w:rFonts w:ascii="Times New Roman" w:eastAsia="Times New Roman" w:hAnsi="Times New Roman" w:cs="Times New Roman"/>
                <w:bCs/>
              </w:rPr>
              <w:t>Both Home and Third Location</w:t>
            </w:r>
          </w:p>
        </w:tc>
        <w:tc>
          <w:tcPr>
            <w:tcW w:w="2479" w:type="dxa"/>
            <w:gridSpan w:val="5"/>
            <w:tcBorders>
              <w:left w:val="single" w:sz="12" w:space="0" w:color="auto"/>
              <w:bottom w:val="double" w:sz="4" w:space="0" w:color="auto"/>
            </w:tcBorders>
            <w:vAlign w:val="center"/>
          </w:tcPr>
          <w:p w14:paraId="0940DA9F"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41</w:t>
            </w:r>
          </w:p>
        </w:tc>
        <w:tc>
          <w:tcPr>
            <w:tcW w:w="2484" w:type="dxa"/>
            <w:gridSpan w:val="4"/>
            <w:tcBorders>
              <w:bottom w:val="double" w:sz="4" w:space="0" w:color="auto"/>
              <w:right w:val="single" w:sz="12" w:space="0" w:color="auto"/>
            </w:tcBorders>
            <w:vAlign w:val="center"/>
          </w:tcPr>
          <w:p w14:paraId="180FBCE0"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10.3%</w:t>
            </w:r>
          </w:p>
        </w:tc>
        <w:tc>
          <w:tcPr>
            <w:tcW w:w="2479" w:type="dxa"/>
            <w:gridSpan w:val="4"/>
            <w:tcBorders>
              <w:left w:val="single" w:sz="12" w:space="0" w:color="auto"/>
              <w:bottom w:val="double" w:sz="4" w:space="0" w:color="auto"/>
            </w:tcBorders>
            <w:vAlign w:val="center"/>
          </w:tcPr>
          <w:p w14:paraId="2ECD9490"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41</w:t>
            </w:r>
          </w:p>
        </w:tc>
        <w:tc>
          <w:tcPr>
            <w:tcW w:w="2481" w:type="dxa"/>
            <w:gridSpan w:val="4"/>
            <w:tcBorders>
              <w:bottom w:val="double" w:sz="4" w:space="0" w:color="auto"/>
              <w:right w:val="double" w:sz="4" w:space="0" w:color="auto"/>
            </w:tcBorders>
            <w:vAlign w:val="center"/>
          </w:tcPr>
          <w:p w14:paraId="1FC91678" w14:textId="77777777" w:rsidR="004B061D" w:rsidRPr="00E1729F" w:rsidRDefault="004B061D" w:rsidP="004B061D">
            <w:pPr>
              <w:spacing w:line="276" w:lineRule="auto"/>
              <w:jc w:val="center"/>
              <w:rPr>
                <w:rFonts w:ascii="Times New Roman" w:hAnsi="Times New Roman" w:cs="Times New Roman"/>
                <w:bCs/>
              </w:rPr>
            </w:pPr>
            <w:r w:rsidRPr="00E1729F">
              <w:rPr>
                <w:rFonts w:ascii="Times New Roman" w:eastAsia="Times New Roman" w:hAnsi="Times New Roman" w:cs="Times New Roman"/>
                <w:bCs/>
              </w:rPr>
              <w:t>6.3%</w:t>
            </w:r>
          </w:p>
        </w:tc>
      </w:tr>
      <w:tr w:rsidR="004B061D" w:rsidRPr="00837F9C" w14:paraId="4BC8EB71" w14:textId="77777777" w:rsidTr="00A15909">
        <w:trPr>
          <w:trHeight w:val="288"/>
        </w:trPr>
        <w:tc>
          <w:tcPr>
            <w:tcW w:w="12945" w:type="dxa"/>
            <w:gridSpan w:val="19"/>
            <w:tcBorders>
              <w:top w:val="double" w:sz="4" w:space="0" w:color="auto"/>
              <w:left w:val="double" w:sz="4" w:space="0" w:color="auto"/>
              <w:right w:val="double" w:sz="4" w:space="0" w:color="auto"/>
            </w:tcBorders>
            <w:noWrap/>
            <w:vAlign w:val="center"/>
          </w:tcPr>
          <w:p w14:paraId="584AE1E5" w14:textId="77777777" w:rsidR="004B061D" w:rsidRPr="00E1729F" w:rsidRDefault="004B061D" w:rsidP="004B061D">
            <w:pPr>
              <w:spacing w:line="276" w:lineRule="auto"/>
              <w:jc w:val="center"/>
              <w:rPr>
                <w:rFonts w:ascii="Times New Roman" w:eastAsia="Times New Roman" w:hAnsi="Times New Roman" w:cs="Times New Roman"/>
                <w:b/>
                <w:bCs/>
              </w:rPr>
            </w:pPr>
            <w:r w:rsidRPr="00E1729F">
              <w:rPr>
                <w:rFonts w:ascii="Times New Roman" w:eastAsia="Times New Roman" w:hAnsi="Times New Roman" w:cs="Times New Roman"/>
                <w:b/>
                <w:bCs/>
              </w:rPr>
              <w:t xml:space="preserve">Telework </w:t>
            </w:r>
            <w:r>
              <w:rPr>
                <w:rFonts w:ascii="Times New Roman" w:eastAsia="Times New Roman" w:hAnsi="Times New Roman" w:cs="Times New Roman"/>
                <w:b/>
                <w:bCs/>
              </w:rPr>
              <w:t>Adoption/</w:t>
            </w:r>
            <w:r w:rsidRPr="00E1729F">
              <w:rPr>
                <w:rFonts w:ascii="Times New Roman" w:eastAsia="Times New Roman" w:hAnsi="Times New Roman" w:cs="Times New Roman"/>
                <w:b/>
                <w:bCs/>
              </w:rPr>
              <w:t xml:space="preserve">Frequency Transition Between </w:t>
            </w:r>
            <w:r w:rsidRPr="00700FD4">
              <w:rPr>
                <w:rFonts w:ascii="Times New Roman" w:eastAsia="Times New Roman" w:hAnsi="Times New Roman" w:cs="Times New Roman"/>
                <w:b/>
                <w:bCs/>
                <w:i/>
              </w:rPr>
              <w:t>Before</w:t>
            </w:r>
            <w:r w:rsidRPr="00B42E2E">
              <w:rPr>
                <w:rFonts w:ascii="Times New Roman" w:eastAsia="Times New Roman" w:hAnsi="Times New Roman" w:cs="Times New Roman"/>
                <w:b/>
                <w:bCs/>
              </w:rPr>
              <w:t xml:space="preserve"> COVID</w:t>
            </w:r>
            <w:r w:rsidRPr="00E1729F">
              <w:rPr>
                <w:rFonts w:ascii="Times New Roman" w:eastAsia="Times New Roman" w:hAnsi="Times New Roman" w:cs="Times New Roman"/>
                <w:b/>
                <w:bCs/>
              </w:rPr>
              <w:t xml:space="preserve"> and </w:t>
            </w:r>
            <w:r w:rsidRPr="00700FD4">
              <w:rPr>
                <w:rFonts w:ascii="Times New Roman" w:hAnsi="Times New Roman" w:cs="Times New Roman"/>
                <w:b/>
                <w:i/>
                <w:sz w:val="24"/>
                <w:szCs w:val="24"/>
              </w:rPr>
              <w:t>After</w:t>
            </w:r>
            <w:r>
              <w:rPr>
                <w:rFonts w:ascii="Times New Roman" w:hAnsi="Times New Roman" w:cs="Times New Roman"/>
                <w:b/>
                <w:i/>
                <w:sz w:val="24"/>
                <w:szCs w:val="24"/>
              </w:rPr>
              <w:t xml:space="preserve"> </w:t>
            </w:r>
            <w:r w:rsidRPr="00B42E2E">
              <w:rPr>
                <w:rFonts w:ascii="Times New Roman" w:hAnsi="Times New Roman" w:cs="Times New Roman"/>
                <w:b/>
                <w:sz w:val="24"/>
                <w:szCs w:val="24"/>
              </w:rPr>
              <w:t>COVID</w:t>
            </w:r>
          </w:p>
        </w:tc>
      </w:tr>
      <w:tr w:rsidR="004B061D" w:rsidRPr="00837F9C" w14:paraId="5A40C359" w14:textId="77777777" w:rsidTr="00A15909">
        <w:trPr>
          <w:trHeight w:val="288"/>
        </w:trPr>
        <w:tc>
          <w:tcPr>
            <w:tcW w:w="2045" w:type="dxa"/>
            <w:vMerge w:val="restart"/>
            <w:tcBorders>
              <w:top w:val="double" w:sz="4" w:space="0" w:color="auto"/>
              <w:left w:val="double" w:sz="4" w:space="0" w:color="auto"/>
              <w:right w:val="single" w:sz="12" w:space="0" w:color="auto"/>
            </w:tcBorders>
            <w:noWrap/>
            <w:vAlign w:val="center"/>
          </w:tcPr>
          <w:p w14:paraId="75FD2231" w14:textId="77777777" w:rsidR="004B061D" w:rsidRPr="00E1729F" w:rsidRDefault="004B061D" w:rsidP="004B061D">
            <w:pPr>
              <w:spacing w:line="276" w:lineRule="auto"/>
              <w:jc w:val="left"/>
              <w:rPr>
                <w:rFonts w:ascii="Times New Roman" w:eastAsia="Times New Roman" w:hAnsi="Times New Roman" w:cs="Times New Roman"/>
              </w:rPr>
            </w:pPr>
            <w:r w:rsidRPr="00E1729F">
              <w:rPr>
                <w:rFonts w:ascii="Times New Roman" w:eastAsia="Times New Roman" w:hAnsi="Times New Roman" w:cs="Times New Roman"/>
              </w:rPr>
              <w:t xml:space="preserve">Telework </w:t>
            </w:r>
            <w:r>
              <w:rPr>
                <w:rFonts w:ascii="Times New Roman" w:eastAsia="Times New Roman" w:hAnsi="Times New Roman" w:cs="Times New Roman"/>
              </w:rPr>
              <w:t>Adoption/</w:t>
            </w:r>
            <w:r w:rsidRPr="00E1729F">
              <w:rPr>
                <w:rFonts w:ascii="Times New Roman" w:eastAsia="Times New Roman" w:hAnsi="Times New Roman" w:cs="Times New Roman"/>
              </w:rPr>
              <w:t xml:space="preserve">Frequency </w:t>
            </w:r>
            <w:r w:rsidRPr="009267DB">
              <w:rPr>
                <w:rFonts w:ascii="Times New Roman" w:eastAsia="Times New Roman" w:hAnsi="Times New Roman" w:cs="Times New Roman"/>
                <w:i/>
              </w:rPr>
              <w:t>Before</w:t>
            </w:r>
            <w:r>
              <w:rPr>
                <w:rFonts w:ascii="Times New Roman" w:eastAsia="Times New Roman" w:hAnsi="Times New Roman" w:cs="Times New Roman"/>
                <w:i/>
              </w:rPr>
              <w:t xml:space="preserve"> </w:t>
            </w:r>
            <w:r w:rsidRPr="00B42E2E">
              <w:rPr>
                <w:rFonts w:ascii="Times New Roman" w:eastAsia="Times New Roman" w:hAnsi="Times New Roman" w:cs="Times New Roman"/>
              </w:rPr>
              <w:t>COVID</w:t>
            </w:r>
          </w:p>
        </w:tc>
        <w:tc>
          <w:tcPr>
            <w:tcW w:w="10900" w:type="dxa"/>
            <w:gridSpan w:val="18"/>
            <w:tcBorders>
              <w:top w:val="double" w:sz="4" w:space="0" w:color="auto"/>
              <w:left w:val="single" w:sz="12" w:space="0" w:color="auto"/>
              <w:right w:val="double" w:sz="4" w:space="0" w:color="auto"/>
            </w:tcBorders>
            <w:noWrap/>
            <w:vAlign w:val="bottom"/>
          </w:tcPr>
          <w:p w14:paraId="0B15B155"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Telework Adoption/</w:t>
            </w:r>
            <w:r w:rsidRPr="00E1729F">
              <w:rPr>
                <w:rFonts w:ascii="Times New Roman" w:eastAsia="Times New Roman" w:hAnsi="Times New Roman" w:cs="Times New Roman"/>
              </w:rPr>
              <w:t xml:space="preserve">Frequency </w:t>
            </w:r>
            <w:r w:rsidRPr="009267DB">
              <w:rPr>
                <w:rFonts w:ascii="Times New Roman" w:eastAsia="Times New Roman" w:hAnsi="Times New Roman" w:cs="Times New Roman"/>
                <w:i/>
              </w:rPr>
              <w:t>After</w:t>
            </w:r>
            <w:r>
              <w:rPr>
                <w:rFonts w:ascii="Times New Roman" w:eastAsia="Times New Roman" w:hAnsi="Times New Roman" w:cs="Times New Roman"/>
                <w:i/>
              </w:rPr>
              <w:t xml:space="preserve"> </w:t>
            </w:r>
            <w:r w:rsidRPr="00B42E2E">
              <w:rPr>
                <w:rFonts w:ascii="Times New Roman" w:eastAsia="Times New Roman" w:hAnsi="Times New Roman" w:cs="Times New Roman"/>
              </w:rPr>
              <w:t>COVID</w:t>
            </w:r>
          </w:p>
        </w:tc>
      </w:tr>
      <w:tr w:rsidR="004B061D" w:rsidRPr="00837F9C" w14:paraId="0EBF242A" w14:textId="77777777" w:rsidTr="00A15909">
        <w:trPr>
          <w:trHeight w:val="288"/>
        </w:trPr>
        <w:tc>
          <w:tcPr>
            <w:tcW w:w="2045" w:type="dxa"/>
            <w:vMerge/>
            <w:tcBorders>
              <w:left w:val="double" w:sz="4" w:space="0" w:color="auto"/>
              <w:right w:val="single" w:sz="12" w:space="0" w:color="auto"/>
            </w:tcBorders>
            <w:noWrap/>
            <w:vAlign w:val="bottom"/>
            <w:hideMark/>
          </w:tcPr>
          <w:p w14:paraId="01931363" w14:textId="77777777" w:rsidR="004B061D" w:rsidRPr="00837F9C" w:rsidRDefault="004B061D" w:rsidP="004B061D">
            <w:pPr>
              <w:spacing w:line="276" w:lineRule="auto"/>
              <w:jc w:val="center"/>
              <w:rPr>
                <w:rFonts w:ascii="Times New Roman" w:eastAsia="Times New Roman" w:hAnsi="Times New Roman" w:cs="Times New Roman"/>
              </w:rPr>
            </w:pPr>
          </w:p>
        </w:tc>
        <w:tc>
          <w:tcPr>
            <w:tcW w:w="1991" w:type="dxa"/>
            <w:gridSpan w:val="4"/>
            <w:tcBorders>
              <w:left w:val="single" w:sz="12" w:space="0" w:color="auto"/>
              <w:right w:val="single" w:sz="12" w:space="0" w:color="auto"/>
            </w:tcBorders>
            <w:noWrap/>
            <w:vAlign w:val="center"/>
            <w:hideMark/>
          </w:tcPr>
          <w:p w14:paraId="025B7F95"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N</w:t>
            </w:r>
            <w:r>
              <w:rPr>
                <w:rFonts w:ascii="Times New Roman" w:eastAsia="Times New Roman" w:hAnsi="Times New Roman" w:cs="Times New Roman"/>
              </w:rPr>
              <w:t>ot adopting</w:t>
            </w:r>
          </w:p>
        </w:tc>
        <w:tc>
          <w:tcPr>
            <w:tcW w:w="1996" w:type="dxa"/>
            <w:gridSpan w:val="4"/>
            <w:tcBorders>
              <w:left w:val="single" w:sz="12" w:space="0" w:color="auto"/>
              <w:right w:val="single" w:sz="12" w:space="0" w:color="auto"/>
            </w:tcBorders>
            <w:noWrap/>
            <w:vAlign w:val="center"/>
            <w:hideMark/>
          </w:tcPr>
          <w:p w14:paraId="0B3A169A"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A few times/month</w:t>
            </w:r>
          </w:p>
        </w:tc>
        <w:tc>
          <w:tcPr>
            <w:tcW w:w="1953" w:type="dxa"/>
            <w:gridSpan w:val="2"/>
            <w:tcBorders>
              <w:left w:val="single" w:sz="12" w:space="0" w:color="auto"/>
              <w:right w:val="single" w:sz="12" w:space="0" w:color="auto"/>
            </w:tcBorders>
            <w:noWrap/>
            <w:vAlign w:val="center"/>
            <w:hideMark/>
          </w:tcPr>
          <w:p w14:paraId="4E81DC0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Once/week</w:t>
            </w:r>
          </w:p>
        </w:tc>
        <w:tc>
          <w:tcPr>
            <w:tcW w:w="2043" w:type="dxa"/>
            <w:gridSpan w:val="3"/>
            <w:tcBorders>
              <w:left w:val="single" w:sz="12" w:space="0" w:color="auto"/>
              <w:right w:val="single" w:sz="12" w:space="0" w:color="auto"/>
            </w:tcBorders>
            <w:noWrap/>
            <w:vAlign w:val="center"/>
            <w:hideMark/>
          </w:tcPr>
          <w:p w14:paraId="66E223E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2-4 days/week</w:t>
            </w:r>
          </w:p>
        </w:tc>
        <w:tc>
          <w:tcPr>
            <w:tcW w:w="1997" w:type="dxa"/>
            <w:gridSpan w:val="4"/>
            <w:tcBorders>
              <w:left w:val="single" w:sz="12" w:space="0" w:color="auto"/>
              <w:right w:val="single" w:sz="12" w:space="0" w:color="auto"/>
            </w:tcBorders>
            <w:noWrap/>
            <w:vAlign w:val="center"/>
            <w:hideMark/>
          </w:tcPr>
          <w:p w14:paraId="0C88E46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 days/week</w:t>
            </w:r>
          </w:p>
        </w:tc>
        <w:tc>
          <w:tcPr>
            <w:tcW w:w="920" w:type="dxa"/>
            <w:vMerge w:val="restart"/>
            <w:tcBorders>
              <w:left w:val="single" w:sz="12" w:space="0" w:color="auto"/>
              <w:right w:val="double" w:sz="4" w:space="0" w:color="auto"/>
            </w:tcBorders>
            <w:vAlign w:val="center"/>
          </w:tcPr>
          <w:p w14:paraId="7AAE60A9"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Total</w:t>
            </w:r>
          </w:p>
        </w:tc>
      </w:tr>
      <w:tr w:rsidR="00A15909" w:rsidRPr="00837F9C" w14:paraId="43744570" w14:textId="77777777" w:rsidTr="00A15909">
        <w:trPr>
          <w:trHeight w:val="288"/>
        </w:trPr>
        <w:tc>
          <w:tcPr>
            <w:tcW w:w="2045" w:type="dxa"/>
            <w:vMerge/>
            <w:tcBorders>
              <w:left w:val="double" w:sz="4" w:space="0" w:color="auto"/>
              <w:bottom w:val="single" w:sz="12" w:space="0" w:color="auto"/>
              <w:right w:val="single" w:sz="12" w:space="0" w:color="auto"/>
            </w:tcBorders>
            <w:noWrap/>
            <w:hideMark/>
          </w:tcPr>
          <w:p w14:paraId="55DB20F8" w14:textId="77777777" w:rsidR="004B061D" w:rsidRPr="00E1729F" w:rsidRDefault="004B061D" w:rsidP="004B061D">
            <w:pPr>
              <w:spacing w:line="276" w:lineRule="auto"/>
              <w:jc w:val="left"/>
              <w:rPr>
                <w:rFonts w:ascii="Times New Roman" w:eastAsia="Times New Roman" w:hAnsi="Times New Roman" w:cs="Times New Roman"/>
              </w:rPr>
            </w:pPr>
          </w:p>
        </w:tc>
        <w:tc>
          <w:tcPr>
            <w:tcW w:w="993" w:type="dxa"/>
            <w:gridSpan w:val="2"/>
            <w:tcBorders>
              <w:left w:val="single" w:sz="12" w:space="0" w:color="auto"/>
              <w:bottom w:val="single" w:sz="12" w:space="0" w:color="auto"/>
            </w:tcBorders>
            <w:noWrap/>
            <w:hideMark/>
          </w:tcPr>
          <w:p w14:paraId="528CAF65"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Count</w:t>
            </w:r>
          </w:p>
        </w:tc>
        <w:tc>
          <w:tcPr>
            <w:tcW w:w="998" w:type="dxa"/>
            <w:gridSpan w:val="2"/>
            <w:tcBorders>
              <w:bottom w:val="single" w:sz="12" w:space="0" w:color="auto"/>
              <w:right w:val="single" w:sz="12" w:space="0" w:color="auto"/>
            </w:tcBorders>
            <w:noWrap/>
            <w:hideMark/>
          </w:tcPr>
          <w:p w14:paraId="7A31A5B5" w14:textId="77777777" w:rsidR="004B061D" w:rsidRPr="00E1729F" w:rsidRDefault="004B061D" w:rsidP="004B061D">
            <w:pPr>
              <w:spacing w:line="276" w:lineRule="auto"/>
              <w:jc w:val="center"/>
              <w:rPr>
                <w:rFonts w:ascii="Times New Roman" w:eastAsia="Times New Roman" w:hAnsi="Times New Roman" w:cs="Times New Roman"/>
                <w:b/>
                <w:vertAlign w:val="superscript"/>
              </w:rPr>
            </w:pPr>
            <w:r w:rsidRPr="00E1729F">
              <w:rPr>
                <w:rFonts w:ascii="Times New Roman" w:eastAsia="Times New Roman" w:hAnsi="Times New Roman" w:cs="Times New Roman"/>
              </w:rPr>
              <w:t>Percent</w:t>
            </w:r>
            <w:r w:rsidRPr="00E1729F">
              <w:rPr>
                <w:rFonts w:ascii="Times New Roman" w:eastAsia="Times New Roman" w:hAnsi="Times New Roman" w:cs="Times New Roman"/>
                <w:bCs/>
                <w:vertAlign w:val="superscript"/>
              </w:rPr>
              <w:t>b</w:t>
            </w:r>
          </w:p>
        </w:tc>
        <w:tc>
          <w:tcPr>
            <w:tcW w:w="997" w:type="dxa"/>
            <w:tcBorders>
              <w:left w:val="single" w:sz="12" w:space="0" w:color="auto"/>
              <w:bottom w:val="single" w:sz="12" w:space="0" w:color="auto"/>
            </w:tcBorders>
            <w:noWrap/>
            <w:hideMark/>
          </w:tcPr>
          <w:p w14:paraId="5DAEFFC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Count</w:t>
            </w:r>
          </w:p>
        </w:tc>
        <w:tc>
          <w:tcPr>
            <w:tcW w:w="999" w:type="dxa"/>
            <w:gridSpan w:val="3"/>
            <w:tcBorders>
              <w:bottom w:val="single" w:sz="12" w:space="0" w:color="auto"/>
              <w:right w:val="single" w:sz="12" w:space="0" w:color="auto"/>
            </w:tcBorders>
            <w:noWrap/>
            <w:hideMark/>
          </w:tcPr>
          <w:p w14:paraId="1D98167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Percent</w:t>
            </w:r>
            <w:r w:rsidRPr="00E1729F">
              <w:rPr>
                <w:rFonts w:ascii="Times New Roman" w:eastAsia="Times New Roman" w:hAnsi="Times New Roman" w:cs="Times New Roman"/>
                <w:bCs/>
                <w:vertAlign w:val="superscript"/>
              </w:rPr>
              <w:t>b</w:t>
            </w:r>
          </w:p>
        </w:tc>
        <w:tc>
          <w:tcPr>
            <w:tcW w:w="998" w:type="dxa"/>
            <w:tcBorders>
              <w:left w:val="single" w:sz="12" w:space="0" w:color="auto"/>
              <w:bottom w:val="single" w:sz="12" w:space="0" w:color="auto"/>
            </w:tcBorders>
            <w:noWrap/>
            <w:hideMark/>
          </w:tcPr>
          <w:p w14:paraId="6EA1C504"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Count</w:t>
            </w:r>
          </w:p>
        </w:tc>
        <w:tc>
          <w:tcPr>
            <w:tcW w:w="955" w:type="dxa"/>
            <w:tcBorders>
              <w:bottom w:val="single" w:sz="12" w:space="0" w:color="auto"/>
              <w:right w:val="single" w:sz="12" w:space="0" w:color="auto"/>
            </w:tcBorders>
            <w:noWrap/>
            <w:hideMark/>
          </w:tcPr>
          <w:p w14:paraId="4F100DB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Percent</w:t>
            </w:r>
            <w:r w:rsidRPr="00E1729F">
              <w:rPr>
                <w:rFonts w:ascii="Times New Roman" w:eastAsia="Times New Roman" w:hAnsi="Times New Roman" w:cs="Times New Roman"/>
                <w:bCs/>
                <w:vertAlign w:val="superscript"/>
              </w:rPr>
              <w:t>b</w:t>
            </w:r>
          </w:p>
        </w:tc>
        <w:tc>
          <w:tcPr>
            <w:tcW w:w="1045" w:type="dxa"/>
            <w:gridSpan w:val="2"/>
            <w:tcBorders>
              <w:left w:val="single" w:sz="12" w:space="0" w:color="auto"/>
              <w:bottom w:val="single" w:sz="12" w:space="0" w:color="auto"/>
            </w:tcBorders>
            <w:noWrap/>
            <w:hideMark/>
          </w:tcPr>
          <w:p w14:paraId="35EBB2B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Count</w:t>
            </w:r>
          </w:p>
        </w:tc>
        <w:tc>
          <w:tcPr>
            <w:tcW w:w="998" w:type="dxa"/>
            <w:tcBorders>
              <w:bottom w:val="single" w:sz="12" w:space="0" w:color="auto"/>
              <w:right w:val="single" w:sz="12" w:space="0" w:color="auto"/>
            </w:tcBorders>
            <w:noWrap/>
            <w:hideMark/>
          </w:tcPr>
          <w:p w14:paraId="2E3348D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Percent</w:t>
            </w:r>
            <w:r w:rsidRPr="00E1729F">
              <w:rPr>
                <w:rFonts w:ascii="Times New Roman" w:eastAsia="Times New Roman" w:hAnsi="Times New Roman" w:cs="Times New Roman"/>
                <w:bCs/>
                <w:vertAlign w:val="superscript"/>
              </w:rPr>
              <w:t>b</w:t>
            </w:r>
          </w:p>
        </w:tc>
        <w:tc>
          <w:tcPr>
            <w:tcW w:w="999" w:type="dxa"/>
            <w:gridSpan w:val="3"/>
            <w:tcBorders>
              <w:left w:val="single" w:sz="12" w:space="0" w:color="auto"/>
              <w:bottom w:val="single" w:sz="12" w:space="0" w:color="auto"/>
            </w:tcBorders>
            <w:noWrap/>
            <w:hideMark/>
          </w:tcPr>
          <w:p w14:paraId="007ECC8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Count</w:t>
            </w:r>
          </w:p>
        </w:tc>
        <w:tc>
          <w:tcPr>
            <w:tcW w:w="998" w:type="dxa"/>
            <w:tcBorders>
              <w:bottom w:val="single" w:sz="12" w:space="0" w:color="auto"/>
              <w:right w:val="single" w:sz="12" w:space="0" w:color="auto"/>
            </w:tcBorders>
            <w:noWrap/>
            <w:hideMark/>
          </w:tcPr>
          <w:p w14:paraId="1B784DA1"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Percent</w:t>
            </w:r>
            <w:r w:rsidRPr="00E1729F">
              <w:rPr>
                <w:rFonts w:ascii="Times New Roman" w:eastAsia="Times New Roman" w:hAnsi="Times New Roman" w:cs="Times New Roman"/>
                <w:bCs/>
                <w:vertAlign w:val="superscript"/>
              </w:rPr>
              <w:t>b</w:t>
            </w:r>
          </w:p>
        </w:tc>
        <w:tc>
          <w:tcPr>
            <w:tcW w:w="920" w:type="dxa"/>
            <w:vMerge/>
            <w:tcBorders>
              <w:left w:val="single" w:sz="12" w:space="0" w:color="auto"/>
              <w:bottom w:val="single" w:sz="12" w:space="0" w:color="auto"/>
              <w:right w:val="double" w:sz="4" w:space="0" w:color="auto"/>
            </w:tcBorders>
          </w:tcPr>
          <w:p w14:paraId="7146C804" w14:textId="77777777" w:rsidR="004B061D" w:rsidRPr="00E1729F" w:rsidRDefault="004B061D" w:rsidP="004B061D">
            <w:pPr>
              <w:spacing w:line="276" w:lineRule="auto"/>
              <w:jc w:val="center"/>
              <w:rPr>
                <w:rFonts w:ascii="Times New Roman" w:eastAsia="Times New Roman" w:hAnsi="Times New Roman" w:cs="Times New Roman"/>
              </w:rPr>
            </w:pPr>
          </w:p>
        </w:tc>
      </w:tr>
      <w:tr w:rsidR="004B061D" w:rsidRPr="00837F9C" w14:paraId="69247EE3" w14:textId="77777777" w:rsidTr="00A15909">
        <w:trPr>
          <w:trHeight w:val="288"/>
        </w:trPr>
        <w:tc>
          <w:tcPr>
            <w:tcW w:w="2045" w:type="dxa"/>
            <w:tcBorders>
              <w:top w:val="single" w:sz="12" w:space="0" w:color="auto"/>
              <w:left w:val="double" w:sz="4" w:space="0" w:color="auto"/>
              <w:right w:val="single" w:sz="12" w:space="0" w:color="auto"/>
            </w:tcBorders>
            <w:noWrap/>
            <w:hideMark/>
          </w:tcPr>
          <w:p w14:paraId="5E98C535" w14:textId="77777777" w:rsidR="004B061D" w:rsidRPr="00E1729F" w:rsidRDefault="004B061D" w:rsidP="004B061D">
            <w:pPr>
              <w:spacing w:line="276" w:lineRule="auto"/>
              <w:jc w:val="left"/>
              <w:rPr>
                <w:rFonts w:ascii="Times New Roman" w:eastAsia="Times New Roman" w:hAnsi="Times New Roman" w:cs="Times New Roman"/>
              </w:rPr>
            </w:pPr>
            <w:r>
              <w:rPr>
                <w:rFonts w:ascii="Times New Roman" w:eastAsia="Times New Roman" w:hAnsi="Times New Roman" w:cs="Times New Roman"/>
              </w:rPr>
              <w:t>Not adopting</w:t>
            </w:r>
          </w:p>
        </w:tc>
        <w:tc>
          <w:tcPr>
            <w:tcW w:w="993" w:type="dxa"/>
            <w:gridSpan w:val="2"/>
            <w:tcBorders>
              <w:top w:val="single" w:sz="12" w:space="0" w:color="auto"/>
              <w:left w:val="single" w:sz="12" w:space="0" w:color="auto"/>
            </w:tcBorders>
            <w:noWrap/>
            <w:hideMark/>
          </w:tcPr>
          <w:p w14:paraId="25D2753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307</w:t>
            </w:r>
          </w:p>
        </w:tc>
        <w:tc>
          <w:tcPr>
            <w:tcW w:w="998" w:type="dxa"/>
            <w:gridSpan w:val="2"/>
            <w:tcBorders>
              <w:top w:val="single" w:sz="12" w:space="0" w:color="auto"/>
              <w:right w:val="single" w:sz="12" w:space="0" w:color="auto"/>
            </w:tcBorders>
            <w:noWrap/>
            <w:hideMark/>
          </w:tcPr>
          <w:p w14:paraId="15E6CB1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52.7%</w:t>
            </w:r>
          </w:p>
        </w:tc>
        <w:tc>
          <w:tcPr>
            <w:tcW w:w="997" w:type="dxa"/>
            <w:tcBorders>
              <w:top w:val="single" w:sz="12" w:space="0" w:color="auto"/>
              <w:left w:val="single" w:sz="12" w:space="0" w:color="auto"/>
            </w:tcBorders>
            <w:noWrap/>
            <w:hideMark/>
          </w:tcPr>
          <w:p w14:paraId="52092517"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74</w:t>
            </w:r>
          </w:p>
        </w:tc>
        <w:tc>
          <w:tcPr>
            <w:tcW w:w="999" w:type="dxa"/>
            <w:gridSpan w:val="3"/>
            <w:tcBorders>
              <w:top w:val="single" w:sz="12" w:space="0" w:color="auto"/>
              <w:right w:val="single" w:sz="12" w:space="0" w:color="auto"/>
            </w:tcBorders>
            <w:noWrap/>
            <w:hideMark/>
          </w:tcPr>
          <w:p w14:paraId="43E0BBFF"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12.7%</w:t>
            </w:r>
          </w:p>
        </w:tc>
        <w:tc>
          <w:tcPr>
            <w:tcW w:w="998" w:type="dxa"/>
            <w:tcBorders>
              <w:top w:val="single" w:sz="12" w:space="0" w:color="auto"/>
              <w:left w:val="single" w:sz="12" w:space="0" w:color="auto"/>
            </w:tcBorders>
            <w:noWrap/>
            <w:hideMark/>
          </w:tcPr>
          <w:p w14:paraId="1F98FAE8"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38</w:t>
            </w:r>
          </w:p>
        </w:tc>
        <w:tc>
          <w:tcPr>
            <w:tcW w:w="955" w:type="dxa"/>
            <w:tcBorders>
              <w:top w:val="single" w:sz="12" w:space="0" w:color="auto"/>
              <w:right w:val="single" w:sz="12" w:space="0" w:color="auto"/>
            </w:tcBorders>
            <w:noWrap/>
            <w:hideMark/>
          </w:tcPr>
          <w:p w14:paraId="4ADE64E1"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6.5%</w:t>
            </w:r>
          </w:p>
        </w:tc>
        <w:tc>
          <w:tcPr>
            <w:tcW w:w="1045" w:type="dxa"/>
            <w:gridSpan w:val="2"/>
            <w:tcBorders>
              <w:top w:val="single" w:sz="12" w:space="0" w:color="auto"/>
              <w:left w:val="single" w:sz="12" w:space="0" w:color="auto"/>
            </w:tcBorders>
            <w:noWrap/>
            <w:hideMark/>
          </w:tcPr>
          <w:p w14:paraId="50D0FA55"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96</w:t>
            </w:r>
          </w:p>
        </w:tc>
        <w:tc>
          <w:tcPr>
            <w:tcW w:w="998" w:type="dxa"/>
            <w:tcBorders>
              <w:top w:val="single" w:sz="12" w:space="0" w:color="auto"/>
              <w:right w:val="single" w:sz="12" w:space="0" w:color="auto"/>
            </w:tcBorders>
            <w:noWrap/>
            <w:hideMark/>
          </w:tcPr>
          <w:p w14:paraId="7C206C9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16.</w:t>
            </w:r>
            <w:r>
              <w:rPr>
                <w:rFonts w:ascii="Times New Roman" w:eastAsia="Times New Roman" w:hAnsi="Times New Roman" w:cs="Times New Roman"/>
              </w:rPr>
              <w:t>6</w:t>
            </w:r>
            <w:r w:rsidRPr="00E1729F">
              <w:rPr>
                <w:rFonts w:ascii="Times New Roman" w:eastAsia="Times New Roman" w:hAnsi="Times New Roman" w:cs="Times New Roman"/>
              </w:rPr>
              <w:t>%</w:t>
            </w:r>
          </w:p>
        </w:tc>
        <w:tc>
          <w:tcPr>
            <w:tcW w:w="999" w:type="dxa"/>
            <w:gridSpan w:val="3"/>
            <w:tcBorders>
              <w:top w:val="single" w:sz="12" w:space="0" w:color="auto"/>
              <w:left w:val="single" w:sz="12" w:space="0" w:color="auto"/>
            </w:tcBorders>
            <w:noWrap/>
            <w:hideMark/>
          </w:tcPr>
          <w:p w14:paraId="02F3A5C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67</w:t>
            </w:r>
          </w:p>
        </w:tc>
        <w:tc>
          <w:tcPr>
            <w:tcW w:w="998" w:type="dxa"/>
            <w:tcBorders>
              <w:top w:val="single" w:sz="12" w:space="0" w:color="auto"/>
              <w:right w:val="single" w:sz="12" w:space="0" w:color="auto"/>
            </w:tcBorders>
            <w:noWrap/>
            <w:hideMark/>
          </w:tcPr>
          <w:p w14:paraId="582C1FCE"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11.5%</w:t>
            </w:r>
          </w:p>
        </w:tc>
        <w:tc>
          <w:tcPr>
            <w:tcW w:w="920" w:type="dxa"/>
            <w:tcBorders>
              <w:top w:val="single" w:sz="12" w:space="0" w:color="auto"/>
              <w:left w:val="single" w:sz="12" w:space="0" w:color="auto"/>
              <w:right w:val="double" w:sz="4" w:space="0" w:color="auto"/>
            </w:tcBorders>
          </w:tcPr>
          <w:p w14:paraId="2FCD117C"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100.0%</w:t>
            </w:r>
          </w:p>
        </w:tc>
      </w:tr>
      <w:tr w:rsidR="004B061D" w:rsidRPr="00837F9C" w14:paraId="1D151469" w14:textId="77777777" w:rsidTr="00A15909">
        <w:trPr>
          <w:trHeight w:val="288"/>
        </w:trPr>
        <w:tc>
          <w:tcPr>
            <w:tcW w:w="2045" w:type="dxa"/>
            <w:tcBorders>
              <w:left w:val="double" w:sz="4" w:space="0" w:color="auto"/>
              <w:right w:val="single" w:sz="12" w:space="0" w:color="auto"/>
            </w:tcBorders>
            <w:noWrap/>
            <w:hideMark/>
          </w:tcPr>
          <w:p w14:paraId="3824B730" w14:textId="77777777" w:rsidR="004B061D" w:rsidRPr="00E1729F" w:rsidRDefault="004B061D" w:rsidP="004B061D">
            <w:pPr>
              <w:spacing w:line="276" w:lineRule="auto"/>
              <w:jc w:val="left"/>
              <w:rPr>
                <w:rFonts w:ascii="Times New Roman" w:eastAsia="Times New Roman" w:hAnsi="Times New Roman" w:cs="Times New Roman"/>
              </w:rPr>
            </w:pPr>
            <w:r w:rsidRPr="00E1729F">
              <w:rPr>
                <w:rFonts w:ascii="Times New Roman" w:eastAsia="Times New Roman" w:hAnsi="Times New Roman" w:cs="Times New Roman"/>
              </w:rPr>
              <w:t>A few times/month</w:t>
            </w:r>
          </w:p>
        </w:tc>
        <w:tc>
          <w:tcPr>
            <w:tcW w:w="993" w:type="dxa"/>
            <w:gridSpan w:val="2"/>
            <w:tcBorders>
              <w:left w:val="single" w:sz="12" w:space="0" w:color="auto"/>
            </w:tcBorders>
            <w:noWrap/>
            <w:hideMark/>
          </w:tcPr>
          <w:p w14:paraId="7394756A"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12</w:t>
            </w:r>
          </w:p>
        </w:tc>
        <w:tc>
          <w:tcPr>
            <w:tcW w:w="998" w:type="dxa"/>
            <w:gridSpan w:val="2"/>
            <w:tcBorders>
              <w:right w:val="single" w:sz="12" w:space="0" w:color="auto"/>
            </w:tcBorders>
            <w:noWrap/>
            <w:vAlign w:val="center"/>
            <w:hideMark/>
          </w:tcPr>
          <w:p w14:paraId="21696091"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7.5%</w:t>
            </w:r>
          </w:p>
        </w:tc>
        <w:tc>
          <w:tcPr>
            <w:tcW w:w="997" w:type="dxa"/>
            <w:tcBorders>
              <w:left w:val="single" w:sz="12" w:space="0" w:color="auto"/>
            </w:tcBorders>
            <w:noWrap/>
            <w:hideMark/>
          </w:tcPr>
          <w:p w14:paraId="62AA544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52</w:t>
            </w:r>
          </w:p>
        </w:tc>
        <w:tc>
          <w:tcPr>
            <w:tcW w:w="999" w:type="dxa"/>
            <w:gridSpan w:val="3"/>
            <w:tcBorders>
              <w:right w:val="single" w:sz="12" w:space="0" w:color="auto"/>
            </w:tcBorders>
            <w:noWrap/>
            <w:hideMark/>
          </w:tcPr>
          <w:p w14:paraId="3B70B53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32.3%</w:t>
            </w:r>
          </w:p>
        </w:tc>
        <w:tc>
          <w:tcPr>
            <w:tcW w:w="998" w:type="dxa"/>
            <w:tcBorders>
              <w:left w:val="single" w:sz="12" w:space="0" w:color="auto"/>
            </w:tcBorders>
            <w:noWrap/>
            <w:hideMark/>
          </w:tcPr>
          <w:p w14:paraId="6DE59F87"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17</w:t>
            </w:r>
          </w:p>
        </w:tc>
        <w:tc>
          <w:tcPr>
            <w:tcW w:w="955" w:type="dxa"/>
            <w:tcBorders>
              <w:right w:val="single" w:sz="12" w:space="0" w:color="auto"/>
            </w:tcBorders>
            <w:noWrap/>
            <w:hideMark/>
          </w:tcPr>
          <w:p w14:paraId="1D25EAFE"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10.6%</w:t>
            </w:r>
          </w:p>
        </w:tc>
        <w:tc>
          <w:tcPr>
            <w:tcW w:w="1045" w:type="dxa"/>
            <w:gridSpan w:val="2"/>
            <w:tcBorders>
              <w:left w:val="single" w:sz="12" w:space="0" w:color="auto"/>
            </w:tcBorders>
            <w:noWrap/>
            <w:hideMark/>
          </w:tcPr>
          <w:p w14:paraId="52B4C9F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39</w:t>
            </w:r>
          </w:p>
        </w:tc>
        <w:tc>
          <w:tcPr>
            <w:tcW w:w="998" w:type="dxa"/>
            <w:tcBorders>
              <w:right w:val="single" w:sz="12" w:space="0" w:color="auto"/>
            </w:tcBorders>
            <w:noWrap/>
            <w:hideMark/>
          </w:tcPr>
          <w:p w14:paraId="7CB4212D"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24.2%</w:t>
            </w:r>
          </w:p>
        </w:tc>
        <w:tc>
          <w:tcPr>
            <w:tcW w:w="999" w:type="dxa"/>
            <w:gridSpan w:val="3"/>
            <w:tcBorders>
              <w:left w:val="single" w:sz="12" w:space="0" w:color="auto"/>
            </w:tcBorders>
            <w:noWrap/>
            <w:hideMark/>
          </w:tcPr>
          <w:p w14:paraId="2569BA81"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41</w:t>
            </w:r>
          </w:p>
        </w:tc>
        <w:tc>
          <w:tcPr>
            <w:tcW w:w="998" w:type="dxa"/>
            <w:tcBorders>
              <w:right w:val="single" w:sz="12" w:space="0" w:color="auto"/>
            </w:tcBorders>
            <w:noWrap/>
            <w:hideMark/>
          </w:tcPr>
          <w:p w14:paraId="6424A3C7"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25.5%</w:t>
            </w:r>
          </w:p>
        </w:tc>
        <w:tc>
          <w:tcPr>
            <w:tcW w:w="920" w:type="dxa"/>
            <w:tcBorders>
              <w:left w:val="single" w:sz="12" w:space="0" w:color="auto"/>
              <w:right w:val="double" w:sz="4" w:space="0" w:color="auto"/>
            </w:tcBorders>
          </w:tcPr>
          <w:p w14:paraId="6CABFCFB"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100.0%</w:t>
            </w:r>
          </w:p>
        </w:tc>
      </w:tr>
      <w:tr w:rsidR="004B061D" w:rsidRPr="00837F9C" w14:paraId="0AB8E804" w14:textId="77777777" w:rsidTr="00A15909">
        <w:trPr>
          <w:trHeight w:val="288"/>
        </w:trPr>
        <w:tc>
          <w:tcPr>
            <w:tcW w:w="2045" w:type="dxa"/>
            <w:tcBorders>
              <w:left w:val="double" w:sz="4" w:space="0" w:color="auto"/>
              <w:right w:val="single" w:sz="12" w:space="0" w:color="auto"/>
            </w:tcBorders>
            <w:noWrap/>
            <w:hideMark/>
          </w:tcPr>
          <w:p w14:paraId="4CBCB0EC" w14:textId="77777777" w:rsidR="004B061D" w:rsidRPr="00E1729F" w:rsidRDefault="004B061D" w:rsidP="004B061D">
            <w:pPr>
              <w:spacing w:line="276" w:lineRule="auto"/>
              <w:jc w:val="left"/>
              <w:rPr>
                <w:rFonts w:ascii="Times New Roman" w:eastAsia="Times New Roman" w:hAnsi="Times New Roman" w:cs="Times New Roman"/>
              </w:rPr>
            </w:pPr>
            <w:r w:rsidRPr="00E1729F">
              <w:rPr>
                <w:rFonts w:ascii="Times New Roman" w:eastAsia="Times New Roman" w:hAnsi="Times New Roman" w:cs="Times New Roman"/>
              </w:rPr>
              <w:t>Once/week</w:t>
            </w:r>
          </w:p>
        </w:tc>
        <w:tc>
          <w:tcPr>
            <w:tcW w:w="993" w:type="dxa"/>
            <w:gridSpan w:val="2"/>
            <w:tcBorders>
              <w:left w:val="single" w:sz="12" w:space="0" w:color="auto"/>
            </w:tcBorders>
            <w:noWrap/>
            <w:hideMark/>
          </w:tcPr>
          <w:p w14:paraId="7DDC3116"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4</w:t>
            </w:r>
          </w:p>
        </w:tc>
        <w:tc>
          <w:tcPr>
            <w:tcW w:w="998" w:type="dxa"/>
            <w:gridSpan w:val="2"/>
            <w:tcBorders>
              <w:right w:val="single" w:sz="12" w:space="0" w:color="auto"/>
            </w:tcBorders>
            <w:noWrap/>
            <w:hideMark/>
          </w:tcPr>
          <w:p w14:paraId="035413A7"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6.9%</w:t>
            </w:r>
          </w:p>
        </w:tc>
        <w:tc>
          <w:tcPr>
            <w:tcW w:w="997" w:type="dxa"/>
            <w:tcBorders>
              <w:left w:val="single" w:sz="12" w:space="0" w:color="auto"/>
            </w:tcBorders>
            <w:noWrap/>
            <w:hideMark/>
          </w:tcPr>
          <w:p w14:paraId="4B82AE7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w:t>
            </w:r>
          </w:p>
        </w:tc>
        <w:tc>
          <w:tcPr>
            <w:tcW w:w="999" w:type="dxa"/>
            <w:gridSpan w:val="3"/>
            <w:tcBorders>
              <w:right w:val="single" w:sz="12" w:space="0" w:color="auto"/>
            </w:tcBorders>
            <w:noWrap/>
            <w:hideMark/>
          </w:tcPr>
          <w:p w14:paraId="6F6C8318"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1.7%</w:t>
            </w:r>
          </w:p>
        </w:tc>
        <w:tc>
          <w:tcPr>
            <w:tcW w:w="998" w:type="dxa"/>
            <w:tcBorders>
              <w:left w:val="single" w:sz="12" w:space="0" w:color="auto"/>
            </w:tcBorders>
            <w:noWrap/>
            <w:hideMark/>
          </w:tcPr>
          <w:p w14:paraId="30EE1B78"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10</w:t>
            </w:r>
          </w:p>
        </w:tc>
        <w:tc>
          <w:tcPr>
            <w:tcW w:w="955" w:type="dxa"/>
            <w:tcBorders>
              <w:right w:val="single" w:sz="12" w:space="0" w:color="auto"/>
            </w:tcBorders>
            <w:noWrap/>
            <w:hideMark/>
          </w:tcPr>
          <w:p w14:paraId="39A085DD"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17.2%</w:t>
            </w:r>
          </w:p>
        </w:tc>
        <w:tc>
          <w:tcPr>
            <w:tcW w:w="1045" w:type="dxa"/>
            <w:gridSpan w:val="2"/>
            <w:tcBorders>
              <w:left w:val="single" w:sz="12" w:space="0" w:color="auto"/>
            </w:tcBorders>
            <w:noWrap/>
            <w:hideMark/>
          </w:tcPr>
          <w:p w14:paraId="5E3C3CC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22</w:t>
            </w:r>
          </w:p>
        </w:tc>
        <w:tc>
          <w:tcPr>
            <w:tcW w:w="998" w:type="dxa"/>
            <w:tcBorders>
              <w:right w:val="single" w:sz="12" w:space="0" w:color="auto"/>
            </w:tcBorders>
            <w:noWrap/>
            <w:hideMark/>
          </w:tcPr>
          <w:p w14:paraId="47F3D7A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37.9%</w:t>
            </w:r>
          </w:p>
        </w:tc>
        <w:tc>
          <w:tcPr>
            <w:tcW w:w="999" w:type="dxa"/>
            <w:gridSpan w:val="3"/>
            <w:tcBorders>
              <w:left w:val="single" w:sz="12" w:space="0" w:color="auto"/>
            </w:tcBorders>
            <w:noWrap/>
            <w:hideMark/>
          </w:tcPr>
          <w:p w14:paraId="70A45709"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21</w:t>
            </w:r>
          </w:p>
        </w:tc>
        <w:tc>
          <w:tcPr>
            <w:tcW w:w="998" w:type="dxa"/>
            <w:tcBorders>
              <w:right w:val="single" w:sz="12" w:space="0" w:color="auto"/>
            </w:tcBorders>
            <w:noWrap/>
            <w:hideMark/>
          </w:tcPr>
          <w:p w14:paraId="6BABF7C4"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36.</w:t>
            </w:r>
            <w:r>
              <w:rPr>
                <w:rFonts w:ascii="Times New Roman" w:eastAsia="Times New Roman" w:hAnsi="Times New Roman" w:cs="Times New Roman"/>
              </w:rPr>
              <w:t>3</w:t>
            </w:r>
            <w:r w:rsidRPr="00E1729F">
              <w:rPr>
                <w:rFonts w:ascii="Times New Roman" w:eastAsia="Times New Roman" w:hAnsi="Times New Roman" w:cs="Times New Roman"/>
              </w:rPr>
              <w:t>%</w:t>
            </w:r>
          </w:p>
        </w:tc>
        <w:tc>
          <w:tcPr>
            <w:tcW w:w="920" w:type="dxa"/>
            <w:tcBorders>
              <w:left w:val="single" w:sz="12" w:space="0" w:color="auto"/>
              <w:right w:val="double" w:sz="4" w:space="0" w:color="auto"/>
            </w:tcBorders>
          </w:tcPr>
          <w:p w14:paraId="3F4D1204"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100.0%</w:t>
            </w:r>
          </w:p>
        </w:tc>
      </w:tr>
      <w:tr w:rsidR="004B061D" w:rsidRPr="00837F9C" w14:paraId="6144777A" w14:textId="77777777" w:rsidTr="00A15909">
        <w:trPr>
          <w:trHeight w:val="288"/>
        </w:trPr>
        <w:tc>
          <w:tcPr>
            <w:tcW w:w="2045" w:type="dxa"/>
            <w:tcBorders>
              <w:left w:val="double" w:sz="4" w:space="0" w:color="auto"/>
              <w:right w:val="single" w:sz="12" w:space="0" w:color="auto"/>
            </w:tcBorders>
            <w:noWrap/>
            <w:hideMark/>
          </w:tcPr>
          <w:p w14:paraId="72A99CA5" w14:textId="77777777" w:rsidR="004B061D" w:rsidRPr="00E1729F" w:rsidRDefault="004B061D" w:rsidP="004B061D">
            <w:pPr>
              <w:spacing w:line="276" w:lineRule="auto"/>
              <w:jc w:val="left"/>
              <w:rPr>
                <w:rFonts w:ascii="Times New Roman" w:eastAsia="Times New Roman" w:hAnsi="Times New Roman" w:cs="Times New Roman"/>
              </w:rPr>
            </w:pPr>
            <w:r w:rsidRPr="00E1729F">
              <w:rPr>
                <w:rFonts w:ascii="Times New Roman" w:eastAsia="Times New Roman" w:hAnsi="Times New Roman" w:cs="Times New Roman"/>
              </w:rPr>
              <w:t>2-4 days/week</w:t>
            </w:r>
          </w:p>
        </w:tc>
        <w:tc>
          <w:tcPr>
            <w:tcW w:w="993" w:type="dxa"/>
            <w:gridSpan w:val="2"/>
            <w:tcBorders>
              <w:left w:val="single" w:sz="12" w:space="0" w:color="auto"/>
            </w:tcBorders>
            <w:noWrap/>
            <w:hideMark/>
          </w:tcPr>
          <w:p w14:paraId="6FEB52CF"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w:t>
            </w:r>
          </w:p>
        </w:tc>
        <w:tc>
          <w:tcPr>
            <w:tcW w:w="998" w:type="dxa"/>
            <w:gridSpan w:val="2"/>
            <w:tcBorders>
              <w:right w:val="single" w:sz="12" w:space="0" w:color="auto"/>
            </w:tcBorders>
            <w:noWrap/>
            <w:hideMark/>
          </w:tcPr>
          <w:p w14:paraId="31D4CC8E"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7.4%</w:t>
            </w:r>
          </w:p>
        </w:tc>
        <w:tc>
          <w:tcPr>
            <w:tcW w:w="997" w:type="dxa"/>
            <w:tcBorders>
              <w:left w:val="single" w:sz="12" w:space="0" w:color="auto"/>
            </w:tcBorders>
            <w:noWrap/>
            <w:hideMark/>
          </w:tcPr>
          <w:p w14:paraId="4BB83914"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4</w:t>
            </w:r>
          </w:p>
        </w:tc>
        <w:tc>
          <w:tcPr>
            <w:tcW w:w="999" w:type="dxa"/>
            <w:gridSpan w:val="3"/>
            <w:tcBorders>
              <w:right w:val="single" w:sz="12" w:space="0" w:color="auto"/>
            </w:tcBorders>
            <w:noWrap/>
            <w:hideMark/>
          </w:tcPr>
          <w:p w14:paraId="757297C4"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5.9%</w:t>
            </w:r>
          </w:p>
        </w:tc>
        <w:tc>
          <w:tcPr>
            <w:tcW w:w="998" w:type="dxa"/>
            <w:tcBorders>
              <w:left w:val="single" w:sz="12" w:space="0" w:color="auto"/>
            </w:tcBorders>
            <w:noWrap/>
            <w:hideMark/>
          </w:tcPr>
          <w:p w14:paraId="483542C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w:t>
            </w:r>
          </w:p>
        </w:tc>
        <w:tc>
          <w:tcPr>
            <w:tcW w:w="955" w:type="dxa"/>
            <w:tcBorders>
              <w:right w:val="single" w:sz="12" w:space="0" w:color="auto"/>
            </w:tcBorders>
            <w:noWrap/>
            <w:hideMark/>
          </w:tcPr>
          <w:p w14:paraId="3E506B0B"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2.9%</w:t>
            </w:r>
          </w:p>
        </w:tc>
        <w:tc>
          <w:tcPr>
            <w:tcW w:w="1045" w:type="dxa"/>
            <w:gridSpan w:val="2"/>
            <w:tcBorders>
              <w:left w:val="single" w:sz="12" w:space="0" w:color="auto"/>
            </w:tcBorders>
            <w:noWrap/>
            <w:hideMark/>
          </w:tcPr>
          <w:p w14:paraId="2E276428"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31</w:t>
            </w:r>
          </w:p>
        </w:tc>
        <w:tc>
          <w:tcPr>
            <w:tcW w:w="998" w:type="dxa"/>
            <w:tcBorders>
              <w:right w:val="single" w:sz="12" w:space="0" w:color="auto"/>
            </w:tcBorders>
            <w:noWrap/>
            <w:hideMark/>
          </w:tcPr>
          <w:p w14:paraId="383A203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45.6%</w:t>
            </w:r>
          </w:p>
        </w:tc>
        <w:tc>
          <w:tcPr>
            <w:tcW w:w="999" w:type="dxa"/>
            <w:gridSpan w:val="3"/>
            <w:tcBorders>
              <w:left w:val="single" w:sz="12" w:space="0" w:color="auto"/>
            </w:tcBorders>
            <w:noWrap/>
            <w:hideMark/>
          </w:tcPr>
          <w:p w14:paraId="28F35F2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26</w:t>
            </w:r>
          </w:p>
        </w:tc>
        <w:tc>
          <w:tcPr>
            <w:tcW w:w="998" w:type="dxa"/>
            <w:tcBorders>
              <w:right w:val="single" w:sz="12" w:space="0" w:color="auto"/>
            </w:tcBorders>
            <w:noWrap/>
            <w:hideMark/>
          </w:tcPr>
          <w:p w14:paraId="1B95842E"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38.2%</w:t>
            </w:r>
          </w:p>
        </w:tc>
        <w:tc>
          <w:tcPr>
            <w:tcW w:w="920" w:type="dxa"/>
            <w:tcBorders>
              <w:left w:val="single" w:sz="12" w:space="0" w:color="auto"/>
              <w:right w:val="double" w:sz="4" w:space="0" w:color="auto"/>
            </w:tcBorders>
          </w:tcPr>
          <w:p w14:paraId="51FC909B"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100.0%</w:t>
            </w:r>
          </w:p>
        </w:tc>
      </w:tr>
      <w:tr w:rsidR="004B061D" w:rsidRPr="00837F9C" w14:paraId="7C5F2733" w14:textId="77777777" w:rsidTr="00A15909">
        <w:trPr>
          <w:trHeight w:val="288"/>
        </w:trPr>
        <w:tc>
          <w:tcPr>
            <w:tcW w:w="2045" w:type="dxa"/>
            <w:tcBorders>
              <w:left w:val="double" w:sz="4" w:space="0" w:color="auto"/>
              <w:bottom w:val="double" w:sz="4" w:space="0" w:color="auto"/>
              <w:right w:val="single" w:sz="12" w:space="0" w:color="auto"/>
            </w:tcBorders>
            <w:noWrap/>
            <w:hideMark/>
          </w:tcPr>
          <w:p w14:paraId="1AA8761D" w14:textId="77777777" w:rsidR="004B061D" w:rsidRPr="00E1729F" w:rsidRDefault="004B061D" w:rsidP="004B061D">
            <w:pPr>
              <w:spacing w:line="276" w:lineRule="auto"/>
              <w:jc w:val="left"/>
              <w:rPr>
                <w:rFonts w:ascii="Times New Roman" w:eastAsia="Times New Roman" w:hAnsi="Times New Roman" w:cs="Times New Roman"/>
              </w:rPr>
            </w:pPr>
            <w:r w:rsidRPr="00E1729F">
              <w:rPr>
                <w:rFonts w:ascii="Times New Roman" w:eastAsia="Times New Roman" w:hAnsi="Times New Roman" w:cs="Times New Roman"/>
              </w:rPr>
              <w:t>5 days/week</w:t>
            </w:r>
          </w:p>
        </w:tc>
        <w:tc>
          <w:tcPr>
            <w:tcW w:w="993" w:type="dxa"/>
            <w:gridSpan w:val="2"/>
            <w:tcBorders>
              <w:left w:val="single" w:sz="12" w:space="0" w:color="auto"/>
              <w:bottom w:val="double" w:sz="4" w:space="0" w:color="auto"/>
            </w:tcBorders>
            <w:noWrap/>
            <w:hideMark/>
          </w:tcPr>
          <w:p w14:paraId="4BC7F480"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6</w:t>
            </w:r>
          </w:p>
        </w:tc>
        <w:tc>
          <w:tcPr>
            <w:tcW w:w="998" w:type="dxa"/>
            <w:gridSpan w:val="2"/>
            <w:tcBorders>
              <w:bottom w:val="double" w:sz="4" w:space="0" w:color="auto"/>
              <w:right w:val="single" w:sz="12" w:space="0" w:color="auto"/>
            </w:tcBorders>
            <w:noWrap/>
            <w:hideMark/>
          </w:tcPr>
          <w:p w14:paraId="50FBB4A8"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5.4%</w:t>
            </w:r>
          </w:p>
        </w:tc>
        <w:tc>
          <w:tcPr>
            <w:tcW w:w="997" w:type="dxa"/>
            <w:tcBorders>
              <w:left w:val="single" w:sz="12" w:space="0" w:color="auto"/>
              <w:bottom w:val="double" w:sz="4" w:space="0" w:color="auto"/>
            </w:tcBorders>
            <w:noWrap/>
            <w:hideMark/>
          </w:tcPr>
          <w:p w14:paraId="634E68E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2</w:t>
            </w:r>
          </w:p>
        </w:tc>
        <w:tc>
          <w:tcPr>
            <w:tcW w:w="999" w:type="dxa"/>
            <w:gridSpan w:val="3"/>
            <w:tcBorders>
              <w:bottom w:val="double" w:sz="4" w:space="0" w:color="auto"/>
              <w:right w:val="single" w:sz="12" w:space="0" w:color="auto"/>
            </w:tcBorders>
            <w:noWrap/>
            <w:hideMark/>
          </w:tcPr>
          <w:p w14:paraId="521C020C"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1.8%</w:t>
            </w:r>
          </w:p>
        </w:tc>
        <w:tc>
          <w:tcPr>
            <w:tcW w:w="998" w:type="dxa"/>
            <w:tcBorders>
              <w:left w:val="single" w:sz="12" w:space="0" w:color="auto"/>
              <w:bottom w:val="double" w:sz="4" w:space="0" w:color="auto"/>
            </w:tcBorders>
            <w:noWrap/>
            <w:hideMark/>
          </w:tcPr>
          <w:p w14:paraId="178757CF"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4</w:t>
            </w:r>
          </w:p>
        </w:tc>
        <w:tc>
          <w:tcPr>
            <w:tcW w:w="955" w:type="dxa"/>
            <w:tcBorders>
              <w:bottom w:val="double" w:sz="4" w:space="0" w:color="auto"/>
              <w:right w:val="single" w:sz="12" w:space="0" w:color="auto"/>
            </w:tcBorders>
            <w:noWrap/>
            <w:hideMark/>
          </w:tcPr>
          <w:p w14:paraId="3E4064AF"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3.6%</w:t>
            </w:r>
          </w:p>
        </w:tc>
        <w:tc>
          <w:tcPr>
            <w:tcW w:w="1045" w:type="dxa"/>
            <w:gridSpan w:val="2"/>
            <w:tcBorders>
              <w:left w:val="single" w:sz="12" w:space="0" w:color="auto"/>
              <w:bottom w:val="double" w:sz="4" w:space="0" w:color="auto"/>
            </w:tcBorders>
            <w:noWrap/>
            <w:hideMark/>
          </w:tcPr>
          <w:p w14:paraId="4763682A"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7</w:t>
            </w:r>
          </w:p>
        </w:tc>
        <w:tc>
          <w:tcPr>
            <w:tcW w:w="998" w:type="dxa"/>
            <w:tcBorders>
              <w:bottom w:val="double" w:sz="4" w:space="0" w:color="auto"/>
              <w:right w:val="single" w:sz="12" w:space="0" w:color="auto"/>
            </w:tcBorders>
            <w:noWrap/>
            <w:hideMark/>
          </w:tcPr>
          <w:p w14:paraId="4B9FDDE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6.3%</w:t>
            </w:r>
          </w:p>
        </w:tc>
        <w:tc>
          <w:tcPr>
            <w:tcW w:w="999" w:type="dxa"/>
            <w:gridSpan w:val="3"/>
            <w:tcBorders>
              <w:left w:val="single" w:sz="12" w:space="0" w:color="auto"/>
              <w:bottom w:val="double" w:sz="4" w:space="0" w:color="auto"/>
            </w:tcBorders>
            <w:noWrap/>
            <w:hideMark/>
          </w:tcPr>
          <w:p w14:paraId="4F102402"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92</w:t>
            </w:r>
          </w:p>
        </w:tc>
        <w:tc>
          <w:tcPr>
            <w:tcW w:w="998" w:type="dxa"/>
            <w:tcBorders>
              <w:bottom w:val="double" w:sz="4" w:space="0" w:color="auto"/>
              <w:right w:val="single" w:sz="12" w:space="0" w:color="auto"/>
            </w:tcBorders>
            <w:noWrap/>
            <w:hideMark/>
          </w:tcPr>
          <w:p w14:paraId="394232B3" w14:textId="77777777" w:rsidR="004B061D" w:rsidRPr="00E1729F" w:rsidRDefault="004B061D" w:rsidP="004B061D">
            <w:pPr>
              <w:spacing w:line="276" w:lineRule="auto"/>
              <w:jc w:val="center"/>
              <w:rPr>
                <w:rFonts w:ascii="Times New Roman" w:eastAsia="Times New Roman" w:hAnsi="Times New Roman" w:cs="Times New Roman"/>
              </w:rPr>
            </w:pPr>
            <w:r w:rsidRPr="00E1729F">
              <w:rPr>
                <w:rFonts w:ascii="Times New Roman" w:eastAsia="Times New Roman" w:hAnsi="Times New Roman" w:cs="Times New Roman"/>
              </w:rPr>
              <w:t>82.9%</w:t>
            </w:r>
          </w:p>
        </w:tc>
        <w:tc>
          <w:tcPr>
            <w:tcW w:w="920" w:type="dxa"/>
            <w:tcBorders>
              <w:left w:val="single" w:sz="12" w:space="0" w:color="auto"/>
              <w:bottom w:val="double" w:sz="4" w:space="0" w:color="auto"/>
              <w:right w:val="double" w:sz="4" w:space="0" w:color="auto"/>
            </w:tcBorders>
          </w:tcPr>
          <w:p w14:paraId="3B9FCBED" w14:textId="77777777" w:rsidR="004B061D" w:rsidRPr="00E1729F" w:rsidRDefault="004B061D" w:rsidP="004B061D">
            <w:pPr>
              <w:spacing w:line="276" w:lineRule="auto"/>
              <w:jc w:val="center"/>
              <w:rPr>
                <w:rFonts w:ascii="Times New Roman" w:eastAsia="Times New Roman" w:hAnsi="Times New Roman" w:cs="Times New Roman"/>
              </w:rPr>
            </w:pPr>
            <w:r>
              <w:rPr>
                <w:rFonts w:ascii="Times New Roman" w:eastAsia="Times New Roman" w:hAnsi="Times New Roman" w:cs="Times New Roman"/>
              </w:rPr>
              <w:t>100.0%</w:t>
            </w:r>
          </w:p>
        </w:tc>
      </w:tr>
    </w:tbl>
    <w:p w14:paraId="5B04CAE7" w14:textId="77777777" w:rsidR="00585CA4" w:rsidRPr="00E1729F" w:rsidRDefault="00585CA4" w:rsidP="00A15909">
      <w:pPr>
        <w:spacing w:before="120" w:after="0" w:line="276" w:lineRule="auto"/>
        <w:rPr>
          <w:rFonts w:ascii="Times New Roman" w:hAnsi="Times New Roman" w:cs="Times New Roman"/>
          <w:sz w:val="24"/>
          <w:szCs w:val="24"/>
        </w:rPr>
      </w:pPr>
    </w:p>
    <w:p w14:paraId="6EBEC548" w14:textId="1F8F643A" w:rsidR="000F0533" w:rsidRPr="00E1729F" w:rsidRDefault="000F0533" w:rsidP="00E1729F">
      <w:pPr>
        <w:spacing w:after="0" w:line="276" w:lineRule="auto"/>
        <w:rPr>
          <w:rFonts w:ascii="Times New Roman" w:hAnsi="Times New Roman" w:cs="Times New Roman"/>
          <w:sz w:val="24"/>
          <w:szCs w:val="24"/>
        </w:rPr>
        <w:sectPr w:rsidR="000F0533" w:rsidRPr="00E1729F" w:rsidSect="00E1729F">
          <w:pgSz w:w="15840" w:h="12240" w:orient="landscape" w:code="1"/>
          <w:pgMar w:top="1440" w:right="1440" w:bottom="1440" w:left="1440" w:header="720" w:footer="720" w:gutter="0"/>
          <w:cols w:space="720"/>
          <w:docGrid w:linePitch="360"/>
        </w:sectPr>
      </w:pPr>
    </w:p>
    <w:p w14:paraId="38DF3F2A" w14:textId="644CD27F" w:rsidR="00795004" w:rsidRPr="00837F9C" w:rsidRDefault="00B92EB1" w:rsidP="000D4FD3">
      <w:pPr>
        <w:pStyle w:val="Heading1"/>
      </w:pPr>
      <w:r w:rsidRPr="00837F9C">
        <w:lastRenderedPageBreak/>
        <w:t>MODELING FRAMEWORK</w:t>
      </w:r>
    </w:p>
    <w:p w14:paraId="1116EECB" w14:textId="393A885E" w:rsidR="00FF6C21" w:rsidRPr="00837F9C" w:rsidRDefault="006A5653"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 xml:space="preserve">The modeling framework considers the transition in </w:t>
      </w:r>
      <w:r w:rsidR="005D7357">
        <w:rPr>
          <w:rFonts w:ascii="Times New Roman" w:hAnsi="Times New Roman" w:cs="Times New Roman"/>
          <w:sz w:val="24"/>
          <w:szCs w:val="24"/>
        </w:rPr>
        <w:t>telework</w:t>
      </w:r>
      <w:r w:rsidRPr="00837F9C">
        <w:rPr>
          <w:rFonts w:ascii="Times New Roman" w:hAnsi="Times New Roman" w:cs="Times New Roman"/>
          <w:sz w:val="24"/>
          <w:szCs w:val="24"/>
        </w:rPr>
        <w:t xml:space="preserve"> arrangements between the </w:t>
      </w:r>
      <w:r w:rsidR="00700FD4">
        <w:rPr>
          <w:rFonts w:ascii="Times New Roman" w:hAnsi="Times New Roman" w:cs="Times New Roman"/>
          <w:i/>
          <w:sz w:val="24"/>
          <w:szCs w:val="24"/>
        </w:rPr>
        <w:t>B</w:t>
      </w:r>
      <w:r w:rsidRPr="00961062">
        <w:rPr>
          <w:rFonts w:ascii="Times New Roman" w:hAnsi="Times New Roman" w:cs="Times New Roman"/>
          <w:i/>
          <w:sz w:val="24"/>
          <w:szCs w:val="24"/>
        </w:rPr>
        <w:t>efore</w:t>
      </w:r>
      <w:r w:rsidR="00944184">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837F9C">
        <w:rPr>
          <w:rFonts w:ascii="Times New Roman" w:hAnsi="Times New Roman" w:cs="Times New Roman"/>
          <w:sz w:val="24"/>
          <w:szCs w:val="24"/>
        </w:rPr>
        <w:t xml:space="preserve">and </w:t>
      </w:r>
      <w:r w:rsidR="0029378B">
        <w:rPr>
          <w:rFonts w:ascii="Times New Roman" w:hAnsi="Times New Roman" w:cs="Times New Roman"/>
          <w:i/>
          <w:sz w:val="24"/>
          <w:szCs w:val="24"/>
        </w:rPr>
        <w:t>After</w:t>
      </w:r>
      <w:r w:rsidR="00944184">
        <w:rPr>
          <w:rFonts w:ascii="Times New Roman" w:hAnsi="Times New Roman" w:cs="Times New Roman"/>
          <w:i/>
          <w:sz w:val="24"/>
          <w:szCs w:val="24"/>
        </w:rPr>
        <w:t xml:space="preserve"> </w:t>
      </w:r>
      <w:r w:rsidR="0029378B" w:rsidRPr="00A15909">
        <w:rPr>
          <w:rFonts w:ascii="Times New Roman" w:hAnsi="Times New Roman" w:cs="Times New Roman"/>
          <w:sz w:val="24"/>
          <w:szCs w:val="24"/>
        </w:rPr>
        <w:t>COVID</w:t>
      </w:r>
      <w:r w:rsidR="0029378B" w:rsidRPr="00C711F7">
        <w:rPr>
          <w:rFonts w:ascii="Times New Roman" w:hAnsi="Times New Roman" w:cs="Times New Roman"/>
          <w:sz w:val="24"/>
          <w:szCs w:val="24"/>
        </w:rPr>
        <w:t xml:space="preserve"> period</w:t>
      </w:r>
      <w:r w:rsidR="0029378B">
        <w:rPr>
          <w:rFonts w:ascii="Times New Roman" w:hAnsi="Times New Roman" w:cs="Times New Roman"/>
          <w:sz w:val="24"/>
          <w:szCs w:val="24"/>
        </w:rPr>
        <w:t xml:space="preserve">. </w:t>
      </w:r>
    </w:p>
    <w:p w14:paraId="6F462D89" w14:textId="77777777" w:rsidR="006F4292" w:rsidRPr="00837F9C" w:rsidRDefault="006F4292" w:rsidP="00E1729F">
      <w:pPr>
        <w:spacing w:after="0" w:line="276" w:lineRule="auto"/>
        <w:rPr>
          <w:rFonts w:ascii="Times New Roman" w:hAnsi="Times New Roman" w:cs="Times New Roman"/>
          <w:sz w:val="24"/>
          <w:szCs w:val="24"/>
        </w:rPr>
      </w:pPr>
    </w:p>
    <w:p w14:paraId="7103FDAA" w14:textId="37485524" w:rsidR="00FF6C21" w:rsidRPr="00837F9C" w:rsidRDefault="00A03376" w:rsidP="000D4FD3">
      <w:pPr>
        <w:pStyle w:val="Heading2"/>
      </w:pPr>
      <w:r>
        <w:t>4</w:t>
      </w:r>
      <w:r w:rsidR="00FF6C21" w:rsidRPr="00837F9C">
        <w:t>.</w:t>
      </w:r>
      <w:r w:rsidR="00073E62" w:rsidRPr="00837F9C">
        <w:t>1</w:t>
      </w:r>
      <w:r w:rsidR="00FF6C21" w:rsidRPr="00837F9C">
        <w:t xml:space="preserve"> </w:t>
      </w:r>
      <w:r w:rsidR="00244102" w:rsidRPr="00837F9C">
        <w:t xml:space="preserve">Data Format and </w:t>
      </w:r>
      <w:r w:rsidR="00073E62" w:rsidRPr="00837F9C">
        <w:t>Model Structure</w:t>
      </w:r>
    </w:p>
    <w:p w14:paraId="065AD95A" w14:textId="129A4DBF" w:rsidR="008B7E12" w:rsidRPr="00837F9C" w:rsidRDefault="00C00490"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 xml:space="preserve">The aim of the modeling effort in this study is to determine the </w:t>
      </w:r>
      <w:r w:rsidRPr="00837F9C">
        <w:rPr>
          <w:rFonts w:ascii="Times New Roman" w:hAnsi="Times New Roman" w:cs="Times New Roman"/>
          <w:i/>
          <w:iCs/>
          <w:sz w:val="24"/>
          <w:szCs w:val="24"/>
        </w:rPr>
        <w:t>COVID-effect</w:t>
      </w:r>
      <w:r w:rsidRPr="00837F9C">
        <w:rPr>
          <w:rFonts w:ascii="Times New Roman" w:hAnsi="Times New Roman" w:cs="Times New Roman"/>
          <w:sz w:val="24"/>
          <w:szCs w:val="24"/>
        </w:rPr>
        <w:t xml:space="preserve">, i.e., the impact of COVID on </w:t>
      </w:r>
      <w:r w:rsidR="00F752F0">
        <w:rPr>
          <w:rFonts w:ascii="Times New Roman" w:hAnsi="Times New Roman" w:cs="Times New Roman"/>
          <w:sz w:val="24"/>
          <w:szCs w:val="24"/>
        </w:rPr>
        <w:t>tele</w:t>
      </w:r>
      <w:r w:rsidRPr="00837F9C">
        <w:rPr>
          <w:rFonts w:ascii="Times New Roman" w:hAnsi="Times New Roman" w:cs="Times New Roman"/>
          <w:sz w:val="24"/>
          <w:szCs w:val="24"/>
        </w:rPr>
        <w:t xml:space="preserve">work </w:t>
      </w:r>
      <w:r w:rsidRPr="00837F9C">
        <w:rPr>
          <w:rFonts w:ascii="Times New Roman" w:hAnsi="Times New Roman" w:cs="Times New Roman"/>
          <w:i/>
          <w:iCs/>
          <w:sz w:val="24"/>
          <w:szCs w:val="24"/>
        </w:rPr>
        <w:t>adoption</w:t>
      </w:r>
      <w:r w:rsidRPr="00837F9C">
        <w:rPr>
          <w:rFonts w:ascii="Times New Roman" w:hAnsi="Times New Roman" w:cs="Times New Roman"/>
          <w:sz w:val="24"/>
          <w:szCs w:val="24"/>
        </w:rPr>
        <w:t xml:space="preserve">, </w:t>
      </w:r>
      <w:r w:rsidR="00F752F0">
        <w:rPr>
          <w:rFonts w:ascii="Times New Roman" w:hAnsi="Times New Roman" w:cs="Times New Roman"/>
          <w:sz w:val="24"/>
          <w:szCs w:val="24"/>
        </w:rPr>
        <w:t>tele</w:t>
      </w:r>
      <w:r w:rsidRPr="00837F9C">
        <w:rPr>
          <w:rFonts w:ascii="Times New Roman" w:hAnsi="Times New Roman" w:cs="Times New Roman"/>
          <w:sz w:val="24"/>
          <w:szCs w:val="24"/>
        </w:rPr>
        <w:t xml:space="preserve">work </w:t>
      </w:r>
      <w:r w:rsidRPr="00837F9C">
        <w:rPr>
          <w:rFonts w:ascii="Times New Roman" w:hAnsi="Times New Roman" w:cs="Times New Roman"/>
          <w:i/>
          <w:iCs/>
          <w:sz w:val="24"/>
          <w:szCs w:val="24"/>
        </w:rPr>
        <w:t>frequency</w:t>
      </w:r>
      <w:r w:rsidRPr="00837F9C">
        <w:rPr>
          <w:rFonts w:ascii="Times New Roman" w:hAnsi="Times New Roman" w:cs="Times New Roman"/>
          <w:sz w:val="24"/>
          <w:szCs w:val="24"/>
        </w:rPr>
        <w:t xml:space="preserve">, and </w:t>
      </w:r>
      <w:r w:rsidR="00F752F0">
        <w:rPr>
          <w:rFonts w:ascii="Times New Roman" w:hAnsi="Times New Roman" w:cs="Times New Roman"/>
          <w:sz w:val="24"/>
          <w:szCs w:val="24"/>
        </w:rPr>
        <w:t>tele</w:t>
      </w:r>
      <w:r w:rsidRPr="00837F9C">
        <w:rPr>
          <w:rFonts w:ascii="Times New Roman" w:hAnsi="Times New Roman" w:cs="Times New Roman"/>
          <w:sz w:val="24"/>
          <w:szCs w:val="24"/>
        </w:rPr>
        <w:t xml:space="preserve">work </w:t>
      </w:r>
      <w:r w:rsidRPr="00837F9C">
        <w:rPr>
          <w:rFonts w:ascii="Times New Roman" w:hAnsi="Times New Roman" w:cs="Times New Roman"/>
          <w:i/>
          <w:iCs/>
          <w:sz w:val="24"/>
          <w:szCs w:val="24"/>
        </w:rPr>
        <w:t>location</w:t>
      </w:r>
      <w:r w:rsidRPr="00837F9C">
        <w:rPr>
          <w:rFonts w:ascii="Times New Roman" w:hAnsi="Times New Roman" w:cs="Times New Roman"/>
          <w:sz w:val="24"/>
          <w:szCs w:val="24"/>
        </w:rPr>
        <w:t>.</w:t>
      </w:r>
      <w:r w:rsidR="00B912F2">
        <w:rPr>
          <w:rFonts w:ascii="Times New Roman" w:hAnsi="Times New Roman" w:cs="Times New Roman"/>
          <w:sz w:val="24"/>
          <w:szCs w:val="24"/>
        </w:rPr>
        <w:t xml:space="preserve"> </w:t>
      </w:r>
      <w:r w:rsidR="00B30748">
        <w:rPr>
          <w:rFonts w:ascii="Times New Roman" w:hAnsi="Times New Roman" w:cs="Times New Roman"/>
          <w:sz w:val="24"/>
          <w:szCs w:val="24"/>
        </w:rPr>
        <w:t>T</w:t>
      </w:r>
      <w:r w:rsidRPr="00837F9C">
        <w:rPr>
          <w:rFonts w:ascii="Times New Roman" w:hAnsi="Times New Roman" w:cs="Times New Roman"/>
          <w:sz w:val="24"/>
          <w:szCs w:val="24"/>
        </w:rPr>
        <w:t xml:space="preserve">o do so, </w:t>
      </w:r>
      <w:r w:rsidR="00B30748">
        <w:rPr>
          <w:rFonts w:ascii="Times New Roman" w:hAnsi="Times New Roman" w:cs="Times New Roman"/>
          <w:sz w:val="24"/>
          <w:szCs w:val="24"/>
        </w:rPr>
        <w:t xml:space="preserve">we stack </w:t>
      </w:r>
      <w:r w:rsidRPr="00837F9C">
        <w:rPr>
          <w:rFonts w:ascii="Times New Roman" w:hAnsi="Times New Roman" w:cs="Times New Roman"/>
          <w:sz w:val="24"/>
          <w:szCs w:val="24"/>
        </w:rPr>
        <w:t>the</w:t>
      </w:r>
      <w:r w:rsidR="007C04AC">
        <w:rPr>
          <w:rFonts w:ascii="Times New Roman" w:hAnsi="Times New Roman" w:cs="Times New Roman"/>
          <w:sz w:val="24"/>
          <w:szCs w:val="24"/>
        </w:rPr>
        <w:t xml:space="preserve"> </w:t>
      </w:r>
      <w:r w:rsidRPr="00837F9C">
        <w:rPr>
          <w:rFonts w:ascii="Times New Roman" w:hAnsi="Times New Roman" w:cs="Times New Roman"/>
          <w:sz w:val="24"/>
          <w:szCs w:val="24"/>
        </w:rPr>
        <w:t>data</w:t>
      </w:r>
      <w:r w:rsidR="00855655" w:rsidRPr="00837F9C">
        <w:rPr>
          <w:rFonts w:ascii="Times New Roman" w:hAnsi="Times New Roman" w:cs="Times New Roman"/>
          <w:sz w:val="24"/>
          <w:szCs w:val="24"/>
        </w:rPr>
        <w:t>set</w:t>
      </w:r>
      <w:r w:rsidRPr="00837F9C">
        <w:rPr>
          <w:rFonts w:ascii="Times New Roman" w:hAnsi="Times New Roman" w:cs="Times New Roman"/>
          <w:sz w:val="24"/>
          <w:szCs w:val="24"/>
        </w:rPr>
        <w:t xml:space="preserve"> in a configuration as depicted in Figure 1. For each respondent, there </w:t>
      </w:r>
      <w:r w:rsidR="006063F5">
        <w:rPr>
          <w:rFonts w:ascii="Times New Roman" w:hAnsi="Times New Roman" w:cs="Times New Roman"/>
          <w:sz w:val="24"/>
          <w:szCs w:val="24"/>
        </w:rPr>
        <w:t xml:space="preserve">is </w:t>
      </w:r>
      <w:r w:rsidRPr="00837F9C">
        <w:rPr>
          <w:rFonts w:ascii="Times New Roman" w:hAnsi="Times New Roman" w:cs="Times New Roman"/>
          <w:sz w:val="24"/>
          <w:szCs w:val="24"/>
        </w:rPr>
        <w:t xml:space="preserve">a pair of records – one corresponding to the </w:t>
      </w:r>
      <w:r w:rsidR="00700FD4">
        <w:rPr>
          <w:rFonts w:ascii="Times New Roman" w:hAnsi="Times New Roman" w:cs="Times New Roman"/>
          <w:i/>
          <w:sz w:val="24"/>
          <w:szCs w:val="24"/>
        </w:rPr>
        <w:t>B</w:t>
      </w:r>
      <w:r w:rsidRPr="00961062">
        <w:rPr>
          <w:rFonts w:ascii="Times New Roman" w:hAnsi="Times New Roman" w:cs="Times New Roman"/>
          <w:i/>
          <w:sz w:val="24"/>
          <w:szCs w:val="24"/>
        </w:rPr>
        <w:t>efore</w:t>
      </w:r>
      <w:r w:rsidR="00B30748">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837F9C">
        <w:rPr>
          <w:rFonts w:ascii="Times New Roman" w:hAnsi="Times New Roman" w:cs="Times New Roman"/>
          <w:sz w:val="24"/>
          <w:szCs w:val="24"/>
        </w:rPr>
        <w:t xml:space="preserve">period </w:t>
      </w:r>
      <w:r w:rsidR="00697FA9">
        <w:rPr>
          <w:rFonts w:ascii="Times New Roman" w:hAnsi="Times New Roman" w:cs="Times New Roman"/>
          <w:sz w:val="24"/>
          <w:szCs w:val="24"/>
        </w:rPr>
        <w:t xml:space="preserve">with a </w:t>
      </w:r>
      <w:r w:rsidR="00697FA9" w:rsidRPr="00837F9C">
        <w:rPr>
          <w:rFonts w:ascii="Times New Roman" w:hAnsi="Times New Roman" w:cs="Times New Roman"/>
          <w:sz w:val="24"/>
          <w:szCs w:val="24"/>
        </w:rPr>
        <w:t xml:space="preserve">set of </w:t>
      </w:r>
      <w:r w:rsidR="004651F3">
        <w:rPr>
          <w:rFonts w:ascii="Times New Roman" w:hAnsi="Times New Roman" w:cs="Times New Roman"/>
          <w:sz w:val="24"/>
          <w:szCs w:val="24"/>
        </w:rPr>
        <w:t xml:space="preserve">dependent outcome </w:t>
      </w:r>
      <w:r w:rsidR="00697FA9" w:rsidRPr="00837F9C">
        <w:rPr>
          <w:rFonts w:ascii="Times New Roman" w:hAnsi="Times New Roman" w:cs="Times New Roman"/>
          <w:sz w:val="24"/>
          <w:szCs w:val="24"/>
        </w:rPr>
        <w:t xml:space="preserve">responses for the three endogenous variables of interest </w:t>
      </w:r>
      <w:r w:rsidR="00697FA9">
        <w:rPr>
          <w:rFonts w:ascii="Times New Roman" w:hAnsi="Times New Roman" w:cs="Times New Roman"/>
          <w:sz w:val="24"/>
          <w:szCs w:val="24"/>
        </w:rPr>
        <w:t xml:space="preserve">(telework </w:t>
      </w:r>
      <w:r w:rsidR="00697FA9" w:rsidRPr="00837F9C">
        <w:rPr>
          <w:rFonts w:ascii="Times New Roman" w:hAnsi="Times New Roman" w:cs="Times New Roman"/>
          <w:sz w:val="24"/>
          <w:szCs w:val="24"/>
        </w:rPr>
        <w:t>adoption, frequency, and location</w:t>
      </w:r>
      <w:r w:rsidR="00697FA9">
        <w:rPr>
          <w:rFonts w:ascii="Times New Roman" w:hAnsi="Times New Roman" w:cs="Times New Roman"/>
          <w:sz w:val="24"/>
          <w:szCs w:val="24"/>
        </w:rPr>
        <w:t>)</w:t>
      </w:r>
      <w:r w:rsidR="004651F3">
        <w:rPr>
          <w:rFonts w:ascii="Times New Roman" w:hAnsi="Times New Roman" w:cs="Times New Roman"/>
          <w:sz w:val="24"/>
          <w:szCs w:val="24"/>
        </w:rPr>
        <w:t>,</w:t>
      </w:r>
      <w:r w:rsidR="00697FA9">
        <w:rPr>
          <w:rFonts w:ascii="Times New Roman" w:hAnsi="Times New Roman" w:cs="Times New Roman"/>
          <w:sz w:val="24"/>
          <w:szCs w:val="24"/>
        </w:rPr>
        <w:t xml:space="preserve"> and a second corresponding to the </w:t>
      </w:r>
      <w:r w:rsidR="00700FD4">
        <w:rPr>
          <w:rFonts w:ascii="Times New Roman" w:hAnsi="Times New Roman" w:cs="Times New Roman"/>
          <w:i/>
          <w:sz w:val="24"/>
          <w:szCs w:val="24"/>
        </w:rPr>
        <w:t>A</w:t>
      </w:r>
      <w:r w:rsidRPr="00961062">
        <w:rPr>
          <w:rFonts w:ascii="Times New Roman" w:hAnsi="Times New Roman" w:cs="Times New Roman"/>
          <w:i/>
          <w:sz w:val="24"/>
          <w:szCs w:val="24"/>
        </w:rPr>
        <w:t>fter</w:t>
      </w:r>
      <w:r w:rsidR="00B30748">
        <w:rPr>
          <w:rFonts w:ascii="Times New Roman" w:hAnsi="Times New Roman" w:cs="Times New Roman"/>
          <w:i/>
          <w:sz w:val="24"/>
          <w:szCs w:val="24"/>
        </w:rPr>
        <w:t xml:space="preserve"> </w:t>
      </w:r>
      <w:r w:rsidRPr="00A15909">
        <w:rPr>
          <w:rFonts w:ascii="Times New Roman" w:hAnsi="Times New Roman" w:cs="Times New Roman"/>
          <w:sz w:val="24"/>
          <w:szCs w:val="24"/>
        </w:rPr>
        <w:t>COVID</w:t>
      </w:r>
      <w:r w:rsidRPr="00C711F7">
        <w:rPr>
          <w:rFonts w:ascii="Times New Roman" w:hAnsi="Times New Roman" w:cs="Times New Roman"/>
          <w:sz w:val="24"/>
          <w:szCs w:val="24"/>
        </w:rPr>
        <w:t xml:space="preserve"> </w:t>
      </w:r>
      <w:r w:rsidRPr="00837F9C">
        <w:rPr>
          <w:rFonts w:ascii="Times New Roman" w:hAnsi="Times New Roman" w:cs="Times New Roman"/>
          <w:sz w:val="24"/>
          <w:szCs w:val="24"/>
        </w:rPr>
        <w:t>period</w:t>
      </w:r>
      <w:r w:rsidR="00697FA9">
        <w:rPr>
          <w:rFonts w:ascii="Times New Roman" w:hAnsi="Times New Roman" w:cs="Times New Roman"/>
          <w:sz w:val="24"/>
          <w:szCs w:val="24"/>
        </w:rPr>
        <w:t xml:space="preserve"> with again a set of </w:t>
      </w:r>
      <w:r w:rsidR="004651F3">
        <w:rPr>
          <w:rFonts w:ascii="Times New Roman" w:hAnsi="Times New Roman" w:cs="Times New Roman"/>
          <w:sz w:val="24"/>
          <w:szCs w:val="24"/>
        </w:rPr>
        <w:t xml:space="preserve">dependent </w:t>
      </w:r>
      <w:r w:rsidR="00697FA9">
        <w:rPr>
          <w:rFonts w:ascii="Times New Roman" w:hAnsi="Times New Roman" w:cs="Times New Roman"/>
          <w:sz w:val="24"/>
          <w:szCs w:val="24"/>
        </w:rPr>
        <w:t>response</w:t>
      </w:r>
      <w:r w:rsidR="004651F3">
        <w:rPr>
          <w:rFonts w:ascii="Times New Roman" w:hAnsi="Times New Roman" w:cs="Times New Roman"/>
          <w:sz w:val="24"/>
          <w:szCs w:val="24"/>
        </w:rPr>
        <w:t xml:space="preserve"> outcomes</w:t>
      </w:r>
      <w:r w:rsidR="00697FA9">
        <w:rPr>
          <w:rFonts w:ascii="Times New Roman" w:hAnsi="Times New Roman" w:cs="Times New Roman"/>
          <w:sz w:val="24"/>
          <w:szCs w:val="24"/>
        </w:rPr>
        <w:t xml:space="preserve"> to the three endogenous variables of interest. The </w:t>
      </w:r>
      <w:r w:rsidR="00697FA9" w:rsidRPr="00EF49C0">
        <w:rPr>
          <w:rFonts w:ascii="Times New Roman" w:hAnsi="Times New Roman" w:cs="Times New Roman"/>
          <w:i/>
          <w:sz w:val="24"/>
          <w:szCs w:val="24"/>
        </w:rPr>
        <w:t xml:space="preserve">Before </w:t>
      </w:r>
      <w:r w:rsidR="00697FA9">
        <w:rPr>
          <w:rFonts w:ascii="Times New Roman" w:hAnsi="Times New Roman" w:cs="Times New Roman"/>
          <w:sz w:val="24"/>
          <w:szCs w:val="24"/>
        </w:rPr>
        <w:t xml:space="preserve">COVID </w:t>
      </w:r>
      <w:r w:rsidR="006063F5">
        <w:rPr>
          <w:rFonts w:ascii="Times New Roman" w:hAnsi="Times New Roman" w:cs="Times New Roman"/>
          <w:sz w:val="24"/>
          <w:szCs w:val="24"/>
        </w:rPr>
        <w:t>telework dependent outcome</w:t>
      </w:r>
      <w:r w:rsidR="00697FA9">
        <w:rPr>
          <w:rFonts w:ascii="Times New Roman" w:hAnsi="Times New Roman" w:cs="Times New Roman"/>
          <w:sz w:val="24"/>
          <w:szCs w:val="24"/>
        </w:rPr>
        <w:t xml:space="preserve"> for all individuals are first stacked up in the top </w:t>
      </w:r>
      <w:r w:rsidR="004651F3">
        <w:rPr>
          <w:rFonts w:ascii="Times New Roman" w:hAnsi="Times New Roman" w:cs="Times New Roman"/>
          <w:sz w:val="24"/>
          <w:szCs w:val="24"/>
        </w:rPr>
        <w:t xml:space="preserve">row </w:t>
      </w:r>
      <w:r w:rsidR="00697FA9">
        <w:rPr>
          <w:rFonts w:ascii="Times New Roman" w:hAnsi="Times New Roman" w:cs="Times New Roman"/>
          <w:sz w:val="24"/>
          <w:szCs w:val="24"/>
        </w:rPr>
        <w:t>panel</w:t>
      </w:r>
      <w:r w:rsidR="004651F3">
        <w:rPr>
          <w:rFonts w:ascii="Times New Roman" w:hAnsi="Times New Roman" w:cs="Times New Roman"/>
          <w:sz w:val="24"/>
          <w:szCs w:val="24"/>
        </w:rPr>
        <w:t xml:space="preserve"> labeled “</w:t>
      </w:r>
      <w:r w:rsidR="004651F3" w:rsidRPr="00EF49C0">
        <w:rPr>
          <w:rFonts w:ascii="Times New Roman" w:hAnsi="Times New Roman" w:cs="Times New Roman"/>
          <w:i/>
          <w:sz w:val="24"/>
          <w:szCs w:val="24"/>
        </w:rPr>
        <w:t>Before</w:t>
      </w:r>
      <w:r w:rsidR="004651F3">
        <w:rPr>
          <w:rFonts w:ascii="Times New Roman" w:hAnsi="Times New Roman" w:cs="Times New Roman"/>
          <w:sz w:val="24"/>
          <w:szCs w:val="24"/>
        </w:rPr>
        <w:t xml:space="preserve"> COVID”</w:t>
      </w:r>
      <w:r w:rsidR="00697FA9">
        <w:rPr>
          <w:rFonts w:ascii="Times New Roman" w:hAnsi="Times New Roman" w:cs="Times New Roman"/>
          <w:sz w:val="24"/>
          <w:szCs w:val="24"/>
        </w:rPr>
        <w:t xml:space="preserve">, followed by the </w:t>
      </w:r>
      <w:r w:rsidR="00697FA9" w:rsidRPr="00EF49C0">
        <w:rPr>
          <w:rFonts w:ascii="Times New Roman" w:hAnsi="Times New Roman" w:cs="Times New Roman"/>
          <w:i/>
          <w:sz w:val="24"/>
          <w:szCs w:val="24"/>
        </w:rPr>
        <w:t xml:space="preserve">After </w:t>
      </w:r>
      <w:r w:rsidR="00697FA9">
        <w:rPr>
          <w:rFonts w:ascii="Times New Roman" w:hAnsi="Times New Roman" w:cs="Times New Roman"/>
          <w:sz w:val="24"/>
          <w:szCs w:val="24"/>
        </w:rPr>
        <w:t xml:space="preserve">COVID responses </w:t>
      </w:r>
      <w:r w:rsidR="004651F3">
        <w:rPr>
          <w:rFonts w:ascii="Times New Roman" w:hAnsi="Times New Roman" w:cs="Times New Roman"/>
          <w:sz w:val="24"/>
          <w:szCs w:val="24"/>
        </w:rPr>
        <w:t>for all individuals in the bottom row panel labeled “</w:t>
      </w:r>
      <w:r w:rsidR="004651F3" w:rsidRPr="00EF49C0">
        <w:rPr>
          <w:rFonts w:ascii="Times New Roman" w:hAnsi="Times New Roman" w:cs="Times New Roman"/>
          <w:i/>
          <w:sz w:val="24"/>
          <w:szCs w:val="24"/>
        </w:rPr>
        <w:t xml:space="preserve">After </w:t>
      </w:r>
      <w:r w:rsidR="004651F3">
        <w:rPr>
          <w:rFonts w:ascii="Times New Roman" w:hAnsi="Times New Roman" w:cs="Times New Roman"/>
          <w:sz w:val="24"/>
          <w:szCs w:val="24"/>
        </w:rPr>
        <w:t>COVID”. Next, t</w:t>
      </w:r>
      <w:r w:rsidR="00697FA9">
        <w:rPr>
          <w:rFonts w:ascii="Times New Roman" w:hAnsi="Times New Roman" w:cs="Times New Roman"/>
          <w:sz w:val="24"/>
          <w:szCs w:val="24"/>
        </w:rPr>
        <w:t xml:space="preserve">here </w:t>
      </w:r>
      <w:r w:rsidR="00F752F0">
        <w:rPr>
          <w:rFonts w:ascii="Times New Roman" w:hAnsi="Times New Roman" w:cs="Times New Roman"/>
          <w:sz w:val="24"/>
          <w:szCs w:val="24"/>
        </w:rPr>
        <w:t>is</w:t>
      </w:r>
      <w:r w:rsidR="00BA1A47" w:rsidRPr="00837F9C">
        <w:rPr>
          <w:rFonts w:ascii="Times New Roman" w:hAnsi="Times New Roman" w:cs="Times New Roman"/>
          <w:sz w:val="24"/>
          <w:szCs w:val="24"/>
        </w:rPr>
        <w:t xml:space="preserve"> a </w:t>
      </w:r>
      <w:r w:rsidR="0027376D">
        <w:rPr>
          <w:rFonts w:ascii="Times New Roman" w:hAnsi="Times New Roman" w:cs="Times New Roman"/>
          <w:sz w:val="24"/>
          <w:szCs w:val="24"/>
        </w:rPr>
        <w:t xml:space="preserve">constant followed by a </w:t>
      </w:r>
      <w:r w:rsidR="00BA1A47" w:rsidRPr="00837F9C">
        <w:rPr>
          <w:rFonts w:ascii="Times New Roman" w:hAnsi="Times New Roman" w:cs="Times New Roman"/>
          <w:sz w:val="24"/>
          <w:szCs w:val="24"/>
        </w:rPr>
        <w:t xml:space="preserve">set of exogenous variables, all of which are considered static </w:t>
      </w:r>
      <w:r w:rsidR="00B30748">
        <w:rPr>
          <w:rFonts w:ascii="Times New Roman" w:hAnsi="Times New Roman" w:cs="Times New Roman"/>
          <w:sz w:val="24"/>
          <w:szCs w:val="24"/>
        </w:rPr>
        <w:t>and invariant between the two time periods (</w:t>
      </w:r>
      <w:r w:rsidR="004651F3">
        <w:rPr>
          <w:rFonts w:ascii="Times New Roman" w:hAnsi="Times New Roman" w:cs="Times New Roman"/>
          <w:sz w:val="24"/>
          <w:szCs w:val="24"/>
        </w:rPr>
        <w:t xml:space="preserve">in the survey, </w:t>
      </w:r>
      <w:r w:rsidR="00B30748">
        <w:rPr>
          <w:rFonts w:ascii="Times New Roman" w:hAnsi="Times New Roman" w:cs="Times New Roman"/>
          <w:sz w:val="24"/>
          <w:szCs w:val="24"/>
        </w:rPr>
        <w:t>the</w:t>
      </w:r>
      <w:r w:rsidR="004651F3">
        <w:rPr>
          <w:rFonts w:ascii="Times New Roman" w:hAnsi="Times New Roman" w:cs="Times New Roman"/>
          <w:sz w:val="24"/>
          <w:szCs w:val="24"/>
        </w:rPr>
        <w:t xml:space="preserve"> </w:t>
      </w:r>
      <w:r w:rsidR="00F752F0">
        <w:rPr>
          <w:rFonts w:ascii="Times New Roman" w:hAnsi="Times New Roman" w:cs="Times New Roman"/>
          <w:sz w:val="24"/>
          <w:szCs w:val="24"/>
        </w:rPr>
        <w:t xml:space="preserve">static values of the </w:t>
      </w:r>
      <w:r w:rsidR="004651F3">
        <w:rPr>
          <w:rFonts w:ascii="Times New Roman" w:hAnsi="Times New Roman" w:cs="Times New Roman"/>
          <w:sz w:val="24"/>
          <w:szCs w:val="24"/>
        </w:rPr>
        <w:t>exogenous variabl</w:t>
      </w:r>
      <w:r w:rsidR="00F752F0">
        <w:rPr>
          <w:rFonts w:ascii="Times New Roman" w:hAnsi="Times New Roman" w:cs="Times New Roman"/>
          <w:sz w:val="24"/>
          <w:szCs w:val="24"/>
        </w:rPr>
        <w:t xml:space="preserve">es </w:t>
      </w:r>
      <w:r w:rsidR="00B30748">
        <w:rPr>
          <w:rFonts w:ascii="Times New Roman" w:hAnsi="Times New Roman" w:cs="Times New Roman"/>
          <w:sz w:val="24"/>
          <w:szCs w:val="24"/>
        </w:rPr>
        <w:t>correspond to t</w:t>
      </w:r>
      <w:r w:rsidR="004651F3">
        <w:rPr>
          <w:rFonts w:ascii="Times New Roman" w:hAnsi="Times New Roman" w:cs="Times New Roman"/>
          <w:sz w:val="24"/>
          <w:szCs w:val="24"/>
        </w:rPr>
        <w:t xml:space="preserve">hose in the </w:t>
      </w:r>
      <w:r w:rsidR="00B30748">
        <w:rPr>
          <w:rFonts w:ascii="Times New Roman" w:hAnsi="Times New Roman" w:cs="Times New Roman"/>
          <w:sz w:val="24"/>
          <w:szCs w:val="24"/>
        </w:rPr>
        <w:t xml:space="preserve">current or </w:t>
      </w:r>
      <w:r w:rsidR="00B30748" w:rsidRPr="00EF49C0">
        <w:rPr>
          <w:rFonts w:ascii="Times New Roman" w:hAnsi="Times New Roman" w:cs="Times New Roman"/>
          <w:i/>
          <w:sz w:val="24"/>
          <w:szCs w:val="24"/>
        </w:rPr>
        <w:t xml:space="preserve">After </w:t>
      </w:r>
      <w:r w:rsidR="00B30748">
        <w:rPr>
          <w:rFonts w:ascii="Times New Roman" w:hAnsi="Times New Roman" w:cs="Times New Roman"/>
          <w:sz w:val="24"/>
          <w:szCs w:val="24"/>
        </w:rPr>
        <w:t>COVID period).</w:t>
      </w:r>
      <w:r w:rsidR="00B30748">
        <w:rPr>
          <w:rStyle w:val="FootnoteReference"/>
          <w:rFonts w:ascii="Times New Roman" w:hAnsi="Times New Roman" w:cs="Times New Roman"/>
          <w:sz w:val="24"/>
          <w:szCs w:val="24"/>
        </w:rPr>
        <w:footnoteReference w:id="8"/>
      </w:r>
      <w:r w:rsidR="00B912F2">
        <w:rPr>
          <w:rFonts w:ascii="Times New Roman" w:hAnsi="Times New Roman" w:cs="Times New Roman"/>
          <w:sz w:val="24"/>
          <w:szCs w:val="24"/>
        </w:rPr>
        <w:t xml:space="preserve"> </w:t>
      </w:r>
      <w:r w:rsidR="004651F3">
        <w:rPr>
          <w:rFonts w:ascii="Times New Roman" w:hAnsi="Times New Roman" w:cs="Times New Roman"/>
          <w:sz w:val="24"/>
          <w:szCs w:val="24"/>
        </w:rPr>
        <w:t xml:space="preserve">Thus, </w:t>
      </w:r>
      <w:r w:rsidR="00EF7A2D">
        <w:rPr>
          <w:rFonts w:ascii="Times New Roman" w:hAnsi="Times New Roman" w:cs="Times New Roman"/>
          <w:sz w:val="24"/>
          <w:szCs w:val="24"/>
        </w:rPr>
        <w:t>a</w:t>
      </w:r>
      <w:r w:rsidR="00F752F0">
        <w:rPr>
          <w:rFonts w:ascii="Times New Roman" w:hAnsi="Times New Roman" w:cs="Times New Roman"/>
          <w:sz w:val="24"/>
          <w:szCs w:val="24"/>
        </w:rPr>
        <w:t xml:space="preserve">s shown in Figure 1, </w:t>
      </w:r>
      <w:r w:rsidR="004651F3">
        <w:rPr>
          <w:rFonts w:ascii="Times New Roman" w:hAnsi="Times New Roman" w:cs="Times New Roman"/>
          <w:sz w:val="24"/>
          <w:szCs w:val="24"/>
        </w:rPr>
        <w:t xml:space="preserve">the same “data” will appear under the “exogenous variables” column for each individual for the </w:t>
      </w:r>
      <w:r w:rsidR="004651F3" w:rsidRPr="00EF49C0">
        <w:rPr>
          <w:rFonts w:ascii="Times New Roman" w:hAnsi="Times New Roman" w:cs="Times New Roman"/>
          <w:i/>
          <w:sz w:val="24"/>
          <w:szCs w:val="24"/>
        </w:rPr>
        <w:t xml:space="preserve">Before </w:t>
      </w:r>
      <w:r w:rsidR="004651F3">
        <w:rPr>
          <w:rFonts w:ascii="Times New Roman" w:hAnsi="Times New Roman" w:cs="Times New Roman"/>
          <w:sz w:val="24"/>
          <w:szCs w:val="24"/>
        </w:rPr>
        <w:t xml:space="preserve">COVID and </w:t>
      </w:r>
      <w:r w:rsidR="004651F3" w:rsidRPr="00EF49C0">
        <w:rPr>
          <w:rFonts w:ascii="Times New Roman" w:hAnsi="Times New Roman" w:cs="Times New Roman"/>
          <w:i/>
          <w:sz w:val="24"/>
          <w:szCs w:val="24"/>
        </w:rPr>
        <w:t xml:space="preserve">After </w:t>
      </w:r>
      <w:r w:rsidR="004651F3">
        <w:rPr>
          <w:rFonts w:ascii="Times New Roman" w:hAnsi="Times New Roman" w:cs="Times New Roman"/>
          <w:sz w:val="24"/>
          <w:szCs w:val="24"/>
        </w:rPr>
        <w:t xml:space="preserve">COVID periods. </w:t>
      </w:r>
      <w:r w:rsidR="002E13A2">
        <w:rPr>
          <w:rFonts w:ascii="Times New Roman" w:hAnsi="Times New Roman" w:cs="Times New Roman"/>
          <w:sz w:val="24"/>
          <w:szCs w:val="24"/>
        </w:rPr>
        <w:t xml:space="preserve">This is followed by an </w:t>
      </w:r>
      <w:r w:rsidR="0027376D">
        <w:rPr>
          <w:rFonts w:ascii="Times New Roman" w:hAnsi="Times New Roman" w:cs="Times New Roman"/>
          <w:sz w:val="24"/>
          <w:szCs w:val="24"/>
        </w:rPr>
        <w:t>“</w:t>
      </w:r>
      <w:r w:rsidR="002E13A2" w:rsidRPr="00EF49C0">
        <w:rPr>
          <w:rFonts w:ascii="Times New Roman" w:hAnsi="Times New Roman" w:cs="Times New Roman"/>
          <w:i/>
          <w:sz w:val="24"/>
          <w:szCs w:val="24"/>
        </w:rPr>
        <w:t>After</w:t>
      </w:r>
      <w:r w:rsidR="002E13A2">
        <w:rPr>
          <w:rFonts w:ascii="Times New Roman" w:hAnsi="Times New Roman" w:cs="Times New Roman"/>
          <w:sz w:val="24"/>
          <w:szCs w:val="24"/>
        </w:rPr>
        <w:t xml:space="preserve"> COVID record</w:t>
      </w:r>
      <w:r w:rsidR="0027376D">
        <w:rPr>
          <w:rFonts w:ascii="Times New Roman" w:hAnsi="Times New Roman" w:cs="Times New Roman"/>
          <w:sz w:val="24"/>
          <w:szCs w:val="24"/>
        </w:rPr>
        <w:t>”</w:t>
      </w:r>
      <w:r w:rsidR="002E13A2">
        <w:rPr>
          <w:rFonts w:ascii="Times New Roman" w:hAnsi="Times New Roman" w:cs="Times New Roman"/>
          <w:sz w:val="24"/>
          <w:szCs w:val="24"/>
        </w:rPr>
        <w:t xml:space="preserve"> </w:t>
      </w:r>
      <w:r w:rsidR="00697FA9" w:rsidRPr="00837F9C">
        <w:rPr>
          <w:rFonts w:ascii="Times New Roman" w:hAnsi="Times New Roman" w:cs="Times New Roman"/>
          <w:sz w:val="24"/>
          <w:szCs w:val="24"/>
        </w:rPr>
        <w:t xml:space="preserve">indicator </w:t>
      </w:r>
      <w:r w:rsidR="002E13A2">
        <w:rPr>
          <w:rFonts w:ascii="Times New Roman" w:hAnsi="Times New Roman" w:cs="Times New Roman"/>
          <w:sz w:val="24"/>
          <w:szCs w:val="24"/>
        </w:rPr>
        <w:t xml:space="preserve">that takes a value of 1 if a record corresponds to </w:t>
      </w:r>
      <w:r w:rsidR="00697FA9" w:rsidRPr="00837F9C">
        <w:rPr>
          <w:rFonts w:ascii="Times New Roman" w:hAnsi="Times New Roman" w:cs="Times New Roman"/>
          <w:sz w:val="24"/>
          <w:szCs w:val="24"/>
        </w:rPr>
        <w:t xml:space="preserve">the </w:t>
      </w:r>
      <w:r w:rsidR="00697FA9">
        <w:rPr>
          <w:rFonts w:ascii="Times New Roman" w:hAnsi="Times New Roman" w:cs="Times New Roman"/>
          <w:i/>
          <w:sz w:val="24"/>
          <w:szCs w:val="24"/>
        </w:rPr>
        <w:t>A</w:t>
      </w:r>
      <w:r w:rsidR="00697FA9" w:rsidRPr="00961062">
        <w:rPr>
          <w:rFonts w:ascii="Times New Roman" w:hAnsi="Times New Roman" w:cs="Times New Roman"/>
          <w:i/>
          <w:sz w:val="24"/>
          <w:szCs w:val="24"/>
        </w:rPr>
        <w:t>fter</w:t>
      </w:r>
      <w:r w:rsidR="00F752F0">
        <w:rPr>
          <w:rFonts w:ascii="Times New Roman" w:hAnsi="Times New Roman" w:cs="Times New Roman"/>
          <w:i/>
          <w:sz w:val="24"/>
          <w:szCs w:val="24"/>
        </w:rPr>
        <w:t xml:space="preserve"> </w:t>
      </w:r>
      <w:r w:rsidR="00697FA9" w:rsidRPr="00A15909">
        <w:rPr>
          <w:rFonts w:ascii="Times New Roman" w:hAnsi="Times New Roman" w:cs="Times New Roman"/>
          <w:sz w:val="24"/>
          <w:szCs w:val="24"/>
        </w:rPr>
        <w:t>COVID</w:t>
      </w:r>
      <w:r w:rsidR="00697FA9" w:rsidRPr="00837F9C">
        <w:rPr>
          <w:rFonts w:ascii="Times New Roman" w:hAnsi="Times New Roman" w:cs="Times New Roman"/>
          <w:sz w:val="24"/>
          <w:szCs w:val="24"/>
        </w:rPr>
        <w:t xml:space="preserve"> period</w:t>
      </w:r>
      <w:r w:rsidR="002E13A2">
        <w:rPr>
          <w:rFonts w:ascii="Times New Roman" w:hAnsi="Times New Roman" w:cs="Times New Roman"/>
          <w:sz w:val="24"/>
          <w:szCs w:val="24"/>
        </w:rPr>
        <w:t xml:space="preserve"> and 0 otherwise</w:t>
      </w:r>
      <w:r w:rsidR="00697FA9" w:rsidRPr="00837F9C">
        <w:rPr>
          <w:rFonts w:ascii="Times New Roman" w:hAnsi="Times New Roman" w:cs="Times New Roman"/>
          <w:sz w:val="24"/>
          <w:szCs w:val="24"/>
        </w:rPr>
        <w:t xml:space="preserve">. </w:t>
      </w:r>
      <w:r w:rsidR="00BA1A47" w:rsidRPr="00837F9C">
        <w:rPr>
          <w:rFonts w:ascii="Times New Roman" w:hAnsi="Times New Roman" w:cs="Times New Roman"/>
          <w:sz w:val="24"/>
          <w:szCs w:val="24"/>
        </w:rPr>
        <w:t>Finally,</w:t>
      </w:r>
      <w:r w:rsidR="00641693" w:rsidRPr="00837F9C">
        <w:rPr>
          <w:rFonts w:ascii="Times New Roman" w:hAnsi="Times New Roman" w:cs="Times New Roman"/>
          <w:sz w:val="24"/>
          <w:szCs w:val="24"/>
        </w:rPr>
        <w:t xml:space="preserve"> the dataset has an interaction element,</w:t>
      </w:r>
      <w:r w:rsidR="00BA1A47" w:rsidRPr="00837F9C">
        <w:rPr>
          <w:rFonts w:ascii="Times New Roman" w:hAnsi="Times New Roman" w:cs="Times New Roman"/>
          <w:sz w:val="24"/>
          <w:szCs w:val="24"/>
        </w:rPr>
        <w:t xml:space="preserve"> corresponding to interaction terms between the exogenous variables and the </w:t>
      </w:r>
      <w:r w:rsidR="0027376D">
        <w:rPr>
          <w:rFonts w:ascii="Times New Roman" w:hAnsi="Times New Roman" w:cs="Times New Roman"/>
          <w:sz w:val="24"/>
          <w:szCs w:val="24"/>
        </w:rPr>
        <w:t>“</w:t>
      </w:r>
      <w:r w:rsidR="0027376D" w:rsidRPr="00EF49C0">
        <w:rPr>
          <w:rFonts w:ascii="Times New Roman" w:hAnsi="Times New Roman" w:cs="Times New Roman"/>
          <w:i/>
          <w:sz w:val="24"/>
          <w:szCs w:val="24"/>
        </w:rPr>
        <w:t xml:space="preserve">After </w:t>
      </w:r>
      <w:r w:rsidR="0027376D">
        <w:rPr>
          <w:rFonts w:ascii="Times New Roman" w:hAnsi="Times New Roman" w:cs="Times New Roman"/>
          <w:sz w:val="24"/>
          <w:szCs w:val="24"/>
        </w:rPr>
        <w:t xml:space="preserve">COVID record” </w:t>
      </w:r>
      <w:r w:rsidR="00BA1A47" w:rsidRPr="00837F9C">
        <w:rPr>
          <w:rFonts w:ascii="Times New Roman" w:hAnsi="Times New Roman" w:cs="Times New Roman"/>
          <w:sz w:val="24"/>
          <w:szCs w:val="24"/>
        </w:rPr>
        <w:t>indicator. Essentially, this configuration allows the estimation of a model system that is capable of revealing three types of effects</w:t>
      </w:r>
      <w:r w:rsidR="0027376D">
        <w:rPr>
          <w:rFonts w:ascii="Times New Roman" w:hAnsi="Times New Roman" w:cs="Times New Roman"/>
          <w:sz w:val="24"/>
          <w:szCs w:val="24"/>
        </w:rPr>
        <w:t xml:space="preserve">, as identified at the </w:t>
      </w:r>
      <w:r w:rsidR="0027376D" w:rsidRPr="00EF49C0">
        <w:rPr>
          <w:rFonts w:ascii="Times New Roman" w:hAnsi="Times New Roman" w:cs="Times New Roman"/>
          <w:sz w:val="24"/>
          <w:szCs w:val="24"/>
          <w:u w:val="single"/>
        </w:rPr>
        <w:t>bottom of the figure</w:t>
      </w:r>
      <w:r w:rsidR="00BA1A47" w:rsidRPr="00837F9C">
        <w:rPr>
          <w:rFonts w:ascii="Times New Roman" w:hAnsi="Times New Roman" w:cs="Times New Roman"/>
          <w:sz w:val="24"/>
          <w:szCs w:val="24"/>
        </w:rPr>
        <w:t xml:space="preserve"> – </w:t>
      </w:r>
      <w:r w:rsidR="0027376D">
        <w:rPr>
          <w:rFonts w:ascii="Times New Roman" w:hAnsi="Times New Roman" w:cs="Times New Roman"/>
          <w:sz w:val="24"/>
          <w:szCs w:val="24"/>
        </w:rPr>
        <w:t xml:space="preserve">(1) </w:t>
      </w:r>
      <w:r w:rsidR="00BA1A47" w:rsidRPr="00837F9C">
        <w:rPr>
          <w:rFonts w:ascii="Times New Roman" w:hAnsi="Times New Roman" w:cs="Times New Roman"/>
          <w:sz w:val="24"/>
          <w:szCs w:val="24"/>
        </w:rPr>
        <w:t xml:space="preserve">a </w:t>
      </w:r>
      <w:r w:rsidR="00697FA9" w:rsidRPr="00EF49C0">
        <w:rPr>
          <w:rFonts w:ascii="Times New Roman" w:hAnsi="Times New Roman" w:cs="Times New Roman"/>
          <w:i/>
          <w:sz w:val="24"/>
          <w:szCs w:val="24"/>
        </w:rPr>
        <w:t xml:space="preserve">Before </w:t>
      </w:r>
      <w:r w:rsidR="00697FA9">
        <w:rPr>
          <w:rFonts w:ascii="Times New Roman" w:hAnsi="Times New Roman" w:cs="Times New Roman"/>
          <w:sz w:val="24"/>
          <w:szCs w:val="24"/>
        </w:rPr>
        <w:t xml:space="preserve">COVID </w:t>
      </w:r>
      <w:r w:rsidR="0027376D">
        <w:rPr>
          <w:rFonts w:ascii="Times New Roman" w:hAnsi="Times New Roman" w:cs="Times New Roman"/>
          <w:sz w:val="24"/>
          <w:szCs w:val="24"/>
        </w:rPr>
        <w:t xml:space="preserve">(or baseline) </w:t>
      </w:r>
      <w:r w:rsidR="00697FA9">
        <w:rPr>
          <w:rFonts w:ascii="Times New Roman" w:hAnsi="Times New Roman" w:cs="Times New Roman"/>
          <w:sz w:val="24"/>
          <w:szCs w:val="24"/>
        </w:rPr>
        <w:t xml:space="preserve">effect corresponding to the </w:t>
      </w:r>
      <w:r w:rsidR="0027376D">
        <w:rPr>
          <w:rFonts w:ascii="Times New Roman" w:hAnsi="Times New Roman" w:cs="Times New Roman"/>
          <w:sz w:val="24"/>
          <w:szCs w:val="24"/>
        </w:rPr>
        <w:t xml:space="preserve">column labeled at the top as </w:t>
      </w:r>
      <w:r w:rsidR="00D85953">
        <w:rPr>
          <w:rFonts w:ascii="Times New Roman" w:hAnsi="Times New Roman" w:cs="Times New Roman"/>
          <w:sz w:val="24"/>
          <w:szCs w:val="24"/>
        </w:rPr>
        <w:t xml:space="preserve">“constant” and </w:t>
      </w:r>
      <w:r w:rsidR="0027376D">
        <w:rPr>
          <w:rFonts w:ascii="Times New Roman" w:hAnsi="Times New Roman" w:cs="Times New Roman"/>
          <w:sz w:val="24"/>
          <w:szCs w:val="24"/>
        </w:rPr>
        <w:t>“exogenous variables”</w:t>
      </w:r>
      <w:r w:rsidR="00BA1A47" w:rsidRPr="00837F9C">
        <w:rPr>
          <w:rFonts w:ascii="Times New Roman" w:hAnsi="Times New Roman" w:cs="Times New Roman"/>
          <w:sz w:val="24"/>
          <w:szCs w:val="24"/>
        </w:rPr>
        <w:t xml:space="preserve">, </w:t>
      </w:r>
      <w:r w:rsidR="0027376D">
        <w:rPr>
          <w:rFonts w:ascii="Times New Roman" w:hAnsi="Times New Roman" w:cs="Times New Roman"/>
          <w:sz w:val="24"/>
          <w:szCs w:val="24"/>
        </w:rPr>
        <w:t xml:space="preserve">(2) </w:t>
      </w:r>
      <w:r w:rsidR="00BA1A47" w:rsidRPr="00837F9C">
        <w:rPr>
          <w:rFonts w:ascii="Times New Roman" w:hAnsi="Times New Roman" w:cs="Times New Roman"/>
          <w:sz w:val="24"/>
          <w:szCs w:val="24"/>
        </w:rPr>
        <w:t xml:space="preserve">a </w:t>
      </w:r>
      <w:r w:rsidR="0027376D">
        <w:rPr>
          <w:rFonts w:ascii="Times New Roman" w:hAnsi="Times New Roman" w:cs="Times New Roman"/>
          <w:sz w:val="24"/>
          <w:szCs w:val="24"/>
        </w:rPr>
        <w:t>generic</w:t>
      </w:r>
      <w:r w:rsidR="00BA1A47" w:rsidRPr="00837F9C">
        <w:rPr>
          <w:rFonts w:ascii="Times New Roman" w:hAnsi="Times New Roman" w:cs="Times New Roman"/>
          <w:sz w:val="24"/>
          <w:szCs w:val="24"/>
        </w:rPr>
        <w:t xml:space="preserve"> </w:t>
      </w:r>
      <w:r w:rsidR="0027376D">
        <w:rPr>
          <w:rFonts w:ascii="Times New Roman" w:hAnsi="Times New Roman" w:cs="Times New Roman"/>
          <w:sz w:val="24"/>
          <w:szCs w:val="24"/>
        </w:rPr>
        <w:t>COVID shift effect (from the baseline effect) corresponding to the column labeled at the top as “</w:t>
      </w:r>
      <w:r w:rsidR="0027376D" w:rsidRPr="00EF49C0">
        <w:rPr>
          <w:rFonts w:ascii="Times New Roman" w:hAnsi="Times New Roman" w:cs="Times New Roman"/>
          <w:i/>
          <w:sz w:val="24"/>
          <w:szCs w:val="24"/>
        </w:rPr>
        <w:t xml:space="preserve">After </w:t>
      </w:r>
      <w:r w:rsidR="0027376D">
        <w:rPr>
          <w:rFonts w:ascii="Times New Roman" w:hAnsi="Times New Roman" w:cs="Times New Roman"/>
          <w:sz w:val="24"/>
          <w:szCs w:val="24"/>
        </w:rPr>
        <w:t>COVID record</w:t>
      </w:r>
      <w:r w:rsidR="00F752F0">
        <w:rPr>
          <w:rFonts w:ascii="Times New Roman" w:hAnsi="Times New Roman" w:cs="Times New Roman"/>
          <w:sz w:val="24"/>
          <w:szCs w:val="24"/>
        </w:rPr>
        <w:t xml:space="preserve"> indicator</w:t>
      </w:r>
      <w:r w:rsidR="0027376D">
        <w:rPr>
          <w:rFonts w:ascii="Times New Roman" w:hAnsi="Times New Roman" w:cs="Times New Roman"/>
          <w:sz w:val="24"/>
          <w:szCs w:val="24"/>
        </w:rPr>
        <w:t xml:space="preserve">”, and (3) </w:t>
      </w:r>
      <w:r w:rsidR="00BA1A47" w:rsidRPr="00837F9C">
        <w:rPr>
          <w:rFonts w:ascii="Times New Roman" w:hAnsi="Times New Roman" w:cs="Times New Roman"/>
          <w:sz w:val="24"/>
          <w:szCs w:val="24"/>
        </w:rPr>
        <w:t xml:space="preserve">an </w:t>
      </w:r>
      <w:r w:rsidR="0027376D">
        <w:rPr>
          <w:rFonts w:ascii="Times New Roman" w:hAnsi="Times New Roman" w:cs="Times New Roman"/>
          <w:sz w:val="24"/>
          <w:szCs w:val="24"/>
        </w:rPr>
        <w:t xml:space="preserve">exogenous variable </w:t>
      </w:r>
      <w:r w:rsidR="006063F5">
        <w:rPr>
          <w:rFonts w:ascii="Times New Roman" w:hAnsi="Times New Roman" w:cs="Times New Roman"/>
          <w:sz w:val="24"/>
          <w:szCs w:val="24"/>
        </w:rPr>
        <w:t xml:space="preserve">COVID </w:t>
      </w:r>
      <w:r w:rsidR="0027376D">
        <w:rPr>
          <w:rFonts w:ascii="Times New Roman" w:hAnsi="Times New Roman" w:cs="Times New Roman"/>
          <w:sz w:val="24"/>
          <w:szCs w:val="24"/>
        </w:rPr>
        <w:t>shift effect from the baseline</w:t>
      </w:r>
      <w:r w:rsidR="00D85953">
        <w:rPr>
          <w:rFonts w:ascii="Times New Roman" w:hAnsi="Times New Roman" w:cs="Times New Roman"/>
          <w:sz w:val="24"/>
          <w:szCs w:val="24"/>
        </w:rPr>
        <w:t>,</w:t>
      </w:r>
      <w:r w:rsidR="0027376D">
        <w:rPr>
          <w:rFonts w:ascii="Times New Roman" w:hAnsi="Times New Roman" w:cs="Times New Roman"/>
          <w:sz w:val="24"/>
          <w:szCs w:val="24"/>
        </w:rPr>
        <w:t xml:space="preserve"> corresponding to the column labeled at the top as “exogenous variables*</w:t>
      </w:r>
      <w:r w:rsidR="0027376D" w:rsidRPr="00EF49C0">
        <w:rPr>
          <w:rFonts w:ascii="Times New Roman" w:hAnsi="Times New Roman" w:cs="Times New Roman"/>
          <w:i/>
          <w:sz w:val="24"/>
          <w:szCs w:val="24"/>
        </w:rPr>
        <w:t xml:space="preserve">After </w:t>
      </w:r>
      <w:r w:rsidR="0027376D">
        <w:rPr>
          <w:rFonts w:ascii="Times New Roman" w:hAnsi="Times New Roman" w:cs="Times New Roman"/>
          <w:sz w:val="24"/>
          <w:szCs w:val="24"/>
        </w:rPr>
        <w:t>COVID record</w:t>
      </w:r>
      <w:r w:rsidR="00F752F0">
        <w:rPr>
          <w:rFonts w:ascii="Times New Roman" w:hAnsi="Times New Roman" w:cs="Times New Roman"/>
          <w:sz w:val="24"/>
          <w:szCs w:val="24"/>
        </w:rPr>
        <w:t xml:space="preserve"> indicator</w:t>
      </w:r>
      <w:r w:rsidR="0027376D">
        <w:rPr>
          <w:rFonts w:ascii="Times New Roman" w:hAnsi="Times New Roman" w:cs="Times New Roman"/>
          <w:sz w:val="24"/>
          <w:szCs w:val="24"/>
        </w:rPr>
        <w:t xml:space="preserve">. </w:t>
      </w:r>
      <w:r w:rsidR="00931ECA" w:rsidRPr="00837F9C">
        <w:rPr>
          <w:rFonts w:ascii="Times New Roman" w:hAnsi="Times New Roman" w:cs="Times New Roman"/>
          <w:sz w:val="24"/>
          <w:szCs w:val="24"/>
        </w:rPr>
        <w:t xml:space="preserve">It should be noted that the </w:t>
      </w:r>
      <w:r w:rsidR="00D85953">
        <w:rPr>
          <w:rFonts w:ascii="Times New Roman" w:hAnsi="Times New Roman" w:cs="Times New Roman"/>
          <w:sz w:val="24"/>
          <w:szCs w:val="24"/>
        </w:rPr>
        <w:t xml:space="preserve">baseline and shift </w:t>
      </w:r>
      <w:r w:rsidR="00931ECA" w:rsidRPr="00837F9C">
        <w:rPr>
          <w:rFonts w:ascii="Times New Roman" w:hAnsi="Times New Roman" w:cs="Times New Roman"/>
          <w:sz w:val="24"/>
          <w:szCs w:val="24"/>
        </w:rPr>
        <w:t xml:space="preserve">effects </w:t>
      </w:r>
      <w:r w:rsidR="00D85953">
        <w:rPr>
          <w:rFonts w:ascii="Times New Roman" w:hAnsi="Times New Roman" w:cs="Times New Roman"/>
          <w:sz w:val="24"/>
          <w:szCs w:val="24"/>
        </w:rPr>
        <w:t xml:space="preserve">for the constant or any exogenous variable </w:t>
      </w:r>
      <w:r w:rsidR="00931ECA" w:rsidRPr="00837F9C">
        <w:rPr>
          <w:rFonts w:ascii="Times New Roman" w:hAnsi="Times New Roman" w:cs="Times New Roman"/>
          <w:sz w:val="24"/>
          <w:szCs w:val="24"/>
        </w:rPr>
        <w:t>may manifest themselves in different forms. Both baseline and shift effects may be positive, or both effects may be negative, or they may be of opposite sign</w:t>
      </w:r>
      <w:r w:rsidR="00F97155" w:rsidRPr="00837F9C">
        <w:rPr>
          <w:rFonts w:ascii="Times New Roman" w:hAnsi="Times New Roman" w:cs="Times New Roman"/>
          <w:sz w:val="24"/>
          <w:szCs w:val="24"/>
        </w:rPr>
        <w:t xml:space="preserve">; by algebraically adding the two effects, it will be possible to determine the </w:t>
      </w:r>
      <w:r w:rsidR="00D85953" w:rsidRPr="00EF49C0">
        <w:rPr>
          <w:rFonts w:ascii="Times New Roman" w:hAnsi="Times New Roman" w:cs="Times New Roman"/>
          <w:i/>
          <w:sz w:val="24"/>
          <w:szCs w:val="24"/>
        </w:rPr>
        <w:t>After</w:t>
      </w:r>
      <w:r w:rsidR="00F97155" w:rsidRPr="00EF49C0">
        <w:rPr>
          <w:rFonts w:ascii="Times New Roman" w:hAnsi="Times New Roman" w:cs="Times New Roman"/>
          <w:i/>
          <w:sz w:val="24"/>
          <w:szCs w:val="24"/>
        </w:rPr>
        <w:t xml:space="preserve"> </w:t>
      </w:r>
      <w:r w:rsidR="00F97155" w:rsidRPr="00837F9C">
        <w:rPr>
          <w:rFonts w:ascii="Times New Roman" w:hAnsi="Times New Roman" w:cs="Times New Roman"/>
          <w:sz w:val="24"/>
          <w:szCs w:val="24"/>
        </w:rPr>
        <w:t xml:space="preserve">COVID effect of the exogenous variable on </w:t>
      </w:r>
      <w:r w:rsidR="00F752F0">
        <w:rPr>
          <w:rFonts w:ascii="Times New Roman" w:hAnsi="Times New Roman" w:cs="Times New Roman"/>
          <w:sz w:val="24"/>
          <w:szCs w:val="24"/>
        </w:rPr>
        <w:t>tele</w:t>
      </w:r>
      <w:r w:rsidR="00F97155" w:rsidRPr="00837F9C">
        <w:rPr>
          <w:rFonts w:ascii="Times New Roman" w:hAnsi="Times New Roman" w:cs="Times New Roman"/>
          <w:sz w:val="24"/>
          <w:szCs w:val="24"/>
        </w:rPr>
        <w:t xml:space="preserve">work arrangements. </w:t>
      </w:r>
      <w:r w:rsidR="00D85953">
        <w:rPr>
          <w:rFonts w:ascii="Times New Roman" w:hAnsi="Times New Roman" w:cs="Times New Roman"/>
          <w:sz w:val="24"/>
          <w:szCs w:val="24"/>
        </w:rPr>
        <w:t xml:space="preserve">Also, if an exogenous variable only has a baseline effect and no shift effect, that implies that the effect of the exogenous variable is the same across both time periods. On the other hand, if an exogenous variable only has a shift effect and no baseline effect, it implies that the variable did not have an </w:t>
      </w:r>
      <w:r w:rsidR="00D85953">
        <w:rPr>
          <w:rFonts w:ascii="Times New Roman" w:hAnsi="Times New Roman" w:cs="Times New Roman"/>
          <w:sz w:val="24"/>
          <w:szCs w:val="24"/>
        </w:rPr>
        <w:lastRenderedPageBreak/>
        <w:t xml:space="preserve">impact in the </w:t>
      </w:r>
      <w:r w:rsidR="00D85953" w:rsidRPr="00EF49C0">
        <w:rPr>
          <w:rFonts w:ascii="Times New Roman" w:hAnsi="Times New Roman" w:cs="Times New Roman"/>
          <w:i/>
          <w:sz w:val="24"/>
          <w:szCs w:val="24"/>
        </w:rPr>
        <w:t>Before</w:t>
      </w:r>
      <w:r w:rsidR="00D85953">
        <w:rPr>
          <w:rFonts w:ascii="Times New Roman" w:hAnsi="Times New Roman" w:cs="Times New Roman"/>
          <w:sz w:val="24"/>
          <w:szCs w:val="24"/>
        </w:rPr>
        <w:t xml:space="preserve"> COVID period, but had an impact in the </w:t>
      </w:r>
      <w:r w:rsidR="00D85953" w:rsidRPr="00EF49C0">
        <w:rPr>
          <w:rFonts w:ascii="Times New Roman" w:hAnsi="Times New Roman" w:cs="Times New Roman"/>
          <w:i/>
          <w:sz w:val="24"/>
          <w:szCs w:val="24"/>
        </w:rPr>
        <w:t>After</w:t>
      </w:r>
      <w:r w:rsidR="00D85953">
        <w:rPr>
          <w:rFonts w:ascii="Times New Roman" w:hAnsi="Times New Roman" w:cs="Times New Roman"/>
          <w:sz w:val="24"/>
          <w:szCs w:val="24"/>
        </w:rPr>
        <w:t xml:space="preserve"> COVID period. </w:t>
      </w:r>
      <w:r w:rsidR="00F97155" w:rsidRPr="00837F9C">
        <w:rPr>
          <w:rFonts w:ascii="Times New Roman" w:hAnsi="Times New Roman" w:cs="Times New Roman"/>
          <w:sz w:val="24"/>
          <w:szCs w:val="24"/>
        </w:rPr>
        <w:t>Additional explanations and interpretations of these effects will be</w:t>
      </w:r>
      <w:r w:rsidR="0029378B">
        <w:rPr>
          <w:rFonts w:ascii="Times New Roman" w:hAnsi="Times New Roman" w:cs="Times New Roman"/>
          <w:sz w:val="24"/>
          <w:szCs w:val="24"/>
        </w:rPr>
        <w:t xml:space="preserve"> provided</w:t>
      </w:r>
      <w:r w:rsidR="00F97155" w:rsidRPr="00837F9C">
        <w:rPr>
          <w:rFonts w:ascii="Times New Roman" w:hAnsi="Times New Roman" w:cs="Times New Roman"/>
          <w:sz w:val="24"/>
          <w:szCs w:val="24"/>
        </w:rPr>
        <w:t xml:space="preserve"> in the section describing the model estimation results. </w:t>
      </w:r>
    </w:p>
    <w:p w14:paraId="3DB5179E" w14:textId="5D1E1B0D" w:rsidR="008A31DD" w:rsidRPr="00837F9C" w:rsidRDefault="000940B6" w:rsidP="00E1729F">
      <w:pPr>
        <w:spacing w:after="0" w:line="27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0F683C" wp14:editId="7C8E297E">
            <wp:extent cx="6017618" cy="2590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681"/>
                    <a:stretch/>
                  </pic:blipFill>
                  <pic:spPr bwMode="auto">
                    <a:xfrm>
                      <a:off x="0" y="0"/>
                      <a:ext cx="6056104" cy="2607370"/>
                    </a:xfrm>
                    <a:prstGeom prst="rect">
                      <a:avLst/>
                    </a:prstGeom>
                    <a:noFill/>
                    <a:ln>
                      <a:noFill/>
                    </a:ln>
                    <a:extLst>
                      <a:ext uri="{53640926-AAD7-44D8-BBD7-CCE9431645EC}">
                        <a14:shadowObscured xmlns:a14="http://schemas.microsoft.com/office/drawing/2010/main"/>
                      </a:ext>
                    </a:extLst>
                  </pic:spPr>
                </pic:pic>
              </a:graphicData>
            </a:graphic>
          </wp:inline>
        </w:drawing>
      </w:r>
    </w:p>
    <w:p w14:paraId="20D5A8CA" w14:textId="79244551" w:rsidR="00503211" w:rsidRDefault="00D74414" w:rsidP="00767300">
      <w:pPr>
        <w:spacing w:after="0" w:line="276" w:lineRule="auto"/>
        <w:jc w:val="center"/>
        <w:rPr>
          <w:rFonts w:ascii="Times New Roman" w:hAnsi="Times New Roman" w:cs="Times New Roman"/>
          <w:b/>
          <w:bCs/>
          <w:sz w:val="24"/>
          <w:szCs w:val="24"/>
        </w:rPr>
      </w:pPr>
      <w:bookmarkStart w:id="7" w:name="_Hlk61871412"/>
      <w:r w:rsidRPr="00837F9C">
        <w:rPr>
          <w:rFonts w:ascii="Times New Roman" w:hAnsi="Times New Roman" w:cs="Times New Roman"/>
          <w:b/>
          <w:bCs/>
          <w:sz w:val="24"/>
          <w:szCs w:val="24"/>
        </w:rPr>
        <w:t>F</w:t>
      </w:r>
      <w:r w:rsidR="00E4112C" w:rsidRPr="00837F9C">
        <w:rPr>
          <w:rFonts w:ascii="Times New Roman" w:hAnsi="Times New Roman" w:cs="Times New Roman"/>
          <w:b/>
          <w:bCs/>
          <w:sz w:val="24"/>
          <w:szCs w:val="24"/>
        </w:rPr>
        <w:t>igure</w:t>
      </w:r>
      <w:r w:rsidR="008B7E12" w:rsidRPr="00837F9C">
        <w:rPr>
          <w:rFonts w:ascii="Times New Roman" w:hAnsi="Times New Roman" w:cs="Times New Roman"/>
          <w:b/>
          <w:bCs/>
          <w:sz w:val="24"/>
          <w:szCs w:val="24"/>
        </w:rPr>
        <w:t xml:space="preserve"> </w:t>
      </w:r>
      <w:bookmarkEnd w:id="7"/>
      <w:r w:rsidR="006517CA" w:rsidRPr="00837F9C">
        <w:rPr>
          <w:rFonts w:ascii="Times New Roman" w:hAnsi="Times New Roman" w:cs="Times New Roman"/>
          <w:b/>
          <w:bCs/>
          <w:sz w:val="24"/>
          <w:szCs w:val="24"/>
        </w:rPr>
        <w:t>1.</w:t>
      </w:r>
      <w:r w:rsidR="008B7E12" w:rsidRPr="00837F9C">
        <w:rPr>
          <w:rFonts w:ascii="Times New Roman" w:hAnsi="Times New Roman" w:cs="Times New Roman"/>
          <w:b/>
          <w:bCs/>
          <w:sz w:val="24"/>
          <w:szCs w:val="24"/>
        </w:rPr>
        <w:t xml:space="preserve"> </w:t>
      </w:r>
      <w:r w:rsidR="006517CA" w:rsidRPr="00837F9C">
        <w:rPr>
          <w:rFonts w:ascii="Times New Roman" w:hAnsi="Times New Roman" w:cs="Times New Roman"/>
          <w:b/>
          <w:bCs/>
          <w:sz w:val="24"/>
          <w:szCs w:val="24"/>
        </w:rPr>
        <w:t>Data Configuration and Format</w:t>
      </w:r>
    </w:p>
    <w:p w14:paraId="2F81A9A6" w14:textId="74E16BA8" w:rsidR="008C058A" w:rsidRPr="00837F9C" w:rsidRDefault="00BA1A47" w:rsidP="00E1729F">
      <w:pPr>
        <w:spacing w:after="0" w:line="276" w:lineRule="auto"/>
        <w:rPr>
          <w:rFonts w:ascii="Times New Roman" w:eastAsia="Calibri" w:hAnsi="Times New Roman" w:cs="Times New Roman"/>
          <w:b/>
          <w:bCs/>
          <w:sz w:val="24"/>
          <w:szCs w:val="24"/>
        </w:rPr>
      </w:pPr>
      <w:r w:rsidRPr="00837F9C">
        <w:rPr>
          <w:rFonts w:ascii="Times New Roman" w:hAnsi="Times New Roman" w:cs="Times New Roman"/>
          <w:sz w:val="24"/>
          <w:szCs w:val="24"/>
        </w:rPr>
        <w:tab/>
      </w:r>
    </w:p>
    <w:p w14:paraId="215F593D" w14:textId="3DC1103D" w:rsidR="00B92EB1" w:rsidRPr="00837F9C" w:rsidRDefault="00A03376" w:rsidP="000D4FD3">
      <w:pPr>
        <w:pStyle w:val="Heading2"/>
      </w:pPr>
      <w:r>
        <w:t>4</w:t>
      </w:r>
      <w:r w:rsidR="00B92EB1" w:rsidRPr="00837F9C">
        <w:t xml:space="preserve">.2. </w:t>
      </w:r>
      <w:r w:rsidR="00DB4D22">
        <w:t xml:space="preserve">The </w:t>
      </w:r>
      <w:r w:rsidR="00B92EB1" w:rsidRPr="00837F9C">
        <w:t xml:space="preserve">Model </w:t>
      </w:r>
    </w:p>
    <w:p w14:paraId="5283F97B" w14:textId="21975480" w:rsidR="00DB4D22" w:rsidRPr="000D4FD3" w:rsidRDefault="00A03376" w:rsidP="00E1729F">
      <w:pPr>
        <w:spacing w:after="0" w:line="276" w:lineRule="auto"/>
        <w:rPr>
          <w:rFonts w:ascii="Times New Roman" w:hAnsi="Times New Roman" w:cs="Times New Roman"/>
          <w:b/>
          <w:i/>
          <w:sz w:val="24"/>
        </w:rPr>
      </w:pPr>
      <w:r>
        <w:rPr>
          <w:rFonts w:ascii="Times New Roman" w:hAnsi="Times New Roman" w:cs="Times New Roman"/>
          <w:b/>
          <w:i/>
          <w:sz w:val="24"/>
        </w:rPr>
        <w:t>4</w:t>
      </w:r>
      <w:r w:rsidR="00DB4D22" w:rsidRPr="000D4FD3">
        <w:rPr>
          <w:rFonts w:ascii="Times New Roman" w:hAnsi="Times New Roman" w:cs="Times New Roman"/>
          <w:b/>
          <w:i/>
          <w:sz w:val="24"/>
        </w:rPr>
        <w:t>.2.1. Formulation</w:t>
      </w:r>
    </w:p>
    <w:p w14:paraId="2805C0AD" w14:textId="22424B60" w:rsidR="00D17D8C" w:rsidRPr="000D4FD3" w:rsidRDefault="00FD060A" w:rsidP="000D4FD3">
      <w:pPr>
        <w:spacing w:after="0"/>
      </w:pPr>
      <w:r w:rsidRPr="00837F9C">
        <w:rPr>
          <w:rFonts w:ascii="Times New Roman" w:hAnsi="Times New Roman" w:cs="Times New Roman"/>
          <w:sz w:val="24"/>
        </w:rPr>
        <w:t>The model</w:t>
      </w:r>
      <w:r w:rsidR="00DB4D22">
        <w:rPr>
          <w:rFonts w:ascii="Times New Roman" w:hAnsi="Times New Roman" w:cs="Times New Roman"/>
          <w:sz w:val="24"/>
        </w:rPr>
        <w:t xml:space="preserve"> formulation </w:t>
      </w:r>
      <w:r w:rsidRPr="00837F9C">
        <w:rPr>
          <w:rFonts w:ascii="Times New Roman" w:hAnsi="Times New Roman" w:cs="Times New Roman"/>
          <w:sz w:val="24"/>
        </w:rPr>
        <w:t>is based on the joint analysis of a binary outcome, an ordered outcome, and a nominal outcome. Such joint estimations have been undertaken in the past (</w:t>
      </w:r>
      <w:r w:rsidR="00560549" w:rsidRPr="00837F9C">
        <w:rPr>
          <w:rFonts w:ascii="Times New Roman" w:hAnsi="Times New Roman" w:cs="Times New Roman"/>
          <w:sz w:val="24"/>
        </w:rPr>
        <w:t>see, for example, Paleti et al., 2013</w:t>
      </w:r>
      <w:r w:rsidRPr="00837F9C">
        <w:rPr>
          <w:rFonts w:ascii="Times New Roman" w:hAnsi="Times New Roman" w:cs="Times New Roman"/>
          <w:sz w:val="24"/>
        </w:rPr>
        <w:t xml:space="preserve">). But, we are not aware of an earlier application of a </w:t>
      </w:r>
      <w:r w:rsidR="00EF7A2D">
        <w:rPr>
          <w:rFonts w:ascii="Times New Roman" w:hAnsi="Times New Roman" w:cs="Times New Roman"/>
          <w:sz w:val="24"/>
        </w:rPr>
        <w:t>multi-period</w:t>
      </w:r>
      <w:r w:rsidRPr="00837F9C">
        <w:rPr>
          <w:rFonts w:ascii="Times New Roman" w:hAnsi="Times New Roman" w:cs="Times New Roman"/>
          <w:sz w:val="24"/>
        </w:rPr>
        <w:t xml:space="preserve"> </w:t>
      </w:r>
      <w:r w:rsidR="008C058A" w:rsidRPr="00837F9C">
        <w:rPr>
          <w:rFonts w:ascii="Times New Roman" w:hAnsi="Times New Roman" w:cs="Times New Roman"/>
          <w:sz w:val="24"/>
        </w:rPr>
        <w:t>version</w:t>
      </w:r>
      <w:r w:rsidRPr="00837F9C">
        <w:rPr>
          <w:rFonts w:ascii="Times New Roman" w:hAnsi="Times New Roman" w:cs="Times New Roman"/>
          <w:sz w:val="24"/>
        </w:rPr>
        <w:t xml:space="preserve"> for the joint analysis of multiple outcomes of different types</w:t>
      </w:r>
      <w:r w:rsidR="008C058A" w:rsidRPr="00837F9C">
        <w:rPr>
          <w:rFonts w:ascii="Times New Roman" w:hAnsi="Times New Roman" w:cs="Times New Roman"/>
          <w:sz w:val="24"/>
        </w:rPr>
        <w:t xml:space="preserve">, as we undertake in </w:t>
      </w:r>
      <w:r w:rsidR="008C058A" w:rsidRPr="00A92632">
        <w:rPr>
          <w:rFonts w:ascii="Times New Roman" w:hAnsi="Times New Roman" w:cs="Times New Roman"/>
          <w:sz w:val="24"/>
          <w:szCs w:val="24"/>
        </w:rPr>
        <w:t>this paper</w:t>
      </w:r>
      <w:r w:rsidRPr="00A92632">
        <w:rPr>
          <w:rFonts w:ascii="Times New Roman" w:hAnsi="Times New Roman" w:cs="Times New Roman"/>
          <w:sz w:val="24"/>
          <w:szCs w:val="24"/>
        </w:rPr>
        <w:t xml:space="preserve">. </w:t>
      </w:r>
      <w:r w:rsidR="00A92632" w:rsidRPr="000D4FD3">
        <w:rPr>
          <w:rFonts w:ascii="Times New Roman" w:hAnsi="Times New Roman" w:cs="Times New Roman"/>
          <w:sz w:val="24"/>
          <w:szCs w:val="24"/>
        </w:rPr>
        <w:t>The model was estimated using libraries and routines written by the research team in the GAUSS matrix programming language (Aptech, 2022).</w:t>
      </w:r>
    </w:p>
    <w:p w14:paraId="15860B34" w14:textId="6ABE0B9C" w:rsidR="00BD305B" w:rsidRDefault="00BD305B" w:rsidP="00E1729F">
      <w:pPr>
        <w:spacing w:after="0" w:line="276" w:lineRule="auto"/>
        <w:ind w:firstLine="720"/>
        <w:rPr>
          <w:rFonts w:ascii="Times New Roman" w:hAnsi="Times New Roman" w:cs="Times New Roman"/>
          <w:sz w:val="24"/>
          <w:szCs w:val="24"/>
        </w:rPr>
      </w:pPr>
      <w:r w:rsidRPr="00110128">
        <w:rPr>
          <w:rFonts w:ascii="Times New Roman" w:hAnsi="Times New Roman" w:cs="Times New Roman"/>
          <w:sz w:val="24"/>
          <w:szCs w:val="24"/>
        </w:rPr>
        <w:t xml:space="preserve">Let </w:t>
      </w:r>
      <w:r w:rsidRPr="00110128">
        <w:rPr>
          <w:rFonts w:ascii="Times New Roman" w:hAnsi="Times New Roman" w:cs="Times New Roman"/>
          <w:i/>
          <w:sz w:val="24"/>
          <w:szCs w:val="24"/>
        </w:rPr>
        <w:t>q</w:t>
      </w:r>
      <w:r w:rsidRPr="00110128">
        <w:rPr>
          <w:rFonts w:ascii="Times New Roman" w:hAnsi="Times New Roman" w:cs="Times New Roman"/>
          <w:sz w:val="24"/>
          <w:szCs w:val="24"/>
        </w:rPr>
        <w:t xml:space="preserve"> be an index for individuals (</w:t>
      </w:r>
      <w:r w:rsidRPr="00110128">
        <w:rPr>
          <w:rFonts w:ascii="Times New Roman" w:hAnsi="Times New Roman" w:cs="Times New Roman"/>
          <w:i/>
          <w:sz w:val="24"/>
          <w:szCs w:val="24"/>
        </w:rPr>
        <w:t>q</w:t>
      </w:r>
      <w:r w:rsidRPr="00110128">
        <w:rPr>
          <w:rFonts w:ascii="Times New Roman" w:hAnsi="Times New Roman" w:cs="Times New Roman"/>
          <w:sz w:val="24"/>
          <w:szCs w:val="24"/>
        </w:rPr>
        <w:t xml:space="preserve"> = 1, 2, …, </w:t>
      </w:r>
      <w:r w:rsidRPr="00110128">
        <w:rPr>
          <w:rFonts w:ascii="Times New Roman" w:hAnsi="Times New Roman" w:cs="Times New Roman"/>
          <w:i/>
          <w:sz w:val="24"/>
          <w:szCs w:val="24"/>
        </w:rPr>
        <w:t>Q</w:t>
      </w:r>
      <w:r w:rsidRPr="00110128">
        <w:rPr>
          <w:rFonts w:ascii="Times New Roman" w:hAnsi="Times New Roman" w:cs="Times New Roman"/>
          <w:sz w:val="24"/>
          <w:szCs w:val="24"/>
        </w:rPr>
        <w:t xml:space="preserve">), and let </w:t>
      </w:r>
      <w:proofErr w:type="spellStart"/>
      <w:r w:rsidRPr="00110128">
        <w:rPr>
          <w:rFonts w:ascii="Times New Roman" w:hAnsi="Times New Roman" w:cs="Times New Roman"/>
          <w:i/>
          <w:sz w:val="24"/>
          <w:szCs w:val="24"/>
        </w:rPr>
        <w:t>t</w:t>
      </w:r>
      <w:proofErr w:type="spellEnd"/>
      <w:r w:rsidRPr="00110128">
        <w:rPr>
          <w:rFonts w:ascii="Times New Roman" w:hAnsi="Times New Roman" w:cs="Times New Roman"/>
          <w:i/>
          <w:sz w:val="24"/>
          <w:szCs w:val="24"/>
        </w:rPr>
        <w:t xml:space="preserve"> </w:t>
      </w:r>
      <w:r w:rsidRPr="00110128">
        <w:rPr>
          <w:rFonts w:ascii="Times New Roman" w:hAnsi="Times New Roman" w:cs="Times New Roman"/>
          <w:sz w:val="24"/>
          <w:szCs w:val="24"/>
        </w:rPr>
        <w:t xml:space="preserve">be an index for the </w:t>
      </w:r>
      <w:r w:rsidRPr="00110128">
        <w:rPr>
          <w:rFonts w:ascii="Times New Roman" w:hAnsi="Times New Roman" w:cs="Times New Roman"/>
          <w:i/>
          <w:sz w:val="24"/>
          <w:szCs w:val="24"/>
        </w:rPr>
        <w:t>t</w:t>
      </w:r>
      <w:r w:rsidRPr="00110128">
        <w:rPr>
          <w:rFonts w:ascii="Times New Roman" w:hAnsi="Times New Roman" w:cs="Times New Roman"/>
          <w:sz w:val="24"/>
          <w:szCs w:val="24"/>
          <w:vertAlign w:val="superscript"/>
        </w:rPr>
        <w:t>th</w:t>
      </w:r>
      <w:r w:rsidRPr="00110128">
        <w:rPr>
          <w:rFonts w:ascii="Times New Roman" w:hAnsi="Times New Roman" w:cs="Times New Roman"/>
          <w:sz w:val="24"/>
          <w:szCs w:val="24"/>
        </w:rPr>
        <w:t xml:space="preserve"> observation on individual </w:t>
      </w:r>
      <w:r w:rsidRPr="00110128">
        <w:rPr>
          <w:rFonts w:ascii="Times New Roman" w:hAnsi="Times New Roman" w:cs="Times New Roman"/>
          <w:i/>
          <w:sz w:val="24"/>
          <w:szCs w:val="24"/>
        </w:rPr>
        <w:t>q</w:t>
      </w:r>
      <w:r w:rsidRPr="00110128">
        <w:rPr>
          <w:rFonts w:ascii="Times New Roman" w:hAnsi="Times New Roman" w:cs="Times New Roman"/>
          <w:sz w:val="24"/>
          <w:szCs w:val="24"/>
        </w:rPr>
        <w:t xml:space="preserve"> (</w:t>
      </w:r>
      <w:r w:rsidRPr="00110128">
        <w:rPr>
          <w:rFonts w:ascii="Times New Roman" w:hAnsi="Times New Roman" w:cs="Times New Roman"/>
          <w:i/>
          <w:sz w:val="24"/>
          <w:szCs w:val="24"/>
        </w:rPr>
        <w:t>t</w:t>
      </w:r>
      <w:r w:rsidRPr="00110128">
        <w:rPr>
          <w:rFonts w:ascii="Times New Roman" w:hAnsi="Times New Roman" w:cs="Times New Roman"/>
          <w:sz w:val="24"/>
          <w:szCs w:val="24"/>
        </w:rPr>
        <w:t xml:space="preserve"> = 1, 2, …, </w:t>
      </w:r>
      <w:r w:rsidRPr="00110128">
        <w:rPr>
          <w:rFonts w:ascii="Times New Roman" w:hAnsi="Times New Roman" w:cs="Times New Roman"/>
          <w:i/>
          <w:sz w:val="24"/>
          <w:szCs w:val="24"/>
        </w:rPr>
        <w:t>T</w:t>
      </w:r>
      <w:r w:rsidRPr="00110128">
        <w:rPr>
          <w:rFonts w:ascii="Times New Roman" w:hAnsi="Times New Roman" w:cs="Times New Roman"/>
          <w:sz w:val="24"/>
          <w:szCs w:val="24"/>
        </w:rPr>
        <w:t xml:space="preserve">, where </w:t>
      </w:r>
      <w:r w:rsidRPr="00110128">
        <w:rPr>
          <w:rFonts w:ascii="Times New Roman" w:hAnsi="Times New Roman" w:cs="Times New Roman"/>
          <w:i/>
          <w:sz w:val="24"/>
          <w:szCs w:val="24"/>
        </w:rPr>
        <w:t>T</w:t>
      </w:r>
      <w:r w:rsidRPr="00110128">
        <w:rPr>
          <w:rFonts w:ascii="Times New Roman" w:hAnsi="Times New Roman" w:cs="Times New Roman"/>
          <w:sz w:val="24"/>
          <w:szCs w:val="24"/>
        </w:rPr>
        <w:t xml:space="preserve"> denotes the total number of observations on individual </w:t>
      </w:r>
      <w:r w:rsidRPr="00110128">
        <w:rPr>
          <w:rFonts w:ascii="Times New Roman" w:hAnsi="Times New Roman" w:cs="Times New Roman"/>
          <w:i/>
          <w:sz w:val="24"/>
          <w:szCs w:val="24"/>
        </w:rPr>
        <w:t>q</w:t>
      </w:r>
      <w:r>
        <w:rPr>
          <w:rFonts w:ascii="Times New Roman" w:hAnsi="Times New Roman" w:cs="Times New Roman"/>
          <w:sz w:val="24"/>
          <w:szCs w:val="24"/>
        </w:rPr>
        <w:t xml:space="preserve">; </w:t>
      </w:r>
      <w:r w:rsidRPr="00110128">
        <w:rPr>
          <w:rFonts w:ascii="Times New Roman" w:hAnsi="Times New Roman" w:cs="Times New Roman"/>
          <w:i/>
          <w:sz w:val="24"/>
          <w:szCs w:val="24"/>
        </w:rPr>
        <w:t>T</w:t>
      </w:r>
      <w:r>
        <w:rPr>
          <w:rFonts w:ascii="Times New Roman" w:hAnsi="Times New Roman" w:cs="Times New Roman"/>
          <w:sz w:val="24"/>
          <w:szCs w:val="24"/>
        </w:rPr>
        <w:t>=2 in the current analysis context</w:t>
      </w:r>
      <w:r w:rsidR="006063F5">
        <w:rPr>
          <w:rFonts w:ascii="Times New Roman" w:hAnsi="Times New Roman" w:cs="Times New Roman"/>
          <w:sz w:val="24"/>
          <w:szCs w:val="24"/>
        </w:rPr>
        <w:t xml:space="preserve">, with </w:t>
      </w:r>
      <w:r w:rsidR="006063F5" w:rsidRPr="000940B6">
        <w:rPr>
          <w:rFonts w:ascii="Times New Roman" w:hAnsi="Times New Roman" w:cs="Times New Roman"/>
          <w:i/>
          <w:sz w:val="24"/>
          <w:szCs w:val="24"/>
        </w:rPr>
        <w:t>t</w:t>
      </w:r>
      <w:r w:rsidR="006063F5">
        <w:rPr>
          <w:rFonts w:ascii="Times New Roman" w:hAnsi="Times New Roman" w:cs="Times New Roman"/>
          <w:sz w:val="24"/>
          <w:szCs w:val="24"/>
        </w:rPr>
        <w:t xml:space="preserve">=1 representing the </w:t>
      </w:r>
      <w:r w:rsidR="006063F5" w:rsidRPr="000940B6">
        <w:rPr>
          <w:rFonts w:ascii="Times New Roman" w:hAnsi="Times New Roman" w:cs="Times New Roman"/>
          <w:i/>
          <w:sz w:val="24"/>
          <w:szCs w:val="24"/>
        </w:rPr>
        <w:t>Before</w:t>
      </w:r>
      <w:r w:rsidR="006063F5">
        <w:rPr>
          <w:rFonts w:ascii="Times New Roman" w:hAnsi="Times New Roman" w:cs="Times New Roman"/>
          <w:sz w:val="24"/>
          <w:szCs w:val="24"/>
        </w:rPr>
        <w:t xml:space="preserve"> COVID period and </w:t>
      </w:r>
      <w:r w:rsidR="006063F5" w:rsidRPr="000940B6">
        <w:rPr>
          <w:rFonts w:ascii="Times New Roman" w:hAnsi="Times New Roman" w:cs="Times New Roman"/>
          <w:i/>
          <w:sz w:val="24"/>
          <w:szCs w:val="24"/>
        </w:rPr>
        <w:t>t</w:t>
      </w:r>
      <w:r w:rsidR="006063F5">
        <w:rPr>
          <w:rFonts w:ascii="Times New Roman" w:hAnsi="Times New Roman" w:cs="Times New Roman"/>
          <w:sz w:val="24"/>
          <w:szCs w:val="24"/>
        </w:rPr>
        <w:t xml:space="preserve">=2 representing the </w:t>
      </w:r>
      <w:r w:rsidR="006063F5" w:rsidRPr="000940B6">
        <w:rPr>
          <w:rFonts w:ascii="Times New Roman" w:hAnsi="Times New Roman" w:cs="Times New Roman"/>
          <w:i/>
          <w:sz w:val="24"/>
          <w:szCs w:val="24"/>
        </w:rPr>
        <w:t>After</w:t>
      </w:r>
      <w:r w:rsidR="006063F5">
        <w:rPr>
          <w:rFonts w:ascii="Times New Roman" w:hAnsi="Times New Roman" w:cs="Times New Roman"/>
          <w:sz w:val="24"/>
          <w:szCs w:val="24"/>
        </w:rPr>
        <w:t xml:space="preserve"> COVID period</w:t>
      </w:r>
      <w:r>
        <w:rPr>
          <w:rFonts w:ascii="Times New Roman" w:hAnsi="Times New Roman" w:cs="Times New Roman"/>
          <w:sz w:val="24"/>
          <w:szCs w:val="24"/>
        </w:rPr>
        <w:t>)</w:t>
      </w:r>
      <w:r w:rsidRPr="00110128">
        <w:rPr>
          <w:rFonts w:ascii="Times New Roman" w:hAnsi="Times New Roman" w:cs="Times New Roman"/>
          <w:sz w:val="24"/>
          <w:szCs w:val="24"/>
        </w:rPr>
        <w:t>. For ease of presentation, we assume that the number of observations is the same across individuals</w:t>
      </w:r>
      <w:r>
        <w:rPr>
          <w:rFonts w:ascii="Times New Roman" w:hAnsi="Times New Roman" w:cs="Times New Roman"/>
          <w:sz w:val="24"/>
          <w:szCs w:val="24"/>
        </w:rPr>
        <w:t>, as is the case in the empirical analysis of this paper</w:t>
      </w:r>
      <w:r w:rsidRPr="00110128">
        <w:rPr>
          <w:rFonts w:ascii="Times New Roman" w:hAnsi="Times New Roman" w:cs="Times New Roman"/>
          <w:sz w:val="24"/>
          <w:szCs w:val="24"/>
        </w:rPr>
        <w:t xml:space="preserve">. </w:t>
      </w:r>
      <w:r w:rsidRPr="00110128">
        <w:rPr>
          <w:rFonts w:ascii="Times New Roman" w:hAnsi="Times New Roman" w:cs="Times New Roman"/>
          <w:sz w:val="24"/>
          <w:szCs w:val="24"/>
          <w:vertAlign w:val="superscript"/>
        </w:rPr>
        <w:t xml:space="preserve"> </w:t>
      </w:r>
    </w:p>
    <w:p w14:paraId="526883CF" w14:textId="49F02470" w:rsidR="00BD305B" w:rsidRPr="00110128" w:rsidRDefault="00BD305B" w:rsidP="00E1729F">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The first dimension of our analysis, the telework adoption dependent variable</w:t>
      </w:r>
      <w:r w:rsidR="00A563C9">
        <w:rPr>
          <w:rFonts w:ascii="Times New Roman" w:hAnsi="Times New Roman" w:cs="Times New Roman"/>
          <w:sz w:val="24"/>
          <w:szCs w:val="24"/>
        </w:rPr>
        <w:t>,</w:t>
      </w:r>
      <w:r>
        <w:rPr>
          <w:rFonts w:ascii="Times New Roman" w:hAnsi="Times New Roman" w:cs="Times New Roman"/>
          <w:sz w:val="24"/>
          <w:szCs w:val="24"/>
        </w:rPr>
        <w:t xml:space="preserve"> is a binary choice</w:t>
      </w:r>
      <w:r w:rsidR="00A563C9">
        <w:rPr>
          <w:rFonts w:ascii="Times New Roman" w:hAnsi="Times New Roman" w:cs="Times New Roman"/>
          <w:sz w:val="24"/>
          <w:szCs w:val="24"/>
        </w:rPr>
        <w:t xml:space="preserve"> </w:t>
      </w:r>
      <w:r>
        <w:rPr>
          <w:rFonts w:ascii="Times New Roman" w:hAnsi="Times New Roman" w:cs="Times New Roman"/>
          <w:sz w:val="24"/>
          <w:szCs w:val="24"/>
        </w:rPr>
        <w:t xml:space="preserve">outcome. </w:t>
      </w:r>
      <w:r w:rsidRPr="00110128">
        <w:rPr>
          <w:rFonts w:ascii="Times New Roman" w:hAnsi="Times New Roman" w:cs="Times New Roman"/>
          <w:sz w:val="24"/>
          <w:szCs w:val="24"/>
        </w:rPr>
        <w:t xml:space="preserve">Define a latent propensity </w:t>
      </w:r>
      <w:r w:rsidRPr="007E1AFA">
        <w:rPr>
          <w:rFonts w:ascii="Times New Roman" w:hAnsi="Times New Roman" w:cs="Times New Roman"/>
          <w:position w:val="-12"/>
          <w:sz w:val="24"/>
          <w:szCs w:val="24"/>
        </w:rPr>
        <w:object w:dxaOrig="279" w:dyaOrig="380" w14:anchorId="0EF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8.95pt" o:ole="">
            <v:imagedata r:id="rId17" o:title=""/>
          </v:shape>
          <o:OLEObject Type="Embed" ProgID="Equation.DSMT4" ShapeID="_x0000_i1025" DrawAspect="Content" ObjectID="_1764157340" r:id="rId18"/>
        </w:object>
      </w:r>
      <w:r w:rsidRPr="00110128">
        <w:rPr>
          <w:rFonts w:ascii="Times New Roman" w:hAnsi="Times New Roman" w:cs="Times New Roman"/>
          <w:sz w:val="24"/>
          <w:szCs w:val="24"/>
        </w:rPr>
        <w:t xml:space="preserve"> underlying the </w:t>
      </w:r>
      <w:r>
        <w:rPr>
          <w:rFonts w:ascii="Times New Roman" w:hAnsi="Times New Roman" w:cs="Times New Roman"/>
          <w:sz w:val="24"/>
          <w:szCs w:val="24"/>
        </w:rPr>
        <w:t>binary telework adoption</w:t>
      </w:r>
      <w:r w:rsidR="00A563C9">
        <w:rPr>
          <w:rFonts w:ascii="Times New Roman" w:hAnsi="Times New Roman" w:cs="Times New Roman"/>
          <w:sz w:val="24"/>
          <w:szCs w:val="24"/>
        </w:rPr>
        <w:t xml:space="preserve"> outcome</w:t>
      </w:r>
      <w:r w:rsidRPr="007E1AFA">
        <w:rPr>
          <w:rFonts w:ascii="Times New Roman" w:hAnsi="Times New Roman" w:cs="Times New Roman"/>
          <w:position w:val="-12"/>
          <w:sz w:val="24"/>
          <w:szCs w:val="24"/>
        </w:rPr>
        <w:object w:dxaOrig="279" w:dyaOrig="380" w14:anchorId="0A61D765">
          <v:shape id="_x0000_i1026" type="#_x0000_t75" style="width:12.8pt;height:18.95pt" o:ole="">
            <v:imagedata r:id="rId19" o:title=""/>
          </v:shape>
          <o:OLEObject Type="Embed" ProgID="Equation.DSMT4" ShapeID="_x0000_i1026" DrawAspect="Content" ObjectID="_1764157341" r:id="rId20"/>
        </w:object>
      </w:r>
      <w:r w:rsidRPr="00110128">
        <w:rPr>
          <w:rFonts w:ascii="Times New Roman" w:hAnsi="Times New Roman" w:cs="Times New Roman"/>
          <w:sz w:val="24"/>
          <w:szCs w:val="24"/>
        </w:rPr>
        <w:t xml:space="preserve"> </w:t>
      </w:r>
      <w:r>
        <w:rPr>
          <w:rFonts w:ascii="Times New Roman" w:hAnsi="Times New Roman" w:cs="Times New Roman"/>
          <w:sz w:val="24"/>
          <w:szCs w:val="24"/>
        </w:rPr>
        <w:t>at</w:t>
      </w:r>
      <w:r w:rsidRPr="00110128">
        <w:rPr>
          <w:rFonts w:ascii="Times New Roman" w:hAnsi="Times New Roman" w:cs="Times New Roman"/>
          <w:sz w:val="24"/>
          <w:szCs w:val="24"/>
        </w:rPr>
        <w:t xml:space="preserve"> choice occasion </w:t>
      </w:r>
      <w:r w:rsidRPr="00110128">
        <w:rPr>
          <w:rFonts w:ascii="Times New Roman" w:hAnsi="Times New Roman" w:cs="Times New Roman"/>
          <w:i/>
          <w:sz w:val="24"/>
          <w:szCs w:val="24"/>
        </w:rPr>
        <w:t>t</w:t>
      </w:r>
      <w:r w:rsidR="0034037E">
        <w:rPr>
          <w:rFonts w:ascii="Times New Roman" w:hAnsi="Times New Roman" w:cs="Times New Roman"/>
          <w:i/>
          <w:sz w:val="24"/>
          <w:szCs w:val="24"/>
        </w:rPr>
        <w:t xml:space="preserve"> </w:t>
      </w:r>
      <w:r w:rsidR="0034037E" w:rsidRPr="00961062">
        <w:rPr>
          <w:rFonts w:ascii="Times New Roman" w:hAnsi="Times New Roman" w:cs="Times New Roman"/>
          <w:sz w:val="24"/>
          <w:szCs w:val="24"/>
        </w:rPr>
        <w:t xml:space="preserve">(for convenience, we suppress the index </w:t>
      </w:r>
      <w:r w:rsidR="0034037E" w:rsidRPr="0034037E">
        <w:rPr>
          <w:rFonts w:ascii="Times New Roman" w:hAnsi="Times New Roman" w:cs="Times New Roman"/>
          <w:i/>
          <w:sz w:val="24"/>
          <w:szCs w:val="24"/>
        </w:rPr>
        <w:t>q</w:t>
      </w:r>
      <w:r w:rsidR="0034037E" w:rsidRPr="00961062">
        <w:rPr>
          <w:rFonts w:ascii="Times New Roman" w:hAnsi="Times New Roman" w:cs="Times New Roman"/>
          <w:sz w:val="24"/>
          <w:szCs w:val="24"/>
        </w:rPr>
        <w:t xml:space="preserve"> for the individual)</w:t>
      </w:r>
      <w:r w:rsidR="00A86562">
        <w:rPr>
          <w:rFonts w:ascii="Times New Roman" w:hAnsi="Times New Roman" w:cs="Times New Roman"/>
          <w:sz w:val="24"/>
          <w:szCs w:val="24"/>
        </w:rPr>
        <w:t>.</w:t>
      </w:r>
      <w:r w:rsidRPr="00110128">
        <w:rPr>
          <w:rFonts w:ascii="Times New Roman" w:hAnsi="Times New Roman" w:cs="Times New Roman"/>
          <w:sz w:val="24"/>
          <w:szCs w:val="24"/>
        </w:rPr>
        <w:t xml:space="preserve"> Now consider the following structure:</w:t>
      </w:r>
    </w:p>
    <w:p w14:paraId="0E9585B4" w14:textId="271BBCA6" w:rsidR="00BD305B" w:rsidRPr="00110128" w:rsidRDefault="005B032C" w:rsidP="005B032C">
      <w:pPr>
        <w:spacing w:before="120" w:after="120" w:line="276" w:lineRule="auto"/>
        <w:rPr>
          <w:rFonts w:ascii="Times New Roman" w:hAnsi="Times New Roman" w:cs="Times New Roman"/>
          <w:sz w:val="24"/>
          <w:szCs w:val="24"/>
        </w:rPr>
      </w:pPr>
      <w:r w:rsidRPr="007E1AFA">
        <w:rPr>
          <w:rFonts w:ascii="Times New Roman" w:hAnsi="Times New Roman" w:cs="Times New Roman"/>
          <w:position w:val="-12"/>
          <w:sz w:val="24"/>
          <w:szCs w:val="24"/>
        </w:rPr>
        <w:object w:dxaOrig="1300" w:dyaOrig="380" w14:anchorId="6690E121">
          <v:shape id="_x0000_i1027" type="#_x0000_t75" style="width:64.4pt;height:18.95pt" o:ole="" o:preferrelative="f">
            <v:imagedata r:id="rId21" o:title=""/>
            <o:lock v:ext="edit" aspectratio="f"/>
          </v:shape>
          <o:OLEObject Type="Embed" ProgID="Equation.DSMT4" ShapeID="_x0000_i1027" DrawAspect="Content" ObjectID="_1764157342" r:id="rId22"/>
        </w:object>
      </w:r>
      <w:r w:rsidR="00BD305B" w:rsidRPr="00110128">
        <w:rPr>
          <w:rFonts w:ascii="Times New Roman" w:hAnsi="Times New Roman" w:cs="Times New Roman"/>
          <w:sz w:val="24"/>
          <w:szCs w:val="24"/>
        </w:rPr>
        <w:t xml:space="preserve">, </w:t>
      </w:r>
      <w:r w:rsidR="00BD305B" w:rsidRPr="007E1AFA">
        <w:rPr>
          <w:rFonts w:ascii="Times New Roman" w:hAnsi="Times New Roman" w:cs="Times New Roman"/>
          <w:position w:val="-12"/>
          <w:sz w:val="24"/>
          <w:szCs w:val="24"/>
        </w:rPr>
        <w:object w:dxaOrig="600" w:dyaOrig="360" w14:anchorId="5F19ABF8">
          <v:shape id="_x0000_i1028" type="#_x0000_t75" style="width:29.85pt;height:18.95pt" o:ole="" o:preferrelative="f">
            <v:imagedata r:id="rId23" o:title=""/>
            <o:lock v:ext="edit" aspectratio="f"/>
          </v:shape>
          <o:OLEObject Type="Embed" ProgID="Equation.DSMT4" ShapeID="_x0000_i1028" DrawAspect="Content" ObjectID="_1764157343" r:id="rId24"/>
        </w:object>
      </w:r>
      <w:r w:rsidR="00BD305B" w:rsidRPr="00110128">
        <w:rPr>
          <w:rFonts w:ascii="Times New Roman" w:hAnsi="Times New Roman" w:cs="Times New Roman"/>
          <w:sz w:val="24"/>
          <w:szCs w:val="24"/>
        </w:rPr>
        <w:t xml:space="preserve"> if </w:t>
      </w:r>
      <w:r w:rsidR="00BD305B" w:rsidRPr="003F3C2B">
        <w:rPr>
          <w:rFonts w:ascii="Times New Roman" w:hAnsi="Times New Roman" w:cs="Times New Roman"/>
          <w:position w:val="-12"/>
          <w:sz w:val="24"/>
          <w:szCs w:val="24"/>
        </w:rPr>
        <w:object w:dxaOrig="660" w:dyaOrig="380" w14:anchorId="76E72208">
          <v:shape id="_x0000_i1029" type="#_x0000_t75" style="width:33.65pt;height:20.35pt" o:ole="">
            <v:imagedata r:id="rId25" o:title=""/>
          </v:shape>
          <o:OLEObject Type="Embed" ProgID="Equation.DSMT4" ShapeID="_x0000_i1029" DrawAspect="Content" ObjectID="_1764157344" r:id="rId26"/>
        </w:object>
      </w:r>
      <w:r w:rsidR="00BD305B" w:rsidRPr="00110128">
        <w:rPr>
          <w:rFonts w:ascii="Times New Roman" w:hAnsi="Times New Roman" w:cs="Times New Roman"/>
          <w:sz w:val="24"/>
          <w:szCs w:val="24"/>
        </w:rPr>
        <w:t xml:space="preserve">, </w:t>
      </w:r>
      <w:r w:rsidR="00BD305B" w:rsidRPr="007E1AFA">
        <w:rPr>
          <w:rFonts w:ascii="Times New Roman" w:hAnsi="Times New Roman" w:cs="Times New Roman"/>
          <w:position w:val="-12"/>
          <w:sz w:val="24"/>
          <w:szCs w:val="24"/>
        </w:rPr>
        <w:object w:dxaOrig="639" w:dyaOrig="360" w14:anchorId="1C117E0D">
          <v:shape id="_x0000_i1030" type="#_x0000_t75" style="width:32.2pt;height:18.95pt" o:ole="" o:preferrelative="f">
            <v:imagedata r:id="rId27" o:title=""/>
            <o:lock v:ext="edit" aspectratio="f"/>
          </v:shape>
          <o:OLEObject Type="Embed" ProgID="Equation.DSMT4" ShapeID="_x0000_i1030" DrawAspect="Content" ObjectID="_1764157345" r:id="rId28"/>
        </w:object>
      </w:r>
      <w:r w:rsidR="00BD305B">
        <w:rPr>
          <w:rFonts w:ascii="Times New Roman" w:hAnsi="Times New Roman" w:cs="Times New Roman"/>
          <w:sz w:val="24"/>
          <w:szCs w:val="24"/>
        </w:rPr>
        <w:t xml:space="preserve"> otherwise</w:t>
      </w:r>
      <w:r w:rsidR="00A86562">
        <w:rPr>
          <w:rFonts w:ascii="Times New Roman" w:hAnsi="Times New Roman" w:cs="Times New Roman"/>
          <w:sz w:val="24"/>
          <w:szCs w:val="24"/>
        </w:rPr>
        <w:t>,</w:t>
      </w:r>
      <w:r w:rsidR="00BD305B" w:rsidRPr="00110128">
        <w:rPr>
          <w:rFonts w:ascii="Times New Roman" w:hAnsi="Times New Roman" w:cs="Times New Roman"/>
          <w:sz w:val="24"/>
          <w:szCs w:val="24"/>
        </w:rPr>
        <w:tab/>
      </w:r>
      <w:r w:rsidR="00BD305B">
        <w:rPr>
          <w:rFonts w:ascii="Times New Roman" w:hAnsi="Times New Roman" w:cs="Times New Roman"/>
          <w:sz w:val="24"/>
          <w:szCs w:val="24"/>
        </w:rPr>
        <w:t xml:space="preserve">                </w:t>
      </w:r>
      <w:r w:rsidR="00BD305B" w:rsidRPr="00110128">
        <w:rPr>
          <w:rFonts w:ascii="Times New Roman" w:hAnsi="Times New Roman" w:cs="Times New Roman"/>
          <w:sz w:val="24"/>
          <w:szCs w:val="24"/>
        </w:rPr>
        <w:tab/>
      </w:r>
      <w:r w:rsidR="00BD305B" w:rsidRPr="00110128">
        <w:rPr>
          <w:rFonts w:ascii="Times New Roman" w:hAnsi="Times New Roman" w:cs="Times New Roman"/>
          <w:sz w:val="24"/>
          <w:szCs w:val="24"/>
        </w:rPr>
        <w:tab/>
      </w:r>
      <w:r w:rsidR="00BD305B" w:rsidRPr="00110128">
        <w:rPr>
          <w:rFonts w:ascii="Times New Roman" w:hAnsi="Times New Roman" w:cs="Times New Roman"/>
          <w:sz w:val="24"/>
          <w:szCs w:val="24"/>
        </w:rPr>
        <w:tab/>
        <w:t xml:space="preserve">     </w:t>
      </w:r>
      <w:r w:rsidR="00BD305B">
        <w:rPr>
          <w:rFonts w:ascii="Times New Roman" w:hAnsi="Times New Roman" w:cs="Times New Roman"/>
          <w:sz w:val="24"/>
          <w:szCs w:val="24"/>
        </w:rPr>
        <w:t xml:space="preserve">            </w:t>
      </w:r>
      <w:r w:rsidR="00BD305B" w:rsidRPr="00110128">
        <w:rPr>
          <w:rFonts w:ascii="Times New Roman" w:hAnsi="Times New Roman" w:cs="Times New Roman"/>
          <w:sz w:val="24"/>
          <w:szCs w:val="24"/>
        </w:rPr>
        <w:t xml:space="preserve">  (1)</w:t>
      </w:r>
    </w:p>
    <w:p w14:paraId="1936F447" w14:textId="2142B049" w:rsidR="00BD305B" w:rsidRDefault="00BD305B" w:rsidP="00E1729F">
      <w:pPr>
        <w:spacing w:after="0" w:line="276" w:lineRule="auto"/>
        <w:rPr>
          <w:rFonts w:ascii="Times New Roman" w:hAnsi="Times New Roman" w:cs="Times New Roman"/>
          <w:sz w:val="24"/>
          <w:szCs w:val="24"/>
        </w:rPr>
      </w:pPr>
      <w:r w:rsidRPr="00110128">
        <w:rPr>
          <w:rFonts w:ascii="Times New Roman" w:hAnsi="Times New Roman" w:cs="Times New Roman"/>
          <w:sz w:val="24"/>
          <w:szCs w:val="24"/>
        </w:rPr>
        <w:t xml:space="preserve">where </w:t>
      </w:r>
      <w:r w:rsidR="005B032C" w:rsidRPr="007E1AFA">
        <w:rPr>
          <w:rFonts w:ascii="Times New Roman" w:hAnsi="Times New Roman" w:cs="Times New Roman"/>
          <w:position w:val="-12"/>
          <w:sz w:val="24"/>
          <w:szCs w:val="24"/>
        </w:rPr>
        <w:object w:dxaOrig="220" w:dyaOrig="360" w14:anchorId="661D76FC">
          <v:shape id="_x0000_i1031" type="#_x0000_t75" style="width:10.4pt;height:18pt" o:ole="" o:preferrelative="f">
            <v:imagedata r:id="rId29" o:title=""/>
            <o:lock v:ext="edit" aspectratio="f"/>
          </v:shape>
          <o:OLEObject Type="Embed" ProgID="Equation.DSMT4" ShapeID="_x0000_i1031" DrawAspect="Content" ObjectID="_1764157346" r:id="rId30"/>
        </w:object>
      </w:r>
      <w:r w:rsidRPr="00110128">
        <w:rPr>
          <w:rFonts w:ascii="Times New Roman" w:hAnsi="Times New Roman" w:cs="Times New Roman"/>
          <w:sz w:val="24"/>
          <w:szCs w:val="24"/>
        </w:rPr>
        <w:t xml:space="preserve"> is a</w:t>
      </w:r>
      <w:r>
        <w:rPr>
          <w:rFonts w:ascii="Times New Roman" w:hAnsi="Times New Roman" w:cs="Times New Roman"/>
          <w:sz w:val="24"/>
          <w:szCs w:val="24"/>
        </w:rPr>
        <w:t>n</w:t>
      </w:r>
      <w:r w:rsidRPr="00110128">
        <w:rPr>
          <w:rFonts w:ascii="Times New Roman" w:hAnsi="Times New Roman" w:cs="Times New Roman"/>
          <w:sz w:val="24"/>
          <w:szCs w:val="24"/>
        </w:rPr>
        <w:t xml:space="preserve"> (</w:t>
      </w:r>
      <w:r w:rsidRPr="00110128">
        <w:rPr>
          <w:rFonts w:ascii="Times New Roman" w:hAnsi="Times New Roman" w:cs="Times New Roman"/>
          <w:i/>
          <w:sz w:val="24"/>
          <w:szCs w:val="24"/>
        </w:rPr>
        <w:t>L×</w:t>
      </w:r>
      <w:r w:rsidRPr="00110128">
        <w:rPr>
          <w:rFonts w:ascii="Times New Roman" w:hAnsi="Times New Roman" w:cs="Times New Roman"/>
          <w:sz w:val="24"/>
          <w:szCs w:val="24"/>
        </w:rPr>
        <w:t xml:space="preserve">1) vector of exogenous variables </w:t>
      </w:r>
      <w:r>
        <w:rPr>
          <w:rFonts w:ascii="Times New Roman" w:hAnsi="Times New Roman" w:cs="Times New Roman"/>
          <w:sz w:val="24"/>
          <w:szCs w:val="24"/>
        </w:rPr>
        <w:t>(</w:t>
      </w:r>
      <w:r w:rsidRPr="00110128">
        <w:rPr>
          <w:rFonts w:ascii="Times New Roman" w:hAnsi="Times New Roman" w:cs="Times New Roman"/>
          <w:sz w:val="24"/>
          <w:szCs w:val="24"/>
        </w:rPr>
        <w:t xml:space="preserve">including a constant), </w:t>
      </w:r>
      <w:r w:rsidR="002A04F4" w:rsidRPr="002A04F4">
        <w:rPr>
          <w:rFonts w:ascii="Times New Roman" w:hAnsi="Times New Roman" w:cs="Times New Roman"/>
          <w:position w:val="-10"/>
          <w:sz w:val="24"/>
          <w:szCs w:val="24"/>
        </w:rPr>
        <w:object w:dxaOrig="240" w:dyaOrig="320" w14:anchorId="136A9F94">
          <v:shape id="_x0000_i1032" type="#_x0000_t75" style="width:12.8pt;height:15.65pt" o:ole="" o:preferrelative="f">
            <v:imagedata r:id="rId31" o:title=""/>
            <o:lock v:ext="edit" aspectratio="f"/>
          </v:shape>
          <o:OLEObject Type="Embed" ProgID="Equation.DSMT4" ShapeID="_x0000_i1032" DrawAspect="Content" ObjectID="_1764157347" r:id="rId32"/>
        </w:object>
      </w:r>
      <w:r w:rsidRPr="00110128">
        <w:rPr>
          <w:rFonts w:ascii="Times New Roman" w:hAnsi="Times New Roman" w:cs="Times New Roman"/>
          <w:sz w:val="24"/>
          <w:szCs w:val="24"/>
        </w:rPr>
        <w:t xml:space="preserve"> is a corresponding (</w:t>
      </w:r>
      <w:r w:rsidRPr="00110128">
        <w:rPr>
          <w:rFonts w:ascii="Times New Roman" w:hAnsi="Times New Roman" w:cs="Times New Roman"/>
          <w:i/>
          <w:sz w:val="24"/>
          <w:szCs w:val="24"/>
        </w:rPr>
        <w:t>L×</w:t>
      </w:r>
      <w:r w:rsidRPr="00110128">
        <w:rPr>
          <w:rFonts w:ascii="Times New Roman" w:hAnsi="Times New Roman" w:cs="Times New Roman"/>
          <w:sz w:val="24"/>
          <w:szCs w:val="24"/>
        </w:rPr>
        <w:t xml:space="preserve">1) vector of </w:t>
      </w:r>
      <w:r>
        <w:rPr>
          <w:rFonts w:ascii="Times New Roman" w:hAnsi="Times New Roman" w:cs="Times New Roman"/>
          <w:sz w:val="24"/>
          <w:szCs w:val="24"/>
        </w:rPr>
        <w:t>binary</w:t>
      </w:r>
      <w:r w:rsidRPr="00110128">
        <w:rPr>
          <w:rFonts w:ascii="Times New Roman" w:hAnsi="Times New Roman" w:cs="Times New Roman"/>
          <w:sz w:val="24"/>
          <w:szCs w:val="24"/>
        </w:rPr>
        <w:t xml:space="preserve"> outcome-specific coefficients to be estimated, and </w:t>
      </w:r>
      <w:r w:rsidRPr="007E1AFA">
        <w:rPr>
          <w:rFonts w:ascii="Times New Roman" w:hAnsi="Times New Roman" w:cs="Times New Roman"/>
          <w:position w:val="-12"/>
          <w:sz w:val="24"/>
          <w:szCs w:val="24"/>
        </w:rPr>
        <w:object w:dxaOrig="240" w:dyaOrig="360" w14:anchorId="7C78B82B">
          <v:shape id="_x0000_i1033" type="#_x0000_t75" style="width:11.85pt;height:18.95pt" o:ole="">
            <v:imagedata r:id="rId33" o:title=""/>
          </v:shape>
          <o:OLEObject Type="Embed" ProgID="Equation.DSMT4" ShapeID="_x0000_i1033" DrawAspect="Content" ObjectID="_1764157348" r:id="rId34"/>
        </w:object>
      </w:r>
      <w:r w:rsidRPr="00110128">
        <w:rPr>
          <w:rFonts w:ascii="Times New Roman" w:hAnsi="Times New Roman" w:cs="Times New Roman"/>
          <w:sz w:val="24"/>
          <w:szCs w:val="24"/>
        </w:rPr>
        <w:t xml:space="preserve"> is a random error </w:t>
      </w:r>
      <w:r w:rsidRPr="00110128">
        <w:rPr>
          <w:rFonts w:ascii="Times New Roman" w:hAnsi="Times New Roman" w:cs="Times New Roman"/>
          <w:sz w:val="24"/>
          <w:szCs w:val="24"/>
        </w:rPr>
        <w:lastRenderedPageBreak/>
        <w:t xml:space="preserve">term assumed to be standard normally distributed (the scale of </w:t>
      </w:r>
      <w:r w:rsidRPr="007E1AFA">
        <w:rPr>
          <w:rFonts w:ascii="Times New Roman" w:hAnsi="Times New Roman" w:cs="Times New Roman"/>
          <w:position w:val="-12"/>
          <w:sz w:val="24"/>
          <w:szCs w:val="24"/>
        </w:rPr>
        <w:object w:dxaOrig="240" w:dyaOrig="360" w14:anchorId="3E3E4DCC">
          <v:shape id="_x0000_i1034" type="#_x0000_t75" style="width:11.85pt;height:18.95pt" o:ole="">
            <v:imagedata r:id="rId35" o:title=""/>
          </v:shape>
          <o:OLEObject Type="Embed" ProgID="Equation.DSMT4" ShapeID="_x0000_i1034" DrawAspect="Content" ObjectID="_1764157349" r:id="rId36"/>
        </w:object>
      </w:r>
      <w:r w:rsidRPr="00110128">
        <w:rPr>
          <w:rFonts w:ascii="Times New Roman" w:hAnsi="Times New Roman" w:cs="Times New Roman"/>
          <w:sz w:val="24"/>
          <w:szCs w:val="24"/>
        </w:rPr>
        <w:t xml:space="preserve"> is not identified and so is arbitrarily set to one). </w:t>
      </w:r>
    </w:p>
    <w:p w14:paraId="6C460FDF" w14:textId="59B2E729" w:rsidR="00BD305B" w:rsidRPr="0090363A" w:rsidRDefault="00BD305B" w:rsidP="00E1729F">
      <w:pPr>
        <w:spacing w:after="0" w:line="276" w:lineRule="auto"/>
        <w:ind w:firstLine="720"/>
        <w:rPr>
          <w:rFonts w:ascii="Times New Roman" w:hAnsi="Times New Roman" w:cs="Times New Roman"/>
          <w:sz w:val="24"/>
          <w:szCs w:val="24"/>
        </w:rPr>
      </w:pPr>
      <w:r w:rsidRPr="0090363A">
        <w:rPr>
          <w:rFonts w:ascii="Times New Roman" w:hAnsi="Times New Roman" w:cs="Times New Roman"/>
          <w:sz w:val="24"/>
          <w:szCs w:val="24"/>
        </w:rPr>
        <w:t>The second dimension of our analysis is the telework frequency outcome, which takes the form of an ordinal variable</w:t>
      </w:r>
      <w:r w:rsidR="00AD1DB1">
        <w:rPr>
          <w:rFonts w:ascii="Times New Roman" w:hAnsi="Times New Roman" w:cs="Times New Roman"/>
          <w:sz w:val="24"/>
          <w:szCs w:val="24"/>
        </w:rPr>
        <w:t xml:space="preserve"> and which is </w:t>
      </w:r>
      <w:r w:rsidR="00C131E7">
        <w:rPr>
          <w:rFonts w:ascii="Times New Roman" w:hAnsi="Times New Roman" w:cs="Times New Roman"/>
          <w:sz w:val="24"/>
          <w:szCs w:val="24"/>
        </w:rPr>
        <w:t xml:space="preserve">observed only if the teleworking adoption choice is positive (that is, only if </w:t>
      </w:r>
      <w:r w:rsidR="00C131E7" w:rsidRPr="00144D25">
        <w:rPr>
          <w:position w:val="-12"/>
        </w:rPr>
        <w:object w:dxaOrig="600" w:dyaOrig="360" w14:anchorId="2D90CB0C">
          <v:shape id="_x0000_i1035" type="#_x0000_t75" style="width:29.85pt;height:18.95pt" o:ole="">
            <v:imagedata r:id="rId37" o:title=""/>
          </v:shape>
          <o:OLEObject Type="Embed" ProgID="Equation.DSMT4" ShapeID="_x0000_i1035" DrawAspect="Content" ObjectID="_1764157350" r:id="rId38"/>
        </w:object>
      </w:r>
      <w:r w:rsidR="00C131E7">
        <w:t>)</w:t>
      </w:r>
      <w:r w:rsidR="00C131E7">
        <w:rPr>
          <w:rFonts w:ascii="Times New Roman" w:hAnsi="Times New Roman" w:cs="Times New Roman"/>
          <w:sz w:val="24"/>
          <w:szCs w:val="24"/>
        </w:rPr>
        <w:t xml:space="preserve">. </w:t>
      </w:r>
      <w:r w:rsidR="0034037E">
        <w:rPr>
          <w:rFonts w:ascii="Times New Roman" w:hAnsi="Times New Roman" w:cs="Times New Roman"/>
          <w:sz w:val="24"/>
          <w:szCs w:val="24"/>
        </w:rPr>
        <w:t>D</w:t>
      </w:r>
      <w:r w:rsidRPr="0090363A">
        <w:rPr>
          <w:rFonts w:ascii="Times New Roman" w:hAnsi="Times New Roman" w:cs="Times New Roman"/>
          <w:sz w:val="24"/>
          <w:szCs w:val="24"/>
        </w:rPr>
        <w:t xml:space="preserve">efine a latent propensity </w:t>
      </w:r>
      <w:r w:rsidRPr="0090363A">
        <w:rPr>
          <w:rFonts w:ascii="Times New Roman" w:hAnsi="Times New Roman" w:cs="Times New Roman"/>
          <w:position w:val="-12"/>
          <w:sz w:val="24"/>
          <w:szCs w:val="24"/>
        </w:rPr>
        <w:object w:dxaOrig="279" w:dyaOrig="380" w14:anchorId="773B4E78">
          <v:shape id="_x0000_i1036" type="#_x0000_t75" style="width:12.8pt;height:19.4pt" o:ole="">
            <v:imagedata r:id="rId39" o:title=""/>
          </v:shape>
          <o:OLEObject Type="Embed" ProgID="Equation.DSMT4" ShapeID="_x0000_i1036" DrawAspect="Content" ObjectID="_1764157351" r:id="rId40"/>
        </w:object>
      </w:r>
      <w:r w:rsidRPr="0090363A">
        <w:rPr>
          <w:rFonts w:ascii="Times New Roman" w:hAnsi="Times New Roman" w:cs="Times New Roman"/>
          <w:sz w:val="24"/>
          <w:szCs w:val="24"/>
        </w:rPr>
        <w:t xml:space="preserve"> underlying the telework frequency variable </w:t>
      </w:r>
      <w:r w:rsidRPr="0090363A">
        <w:rPr>
          <w:rFonts w:ascii="Times New Roman" w:hAnsi="Times New Roman" w:cs="Times New Roman"/>
          <w:position w:val="-12"/>
          <w:sz w:val="24"/>
          <w:szCs w:val="24"/>
        </w:rPr>
        <w:object w:dxaOrig="279" w:dyaOrig="380" w14:anchorId="393E36BF">
          <v:shape id="_x0000_i1037" type="#_x0000_t75" style="width:12.8pt;height:19.4pt" o:ole="">
            <v:imagedata r:id="rId41" o:title=""/>
          </v:shape>
          <o:OLEObject Type="Embed" ProgID="Equation.DSMT4" ShapeID="_x0000_i1037" DrawAspect="Content" ObjectID="_1764157352" r:id="rId42"/>
        </w:object>
      </w:r>
      <w:r w:rsidRPr="0090363A">
        <w:rPr>
          <w:rFonts w:ascii="Times New Roman" w:hAnsi="Times New Roman" w:cs="Times New Roman"/>
          <w:sz w:val="24"/>
          <w:szCs w:val="24"/>
        </w:rPr>
        <w:t xml:space="preserve"> at choice occasion </w:t>
      </w:r>
      <w:r w:rsidRPr="0090363A">
        <w:rPr>
          <w:rFonts w:ascii="Times New Roman" w:hAnsi="Times New Roman" w:cs="Times New Roman"/>
          <w:i/>
          <w:sz w:val="24"/>
          <w:szCs w:val="24"/>
        </w:rPr>
        <w:t>t.</w:t>
      </w:r>
      <w:r w:rsidRPr="0090363A">
        <w:rPr>
          <w:rFonts w:ascii="Times New Roman" w:hAnsi="Times New Roman" w:cs="Times New Roman"/>
          <w:sz w:val="24"/>
          <w:szCs w:val="24"/>
        </w:rPr>
        <w:t xml:space="preserve"> Now consider the following structure:</w:t>
      </w:r>
    </w:p>
    <w:p w14:paraId="56DBD42C" w14:textId="38452FE5" w:rsidR="00BD305B" w:rsidRPr="0090363A" w:rsidRDefault="002A04F4" w:rsidP="005B032C">
      <w:pPr>
        <w:spacing w:before="120" w:after="120" w:line="276" w:lineRule="auto"/>
        <w:rPr>
          <w:rFonts w:ascii="Times New Roman" w:hAnsi="Times New Roman" w:cs="Times New Roman"/>
          <w:sz w:val="24"/>
          <w:szCs w:val="24"/>
        </w:rPr>
      </w:pPr>
      <w:r w:rsidRPr="0090363A">
        <w:rPr>
          <w:rFonts w:ascii="Times New Roman" w:hAnsi="Times New Roman" w:cs="Times New Roman"/>
          <w:position w:val="-12"/>
          <w:sz w:val="24"/>
          <w:szCs w:val="24"/>
        </w:rPr>
        <w:object w:dxaOrig="1359" w:dyaOrig="380" w14:anchorId="22C71F9F">
          <v:shape id="_x0000_i1038" type="#_x0000_t75" style="width:67.25pt;height:18.95pt" o:ole="" o:preferrelative="f">
            <v:imagedata r:id="rId43" o:title=""/>
            <o:lock v:ext="edit" aspectratio="f"/>
          </v:shape>
          <o:OLEObject Type="Embed" ProgID="Equation.DSMT4" ShapeID="_x0000_i1038" DrawAspect="Content" ObjectID="_1764157353" r:id="rId44"/>
        </w:object>
      </w:r>
      <w:r w:rsidR="00BD305B" w:rsidRPr="0090363A">
        <w:rPr>
          <w:rFonts w:ascii="Times New Roman" w:hAnsi="Times New Roman" w:cs="Times New Roman"/>
          <w:sz w:val="24"/>
          <w:szCs w:val="24"/>
        </w:rPr>
        <w:t xml:space="preserve">, </w:t>
      </w:r>
      <w:r w:rsidRPr="0090363A">
        <w:rPr>
          <w:rFonts w:ascii="Times New Roman" w:hAnsi="Times New Roman" w:cs="Times New Roman"/>
          <w:position w:val="-12"/>
          <w:sz w:val="24"/>
          <w:szCs w:val="24"/>
        </w:rPr>
        <w:object w:dxaOrig="639" w:dyaOrig="360" w14:anchorId="4C14CF42">
          <v:shape id="_x0000_i1039" type="#_x0000_t75" style="width:31.75pt;height:18pt" o:ole="" o:preferrelative="f">
            <v:imagedata r:id="rId45" o:title=""/>
            <o:lock v:ext="edit" aspectratio="f"/>
          </v:shape>
          <o:OLEObject Type="Embed" ProgID="Equation.DSMT4" ShapeID="_x0000_i1039" DrawAspect="Content" ObjectID="_1764157354" r:id="rId46"/>
        </w:object>
      </w:r>
      <w:r w:rsidR="00BD305B" w:rsidRPr="0090363A">
        <w:rPr>
          <w:rFonts w:ascii="Times New Roman" w:hAnsi="Times New Roman" w:cs="Times New Roman"/>
          <w:sz w:val="24"/>
          <w:szCs w:val="24"/>
        </w:rPr>
        <w:t xml:space="preserve"> if </w:t>
      </w:r>
      <w:r w:rsidRPr="00C131E7">
        <w:rPr>
          <w:rFonts w:ascii="Times New Roman" w:hAnsi="Times New Roman" w:cs="Times New Roman"/>
          <w:position w:val="-12"/>
          <w:sz w:val="24"/>
          <w:szCs w:val="24"/>
        </w:rPr>
        <w:object w:dxaOrig="1320" w:dyaOrig="380" w14:anchorId="555FEF2B">
          <v:shape id="_x0000_i1040" type="#_x0000_t75" style="width:65.85pt;height:18.95pt" o:ole="" o:preferrelative="f">
            <v:imagedata r:id="rId47" o:title=""/>
            <o:lock v:ext="edit" aspectratio="f"/>
          </v:shape>
          <o:OLEObject Type="Embed" ProgID="Equation.DSMT4" ShapeID="_x0000_i1040" DrawAspect="Content" ObjectID="_1764157355" r:id="rId48"/>
        </w:object>
      </w:r>
      <w:r w:rsidR="00A86562">
        <w:rPr>
          <w:rFonts w:ascii="Times New Roman" w:hAnsi="Times New Roman" w:cs="Times New Roman"/>
          <w:sz w:val="24"/>
          <w:szCs w:val="24"/>
        </w:rPr>
        <w:t>,</w:t>
      </w:r>
      <w:r w:rsidR="00671377">
        <w:rPr>
          <w:rFonts w:ascii="Times New Roman" w:hAnsi="Times New Roman" w:cs="Times New Roman"/>
          <w:sz w:val="24"/>
          <w:szCs w:val="24"/>
        </w:rPr>
        <w:tab/>
      </w:r>
      <w:r w:rsidR="00671377">
        <w:rPr>
          <w:rFonts w:ascii="Times New Roman" w:hAnsi="Times New Roman" w:cs="Times New Roman"/>
          <w:sz w:val="24"/>
          <w:szCs w:val="24"/>
        </w:rPr>
        <w:tab/>
      </w:r>
      <w:r w:rsidR="00671377">
        <w:rPr>
          <w:rFonts w:ascii="Times New Roman" w:hAnsi="Times New Roman" w:cs="Times New Roman"/>
          <w:sz w:val="24"/>
          <w:szCs w:val="24"/>
        </w:rPr>
        <w:tab/>
      </w:r>
      <w:r w:rsidR="00671377">
        <w:rPr>
          <w:rFonts w:ascii="Times New Roman" w:hAnsi="Times New Roman" w:cs="Times New Roman"/>
          <w:sz w:val="24"/>
          <w:szCs w:val="24"/>
        </w:rPr>
        <w:tab/>
      </w:r>
      <w:r w:rsidR="00671377">
        <w:rPr>
          <w:rFonts w:ascii="Times New Roman" w:hAnsi="Times New Roman" w:cs="Times New Roman"/>
          <w:sz w:val="24"/>
          <w:szCs w:val="24"/>
        </w:rPr>
        <w:tab/>
      </w:r>
      <w:r w:rsidR="00671377">
        <w:rPr>
          <w:rFonts w:ascii="Times New Roman" w:hAnsi="Times New Roman" w:cs="Times New Roman"/>
          <w:sz w:val="24"/>
          <w:szCs w:val="24"/>
        </w:rPr>
        <w:tab/>
      </w:r>
      <w:r w:rsidR="00671377">
        <w:rPr>
          <w:rFonts w:ascii="Times New Roman" w:hAnsi="Times New Roman" w:cs="Times New Roman"/>
          <w:sz w:val="24"/>
          <w:szCs w:val="24"/>
        </w:rPr>
        <w:tab/>
        <w:t xml:space="preserve">       (2)</w:t>
      </w:r>
    </w:p>
    <w:p w14:paraId="4A67870E" w14:textId="424032BB" w:rsidR="00BD305B" w:rsidRPr="00C666BF" w:rsidRDefault="00BD305B" w:rsidP="00E1729F">
      <w:pPr>
        <w:spacing w:after="0" w:line="276" w:lineRule="auto"/>
        <w:rPr>
          <w:rFonts w:ascii="Times New Roman" w:hAnsi="Times New Roman" w:cs="Times New Roman"/>
          <w:sz w:val="24"/>
          <w:szCs w:val="24"/>
        </w:rPr>
      </w:pPr>
      <w:r w:rsidRPr="0090363A">
        <w:rPr>
          <w:rFonts w:ascii="Times New Roman" w:hAnsi="Times New Roman" w:cs="Times New Roman"/>
          <w:sz w:val="24"/>
          <w:szCs w:val="24"/>
        </w:rPr>
        <w:t xml:space="preserve">where </w:t>
      </w:r>
      <w:r w:rsidRPr="0090363A">
        <w:rPr>
          <w:rFonts w:ascii="Times New Roman" w:hAnsi="Times New Roman" w:cs="Times New Roman"/>
          <w:position w:val="-12"/>
          <w:sz w:val="24"/>
          <w:szCs w:val="24"/>
        </w:rPr>
        <w:object w:dxaOrig="300" w:dyaOrig="360" w14:anchorId="5C671671">
          <v:shape id="_x0000_i1041" type="#_x0000_t75" style="width:13.75pt;height:18.95pt" o:ole="">
            <v:imagedata r:id="rId49" o:title=""/>
          </v:shape>
          <o:OLEObject Type="Embed" ProgID="Equation.DSMT4" ShapeID="_x0000_i1041" DrawAspect="Content" ObjectID="_1764157356" r:id="rId50"/>
        </w:object>
      </w:r>
      <w:r w:rsidRPr="0090363A">
        <w:rPr>
          <w:rFonts w:ascii="Times New Roman" w:hAnsi="Times New Roman" w:cs="Times New Roman"/>
          <w:sz w:val="24"/>
          <w:szCs w:val="24"/>
        </w:rPr>
        <w:t xml:space="preserve"> is a</w:t>
      </w:r>
      <w:r w:rsidR="00C131E7">
        <w:rPr>
          <w:rFonts w:ascii="Times New Roman" w:hAnsi="Times New Roman" w:cs="Times New Roman"/>
          <w:sz w:val="24"/>
          <w:szCs w:val="24"/>
        </w:rPr>
        <w:t>n</w:t>
      </w:r>
      <w:r w:rsidRPr="0090363A">
        <w:rPr>
          <w:rFonts w:ascii="Times New Roman" w:hAnsi="Times New Roman" w:cs="Times New Roman"/>
          <w:sz w:val="24"/>
          <w:szCs w:val="24"/>
        </w:rPr>
        <w:t xml:space="preserve"> (</w:t>
      </w:r>
      <w:r w:rsidR="00C131E7">
        <w:rPr>
          <w:rFonts w:ascii="Times New Roman" w:hAnsi="Times New Roman" w:cs="Times New Roman"/>
          <w:i/>
          <w:sz w:val="24"/>
          <w:szCs w:val="24"/>
        </w:rPr>
        <w:t>H</w:t>
      </w:r>
      <w:r w:rsidRPr="0090363A">
        <w:rPr>
          <w:rFonts w:ascii="Times New Roman" w:hAnsi="Times New Roman" w:cs="Times New Roman"/>
          <w:i/>
          <w:sz w:val="24"/>
          <w:szCs w:val="24"/>
        </w:rPr>
        <w:t>×</w:t>
      </w:r>
      <w:r w:rsidRPr="0090363A">
        <w:rPr>
          <w:rFonts w:ascii="Times New Roman" w:hAnsi="Times New Roman" w:cs="Times New Roman"/>
          <w:sz w:val="24"/>
          <w:szCs w:val="24"/>
        </w:rPr>
        <w:t>1) vector of exogenous variables (</w:t>
      </w:r>
      <w:r w:rsidR="00AD1DB1">
        <w:rPr>
          <w:rFonts w:ascii="Times New Roman" w:hAnsi="Times New Roman" w:cs="Times New Roman"/>
          <w:sz w:val="24"/>
          <w:szCs w:val="24"/>
        </w:rPr>
        <w:t>in</w:t>
      </w:r>
      <w:r w:rsidRPr="0090363A">
        <w:rPr>
          <w:rFonts w:ascii="Times New Roman" w:hAnsi="Times New Roman" w:cs="Times New Roman"/>
          <w:sz w:val="24"/>
          <w:szCs w:val="24"/>
        </w:rPr>
        <w:t xml:space="preserve">cluding a constant), </w:t>
      </w:r>
      <w:r w:rsidR="002A04F4" w:rsidRPr="0090363A">
        <w:rPr>
          <w:rFonts w:ascii="Times New Roman" w:hAnsi="Times New Roman" w:cs="Times New Roman"/>
          <w:position w:val="-6"/>
          <w:sz w:val="24"/>
          <w:szCs w:val="24"/>
        </w:rPr>
        <w:object w:dxaOrig="220" w:dyaOrig="220" w14:anchorId="79D4D460">
          <v:shape id="_x0000_i1042" type="#_x0000_t75" style="width:10.4pt;height:10.4pt" o:ole="" o:preferrelative="f">
            <v:imagedata r:id="rId51" o:title=""/>
            <o:lock v:ext="edit" aspectratio="f"/>
          </v:shape>
          <o:OLEObject Type="Embed" ProgID="Equation.DSMT4" ShapeID="_x0000_i1042" DrawAspect="Content" ObjectID="_1764157357" r:id="rId52"/>
        </w:object>
      </w:r>
      <w:r w:rsidRPr="0090363A">
        <w:rPr>
          <w:rFonts w:ascii="Times New Roman" w:hAnsi="Times New Roman" w:cs="Times New Roman"/>
          <w:sz w:val="24"/>
          <w:szCs w:val="24"/>
        </w:rPr>
        <w:t xml:space="preserve"> is a corresponding</w:t>
      </w:r>
      <w:r w:rsidR="00DB4D22">
        <w:rPr>
          <w:rFonts w:ascii="Times New Roman" w:hAnsi="Times New Roman" w:cs="Times New Roman"/>
          <w:sz w:val="24"/>
          <w:szCs w:val="24"/>
        </w:rPr>
        <w:t xml:space="preserve"> </w:t>
      </w:r>
      <w:r w:rsidRPr="0090363A">
        <w:rPr>
          <w:rFonts w:ascii="Times New Roman" w:hAnsi="Times New Roman" w:cs="Times New Roman"/>
          <w:sz w:val="24"/>
          <w:szCs w:val="24"/>
        </w:rPr>
        <w:t>(</w:t>
      </w:r>
      <w:r w:rsidR="00C131E7">
        <w:rPr>
          <w:rFonts w:ascii="Times New Roman" w:hAnsi="Times New Roman" w:cs="Times New Roman"/>
          <w:i/>
          <w:sz w:val="24"/>
          <w:szCs w:val="24"/>
        </w:rPr>
        <w:t>H</w:t>
      </w:r>
      <w:r w:rsidRPr="0090363A">
        <w:rPr>
          <w:rFonts w:ascii="Times New Roman" w:hAnsi="Times New Roman" w:cs="Times New Roman"/>
          <w:i/>
          <w:sz w:val="24"/>
          <w:szCs w:val="24"/>
        </w:rPr>
        <w:t>×</w:t>
      </w:r>
      <w:r w:rsidRPr="0090363A">
        <w:rPr>
          <w:rFonts w:ascii="Times New Roman" w:hAnsi="Times New Roman" w:cs="Times New Roman"/>
          <w:sz w:val="24"/>
          <w:szCs w:val="24"/>
        </w:rPr>
        <w:t xml:space="preserve">1) vector of ordered outcome-specific coefficients to be estimated, and </w:t>
      </w:r>
      <w:r w:rsidRPr="0090363A">
        <w:rPr>
          <w:rFonts w:ascii="Times New Roman" w:hAnsi="Times New Roman" w:cs="Times New Roman"/>
          <w:position w:val="-12"/>
          <w:sz w:val="24"/>
          <w:szCs w:val="24"/>
        </w:rPr>
        <w:object w:dxaOrig="240" w:dyaOrig="360" w14:anchorId="74E45338">
          <v:shape id="_x0000_i1043" type="#_x0000_t75" style="width:11.85pt;height:18.95pt" o:ole="">
            <v:imagedata r:id="rId53" o:title=""/>
          </v:shape>
          <o:OLEObject Type="Embed" ProgID="Equation.DSMT4" ShapeID="_x0000_i1043" DrawAspect="Content" ObjectID="_1764157358" r:id="rId54"/>
        </w:object>
      </w:r>
      <w:r w:rsidRPr="0090363A">
        <w:rPr>
          <w:rFonts w:ascii="Times New Roman" w:hAnsi="Times New Roman" w:cs="Times New Roman"/>
          <w:sz w:val="24"/>
          <w:szCs w:val="24"/>
        </w:rPr>
        <w:t xml:space="preserve"> is a random error term assumed to be standard normally distributed (the scale of </w:t>
      </w:r>
      <w:r w:rsidR="002A04F4" w:rsidRPr="0090363A">
        <w:rPr>
          <w:rFonts w:ascii="Times New Roman" w:hAnsi="Times New Roman" w:cs="Times New Roman"/>
          <w:position w:val="-12"/>
          <w:sz w:val="24"/>
          <w:szCs w:val="24"/>
        </w:rPr>
        <w:object w:dxaOrig="240" w:dyaOrig="360" w14:anchorId="76597E5B">
          <v:shape id="_x0000_i1044" type="#_x0000_t75" style="width:11.85pt;height:18pt" o:ole="" o:preferrelative="f">
            <v:imagedata r:id="rId55" o:title=""/>
            <o:lock v:ext="edit" aspectratio="f"/>
          </v:shape>
          <o:OLEObject Type="Embed" ProgID="Equation.DSMT4" ShapeID="_x0000_i1044" DrawAspect="Content" ObjectID="_1764157359" r:id="rId56"/>
        </w:object>
      </w:r>
      <w:r w:rsidRPr="0090363A">
        <w:rPr>
          <w:rFonts w:ascii="Times New Roman" w:hAnsi="Times New Roman" w:cs="Times New Roman"/>
          <w:sz w:val="24"/>
          <w:szCs w:val="24"/>
        </w:rPr>
        <w:t xml:space="preserve"> is not identified and so is arbitrarily set to one). The latent propensity </w:t>
      </w:r>
      <w:r w:rsidRPr="0090363A">
        <w:rPr>
          <w:rFonts w:ascii="Times New Roman" w:hAnsi="Times New Roman" w:cs="Times New Roman"/>
          <w:position w:val="-12"/>
          <w:sz w:val="24"/>
          <w:szCs w:val="24"/>
        </w:rPr>
        <w:object w:dxaOrig="279" w:dyaOrig="380" w14:anchorId="6251625E">
          <v:shape id="_x0000_i1045" type="#_x0000_t75" style="width:12.8pt;height:18.95pt" o:ole="" o:preferrelative="f">
            <v:imagedata r:id="rId57" o:title=""/>
            <o:lock v:ext="edit" aspectratio="f"/>
          </v:shape>
          <o:OLEObject Type="Embed" ProgID="Equation.DSMT4" ShapeID="_x0000_i1045" DrawAspect="Content" ObjectID="_1764157360" r:id="rId58"/>
        </w:object>
      </w:r>
      <w:r w:rsidRPr="0090363A">
        <w:rPr>
          <w:rFonts w:ascii="Times New Roman" w:hAnsi="Times New Roman" w:cs="Times New Roman"/>
          <w:sz w:val="24"/>
          <w:szCs w:val="24"/>
        </w:rPr>
        <w:t xml:space="preserve"> is mapped to the observed frequency variable </w:t>
      </w:r>
      <w:r w:rsidRPr="0090363A">
        <w:rPr>
          <w:rFonts w:ascii="Times New Roman" w:hAnsi="Times New Roman" w:cs="Times New Roman"/>
          <w:position w:val="-12"/>
          <w:sz w:val="24"/>
          <w:szCs w:val="24"/>
        </w:rPr>
        <w:object w:dxaOrig="279" w:dyaOrig="380" w14:anchorId="67378CFC">
          <v:shape id="_x0000_i1046" type="#_x0000_t75" style="width:12.8pt;height:18.95pt" o:ole="" o:preferrelative="f">
            <v:imagedata r:id="rId59" o:title=""/>
            <o:lock v:ext="edit" aspectratio="f"/>
          </v:shape>
          <o:OLEObject Type="Embed" ProgID="Equation.DSMT4" ShapeID="_x0000_i1046" DrawAspect="Content" ObjectID="_1764157361" r:id="rId60"/>
        </w:object>
      </w:r>
      <w:r w:rsidRPr="0090363A">
        <w:rPr>
          <w:rFonts w:ascii="Times New Roman" w:hAnsi="Times New Roman" w:cs="Times New Roman"/>
          <w:sz w:val="24"/>
          <w:szCs w:val="24"/>
        </w:rPr>
        <w:t xml:space="preserve"> by the thresholds </w:t>
      </w:r>
      <w:r w:rsidR="002A04F4" w:rsidRPr="00C131E7">
        <w:rPr>
          <w:rFonts w:ascii="Times New Roman" w:hAnsi="Times New Roman" w:cs="Times New Roman"/>
          <w:position w:val="-12"/>
          <w:sz w:val="24"/>
          <w:szCs w:val="24"/>
        </w:rPr>
        <w:object w:dxaOrig="320" w:dyaOrig="360" w14:anchorId="59287B68">
          <v:shape id="_x0000_i1047" type="#_x0000_t75" style="width:16.6pt;height:18pt" o:ole="" o:preferrelative="f">
            <v:imagedata r:id="rId61" o:title=""/>
            <o:lock v:ext="edit" aspectratio="f"/>
          </v:shape>
          <o:OLEObject Type="Embed" ProgID="Equation.DSMT4" ShapeID="_x0000_i1047" DrawAspect="Content" ObjectID="_1764157362" r:id="rId62"/>
        </w:object>
      </w:r>
      <w:r w:rsidRPr="0090363A">
        <w:rPr>
          <w:rFonts w:ascii="Times New Roman" w:hAnsi="Times New Roman" w:cs="Times New Roman"/>
          <w:sz w:val="24"/>
          <w:szCs w:val="24"/>
        </w:rPr>
        <w:t xml:space="preserve">, which should satisfy the ordering conditions </w:t>
      </w:r>
      <w:r w:rsidR="002A04F4" w:rsidRPr="0090363A">
        <w:rPr>
          <w:rFonts w:ascii="Times New Roman" w:hAnsi="Times New Roman" w:cs="Times New Roman"/>
          <w:position w:val="-12"/>
          <w:sz w:val="24"/>
          <w:szCs w:val="24"/>
        </w:rPr>
        <w:object w:dxaOrig="3100" w:dyaOrig="360" w14:anchorId="01133926">
          <v:shape id="_x0000_i1048" type="#_x0000_t75" style="width:155.35pt;height:18pt" o:ole="" o:preferrelative="f">
            <v:imagedata r:id="rId63" o:title=""/>
            <o:lock v:ext="edit" aspectratio="f"/>
          </v:shape>
          <o:OLEObject Type="Embed" ProgID="Equation.DSMT4" ShapeID="_x0000_i1048" DrawAspect="Content" ObjectID="_1764157363" r:id="rId64"/>
        </w:object>
      </w:r>
      <w:r w:rsidR="002A04F4" w:rsidRPr="0090363A">
        <w:rPr>
          <w:rFonts w:ascii="Times New Roman" w:hAnsi="Times New Roman" w:cs="Times New Roman"/>
          <w:position w:val="-12"/>
          <w:sz w:val="24"/>
          <w:szCs w:val="24"/>
        </w:rPr>
        <w:object w:dxaOrig="2500" w:dyaOrig="360" w14:anchorId="59841DA7">
          <v:shape id="_x0000_i1049" type="#_x0000_t75" style="width:125.05pt;height:18pt" o:ole="" o:preferrelative="f">
            <v:imagedata r:id="rId65" o:title=""/>
            <o:lock v:ext="edit" aspectratio="f"/>
          </v:shape>
          <o:OLEObject Type="Embed" ProgID="Equation.DSMT4" ShapeID="_x0000_i1049" DrawAspect="Content" ObjectID="_1764157364" r:id="rId66"/>
        </w:object>
      </w:r>
      <w:r w:rsidRPr="0090363A">
        <w:rPr>
          <w:rFonts w:ascii="Times New Roman" w:hAnsi="Times New Roman" w:cs="Times New Roman"/>
          <w:sz w:val="24"/>
          <w:szCs w:val="24"/>
        </w:rPr>
        <w:t xml:space="preserve"> in the usual ordered-response fashion. </w:t>
      </w:r>
      <w:r w:rsidR="008838F0">
        <w:rPr>
          <w:rFonts w:ascii="Times New Roman" w:hAnsi="Times New Roman" w:cs="Times New Roman"/>
          <w:sz w:val="24"/>
          <w:szCs w:val="24"/>
        </w:rPr>
        <w:t xml:space="preserve">For later use, define the </w:t>
      </w:r>
      <w:r w:rsidR="002A04F4" w:rsidRPr="00817E54">
        <w:rPr>
          <w:position w:val="-10"/>
        </w:rPr>
        <w:object w:dxaOrig="980" w:dyaOrig="320" w14:anchorId="69B68869">
          <v:shape id="_x0000_i1050" type="#_x0000_t75" style="width:48.8pt;height:16.6pt" o:ole="" o:preferrelative="f">
            <v:imagedata r:id="rId67" o:title=""/>
            <o:lock v:ext="edit" aspectratio="f"/>
          </v:shape>
          <o:OLEObject Type="Embed" ProgID="Equation.DSMT4" ShapeID="_x0000_i1050" DrawAspect="Content" ObjectID="_1764157365" r:id="rId68"/>
        </w:object>
      </w:r>
      <w:r w:rsidR="00C131E7">
        <w:t xml:space="preserve"> </w:t>
      </w:r>
      <w:r w:rsidR="00C131E7" w:rsidRPr="000940B6">
        <w:rPr>
          <w:rFonts w:ascii="Times New Roman" w:hAnsi="Times New Roman" w:cs="Times New Roman"/>
          <w:sz w:val="24"/>
          <w:szCs w:val="24"/>
        </w:rPr>
        <w:t>vector</w:t>
      </w:r>
      <w:r w:rsidR="00C131E7">
        <w:t xml:space="preserve"> </w:t>
      </w:r>
      <w:r w:rsidR="002A04F4" w:rsidRPr="00AC0069">
        <w:rPr>
          <w:position w:val="-12"/>
        </w:rPr>
        <w:object w:dxaOrig="2480" w:dyaOrig="360" w14:anchorId="3EFBD920">
          <v:shape id="_x0000_i1051" type="#_x0000_t75" style="width:123.65pt;height:18pt" o:ole="" o:preferrelative="f">
            <v:imagedata r:id="rId69" o:title=""/>
            <o:lock v:ext="edit" aspectratio="f"/>
          </v:shape>
          <o:OLEObject Type="Embed" ProgID="Equation.DSMT4" ShapeID="_x0000_i1051" DrawAspect="Content" ObjectID="_1764157366" r:id="rId70"/>
        </w:object>
      </w:r>
      <w:r w:rsidR="00EF7A2D" w:rsidRPr="00167EAB">
        <w:rPr>
          <w:rFonts w:ascii="Times New Roman" w:hAnsi="Times New Roman" w:cs="Times New Roman"/>
          <w:sz w:val="24"/>
          <w:szCs w:val="24"/>
        </w:rPr>
        <w:t xml:space="preserve">The first threshold </w:t>
      </w:r>
      <w:r w:rsidR="00EF7A2D" w:rsidRPr="00167EAB">
        <w:rPr>
          <w:rFonts w:ascii="Times New Roman" w:hAnsi="Times New Roman" w:cs="Times New Roman"/>
          <w:position w:val="-12"/>
          <w:sz w:val="24"/>
          <w:szCs w:val="24"/>
        </w:rPr>
        <w:object w:dxaOrig="279" w:dyaOrig="360" w14:anchorId="431C3D62">
          <v:shape id="_x0000_i1052" type="#_x0000_t75" style="width:13.75pt;height:18pt" o:ole="">
            <v:imagedata r:id="rId71" o:title=""/>
          </v:shape>
          <o:OLEObject Type="Embed" ProgID="Equation.DSMT4" ShapeID="_x0000_i1052" DrawAspect="Content" ObjectID="_1764157367" r:id="rId72"/>
        </w:object>
      </w:r>
      <w:r w:rsidR="00EF7A2D" w:rsidRPr="00167EAB">
        <w:rPr>
          <w:rFonts w:ascii="Times New Roman" w:hAnsi="Times New Roman" w:cs="Times New Roman"/>
          <w:sz w:val="24"/>
          <w:szCs w:val="24"/>
        </w:rPr>
        <w:t xml:space="preserve"> is set to zero due to identification considerations, because </w:t>
      </w:r>
      <w:r w:rsidR="00C666BF" w:rsidRPr="00167EAB">
        <w:rPr>
          <w:rFonts w:ascii="Times New Roman" w:hAnsi="Times New Roman" w:cs="Times New Roman"/>
          <w:position w:val="-12"/>
          <w:sz w:val="24"/>
          <w:szCs w:val="24"/>
        </w:rPr>
        <w:object w:dxaOrig="279" w:dyaOrig="380" w14:anchorId="3135F655">
          <v:shape id="_x0000_i1053" type="#_x0000_t75" style="width:13.75pt;height:19.4pt" o:ole="">
            <v:imagedata r:id="rId73" o:title=""/>
          </v:shape>
          <o:OLEObject Type="Embed" ProgID="Equation.DSMT4" ShapeID="_x0000_i1053" DrawAspect="Content" ObjectID="_1764157368" r:id="rId74"/>
        </w:object>
      </w:r>
      <w:r w:rsidR="00C666BF" w:rsidRPr="00167EAB">
        <w:rPr>
          <w:rFonts w:ascii="Times New Roman" w:hAnsi="Times New Roman" w:cs="Times New Roman"/>
          <w:sz w:val="24"/>
          <w:szCs w:val="24"/>
        </w:rPr>
        <w:t xml:space="preserve"> has no cardinal scale and so some restriction needs to be placed on its location after including a constant in </w:t>
      </w:r>
      <w:r w:rsidR="00C666BF" w:rsidRPr="00167EAB">
        <w:rPr>
          <w:rFonts w:ascii="Times New Roman" w:hAnsi="Times New Roman" w:cs="Times New Roman"/>
          <w:position w:val="-12"/>
          <w:sz w:val="24"/>
          <w:szCs w:val="24"/>
        </w:rPr>
        <w:object w:dxaOrig="300" w:dyaOrig="360" w14:anchorId="02B09A66">
          <v:shape id="_x0000_i1054" type="#_x0000_t75" style="width:13.75pt;height:18.95pt" o:ole="">
            <v:imagedata r:id="rId49" o:title=""/>
          </v:shape>
          <o:OLEObject Type="Embed" ProgID="Equation.DSMT4" ShapeID="_x0000_i1054" DrawAspect="Content" ObjectID="_1764157369" r:id="rId75"/>
        </w:object>
      </w:r>
      <w:r w:rsidR="00C666BF" w:rsidRPr="00C666BF">
        <w:rPr>
          <w:rFonts w:ascii="Times New Roman" w:hAnsi="Times New Roman" w:cs="Times New Roman"/>
          <w:sz w:val="24"/>
          <w:szCs w:val="24"/>
        </w:rPr>
        <w:t xml:space="preserve">. </w:t>
      </w:r>
    </w:p>
    <w:p w14:paraId="00B51395" w14:textId="5388F308" w:rsidR="00BD305B" w:rsidRPr="00792219" w:rsidRDefault="00BD305B" w:rsidP="00E1729F">
      <w:pPr>
        <w:spacing w:after="0" w:line="276" w:lineRule="auto"/>
        <w:ind w:firstLine="720"/>
        <w:rPr>
          <w:rFonts w:ascii="Times New Roman" w:hAnsi="Times New Roman" w:cs="Times New Roman"/>
          <w:sz w:val="24"/>
          <w:szCs w:val="24"/>
        </w:rPr>
      </w:pPr>
      <w:r w:rsidRPr="00792219">
        <w:rPr>
          <w:rFonts w:ascii="Times New Roman" w:hAnsi="Times New Roman" w:cs="Times New Roman"/>
          <w:sz w:val="24"/>
          <w:szCs w:val="24"/>
        </w:rPr>
        <w:t>N</w:t>
      </w:r>
      <w:r w:rsidR="0034037E">
        <w:rPr>
          <w:rFonts w:ascii="Times New Roman" w:hAnsi="Times New Roman" w:cs="Times New Roman"/>
          <w:sz w:val="24"/>
          <w:szCs w:val="24"/>
        </w:rPr>
        <w:t>ext</w:t>
      </w:r>
      <w:r w:rsidRPr="00792219">
        <w:rPr>
          <w:rFonts w:ascii="Times New Roman" w:hAnsi="Times New Roman" w:cs="Times New Roman"/>
          <w:sz w:val="24"/>
          <w:szCs w:val="24"/>
        </w:rPr>
        <w:t>, consider a single nominal variable (this corresponds to the location of telework dimension in our analysis</w:t>
      </w:r>
      <w:r>
        <w:rPr>
          <w:rFonts w:ascii="Times New Roman" w:hAnsi="Times New Roman" w:cs="Times New Roman"/>
          <w:sz w:val="24"/>
          <w:szCs w:val="24"/>
        </w:rPr>
        <w:t>, given that an individual teleworks</w:t>
      </w:r>
      <w:r w:rsidRPr="00792219">
        <w:rPr>
          <w:rFonts w:ascii="Times New Roman" w:hAnsi="Times New Roman" w:cs="Times New Roman"/>
          <w:sz w:val="24"/>
          <w:szCs w:val="24"/>
        </w:rPr>
        <w:t xml:space="preserve">) with </w:t>
      </w:r>
      <w:r w:rsidR="00AD1DB1">
        <w:rPr>
          <w:rFonts w:ascii="Times New Roman" w:hAnsi="Times New Roman" w:cs="Times New Roman"/>
          <w:sz w:val="24"/>
          <w:szCs w:val="24"/>
        </w:rPr>
        <w:t xml:space="preserve">the following </w:t>
      </w:r>
      <w:r w:rsidRPr="00792219">
        <w:rPr>
          <w:rFonts w:ascii="Times New Roman" w:hAnsi="Times New Roman" w:cs="Times New Roman"/>
          <w:sz w:val="24"/>
          <w:szCs w:val="24"/>
        </w:rPr>
        <w:t>utility</w:t>
      </w:r>
      <w:r w:rsidR="00FA4E80">
        <w:rPr>
          <w:rFonts w:ascii="Times New Roman" w:hAnsi="Times New Roman" w:cs="Times New Roman"/>
          <w:sz w:val="24"/>
          <w:szCs w:val="24"/>
        </w:rPr>
        <w:t xml:space="preserve"> specification</w:t>
      </w:r>
      <w:r w:rsidRPr="00792219">
        <w:rPr>
          <w:rFonts w:ascii="Times New Roman" w:hAnsi="Times New Roman" w:cs="Times New Roman"/>
          <w:sz w:val="24"/>
          <w:szCs w:val="24"/>
        </w:rPr>
        <w:t xml:space="preserve"> for</w:t>
      </w:r>
      <w:r w:rsidR="0034037E">
        <w:rPr>
          <w:rFonts w:ascii="Times New Roman" w:hAnsi="Times New Roman" w:cs="Times New Roman"/>
          <w:sz w:val="24"/>
          <w:szCs w:val="24"/>
        </w:rPr>
        <w:t xml:space="preserve"> </w:t>
      </w:r>
      <w:r w:rsidRPr="00792219">
        <w:rPr>
          <w:rFonts w:ascii="Times New Roman" w:hAnsi="Times New Roman" w:cs="Times New Roman"/>
          <w:sz w:val="24"/>
          <w:szCs w:val="24"/>
        </w:rPr>
        <w:t xml:space="preserve">alternative </w:t>
      </w:r>
      <w:r w:rsidRPr="00792219">
        <w:rPr>
          <w:rFonts w:ascii="Times New Roman" w:hAnsi="Times New Roman" w:cs="Times New Roman"/>
          <w:i/>
          <w:sz w:val="24"/>
          <w:szCs w:val="24"/>
        </w:rPr>
        <w:t>i</w:t>
      </w:r>
      <w:r w:rsidRPr="00792219">
        <w:rPr>
          <w:rFonts w:ascii="Times New Roman" w:hAnsi="Times New Roman" w:cs="Times New Roman"/>
          <w:sz w:val="24"/>
          <w:szCs w:val="24"/>
        </w:rPr>
        <w:t xml:space="preserve"> and </w:t>
      </w:r>
      <w:r w:rsidR="0034037E">
        <w:rPr>
          <w:rFonts w:ascii="Times New Roman" w:hAnsi="Times New Roman" w:cs="Times New Roman"/>
          <w:sz w:val="24"/>
          <w:szCs w:val="24"/>
        </w:rPr>
        <w:t xml:space="preserve">choice occasion </w:t>
      </w:r>
      <w:r w:rsidRPr="00792219">
        <w:rPr>
          <w:rFonts w:ascii="Times New Roman" w:hAnsi="Times New Roman" w:cs="Times New Roman"/>
          <w:i/>
          <w:sz w:val="24"/>
          <w:szCs w:val="24"/>
        </w:rPr>
        <w:t>t</w:t>
      </w:r>
      <w:r w:rsidR="0034037E">
        <w:rPr>
          <w:rFonts w:ascii="Times New Roman" w:hAnsi="Times New Roman" w:cs="Times New Roman"/>
          <w:sz w:val="24"/>
          <w:szCs w:val="24"/>
        </w:rPr>
        <w:t>:</w:t>
      </w:r>
    </w:p>
    <w:p w14:paraId="3DBCF965" w14:textId="5026920A" w:rsidR="00BD305B" w:rsidRPr="00792219" w:rsidRDefault="002A04F4" w:rsidP="005B032C">
      <w:pPr>
        <w:tabs>
          <w:tab w:val="right" w:pos="9360"/>
        </w:tabs>
        <w:spacing w:before="120" w:after="120" w:line="276" w:lineRule="auto"/>
        <w:rPr>
          <w:rFonts w:ascii="Times New Roman" w:hAnsi="Times New Roman" w:cs="Times New Roman"/>
          <w:sz w:val="24"/>
          <w:szCs w:val="24"/>
        </w:rPr>
      </w:pPr>
      <w:r w:rsidRPr="00792219">
        <w:rPr>
          <w:rFonts w:ascii="Times New Roman" w:hAnsi="Times New Roman" w:cs="Times New Roman"/>
          <w:position w:val="-12"/>
          <w:sz w:val="24"/>
          <w:szCs w:val="24"/>
        </w:rPr>
        <w:object w:dxaOrig="4060" w:dyaOrig="360" w14:anchorId="3C726803">
          <v:shape id="_x0000_i1055" type="#_x0000_t75" style="width:202.75pt;height:18pt" o:ole="" o:preferrelative="f">
            <v:imagedata r:id="rId76" o:title=""/>
            <o:lock v:ext="edit" aspectratio="f"/>
          </v:shape>
          <o:OLEObject Type="Embed" ProgID="Equation.DSMT4" ShapeID="_x0000_i1055" DrawAspect="Content" ObjectID="_1764157370" r:id="rId77"/>
        </w:object>
      </w:r>
      <w:r w:rsidR="00BD305B" w:rsidRPr="00792219">
        <w:rPr>
          <w:rFonts w:ascii="Times New Roman" w:hAnsi="Times New Roman" w:cs="Times New Roman"/>
          <w:sz w:val="24"/>
          <w:szCs w:val="24"/>
        </w:rPr>
        <w:tab/>
        <w:t>(3)</w:t>
      </w:r>
    </w:p>
    <w:p w14:paraId="15B86F5D" w14:textId="3F10AA56" w:rsidR="00BD305B" w:rsidRPr="00792219" w:rsidRDefault="00BD305B" w:rsidP="00E1729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our case, </w:t>
      </w:r>
      <w:r>
        <w:rPr>
          <w:rFonts w:ascii="Times New Roman" w:hAnsi="Times New Roman" w:cs="Times New Roman"/>
          <w:i/>
          <w:sz w:val="24"/>
          <w:szCs w:val="24"/>
        </w:rPr>
        <w:t>I</w:t>
      </w:r>
      <w:r w:rsidRPr="005B032C">
        <w:rPr>
          <w:rFonts w:ascii="Times New Roman" w:hAnsi="Times New Roman" w:cs="Times New Roman"/>
          <w:sz w:val="24"/>
          <w:szCs w:val="24"/>
        </w:rPr>
        <w:t>=3.</w:t>
      </w:r>
      <w:r>
        <w:rPr>
          <w:rFonts w:ascii="Times New Roman" w:hAnsi="Times New Roman" w:cs="Times New Roman"/>
          <w:i/>
          <w:sz w:val="24"/>
          <w:szCs w:val="24"/>
        </w:rPr>
        <w:t xml:space="preserve"> </w:t>
      </w:r>
      <w:r w:rsidR="002A04F4" w:rsidRPr="00792219">
        <w:rPr>
          <w:rFonts w:ascii="Times New Roman" w:hAnsi="Times New Roman" w:cs="Times New Roman"/>
          <w:position w:val="-12"/>
          <w:sz w:val="24"/>
          <w:szCs w:val="24"/>
        </w:rPr>
        <w:object w:dxaOrig="300" w:dyaOrig="360" w14:anchorId="0C0CFFF4">
          <v:shape id="_x0000_i1056" type="#_x0000_t75" style="width:15.15pt;height:18pt" o:ole="" o:preferrelative="f">
            <v:imagedata r:id="rId78" o:title=""/>
            <o:lock v:ext="edit" aspectratio="f"/>
          </v:shape>
          <o:OLEObject Type="Embed" ProgID="Equation.DSMT4" ShapeID="_x0000_i1056" DrawAspect="Content" ObjectID="_1764157371" r:id="rId79"/>
        </w:object>
      </w:r>
      <w:r w:rsidRPr="00792219">
        <w:rPr>
          <w:rFonts w:ascii="Times New Roman" w:hAnsi="Times New Roman" w:cs="Times New Roman"/>
          <w:sz w:val="24"/>
          <w:szCs w:val="24"/>
        </w:rPr>
        <w:t xml:space="preserve"> is a</w:t>
      </w:r>
      <w:r w:rsidR="0034037E">
        <w:rPr>
          <w:rFonts w:ascii="Times New Roman" w:hAnsi="Times New Roman" w:cs="Times New Roman"/>
          <w:sz w:val="24"/>
          <w:szCs w:val="24"/>
        </w:rPr>
        <w:t>n</w:t>
      </w:r>
      <w:r w:rsidRPr="00792219">
        <w:rPr>
          <w:rFonts w:ascii="Times New Roman" w:hAnsi="Times New Roman" w:cs="Times New Roman"/>
          <w:sz w:val="24"/>
          <w:szCs w:val="24"/>
        </w:rPr>
        <w:t xml:space="preserve"> </w:t>
      </w:r>
      <w:r w:rsidRPr="00792219">
        <w:rPr>
          <w:rFonts w:ascii="Times New Roman" w:hAnsi="Times New Roman" w:cs="Times New Roman"/>
          <w:position w:val="-10"/>
          <w:sz w:val="24"/>
          <w:szCs w:val="24"/>
        </w:rPr>
        <w:object w:dxaOrig="660" w:dyaOrig="320" w14:anchorId="69C3E457">
          <v:shape id="_x0000_i1057" type="#_x0000_t75" style="width:32.2pt;height:16.6pt" o:ole="" o:preferrelative="f">
            <v:imagedata r:id="rId80" o:title=""/>
            <o:lock v:ext="edit" aspectratio="f"/>
          </v:shape>
          <o:OLEObject Type="Embed" ProgID="Equation.DSMT4" ShapeID="_x0000_i1057" DrawAspect="Content" ObjectID="_1764157372" r:id="rId81"/>
        </w:object>
      </w:r>
      <w:r w:rsidRPr="00792219">
        <w:rPr>
          <w:rFonts w:ascii="Times New Roman" w:hAnsi="Times New Roman" w:cs="Times New Roman"/>
          <w:sz w:val="24"/>
          <w:szCs w:val="24"/>
        </w:rPr>
        <w:t>-column vector of exogenous attributes whose first (</w:t>
      </w:r>
      <w:r w:rsidRPr="00792219">
        <w:rPr>
          <w:rFonts w:ascii="Times New Roman" w:hAnsi="Times New Roman" w:cs="Times New Roman"/>
          <w:i/>
          <w:sz w:val="24"/>
          <w:szCs w:val="24"/>
        </w:rPr>
        <w:t>I</w:t>
      </w:r>
      <w:r w:rsidRPr="00792219">
        <w:rPr>
          <w:rFonts w:ascii="Times New Roman" w:hAnsi="Times New Roman" w:cs="Times New Roman"/>
          <w:sz w:val="24"/>
          <w:szCs w:val="24"/>
        </w:rPr>
        <w:t>–1) elements correspond to alternative specific constants for (</w:t>
      </w:r>
      <w:r w:rsidRPr="00792219">
        <w:rPr>
          <w:rFonts w:ascii="Times New Roman" w:hAnsi="Times New Roman" w:cs="Times New Roman"/>
          <w:i/>
          <w:sz w:val="24"/>
          <w:szCs w:val="24"/>
        </w:rPr>
        <w:t>I</w:t>
      </w:r>
      <w:r w:rsidRPr="00792219">
        <w:rPr>
          <w:rFonts w:ascii="Times New Roman" w:hAnsi="Times New Roman" w:cs="Times New Roman"/>
          <w:sz w:val="24"/>
          <w:szCs w:val="24"/>
        </w:rPr>
        <w:t>–1)</w:t>
      </w:r>
      <w:r w:rsidRPr="00792219">
        <w:rPr>
          <w:rFonts w:ascii="Times New Roman" w:hAnsi="Times New Roman" w:cs="Times New Roman"/>
          <w:i/>
          <w:sz w:val="24"/>
          <w:szCs w:val="24"/>
        </w:rPr>
        <w:t xml:space="preserve"> </w:t>
      </w:r>
      <w:r w:rsidRPr="00792219">
        <w:rPr>
          <w:rFonts w:ascii="Times New Roman" w:hAnsi="Times New Roman" w:cs="Times New Roman"/>
          <w:sz w:val="24"/>
          <w:szCs w:val="24"/>
        </w:rPr>
        <w:t xml:space="preserve">alternatives (with one of the alternatives being the base alternative) and the remaining variables being the non-constant variables and </w:t>
      </w:r>
      <w:r w:rsidR="005B032C" w:rsidRPr="00792219">
        <w:rPr>
          <w:rFonts w:ascii="Times New Roman" w:hAnsi="Times New Roman" w:cs="Times New Roman"/>
          <w:position w:val="-12"/>
          <w:sz w:val="24"/>
          <w:szCs w:val="24"/>
        </w:rPr>
        <w:object w:dxaOrig="260" w:dyaOrig="360" w14:anchorId="1B1BE05C">
          <v:shape id="_x0000_i1058" type="#_x0000_t75" style="width:12.8pt;height:18pt" o:ole="" o:preferrelative="f">
            <v:imagedata r:id="rId82" o:title=""/>
            <o:lock v:ext="edit" aspectratio="f"/>
          </v:shape>
          <o:OLEObject Type="Embed" ProgID="Equation.DSMT4" ShapeID="_x0000_i1058" DrawAspect="Content" ObjectID="_1764157373" r:id="rId83"/>
        </w:object>
      </w:r>
      <w:r w:rsidRPr="00792219">
        <w:rPr>
          <w:rFonts w:ascii="Times New Roman" w:hAnsi="Times New Roman" w:cs="Times New Roman"/>
          <w:sz w:val="24"/>
          <w:szCs w:val="24"/>
        </w:rPr>
        <w:t xml:space="preserve"> is an individual-specific</w:t>
      </w:r>
      <w:r w:rsidR="002A04F4">
        <w:rPr>
          <w:rFonts w:ascii="Times New Roman" w:hAnsi="Times New Roman" w:cs="Times New Roman"/>
          <w:sz w:val="24"/>
          <w:szCs w:val="24"/>
        </w:rPr>
        <w:t xml:space="preserve"> </w:t>
      </w:r>
      <w:r w:rsidR="002A04F4" w:rsidRPr="00792219">
        <w:rPr>
          <w:rFonts w:ascii="Times New Roman" w:hAnsi="Times New Roman" w:cs="Times New Roman"/>
          <w:position w:val="-10"/>
          <w:sz w:val="24"/>
          <w:szCs w:val="24"/>
        </w:rPr>
        <w:object w:dxaOrig="660" w:dyaOrig="320" w14:anchorId="177ADB7A">
          <v:shape id="_x0000_i1059" type="#_x0000_t75" style="width:33.15pt;height:16.6pt" o:ole="" o:preferrelative="f">
            <v:imagedata r:id="rId84" o:title=""/>
            <o:lock v:ext="edit" aspectratio="f"/>
          </v:shape>
          <o:OLEObject Type="Embed" ProgID="Equation.DSMT4" ShapeID="_x0000_i1059" DrawAspect="Content" ObjectID="_1764157374" r:id="rId85"/>
        </w:object>
      </w:r>
      <w:r w:rsidRPr="00792219">
        <w:rPr>
          <w:rFonts w:ascii="Times New Roman" w:hAnsi="Times New Roman" w:cs="Times New Roman"/>
          <w:sz w:val="24"/>
          <w:szCs w:val="24"/>
        </w:rPr>
        <w:t>-column vector of corresponding coefficients</w:t>
      </w:r>
      <w:r w:rsidR="00FD4BC8">
        <w:rPr>
          <w:rFonts w:ascii="Times New Roman" w:hAnsi="Times New Roman" w:cs="Times New Roman"/>
          <w:sz w:val="24"/>
          <w:szCs w:val="24"/>
        </w:rPr>
        <w:t xml:space="preserve"> (for identification purposes, given that all the exogenous variables in our model are individual-specific and do no</w:t>
      </w:r>
      <w:r w:rsidR="00FE2E5B">
        <w:rPr>
          <w:rFonts w:ascii="Times New Roman" w:hAnsi="Times New Roman" w:cs="Times New Roman"/>
          <w:sz w:val="24"/>
          <w:szCs w:val="24"/>
        </w:rPr>
        <w:t>t</w:t>
      </w:r>
      <w:r w:rsidR="00FD4BC8">
        <w:rPr>
          <w:rFonts w:ascii="Times New Roman" w:hAnsi="Times New Roman" w:cs="Times New Roman"/>
          <w:sz w:val="24"/>
          <w:szCs w:val="24"/>
        </w:rPr>
        <w:t xml:space="preserve"> vary across alternatives, all elements of </w:t>
      </w:r>
      <w:r w:rsidR="00FD4BC8" w:rsidRPr="00792219">
        <w:rPr>
          <w:rFonts w:ascii="Times New Roman" w:hAnsi="Times New Roman" w:cs="Times New Roman"/>
          <w:position w:val="-12"/>
          <w:sz w:val="24"/>
          <w:szCs w:val="24"/>
        </w:rPr>
        <w:object w:dxaOrig="300" w:dyaOrig="360" w14:anchorId="56034919">
          <v:shape id="_x0000_i1060" type="#_x0000_t75" style="width:16.6pt;height:18.95pt" o:ole="">
            <v:imagedata r:id="rId78" o:title=""/>
          </v:shape>
          <o:OLEObject Type="Embed" ProgID="Equation.DSMT4" ShapeID="_x0000_i1060" DrawAspect="Content" ObjectID="_1764157375" r:id="rId86"/>
        </w:object>
      </w:r>
      <w:r w:rsidR="00FD4BC8">
        <w:rPr>
          <w:rFonts w:ascii="Times New Roman" w:hAnsi="Times New Roman" w:cs="Times New Roman"/>
          <w:sz w:val="24"/>
          <w:szCs w:val="24"/>
        </w:rPr>
        <w:t xml:space="preserve"> will be uniformly zero for a base alternative; in our empirical analysis later, this base alternative is considered as the “home only” alternative)</w:t>
      </w:r>
      <w:r w:rsidRPr="00792219">
        <w:rPr>
          <w:rFonts w:ascii="Times New Roman" w:hAnsi="Times New Roman" w:cs="Times New Roman"/>
          <w:sz w:val="24"/>
          <w:szCs w:val="24"/>
        </w:rPr>
        <w:t xml:space="preserve">. We also assume that </w:t>
      </w:r>
      <w:r w:rsidR="00DD77AA" w:rsidRPr="00792219">
        <w:rPr>
          <w:rFonts w:ascii="Times New Roman" w:hAnsi="Times New Roman" w:cs="Times New Roman"/>
          <w:position w:val="-12"/>
          <w:sz w:val="24"/>
          <w:szCs w:val="24"/>
        </w:rPr>
        <w:object w:dxaOrig="279" w:dyaOrig="360" w14:anchorId="5F4297AF">
          <v:shape id="_x0000_i1061" type="#_x0000_t75" style="width:12.8pt;height:18.95pt" o:ole="">
            <v:imagedata r:id="rId87" o:title=""/>
          </v:shape>
          <o:OLEObject Type="Embed" ProgID="Equation.DSMT4" ShapeID="_x0000_i1061" DrawAspect="Content" ObjectID="_1764157376" r:id="rId88"/>
        </w:object>
      </w:r>
      <w:r w:rsidRPr="00792219">
        <w:rPr>
          <w:rFonts w:ascii="Times New Roman" w:hAnsi="Times New Roman" w:cs="Times New Roman"/>
          <w:sz w:val="24"/>
          <w:szCs w:val="24"/>
        </w:rPr>
        <w:t xml:space="preserve"> is independent and identically normally distributed across </w:t>
      </w:r>
      <w:r w:rsidRPr="00792219">
        <w:rPr>
          <w:rFonts w:ascii="Times New Roman" w:hAnsi="Times New Roman" w:cs="Times New Roman"/>
          <w:i/>
          <w:sz w:val="24"/>
          <w:szCs w:val="24"/>
        </w:rPr>
        <w:t>individuals</w:t>
      </w:r>
      <w:r w:rsidRPr="00792219">
        <w:rPr>
          <w:rFonts w:ascii="Times New Roman" w:hAnsi="Times New Roman" w:cs="Times New Roman"/>
          <w:sz w:val="24"/>
          <w:szCs w:val="24"/>
        </w:rPr>
        <w:t xml:space="preserve">, but allow a general covariance structure across alternatives for each choice instance of each individual. Specifically, let </w:t>
      </w:r>
      <w:r w:rsidR="00045E3D" w:rsidRPr="00792219">
        <w:rPr>
          <w:rFonts w:ascii="Times New Roman" w:hAnsi="Times New Roman" w:cs="Times New Roman"/>
          <w:position w:val="-12"/>
          <w:sz w:val="24"/>
          <w:szCs w:val="24"/>
        </w:rPr>
        <w:object w:dxaOrig="1800" w:dyaOrig="360" w14:anchorId="18C1EF8A">
          <v:shape id="_x0000_i1062" type="#_x0000_t75" style="width:90.95pt;height:18.95pt" o:ole="">
            <v:imagedata r:id="rId89" o:title=""/>
          </v:shape>
          <o:OLEObject Type="Embed" ProgID="Equation.DSMT4" ShapeID="_x0000_i1062" DrawAspect="Content" ObjectID="_1764157377" r:id="rId90"/>
        </w:object>
      </w:r>
      <w:r w:rsidRPr="00792219">
        <w:rPr>
          <w:rFonts w:ascii="Times New Roman" w:hAnsi="Times New Roman" w:cs="Times New Roman"/>
          <w:sz w:val="24"/>
          <w:szCs w:val="24"/>
        </w:rPr>
        <w:t xml:space="preserve"> (</w:t>
      </w:r>
      <w:r w:rsidRPr="00792219">
        <w:rPr>
          <w:rFonts w:ascii="Times New Roman" w:hAnsi="Times New Roman" w:cs="Times New Roman"/>
          <w:position w:val="-4"/>
          <w:sz w:val="24"/>
          <w:szCs w:val="24"/>
        </w:rPr>
        <w:object w:dxaOrig="499" w:dyaOrig="260" w14:anchorId="630F483D">
          <v:shape id="_x0000_i1063" type="#_x0000_t75" style="width:23.2pt;height:12.8pt" o:ole="">
            <v:imagedata r:id="rId91" o:title=""/>
          </v:shape>
          <o:OLEObject Type="Embed" ProgID="Equation.3" ShapeID="_x0000_i1063" DrawAspect="Content" ObjectID="_1764157378" r:id="rId92"/>
        </w:object>
      </w:r>
      <w:r w:rsidRPr="00792219">
        <w:rPr>
          <w:rFonts w:ascii="Times New Roman" w:hAnsi="Times New Roman" w:cs="Times New Roman"/>
          <w:sz w:val="24"/>
          <w:szCs w:val="24"/>
        </w:rPr>
        <w:t xml:space="preserve">vector). Then, we assume </w:t>
      </w:r>
      <w:r w:rsidR="005B032C" w:rsidRPr="00792219">
        <w:rPr>
          <w:rFonts w:ascii="Times New Roman" w:hAnsi="Times New Roman" w:cs="Times New Roman"/>
          <w:position w:val="-12"/>
          <w:sz w:val="24"/>
          <w:szCs w:val="24"/>
        </w:rPr>
        <w:object w:dxaOrig="1760" w:dyaOrig="360" w14:anchorId="5C533475">
          <v:shape id="_x0000_i1064" type="#_x0000_t75" style="width:90.95pt;height:18.95pt" o:ole="">
            <v:imagedata r:id="rId93" o:title=""/>
          </v:shape>
          <o:OLEObject Type="Embed" ProgID="Equation.DSMT4" ShapeID="_x0000_i1064" DrawAspect="Content" ObjectID="_1764157379" r:id="rId94"/>
        </w:object>
      </w:r>
      <w:r w:rsidRPr="00792219">
        <w:rPr>
          <w:rFonts w:ascii="Times New Roman" w:hAnsi="Times New Roman" w:cs="Times New Roman"/>
          <w:sz w:val="24"/>
          <w:szCs w:val="24"/>
        </w:rPr>
        <w:t xml:space="preserve">. Note that the covariance matrix </w:t>
      </w:r>
      <w:r w:rsidRPr="00792219">
        <w:rPr>
          <w:rFonts w:ascii="Times New Roman" w:hAnsi="Times New Roman" w:cs="Times New Roman"/>
          <w:position w:val="-12"/>
          <w:sz w:val="24"/>
          <w:szCs w:val="24"/>
        </w:rPr>
        <w:object w:dxaOrig="320" w:dyaOrig="360" w14:anchorId="7F1066B5">
          <v:shape id="_x0000_i1065" type="#_x0000_t75" style="width:16.6pt;height:18.95pt" o:ole="">
            <v:imagedata r:id="rId95" o:title=""/>
          </v:shape>
          <o:OLEObject Type="Embed" ProgID="Equation.DSMT4" ShapeID="_x0000_i1065" DrawAspect="Content" ObjectID="_1764157380" r:id="rId96"/>
        </w:object>
      </w:r>
      <w:r w:rsidRPr="00792219">
        <w:rPr>
          <w:rFonts w:ascii="Times New Roman" w:hAnsi="Times New Roman" w:cs="Times New Roman"/>
          <w:sz w:val="24"/>
          <w:szCs w:val="24"/>
        </w:rPr>
        <w:t xml:space="preserve"> is specific to the choice occasion </w:t>
      </w:r>
      <w:r w:rsidRPr="00792219">
        <w:rPr>
          <w:rFonts w:ascii="Times New Roman" w:hAnsi="Times New Roman" w:cs="Times New Roman"/>
          <w:i/>
          <w:sz w:val="24"/>
          <w:szCs w:val="24"/>
        </w:rPr>
        <w:t>t</w:t>
      </w:r>
      <w:r w:rsidRPr="00792219">
        <w:rPr>
          <w:rFonts w:ascii="Times New Roman" w:hAnsi="Times New Roman" w:cs="Times New Roman"/>
          <w:sz w:val="24"/>
          <w:szCs w:val="24"/>
        </w:rPr>
        <w:t>, i.e., we allow the covariance matrix to be different across choice occasions</w:t>
      </w:r>
      <w:r w:rsidR="00F766AE">
        <w:rPr>
          <w:rFonts w:ascii="Times New Roman" w:hAnsi="Times New Roman" w:cs="Times New Roman"/>
          <w:sz w:val="24"/>
          <w:szCs w:val="24"/>
        </w:rPr>
        <w:t xml:space="preserve"> (that is, between the </w:t>
      </w:r>
      <w:r w:rsidR="00F766AE">
        <w:rPr>
          <w:rFonts w:ascii="Times New Roman" w:hAnsi="Times New Roman" w:cs="Times New Roman"/>
          <w:i/>
          <w:sz w:val="24"/>
          <w:szCs w:val="24"/>
        </w:rPr>
        <w:t>Before</w:t>
      </w:r>
      <w:r w:rsidR="00A563C9">
        <w:rPr>
          <w:rFonts w:ascii="Times New Roman" w:hAnsi="Times New Roman" w:cs="Times New Roman"/>
          <w:i/>
          <w:sz w:val="24"/>
          <w:szCs w:val="24"/>
        </w:rPr>
        <w:t xml:space="preserve"> </w:t>
      </w:r>
      <w:r w:rsidR="00F766AE" w:rsidRPr="00A8526C">
        <w:rPr>
          <w:rFonts w:ascii="Times New Roman" w:hAnsi="Times New Roman" w:cs="Times New Roman"/>
          <w:sz w:val="24"/>
          <w:szCs w:val="24"/>
        </w:rPr>
        <w:t xml:space="preserve">COVID </w:t>
      </w:r>
      <w:r w:rsidR="00F766AE">
        <w:rPr>
          <w:rFonts w:ascii="Times New Roman" w:hAnsi="Times New Roman" w:cs="Times New Roman"/>
          <w:sz w:val="24"/>
          <w:szCs w:val="24"/>
        </w:rPr>
        <w:t xml:space="preserve">and </w:t>
      </w:r>
      <w:r w:rsidR="00F766AE">
        <w:rPr>
          <w:rFonts w:ascii="Times New Roman" w:hAnsi="Times New Roman" w:cs="Times New Roman"/>
          <w:i/>
          <w:sz w:val="24"/>
          <w:szCs w:val="24"/>
        </w:rPr>
        <w:t>After</w:t>
      </w:r>
      <w:r w:rsidR="00A563C9" w:rsidRPr="00A8526C">
        <w:rPr>
          <w:rFonts w:ascii="Times New Roman" w:hAnsi="Times New Roman" w:cs="Times New Roman"/>
          <w:sz w:val="24"/>
          <w:szCs w:val="24"/>
        </w:rPr>
        <w:t xml:space="preserve"> </w:t>
      </w:r>
      <w:r w:rsidR="00F766AE" w:rsidRPr="00A8526C">
        <w:rPr>
          <w:rFonts w:ascii="Times New Roman" w:hAnsi="Times New Roman" w:cs="Times New Roman"/>
          <w:sz w:val="24"/>
          <w:szCs w:val="24"/>
        </w:rPr>
        <w:t>COVID</w:t>
      </w:r>
      <w:r w:rsidR="00F766AE">
        <w:rPr>
          <w:rFonts w:ascii="Times New Roman" w:hAnsi="Times New Roman" w:cs="Times New Roman"/>
          <w:i/>
          <w:sz w:val="24"/>
          <w:szCs w:val="24"/>
        </w:rPr>
        <w:t xml:space="preserve"> </w:t>
      </w:r>
      <w:r w:rsidR="00F766AE" w:rsidRPr="00961062">
        <w:rPr>
          <w:rFonts w:ascii="Times New Roman" w:hAnsi="Times New Roman" w:cs="Times New Roman"/>
          <w:sz w:val="24"/>
          <w:szCs w:val="24"/>
        </w:rPr>
        <w:t>periods in our empirical analysis</w:t>
      </w:r>
      <w:r w:rsidR="00F766AE" w:rsidRPr="000940B6">
        <w:rPr>
          <w:rFonts w:ascii="Times New Roman" w:hAnsi="Times New Roman" w:cs="Times New Roman"/>
          <w:sz w:val="24"/>
          <w:szCs w:val="24"/>
        </w:rPr>
        <w:t>)</w:t>
      </w:r>
      <w:r w:rsidRPr="00792219">
        <w:rPr>
          <w:rFonts w:ascii="Times New Roman" w:hAnsi="Times New Roman" w:cs="Times New Roman"/>
          <w:sz w:val="24"/>
          <w:szCs w:val="24"/>
        </w:rPr>
        <w:t xml:space="preserve">. As usual, appropriate scale and level normalization must be </w:t>
      </w:r>
      <w:r w:rsidRPr="00792219">
        <w:rPr>
          <w:rFonts w:ascii="Times New Roman" w:hAnsi="Times New Roman" w:cs="Times New Roman"/>
          <w:sz w:val="24"/>
          <w:szCs w:val="24"/>
        </w:rPr>
        <w:lastRenderedPageBreak/>
        <w:t xml:space="preserve">imposed on </w:t>
      </w:r>
      <w:r w:rsidRPr="00792219">
        <w:rPr>
          <w:rFonts w:ascii="Times New Roman" w:hAnsi="Times New Roman" w:cs="Times New Roman"/>
          <w:position w:val="-12"/>
          <w:sz w:val="24"/>
          <w:szCs w:val="24"/>
        </w:rPr>
        <w:object w:dxaOrig="320" w:dyaOrig="360" w14:anchorId="334137C6">
          <v:shape id="_x0000_i1066" type="#_x0000_t75" style="width:16.6pt;height:18.95pt" o:ole="">
            <v:imagedata r:id="rId95" o:title=""/>
          </v:shape>
          <o:OLEObject Type="Embed" ProgID="Equation.DSMT4" ShapeID="_x0000_i1066" DrawAspect="Content" ObjectID="_1764157381" r:id="rId97"/>
        </w:object>
      </w:r>
      <w:r w:rsidRPr="00792219">
        <w:rPr>
          <w:rFonts w:ascii="Times New Roman" w:hAnsi="Times New Roman" w:cs="Times New Roman"/>
          <w:sz w:val="24"/>
          <w:szCs w:val="24"/>
        </w:rPr>
        <w:t xml:space="preserve"> for identifiability. Specifically, only utility differentials matter at each choice occasion. Taking the utility differentials with respect to the first alternative, only the elements of the covariance matrix </w:t>
      </w:r>
      <w:r w:rsidRPr="00792219">
        <w:rPr>
          <w:rFonts w:ascii="Times New Roman" w:hAnsi="Times New Roman" w:cs="Times New Roman"/>
          <w:position w:val="-12"/>
          <w:sz w:val="24"/>
          <w:szCs w:val="24"/>
        </w:rPr>
        <w:object w:dxaOrig="360" w:dyaOrig="360" w14:anchorId="680570E2">
          <v:shape id="_x0000_i1067" type="#_x0000_t75" style="width:18.95pt;height:18.95pt" o:ole="">
            <v:imagedata r:id="rId98" o:title=""/>
          </v:shape>
          <o:OLEObject Type="Embed" ProgID="Equation.DSMT4" ShapeID="_x0000_i1067" DrawAspect="Content" ObjectID="_1764157382" r:id="rId99"/>
        </w:object>
      </w:r>
      <w:r w:rsidR="00497CEA">
        <w:rPr>
          <w:rFonts w:ascii="Times New Roman" w:hAnsi="Times New Roman" w:cs="Times New Roman"/>
          <w:sz w:val="24"/>
          <w:szCs w:val="24"/>
        </w:rPr>
        <w:t>[</w:t>
      </w:r>
      <w:r w:rsidR="00497CEA" w:rsidRPr="007E1AFA">
        <w:rPr>
          <w:rFonts w:ascii="Times New Roman" w:hAnsi="Times New Roman" w:cs="Times New Roman"/>
          <w:noProof/>
          <w:position w:val="-10"/>
          <w:sz w:val="24"/>
          <w:szCs w:val="24"/>
        </w:rPr>
        <w:object w:dxaOrig="1400" w:dyaOrig="320" w14:anchorId="77038DBF">
          <v:shape id="_x0000_i1068" type="#_x0000_t75" style="width:70.6pt;height:16.6pt" o:ole="" o:preferrelative="f">
            <v:imagedata r:id="rId100" o:title=""/>
            <o:lock v:ext="edit" aspectratio="f"/>
          </v:shape>
          <o:OLEObject Type="Embed" ProgID="Equation.DSMT4" ShapeID="_x0000_i1068" DrawAspect="Content" ObjectID="_1764157383" r:id="rId101"/>
        </w:object>
      </w:r>
      <w:r w:rsidR="00497CEA">
        <w:rPr>
          <w:rFonts w:ascii="Times New Roman" w:hAnsi="Times New Roman" w:cs="Times New Roman"/>
          <w:sz w:val="24"/>
          <w:szCs w:val="24"/>
        </w:rPr>
        <w:t xml:space="preserve">] </w:t>
      </w:r>
      <w:r w:rsidRPr="00792219">
        <w:rPr>
          <w:rFonts w:ascii="Times New Roman" w:hAnsi="Times New Roman" w:cs="Times New Roman"/>
          <w:sz w:val="24"/>
          <w:szCs w:val="24"/>
        </w:rPr>
        <w:t xml:space="preserve">of </w:t>
      </w:r>
      <w:r w:rsidR="00045E3D" w:rsidRPr="00045E3D">
        <w:rPr>
          <w:rFonts w:ascii="Times New Roman" w:hAnsi="Times New Roman" w:cs="Times New Roman"/>
          <w:position w:val="-12"/>
          <w:sz w:val="24"/>
          <w:szCs w:val="24"/>
        </w:rPr>
        <w:object w:dxaOrig="1880" w:dyaOrig="400" w14:anchorId="33C872A8">
          <v:shape id="_x0000_i1069" type="#_x0000_t75" style="width:95.2pt;height:19.4pt" o:ole="">
            <v:imagedata r:id="rId102" o:title=""/>
          </v:shape>
          <o:OLEObject Type="Embed" ProgID="Equation.DSMT4" ShapeID="_x0000_i1069" DrawAspect="Content" ObjectID="_1764157384" r:id="rId103"/>
        </w:object>
      </w:r>
      <w:r w:rsidRPr="00792219">
        <w:rPr>
          <w:rFonts w:ascii="Times New Roman" w:hAnsi="Times New Roman" w:cs="Times New Roman"/>
          <w:sz w:val="24"/>
          <w:szCs w:val="24"/>
        </w:rPr>
        <w:t xml:space="preserve"> are estimable</w:t>
      </w:r>
      <w:r w:rsidR="00B62C0E">
        <w:rPr>
          <w:rFonts w:ascii="Times New Roman" w:hAnsi="Times New Roman" w:cs="Times New Roman"/>
          <w:sz w:val="24"/>
          <w:szCs w:val="24"/>
        </w:rPr>
        <w:t>.</w:t>
      </w:r>
      <w:r w:rsidRPr="00792219">
        <w:rPr>
          <w:rFonts w:ascii="Times New Roman" w:hAnsi="Times New Roman" w:cs="Times New Roman"/>
          <w:sz w:val="24"/>
          <w:szCs w:val="24"/>
        </w:rPr>
        <w:t xml:space="preserve"> </w:t>
      </w:r>
      <w:r w:rsidRPr="00497CEA">
        <w:rPr>
          <w:rFonts w:ascii="Times New Roman" w:hAnsi="Times New Roman" w:cs="Times New Roman"/>
          <w:sz w:val="24"/>
          <w:szCs w:val="24"/>
        </w:rPr>
        <w:t xml:space="preserve">For </w:t>
      </w:r>
      <w:r w:rsidR="00A86538">
        <w:rPr>
          <w:rFonts w:ascii="Times New Roman" w:hAnsi="Times New Roman" w:cs="Times New Roman"/>
          <w:sz w:val="24"/>
          <w:szCs w:val="24"/>
        </w:rPr>
        <w:t xml:space="preserve">identifiability, one of the diagonal elements of </w:t>
      </w:r>
      <w:r w:rsidR="00A86538" w:rsidRPr="00792219">
        <w:rPr>
          <w:rFonts w:ascii="Times New Roman" w:hAnsi="Times New Roman" w:cs="Times New Roman"/>
          <w:position w:val="-12"/>
          <w:sz w:val="24"/>
          <w:szCs w:val="24"/>
        </w:rPr>
        <w:object w:dxaOrig="360" w:dyaOrig="360" w14:anchorId="3E9126BC">
          <v:shape id="_x0000_i1070" type="#_x0000_t75" style="width:18.95pt;height:18.95pt" o:ole="">
            <v:imagedata r:id="rId98" o:title=""/>
          </v:shape>
          <o:OLEObject Type="Embed" ProgID="Equation.DSMT4" ShapeID="_x0000_i1070" DrawAspect="Content" ObjectID="_1764157385" r:id="rId104"/>
        </w:object>
      </w:r>
      <w:r w:rsidR="00A86538">
        <w:rPr>
          <w:rFonts w:ascii="Times New Roman" w:hAnsi="Times New Roman" w:cs="Times New Roman"/>
          <w:sz w:val="24"/>
          <w:szCs w:val="24"/>
        </w:rPr>
        <w:t xml:space="preserve"> is set to 1. Also, in multinomial probit models, there is an interpretation issue because, technically speaking, only </w:t>
      </w:r>
      <w:r w:rsidR="00A86538" w:rsidRPr="00792219">
        <w:rPr>
          <w:rFonts w:ascii="Times New Roman" w:hAnsi="Times New Roman" w:cs="Times New Roman"/>
          <w:position w:val="-12"/>
          <w:sz w:val="24"/>
          <w:szCs w:val="24"/>
        </w:rPr>
        <w:object w:dxaOrig="360" w:dyaOrig="360" w14:anchorId="1CC66B3F">
          <v:shape id="_x0000_i1071" type="#_x0000_t75" style="width:18.95pt;height:18.95pt" o:ole="">
            <v:imagedata r:id="rId98" o:title=""/>
          </v:shape>
          <o:OLEObject Type="Embed" ProgID="Equation.DSMT4" ShapeID="_x0000_i1071" DrawAspect="Content" ObjectID="_1764157386" r:id="rId105"/>
        </w:object>
      </w:r>
      <w:r w:rsidR="00A86538">
        <w:rPr>
          <w:rFonts w:ascii="Times New Roman" w:hAnsi="Times New Roman" w:cs="Times New Roman"/>
          <w:sz w:val="24"/>
          <w:szCs w:val="24"/>
        </w:rPr>
        <w:t xml:space="preserve"> matters and there can be multiple covariance matrices of the original error terms </w:t>
      </w:r>
      <w:r w:rsidR="00A86538" w:rsidRPr="00792219">
        <w:rPr>
          <w:rFonts w:ascii="Times New Roman" w:hAnsi="Times New Roman" w:cs="Times New Roman"/>
          <w:position w:val="-12"/>
          <w:sz w:val="24"/>
          <w:szCs w:val="24"/>
        </w:rPr>
        <w:object w:dxaOrig="320" w:dyaOrig="360" w14:anchorId="3BA33E2E">
          <v:shape id="_x0000_i1072" type="#_x0000_t75" style="width:16.6pt;height:18.95pt" o:ole="">
            <v:imagedata r:id="rId95" o:title=""/>
          </v:shape>
          <o:OLEObject Type="Embed" ProgID="Equation.DSMT4" ShapeID="_x0000_i1072" DrawAspect="Content" ObjectID="_1764157387" r:id="rId106"/>
        </w:object>
      </w:r>
      <w:r w:rsidR="00A86538">
        <w:rPr>
          <w:rFonts w:ascii="Times New Roman" w:hAnsi="Times New Roman" w:cs="Times New Roman"/>
          <w:sz w:val="24"/>
          <w:szCs w:val="24"/>
        </w:rPr>
        <w:t xml:space="preserve"> that can map to the same differenced covariance matrix </w:t>
      </w:r>
      <w:r w:rsidR="00A86538" w:rsidRPr="00792219">
        <w:rPr>
          <w:rFonts w:ascii="Times New Roman" w:hAnsi="Times New Roman" w:cs="Times New Roman"/>
          <w:position w:val="-12"/>
          <w:sz w:val="24"/>
          <w:szCs w:val="24"/>
        </w:rPr>
        <w:object w:dxaOrig="360" w:dyaOrig="360" w14:anchorId="7A3D06FE">
          <v:shape id="_x0000_i1073" type="#_x0000_t75" style="width:18.95pt;height:18.95pt" o:ole="">
            <v:imagedata r:id="rId98" o:title=""/>
          </v:shape>
          <o:OLEObject Type="Embed" ProgID="Equation.DSMT4" ShapeID="_x0000_i1073" DrawAspect="Content" ObjectID="_1764157388" r:id="rId107"/>
        </w:object>
      </w:r>
      <w:r w:rsidR="00A86538">
        <w:rPr>
          <w:rFonts w:ascii="Times New Roman" w:hAnsi="Times New Roman" w:cs="Times New Roman"/>
          <w:sz w:val="24"/>
          <w:szCs w:val="24"/>
        </w:rPr>
        <w:t xml:space="preserve">. Further, some seemingly estimable covariance matrices for </w:t>
      </w:r>
      <w:r w:rsidR="00A86538" w:rsidRPr="00792219">
        <w:rPr>
          <w:rFonts w:ascii="Times New Roman" w:hAnsi="Times New Roman" w:cs="Times New Roman"/>
          <w:position w:val="-12"/>
          <w:sz w:val="24"/>
          <w:szCs w:val="24"/>
        </w:rPr>
        <w:object w:dxaOrig="320" w:dyaOrig="360" w14:anchorId="6BCC7148">
          <v:shape id="_x0000_i1074" type="#_x0000_t75" style="width:16.6pt;height:18.95pt" o:ole="">
            <v:imagedata r:id="rId95" o:title=""/>
          </v:shape>
          <o:OLEObject Type="Embed" ProgID="Equation.DSMT4" ShapeID="_x0000_i1074" DrawAspect="Content" ObjectID="_1764157389" r:id="rId108"/>
        </w:object>
      </w:r>
      <w:r w:rsidR="00A86538">
        <w:rPr>
          <w:rFonts w:ascii="Times New Roman" w:hAnsi="Times New Roman" w:cs="Times New Roman"/>
          <w:sz w:val="24"/>
          <w:szCs w:val="24"/>
        </w:rPr>
        <w:t xml:space="preserve"> may not be consistent with an actually estimated </w:t>
      </w:r>
      <w:r w:rsidR="00A86538" w:rsidRPr="00792219">
        <w:rPr>
          <w:rFonts w:ascii="Times New Roman" w:hAnsi="Times New Roman" w:cs="Times New Roman"/>
          <w:position w:val="-12"/>
          <w:sz w:val="24"/>
          <w:szCs w:val="24"/>
        </w:rPr>
        <w:object w:dxaOrig="360" w:dyaOrig="360" w14:anchorId="386C3B34">
          <v:shape id="_x0000_i1075" type="#_x0000_t75" style="width:18.95pt;height:18.95pt" o:ole="">
            <v:imagedata r:id="rId98" o:title=""/>
          </v:shape>
          <o:OLEObject Type="Embed" ProgID="Equation.DSMT4" ShapeID="_x0000_i1075" DrawAspect="Content" ObjectID="_1764157390" r:id="rId109"/>
        </w:object>
      </w:r>
      <w:r w:rsidR="00A86538">
        <w:rPr>
          <w:rFonts w:ascii="Times New Roman" w:hAnsi="Times New Roman" w:cs="Times New Roman"/>
          <w:sz w:val="24"/>
          <w:szCs w:val="24"/>
        </w:rPr>
        <w:t xml:space="preserve"> (see </w:t>
      </w:r>
      <w:r w:rsidR="00A86538" w:rsidRPr="004972CF">
        <w:rPr>
          <w:rFonts w:ascii="Times New Roman" w:hAnsi="Times New Roman" w:cs="Times New Roman"/>
          <w:sz w:val="24"/>
          <w:szCs w:val="24"/>
        </w:rPr>
        <w:t>Bunch, 1991</w:t>
      </w:r>
      <w:r w:rsidR="00A86538">
        <w:rPr>
          <w:rFonts w:ascii="Times New Roman" w:hAnsi="Times New Roman" w:cs="Times New Roman"/>
          <w:sz w:val="24"/>
          <w:szCs w:val="24"/>
        </w:rPr>
        <w:t xml:space="preserve">). </w:t>
      </w:r>
      <w:r w:rsidR="002C5DB1">
        <w:rPr>
          <w:rFonts w:ascii="Times New Roman" w:hAnsi="Times New Roman" w:cs="Times New Roman"/>
          <w:sz w:val="24"/>
          <w:szCs w:val="24"/>
        </w:rPr>
        <w:t>Besides, especially in a trinomial multinomial probit model</w:t>
      </w:r>
      <w:r w:rsidR="00087769">
        <w:rPr>
          <w:rFonts w:ascii="Times New Roman" w:hAnsi="Times New Roman" w:cs="Times New Roman"/>
          <w:sz w:val="24"/>
          <w:szCs w:val="24"/>
        </w:rPr>
        <w:t>,</w:t>
      </w:r>
      <w:r w:rsidR="002C5DB1">
        <w:rPr>
          <w:rFonts w:ascii="Times New Roman" w:hAnsi="Times New Roman" w:cs="Times New Roman"/>
          <w:sz w:val="24"/>
          <w:szCs w:val="24"/>
        </w:rPr>
        <w:t xml:space="preserve"> as in the empirical application in the current paper at each of the </w:t>
      </w:r>
      <w:r w:rsidR="00700FD4" w:rsidRPr="00700FD4">
        <w:rPr>
          <w:rFonts w:ascii="Times New Roman" w:hAnsi="Times New Roman" w:cs="Times New Roman"/>
          <w:i/>
          <w:sz w:val="24"/>
          <w:szCs w:val="24"/>
        </w:rPr>
        <w:t>B</w:t>
      </w:r>
      <w:r w:rsidR="002C5DB1" w:rsidRPr="00700FD4">
        <w:rPr>
          <w:rFonts w:ascii="Times New Roman" w:hAnsi="Times New Roman" w:cs="Times New Roman"/>
          <w:i/>
          <w:sz w:val="24"/>
          <w:szCs w:val="24"/>
        </w:rPr>
        <w:t>efor</w:t>
      </w:r>
      <w:r w:rsidR="00A563C9">
        <w:rPr>
          <w:rFonts w:ascii="Times New Roman" w:hAnsi="Times New Roman" w:cs="Times New Roman"/>
          <w:i/>
          <w:sz w:val="24"/>
          <w:szCs w:val="24"/>
        </w:rPr>
        <w:t xml:space="preserve">e </w:t>
      </w:r>
      <w:r w:rsidR="002C5DB1" w:rsidRPr="00A8526C">
        <w:rPr>
          <w:rFonts w:ascii="Times New Roman" w:hAnsi="Times New Roman" w:cs="Times New Roman"/>
          <w:sz w:val="24"/>
          <w:szCs w:val="24"/>
        </w:rPr>
        <w:t>COVID</w:t>
      </w:r>
      <w:r w:rsidR="002C5DB1">
        <w:rPr>
          <w:rFonts w:ascii="Times New Roman" w:hAnsi="Times New Roman" w:cs="Times New Roman"/>
          <w:sz w:val="24"/>
          <w:szCs w:val="24"/>
        </w:rPr>
        <w:t xml:space="preserve"> and </w:t>
      </w:r>
      <w:r w:rsidR="00700FD4" w:rsidRPr="00700FD4">
        <w:rPr>
          <w:rFonts w:ascii="Times New Roman" w:hAnsi="Times New Roman" w:cs="Times New Roman"/>
          <w:i/>
          <w:sz w:val="24"/>
          <w:szCs w:val="24"/>
        </w:rPr>
        <w:t>A</w:t>
      </w:r>
      <w:r w:rsidR="002C5DB1" w:rsidRPr="00700FD4">
        <w:rPr>
          <w:rFonts w:ascii="Times New Roman" w:hAnsi="Times New Roman" w:cs="Times New Roman"/>
          <w:i/>
          <w:sz w:val="24"/>
          <w:szCs w:val="24"/>
        </w:rPr>
        <w:t>fter</w:t>
      </w:r>
      <w:r w:rsidR="00A563C9">
        <w:rPr>
          <w:rFonts w:ascii="Times New Roman" w:hAnsi="Times New Roman" w:cs="Times New Roman"/>
          <w:i/>
          <w:sz w:val="24"/>
          <w:szCs w:val="24"/>
        </w:rPr>
        <w:t xml:space="preserve"> </w:t>
      </w:r>
      <w:r w:rsidR="002C5DB1" w:rsidRPr="00A8526C">
        <w:rPr>
          <w:rFonts w:ascii="Times New Roman" w:hAnsi="Times New Roman" w:cs="Times New Roman"/>
          <w:sz w:val="24"/>
          <w:szCs w:val="24"/>
        </w:rPr>
        <w:t xml:space="preserve">COVID </w:t>
      </w:r>
      <w:r w:rsidR="002C5DB1">
        <w:rPr>
          <w:rFonts w:ascii="Times New Roman" w:hAnsi="Times New Roman" w:cs="Times New Roman"/>
          <w:sz w:val="24"/>
          <w:szCs w:val="24"/>
        </w:rPr>
        <w:t>periods, estimation can be</w:t>
      </w:r>
      <w:r w:rsidR="00AD1DB1">
        <w:rPr>
          <w:rFonts w:ascii="Times New Roman" w:hAnsi="Times New Roman" w:cs="Times New Roman"/>
          <w:sz w:val="24"/>
          <w:szCs w:val="24"/>
        </w:rPr>
        <w:t xml:space="preserve"> unstable</w:t>
      </w:r>
      <w:r w:rsidR="002C5DB1">
        <w:rPr>
          <w:rFonts w:ascii="Times New Roman" w:hAnsi="Times New Roman" w:cs="Times New Roman"/>
          <w:sz w:val="24"/>
          <w:szCs w:val="24"/>
        </w:rPr>
        <w:t xml:space="preserve">. In our estimations, we noticed substantial stability </w:t>
      </w:r>
      <w:r w:rsidR="00087769">
        <w:rPr>
          <w:rFonts w:ascii="Times New Roman" w:hAnsi="Times New Roman" w:cs="Times New Roman"/>
          <w:sz w:val="24"/>
          <w:szCs w:val="24"/>
        </w:rPr>
        <w:t xml:space="preserve">(without much effect on data fit considerations) </w:t>
      </w:r>
      <w:r w:rsidR="002C5DB1">
        <w:rPr>
          <w:rFonts w:ascii="Times New Roman" w:hAnsi="Times New Roman" w:cs="Times New Roman"/>
          <w:sz w:val="24"/>
          <w:szCs w:val="24"/>
        </w:rPr>
        <w:t xml:space="preserve">when we further restricted </w:t>
      </w:r>
      <w:r w:rsidR="00087769">
        <w:rPr>
          <w:rFonts w:ascii="Times New Roman" w:hAnsi="Times New Roman" w:cs="Times New Roman"/>
          <w:sz w:val="24"/>
          <w:szCs w:val="24"/>
        </w:rPr>
        <w:t xml:space="preserve">all </w:t>
      </w:r>
      <w:r w:rsidR="002C5DB1">
        <w:rPr>
          <w:rFonts w:ascii="Times New Roman" w:hAnsi="Times New Roman" w:cs="Times New Roman"/>
          <w:sz w:val="24"/>
          <w:szCs w:val="24"/>
        </w:rPr>
        <w:t xml:space="preserve">diagonal matrix elements of </w:t>
      </w:r>
      <w:r w:rsidR="00087769" w:rsidRPr="00792219">
        <w:rPr>
          <w:rFonts w:ascii="Times New Roman" w:hAnsi="Times New Roman" w:cs="Times New Roman"/>
          <w:position w:val="-12"/>
          <w:sz w:val="24"/>
          <w:szCs w:val="24"/>
        </w:rPr>
        <w:object w:dxaOrig="360" w:dyaOrig="360" w14:anchorId="31452007">
          <v:shape id="_x0000_i1076" type="#_x0000_t75" style="width:18.95pt;height:18.95pt" o:ole="">
            <v:imagedata r:id="rId98" o:title=""/>
          </v:shape>
          <o:OLEObject Type="Embed" ProgID="Equation.DSMT4" ShapeID="_x0000_i1076" DrawAspect="Content" ObjectID="_1764157391" r:id="rId110"/>
        </w:object>
      </w:r>
      <w:r w:rsidR="00087769">
        <w:rPr>
          <w:rFonts w:ascii="Times New Roman" w:hAnsi="Times New Roman" w:cs="Times New Roman"/>
          <w:sz w:val="24"/>
          <w:szCs w:val="24"/>
        </w:rPr>
        <w:t xml:space="preserve"> </w:t>
      </w:r>
      <w:r w:rsidR="002C5DB1">
        <w:rPr>
          <w:rFonts w:ascii="Times New Roman" w:hAnsi="Times New Roman" w:cs="Times New Roman"/>
          <w:sz w:val="24"/>
          <w:szCs w:val="24"/>
        </w:rPr>
        <w:t>at each period to be one</w:t>
      </w:r>
      <w:r w:rsidR="00087769">
        <w:rPr>
          <w:rFonts w:ascii="Times New Roman" w:hAnsi="Times New Roman" w:cs="Times New Roman"/>
          <w:sz w:val="24"/>
          <w:szCs w:val="24"/>
        </w:rPr>
        <w:t xml:space="preserve"> </w:t>
      </w:r>
      <w:r w:rsidR="002C5DB1">
        <w:rPr>
          <w:rFonts w:ascii="Times New Roman" w:hAnsi="Times New Roman" w:cs="Times New Roman"/>
          <w:sz w:val="24"/>
          <w:szCs w:val="24"/>
        </w:rPr>
        <w:t>(</w:t>
      </w:r>
      <w:r w:rsidR="00087769">
        <w:rPr>
          <w:rFonts w:ascii="Times New Roman" w:hAnsi="Times New Roman" w:cs="Times New Roman"/>
          <w:sz w:val="24"/>
          <w:szCs w:val="24"/>
        </w:rPr>
        <w:t xml:space="preserve">see </w:t>
      </w:r>
      <w:r w:rsidR="002C5DB1" w:rsidRPr="00701C35">
        <w:rPr>
          <w:rFonts w:ascii="Times New Roman" w:hAnsi="Times New Roman" w:cs="Times New Roman"/>
          <w:sz w:val="24"/>
          <w:szCs w:val="24"/>
        </w:rPr>
        <w:t>Dan</w:t>
      </w:r>
      <w:r w:rsidR="00701C35" w:rsidRPr="00701C35">
        <w:rPr>
          <w:rFonts w:ascii="Times New Roman" w:hAnsi="Times New Roman" w:cs="Times New Roman"/>
          <w:sz w:val="24"/>
          <w:szCs w:val="24"/>
        </w:rPr>
        <w:t>s</w:t>
      </w:r>
      <w:r w:rsidR="002C5DB1" w:rsidRPr="00701C35">
        <w:rPr>
          <w:rFonts w:ascii="Times New Roman" w:hAnsi="Times New Roman" w:cs="Times New Roman"/>
          <w:sz w:val="24"/>
          <w:szCs w:val="24"/>
        </w:rPr>
        <w:t>ie, 1985</w:t>
      </w:r>
      <w:r w:rsidR="00087769">
        <w:rPr>
          <w:rFonts w:ascii="Times New Roman" w:hAnsi="Times New Roman" w:cs="Times New Roman"/>
          <w:sz w:val="24"/>
          <w:szCs w:val="24"/>
        </w:rPr>
        <w:t xml:space="preserve"> for a discussion of such a normalization; this essentially makes </w:t>
      </w:r>
      <w:r w:rsidR="00087769" w:rsidRPr="00792219">
        <w:rPr>
          <w:rFonts w:ascii="Times New Roman" w:hAnsi="Times New Roman" w:cs="Times New Roman"/>
          <w:position w:val="-12"/>
          <w:sz w:val="24"/>
          <w:szCs w:val="24"/>
        </w:rPr>
        <w:object w:dxaOrig="360" w:dyaOrig="360" w14:anchorId="18DF7435">
          <v:shape id="_x0000_i1077" type="#_x0000_t75" style="width:18.95pt;height:18.95pt" o:ole="">
            <v:imagedata r:id="rId98" o:title=""/>
          </v:shape>
          <o:OLEObject Type="Embed" ProgID="Equation.DSMT4" ShapeID="_x0000_i1077" DrawAspect="Content" ObjectID="_1764157392" r:id="rId111"/>
        </w:object>
      </w:r>
      <w:r w:rsidR="00087769">
        <w:rPr>
          <w:rFonts w:ascii="Times New Roman" w:hAnsi="Times New Roman" w:cs="Times New Roman"/>
          <w:sz w:val="24"/>
          <w:szCs w:val="24"/>
        </w:rPr>
        <w:t xml:space="preserve"> a correlation matrix</w:t>
      </w:r>
      <w:r w:rsidR="002C5DB1">
        <w:rPr>
          <w:rFonts w:ascii="Times New Roman" w:hAnsi="Times New Roman" w:cs="Times New Roman"/>
          <w:sz w:val="24"/>
          <w:szCs w:val="24"/>
        </w:rPr>
        <w:t xml:space="preserve">). </w:t>
      </w:r>
    </w:p>
    <w:p w14:paraId="6FACE609" w14:textId="45967D0B" w:rsidR="00BD305B" w:rsidRPr="00110128" w:rsidRDefault="00B62C0E" w:rsidP="00BB5987">
      <w:pPr>
        <w:spacing w:after="0" w:line="276" w:lineRule="auto"/>
        <w:ind w:firstLine="720"/>
        <w:rPr>
          <w:rFonts w:ascii="Times New Roman" w:hAnsi="Times New Roman" w:cs="Times New Roman"/>
          <w:noProof/>
          <w:sz w:val="24"/>
          <w:szCs w:val="24"/>
        </w:rPr>
      </w:pPr>
      <w:r>
        <w:rPr>
          <w:rFonts w:ascii="Times New Roman" w:hAnsi="Times New Roman" w:cs="Times New Roman"/>
          <w:sz w:val="24"/>
          <w:szCs w:val="24"/>
        </w:rPr>
        <w:t>Now, d</w:t>
      </w:r>
      <w:r w:rsidR="00BD305B" w:rsidRPr="00792219">
        <w:rPr>
          <w:rFonts w:ascii="Times New Roman" w:hAnsi="Times New Roman" w:cs="Times New Roman"/>
          <w:sz w:val="24"/>
          <w:szCs w:val="24"/>
        </w:rPr>
        <w:t>efine the following vectors and matrices:</w:t>
      </w:r>
      <w:r w:rsidR="00BD305B" w:rsidRPr="00792219">
        <w:rPr>
          <w:rFonts w:ascii="Times New Roman" w:hAnsi="Times New Roman" w:cs="Times New Roman"/>
          <w:position w:val="-14"/>
          <w:sz w:val="24"/>
          <w:szCs w:val="24"/>
        </w:rPr>
        <w:t xml:space="preserve"> </w:t>
      </w:r>
      <w:r w:rsidR="00664373" w:rsidRPr="00792219">
        <w:rPr>
          <w:rFonts w:ascii="Times New Roman" w:hAnsi="Times New Roman" w:cs="Times New Roman"/>
          <w:position w:val="-12"/>
          <w:sz w:val="24"/>
          <w:szCs w:val="24"/>
        </w:rPr>
        <w:object w:dxaOrig="2100" w:dyaOrig="360" w14:anchorId="42268ABD">
          <v:shape id="_x0000_i1078" type="#_x0000_t75" style="width:104.2pt;height:18.95pt" o:ole="">
            <v:imagedata r:id="rId112" o:title=""/>
          </v:shape>
          <o:OLEObject Type="Embed" ProgID="Equation.DSMT4" ShapeID="_x0000_i1078" DrawAspect="Content" ObjectID="_1764157393" r:id="rId113"/>
        </w:object>
      </w:r>
      <w:r w:rsidR="00BD305B" w:rsidRPr="00792219">
        <w:rPr>
          <w:rFonts w:ascii="Times New Roman" w:hAnsi="Times New Roman" w:cs="Times New Roman"/>
          <w:sz w:val="24"/>
          <w:szCs w:val="24"/>
          <w:lang w:val="fr-FR"/>
        </w:rPr>
        <w:t xml:space="preserve"> </w:t>
      </w:r>
      <w:r w:rsidR="00BD305B" w:rsidRPr="00792219">
        <w:rPr>
          <w:rFonts w:ascii="Times New Roman" w:hAnsi="Times New Roman" w:cs="Times New Roman"/>
          <w:position w:val="-10"/>
          <w:sz w:val="24"/>
          <w:szCs w:val="24"/>
        </w:rPr>
        <w:object w:dxaOrig="576" w:dyaOrig="336" w14:anchorId="5BA554DE">
          <v:shape id="_x0000_i1079" type="#_x0000_t75" style="width:29.85pt;height:16.6pt" o:ole="">
            <v:imagedata r:id="rId114" o:title=""/>
          </v:shape>
          <o:OLEObject Type="Embed" ProgID="Equation.3" ShapeID="_x0000_i1079" DrawAspect="Content" ObjectID="_1764157394" r:id="rId115"/>
        </w:object>
      </w:r>
      <w:r w:rsidR="00BD305B" w:rsidRPr="00792219">
        <w:rPr>
          <w:rFonts w:ascii="Times New Roman" w:hAnsi="Times New Roman" w:cs="Times New Roman"/>
          <w:sz w:val="24"/>
          <w:szCs w:val="24"/>
          <w:lang w:val="fr-FR"/>
        </w:rPr>
        <w:t xml:space="preserve"> </w:t>
      </w:r>
      <w:proofErr w:type="spellStart"/>
      <w:r w:rsidR="00BD305B" w:rsidRPr="00792219">
        <w:rPr>
          <w:rFonts w:ascii="Times New Roman" w:hAnsi="Times New Roman" w:cs="Times New Roman"/>
          <w:sz w:val="24"/>
          <w:szCs w:val="24"/>
          <w:lang w:val="fr-FR"/>
        </w:rPr>
        <w:t>vector</w:t>
      </w:r>
      <w:proofErr w:type="spellEnd"/>
      <w:r w:rsidR="00BD305B" w:rsidRPr="00792219">
        <w:rPr>
          <w:rFonts w:ascii="Times New Roman" w:hAnsi="Times New Roman" w:cs="Times New Roman"/>
          <w:sz w:val="24"/>
          <w:szCs w:val="24"/>
          <w:lang w:val="fr-FR"/>
        </w:rPr>
        <w:t xml:space="preserve">), </w:t>
      </w:r>
      <w:r w:rsidR="00AC0069">
        <w:rPr>
          <w:rFonts w:ascii="Times New Roman" w:hAnsi="Times New Roman" w:cs="Times New Roman"/>
          <w:sz w:val="24"/>
          <w:szCs w:val="24"/>
          <w:lang w:val="fr-FR"/>
        </w:rPr>
        <w:t xml:space="preserve">and </w:t>
      </w:r>
      <w:r w:rsidR="00664373" w:rsidRPr="00792219">
        <w:rPr>
          <w:rFonts w:ascii="Times New Roman" w:hAnsi="Times New Roman" w:cs="Times New Roman"/>
          <w:position w:val="-12"/>
          <w:sz w:val="24"/>
          <w:szCs w:val="24"/>
        </w:rPr>
        <w:object w:dxaOrig="2360" w:dyaOrig="360" w14:anchorId="70B5AB2D">
          <v:shape id="_x0000_i1080" type="#_x0000_t75" style="width:117pt;height:18.95pt" o:ole="">
            <v:imagedata r:id="rId116" o:title=""/>
          </v:shape>
          <o:OLEObject Type="Embed" ProgID="Equation.DSMT4" ShapeID="_x0000_i1080" DrawAspect="Content" ObjectID="_1764157395" r:id="rId117"/>
        </w:object>
      </w:r>
      <w:r w:rsidR="00BD305B" w:rsidRPr="00792219">
        <w:rPr>
          <w:rFonts w:ascii="Times New Roman" w:hAnsi="Times New Roman" w:cs="Times New Roman"/>
          <w:sz w:val="24"/>
          <w:szCs w:val="24"/>
        </w:rPr>
        <w:t xml:space="preserve"> (</w:t>
      </w:r>
      <w:r w:rsidR="00BD305B" w:rsidRPr="00792219">
        <w:rPr>
          <w:rFonts w:ascii="Times New Roman" w:hAnsi="Times New Roman" w:cs="Times New Roman"/>
          <w:position w:val="-4"/>
          <w:sz w:val="24"/>
          <w:szCs w:val="24"/>
        </w:rPr>
        <w:object w:dxaOrig="540" w:dyaOrig="260" w14:anchorId="0474D816">
          <v:shape id="_x0000_i1081" type="#_x0000_t75" style="width:26.05pt;height:12.8pt" o:ole="" o:preferrelative="f">
            <v:imagedata r:id="rId118" o:title=""/>
            <o:lock v:ext="edit" aspectratio="f"/>
          </v:shape>
          <o:OLEObject Type="Embed" ProgID="Equation.DSMT4" ShapeID="_x0000_i1081" DrawAspect="Content" ObjectID="_1764157396" r:id="rId119"/>
        </w:object>
      </w:r>
      <w:r w:rsidR="00BD305B" w:rsidRPr="00792219">
        <w:rPr>
          <w:rFonts w:ascii="Times New Roman" w:hAnsi="Times New Roman" w:cs="Times New Roman"/>
          <w:position w:val="-10"/>
          <w:sz w:val="24"/>
          <w:szCs w:val="24"/>
        </w:rPr>
        <w:t xml:space="preserve"> </w:t>
      </w:r>
      <w:r w:rsidR="00BD305B" w:rsidRPr="00792219">
        <w:rPr>
          <w:rFonts w:ascii="Times New Roman" w:hAnsi="Times New Roman" w:cs="Times New Roman"/>
          <w:sz w:val="24"/>
          <w:szCs w:val="24"/>
        </w:rPr>
        <w:t>matrix)</w:t>
      </w:r>
      <w:r w:rsidR="00BD305B" w:rsidRPr="00110128">
        <w:rPr>
          <w:rFonts w:ascii="Times New Roman" w:hAnsi="Times New Roman" w:cs="Times New Roman"/>
          <w:noProof/>
          <w:sz w:val="24"/>
          <w:szCs w:val="24"/>
        </w:rPr>
        <w:t xml:space="preserve">. Next, </w:t>
      </w:r>
      <w:r w:rsidR="00AC0069">
        <w:rPr>
          <w:rFonts w:ascii="Times New Roman" w:hAnsi="Times New Roman" w:cs="Times New Roman"/>
          <w:noProof/>
          <w:sz w:val="24"/>
          <w:szCs w:val="24"/>
        </w:rPr>
        <w:t xml:space="preserve">if the individual teleworks at the </w:t>
      </w:r>
      <w:r w:rsidR="00AC0069" w:rsidRPr="00961062">
        <w:rPr>
          <w:rFonts w:ascii="Times New Roman" w:hAnsi="Times New Roman" w:cs="Times New Roman"/>
          <w:i/>
          <w:noProof/>
          <w:sz w:val="24"/>
          <w:szCs w:val="24"/>
        </w:rPr>
        <w:t>t</w:t>
      </w:r>
      <w:r w:rsidR="00AC0069">
        <w:rPr>
          <w:rFonts w:ascii="Times New Roman" w:hAnsi="Times New Roman" w:cs="Times New Roman"/>
          <w:noProof/>
          <w:sz w:val="24"/>
          <w:szCs w:val="24"/>
        </w:rPr>
        <w:t xml:space="preserve">th choice occasion, </w:t>
      </w:r>
      <w:r w:rsidR="00BD305B" w:rsidRPr="00110128">
        <w:rPr>
          <w:rFonts w:ascii="Times New Roman" w:hAnsi="Times New Roman" w:cs="Times New Roman"/>
          <w:noProof/>
          <w:sz w:val="24"/>
          <w:szCs w:val="24"/>
        </w:rPr>
        <w:t>define</w:t>
      </w:r>
      <w:r w:rsidR="00AC0069">
        <w:rPr>
          <w:rFonts w:ascii="Times New Roman" w:hAnsi="Times New Roman" w:cs="Times New Roman"/>
          <w:noProof/>
          <w:sz w:val="24"/>
          <w:szCs w:val="24"/>
        </w:rPr>
        <w:t xml:space="preserve"> the following:</w:t>
      </w:r>
    </w:p>
    <w:p w14:paraId="5701E6A6" w14:textId="1B6E8A10" w:rsidR="00BD305B" w:rsidRPr="00110128" w:rsidRDefault="002A04F4" w:rsidP="00E1729F">
      <w:pPr>
        <w:spacing w:after="0" w:line="276" w:lineRule="auto"/>
        <w:rPr>
          <w:rFonts w:ascii="Times New Roman" w:hAnsi="Times New Roman" w:cs="Times New Roman"/>
          <w:sz w:val="24"/>
          <w:szCs w:val="24"/>
        </w:rPr>
      </w:pPr>
      <w:r w:rsidRPr="00643545">
        <w:rPr>
          <w:rFonts w:ascii="Times New Roman" w:hAnsi="Times New Roman" w:cs="Times New Roman"/>
          <w:noProof/>
          <w:position w:val="-50"/>
          <w:sz w:val="24"/>
          <w:szCs w:val="24"/>
        </w:rPr>
        <w:object w:dxaOrig="1180" w:dyaOrig="1120" w14:anchorId="5C8CAC55">
          <v:shape id="_x0000_i1082" type="#_x0000_t75" style="width:59.2pt;height:56.35pt" o:ole="" o:preferrelative="f">
            <v:imagedata r:id="rId120" o:title=""/>
            <o:lock v:ext="edit" aspectratio="f"/>
          </v:shape>
          <o:OLEObject Type="Embed" ProgID="Equation.DSMT4" ShapeID="_x0000_i1082" DrawAspect="Content" ObjectID="_1764157397" r:id="rId121"/>
        </w:object>
      </w:r>
      <w:r w:rsidR="00BD305B">
        <w:rPr>
          <w:rFonts w:ascii="Times New Roman" w:hAnsi="Times New Roman" w:cs="Times New Roman"/>
          <w:noProof/>
          <w:sz w:val="24"/>
          <w:szCs w:val="24"/>
        </w:rPr>
        <w:t>, a</w:t>
      </w:r>
      <w:r w:rsidR="00664373">
        <w:rPr>
          <w:rFonts w:ascii="Times New Roman" w:hAnsi="Times New Roman" w:cs="Times New Roman"/>
          <w:noProof/>
          <w:sz w:val="24"/>
          <w:szCs w:val="24"/>
        </w:rPr>
        <w:t>n</w:t>
      </w:r>
      <w:r w:rsidR="00BD305B">
        <w:rPr>
          <w:rFonts w:ascii="Times New Roman" w:hAnsi="Times New Roman" w:cs="Times New Roman"/>
          <w:noProof/>
          <w:sz w:val="24"/>
          <w:szCs w:val="24"/>
        </w:rPr>
        <w:t xml:space="preserve"> </w:t>
      </w:r>
      <w:r w:rsidR="00DE22A0" w:rsidRPr="00110128">
        <w:rPr>
          <w:position w:val="-10"/>
        </w:rPr>
        <w:object w:dxaOrig="960" w:dyaOrig="320" w14:anchorId="1BBC2048">
          <v:shape id="_x0000_i1083" type="#_x0000_t75" style="width:48.8pt;height:16.6pt" o:ole="">
            <v:imagedata r:id="rId122" o:title=""/>
          </v:shape>
          <o:OLEObject Type="Embed" ProgID="Equation.DSMT4" ShapeID="_x0000_i1083" DrawAspect="Content" ObjectID="_1764157398" r:id="rId123"/>
        </w:object>
      </w:r>
      <w:r w:rsidR="00BD305B" w:rsidRPr="00110128">
        <w:rPr>
          <w:rFonts w:ascii="Times New Roman" w:hAnsi="Times New Roman" w:cs="Times New Roman"/>
          <w:noProof/>
          <w:sz w:val="24"/>
          <w:szCs w:val="24"/>
        </w:rPr>
        <w:t xml:space="preserve"> </w:t>
      </w:r>
      <w:r w:rsidR="00BD305B">
        <w:rPr>
          <w:rFonts w:ascii="Times New Roman" w:hAnsi="Times New Roman" w:cs="Times New Roman"/>
          <w:noProof/>
          <w:sz w:val="24"/>
          <w:szCs w:val="24"/>
        </w:rPr>
        <w:t xml:space="preserve">vector, </w:t>
      </w:r>
      <w:r w:rsidR="00BD305B" w:rsidRPr="00110128">
        <w:rPr>
          <w:rFonts w:ascii="Times New Roman" w:hAnsi="Times New Roman" w:cs="Times New Roman"/>
          <w:noProof/>
          <w:sz w:val="24"/>
          <w:szCs w:val="24"/>
        </w:rPr>
        <w:t xml:space="preserve">and </w:t>
      </w:r>
      <w:r w:rsidRPr="00643545">
        <w:rPr>
          <w:rFonts w:ascii="Times New Roman" w:hAnsi="Times New Roman" w:cs="Times New Roman"/>
          <w:position w:val="-50"/>
          <w:sz w:val="24"/>
          <w:szCs w:val="24"/>
        </w:rPr>
        <w:object w:dxaOrig="2000" w:dyaOrig="1120" w14:anchorId="1B2F371C">
          <v:shape id="_x0000_i1084" type="#_x0000_t75" style="width:100.4pt;height:56.35pt" o:ole="" o:preferrelative="f">
            <v:imagedata r:id="rId124" o:title=""/>
            <o:lock v:ext="edit" aspectratio="f"/>
          </v:shape>
          <o:OLEObject Type="Embed" ProgID="Equation.DSMT4" ShapeID="_x0000_i1084" DrawAspect="Content" ObjectID="_1764157399" r:id="rId125"/>
        </w:object>
      </w:r>
      <w:r w:rsidR="00BD305B">
        <w:rPr>
          <w:rFonts w:ascii="Times New Roman" w:hAnsi="Times New Roman" w:cs="Times New Roman"/>
          <w:sz w:val="24"/>
          <w:szCs w:val="24"/>
        </w:rPr>
        <w:t>, a</w:t>
      </w:r>
      <w:r w:rsidR="00664373">
        <w:rPr>
          <w:rFonts w:ascii="Times New Roman" w:hAnsi="Times New Roman" w:cs="Times New Roman"/>
          <w:sz w:val="24"/>
          <w:szCs w:val="24"/>
        </w:rPr>
        <w:t>n</w:t>
      </w:r>
      <w:r w:rsidR="00BD305B">
        <w:rPr>
          <w:rFonts w:ascii="Times New Roman" w:hAnsi="Times New Roman" w:cs="Times New Roman"/>
          <w:sz w:val="24"/>
          <w:szCs w:val="24"/>
        </w:rPr>
        <w:t xml:space="preserve"> </w:t>
      </w:r>
      <w:r w:rsidR="00DE22A0" w:rsidRPr="007E1AFA">
        <w:rPr>
          <w:rFonts w:ascii="Times New Roman" w:hAnsi="Times New Roman" w:cs="Times New Roman"/>
          <w:noProof/>
          <w:position w:val="-10"/>
          <w:sz w:val="24"/>
          <w:szCs w:val="24"/>
        </w:rPr>
        <w:object w:dxaOrig="1400" w:dyaOrig="320" w14:anchorId="7D61F58D">
          <v:shape id="_x0000_i1085" type="#_x0000_t75" style="width:70.6pt;height:16.6pt" o:ole="" o:preferrelative="f">
            <v:imagedata r:id="rId126" o:title=""/>
            <o:lock v:ext="edit" aspectratio="f"/>
          </v:shape>
          <o:OLEObject Type="Embed" ProgID="Equation.DSMT4" ShapeID="_x0000_i1085" DrawAspect="Content" ObjectID="_1764157400" r:id="rId127"/>
        </w:object>
      </w:r>
      <w:r w:rsidR="00BD305B" w:rsidRPr="00110128">
        <w:rPr>
          <w:rFonts w:ascii="Times New Roman" w:hAnsi="Times New Roman" w:cs="Times New Roman"/>
          <w:noProof/>
          <w:sz w:val="24"/>
          <w:szCs w:val="24"/>
        </w:rPr>
        <w:t>matrix</w:t>
      </w:r>
      <w:r w:rsidR="00A86562">
        <w:rPr>
          <w:rFonts w:ascii="Times New Roman" w:hAnsi="Times New Roman" w:cs="Times New Roman"/>
          <w:noProof/>
          <w:sz w:val="24"/>
          <w:szCs w:val="24"/>
        </w:rPr>
        <w:t xml:space="preserve">,           </w:t>
      </w:r>
    </w:p>
    <w:p w14:paraId="60602EC2" w14:textId="1DB958D0" w:rsidR="006063F5" w:rsidRDefault="00BD305B" w:rsidP="00E1729F">
      <w:pPr>
        <w:spacing w:after="0" w:line="276" w:lineRule="auto"/>
        <w:rPr>
          <w:rFonts w:ascii="Times New Roman" w:hAnsi="Times New Roman" w:cs="Times New Roman"/>
          <w:sz w:val="24"/>
          <w:szCs w:val="24"/>
        </w:rPr>
      </w:pPr>
      <w:r w:rsidRPr="00110128">
        <w:rPr>
          <w:rFonts w:ascii="Times New Roman" w:hAnsi="Times New Roman" w:cs="Times New Roman"/>
          <w:sz w:val="24"/>
          <w:szCs w:val="24"/>
        </w:rPr>
        <w:t xml:space="preserve">where, </w:t>
      </w:r>
      <w:r w:rsidRPr="00110128">
        <w:rPr>
          <w:position w:val="-12"/>
        </w:rPr>
        <w:object w:dxaOrig="279" w:dyaOrig="360" w14:anchorId="32160DE5">
          <v:shape id="_x0000_i1086" type="#_x0000_t75" style="width:13.75pt;height:18.95pt" o:ole="">
            <v:imagedata r:id="rId128" o:title=""/>
          </v:shape>
          <o:OLEObject Type="Embed" ProgID="Equation.DSMT4" ShapeID="_x0000_i1086" DrawAspect="Content" ObjectID="_1764157401" r:id="rId129"/>
        </w:object>
      </w:r>
      <w:r w:rsidR="005B032C">
        <w:t xml:space="preserve"> </w:t>
      </w:r>
      <w:r>
        <w:rPr>
          <w:rFonts w:ascii="Times New Roman" w:hAnsi="Times New Roman" w:cs="Times New Roman"/>
          <w:sz w:val="24"/>
          <w:szCs w:val="24"/>
        </w:rPr>
        <w:t xml:space="preserve">is the correlation between telework adoption and telework frequency at choice occasion </w:t>
      </w:r>
      <w:r>
        <w:rPr>
          <w:rFonts w:ascii="Times New Roman" w:hAnsi="Times New Roman" w:cs="Times New Roman"/>
          <w:i/>
          <w:sz w:val="24"/>
          <w:szCs w:val="24"/>
        </w:rPr>
        <w:t>t</w:t>
      </w:r>
      <w:r>
        <w:rPr>
          <w:rFonts w:ascii="Times New Roman" w:hAnsi="Times New Roman" w:cs="Times New Roman"/>
          <w:sz w:val="24"/>
          <w:szCs w:val="24"/>
        </w:rPr>
        <w:t>,</w:t>
      </w:r>
      <w:r w:rsidR="001A0321">
        <w:rPr>
          <w:rFonts w:ascii="Times New Roman" w:hAnsi="Times New Roman" w:cs="Times New Roman"/>
          <w:sz w:val="24"/>
          <w:szCs w:val="24"/>
        </w:rPr>
        <w:t xml:space="preserve"> </w:t>
      </w:r>
      <w:r w:rsidRPr="007E1AFA">
        <w:rPr>
          <w:rFonts w:ascii="Times New Roman" w:hAnsi="Times New Roman" w:cs="Times New Roman"/>
          <w:position w:val="-12"/>
          <w:sz w:val="24"/>
          <w:szCs w:val="24"/>
        </w:rPr>
        <w:object w:dxaOrig="300" w:dyaOrig="360" w14:anchorId="131FE4C8">
          <v:shape id="_x0000_i1087" type="#_x0000_t75" style="width:15.65pt;height:18.95pt" o:ole="">
            <v:imagedata r:id="rId130" o:title=""/>
          </v:shape>
          <o:OLEObject Type="Embed" ProgID="Equation.DSMT4" ShapeID="_x0000_i1087" DrawAspect="Content" ObjectID="_1764157402" r:id="rId131"/>
        </w:object>
      </w:r>
      <w:r w:rsidRPr="00110128">
        <w:rPr>
          <w:rFonts w:ascii="Times New Roman" w:hAnsi="Times New Roman" w:cs="Times New Roman"/>
          <w:sz w:val="24"/>
          <w:szCs w:val="24"/>
        </w:rPr>
        <w:t xml:space="preserve"> is a</w:t>
      </w:r>
      <w:r w:rsidR="00F766AE">
        <w:rPr>
          <w:rFonts w:ascii="Times New Roman" w:hAnsi="Times New Roman" w:cs="Times New Roman"/>
          <w:sz w:val="24"/>
          <w:szCs w:val="24"/>
        </w:rPr>
        <w:t>n</w:t>
      </w:r>
      <w:r w:rsidRPr="00110128">
        <w:rPr>
          <w:rFonts w:ascii="Times New Roman" w:hAnsi="Times New Roman" w:cs="Times New Roman"/>
          <w:sz w:val="24"/>
          <w:szCs w:val="24"/>
        </w:rPr>
        <w:t xml:space="preserve"> </w:t>
      </w:r>
      <w:r w:rsidR="00291B8F" w:rsidRPr="007E1AFA">
        <w:rPr>
          <w:rFonts w:ascii="Times New Roman" w:hAnsi="Times New Roman" w:cs="Times New Roman"/>
          <w:position w:val="-10"/>
          <w:sz w:val="24"/>
          <w:szCs w:val="24"/>
        </w:rPr>
        <w:object w:dxaOrig="1120" w:dyaOrig="320" w14:anchorId="49989749">
          <v:shape id="_x0000_i1088" type="#_x0000_t75" style="width:54.95pt;height:16.6pt" o:ole="" o:preferrelative="f">
            <v:imagedata r:id="rId132" o:title=""/>
            <o:lock v:ext="edit" aspectratio="f"/>
          </v:shape>
          <o:OLEObject Type="Embed" ProgID="Equation.DSMT4" ShapeID="_x0000_i1088" DrawAspect="Content" ObjectID="_1764157403" r:id="rId133"/>
        </w:object>
      </w:r>
      <w:r w:rsidRPr="00110128">
        <w:rPr>
          <w:rFonts w:ascii="Times New Roman" w:hAnsi="Times New Roman" w:cs="Times New Roman"/>
          <w:sz w:val="24"/>
          <w:szCs w:val="24"/>
        </w:rPr>
        <w:t xml:space="preserve">matrix capturing the correlations between </w:t>
      </w:r>
      <w:r>
        <w:rPr>
          <w:rFonts w:ascii="Times New Roman" w:hAnsi="Times New Roman" w:cs="Times New Roman"/>
          <w:sz w:val="24"/>
          <w:szCs w:val="24"/>
        </w:rPr>
        <w:t>telework adoption</w:t>
      </w:r>
      <w:r w:rsidRPr="00110128">
        <w:rPr>
          <w:rFonts w:ascii="Times New Roman" w:hAnsi="Times New Roman" w:cs="Times New Roman"/>
          <w:sz w:val="24"/>
          <w:szCs w:val="24"/>
        </w:rPr>
        <w:t xml:space="preserve"> and the </w:t>
      </w:r>
      <w:r w:rsidR="00E6316B">
        <w:rPr>
          <w:rFonts w:ascii="Times New Roman" w:hAnsi="Times New Roman" w:cs="Times New Roman"/>
          <w:sz w:val="24"/>
          <w:szCs w:val="24"/>
        </w:rPr>
        <w:t>nominal outcome (in the utility differen</w:t>
      </w:r>
      <w:r w:rsidR="00F766AE">
        <w:rPr>
          <w:rFonts w:ascii="Times New Roman" w:hAnsi="Times New Roman" w:cs="Times New Roman"/>
          <w:sz w:val="24"/>
          <w:szCs w:val="24"/>
        </w:rPr>
        <w:t>ced</w:t>
      </w:r>
      <w:r w:rsidR="00E6316B">
        <w:rPr>
          <w:rFonts w:ascii="Times New Roman" w:hAnsi="Times New Roman" w:cs="Times New Roman"/>
          <w:sz w:val="24"/>
          <w:szCs w:val="24"/>
        </w:rPr>
        <w:t xml:space="preserve"> form, with the difference taken with respect to the first alternative) </w:t>
      </w:r>
      <w:r w:rsidRPr="00110128">
        <w:rPr>
          <w:rFonts w:ascii="Times New Roman" w:hAnsi="Times New Roman" w:cs="Times New Roman"/>
          <w:sz w:val="24"/>
          <w:szCs w:val="24"/>
        </w:rPr>
        <w:t xml:space="preserve">at choice occasion </w:t>
      </w:r>
      <w:r w:rsidRPr="00110128">
        <w:rPr>
          <w:rFonts w:ascii="Times New Roman" w:hAnsi="Times New Roman" w:cs="Times New Roman"/>
          <w:i/>
          <w:sz w:val="24"/>
          <w:szCs w:val="24"/>
        </w:rPr>
        <w:t>t</w:t>
      </w:r>
      <w:r>
        <w:rPr>
          <w:rFonts w:ascii="Times New Roman" w:hAnsi="Times New Roman" w:cs="Times New Roman"/>
          <w:sz w:val="24"/>
          <w:szCs w:val="24"/>
        </w:rPr>
        <w:t>, and</w:t>
      </w:r>
      <w:r w:rsidR="005B032C" w:rsidRPr="00110128">
        <w:rPr>
          <w:position w:val="-12"/>
        </w:rPr>
        <w:object w:dxaOrig="279" w:dyaOrig="360" w14:anchorId="7DF0A20F">
          <v:shape id="_x0000_i1089" type="#_x0000_t75" style="width:13.75pt;height:18pt" o:ole="" o:preferrelative="f">
            <v:imagedata r:id="rId134" o:title=""/>
            <o:lock v:ext="edit" aspectratio="f"/>
          </v:shape>
          <o:OLEObject Type="Embed" ProgID="Equation.DSMT4" ShapeID="_x0000_i1089" DrawAspect="Content" ObjectID="_1764157404" r:id="rId135"/>
        </w:object>
      </w:r>
      <w:r w:rsidRPr="000122EA">
        <w:rPr>
          <w:rFonts w:ascii="Times New Roman" w:hAnsi="Times New Roman" w:cs="Times New Roman"/>
          <w:sz w:val="24"/>
          <w:szCs w:val="24"/>
        </w:rPr>
        <w:t xml:space="preserve"> </w:t>
      </w:r>
      <w:r w:rsidRPr="00110128">
        <w:rPr>
          <w:rFonts w:ascii="Times New Roman" w:hAnsi="Times New Roman" w:cs="Times New Roman"/>
          <w:sz w:val="24"/>
          <w:szCs w:val="24"/>
        </w:rPr>
        <w:t>is a</w:t>
      </w:r>
      <w:r w:rsidR="00F766AE">
        <w:rPr>
          <w:rFonts w:ascii="Times New Roman" w:hAnsi="Times New Roman" w:cs="Times New Roman"/>
          <w:sz w:val="24"/>
          <w:szCs w:val="24"/>
        </w:rPr>
        <w:t>nother</w:t>
      </w:r>
      <w:r w:rsidRPr="00110128">
        <w:rPr>
          <w:rFonts w:ascii="Times New Roman" w:hAnsi="Times New Roman" w:cs="Times New Roman"/>
          <w:sz w:val="24"/>
          <w:szCs w:val="24"/>
        </w:rPr>
        <w:t xml:space="preserve"> </w:t>
      </w:r>
      <w:r w:rsidR="00291B8F" w:rsidRPr="007E1AFA">
        <w:rPr>
          <w:rFonts w:ascii="Times New Roman" w:hAnsi="Times New Roman" w:cs="Times New Roman"/>
          <w:position w:val="-10"/>
          <w:sz w:val="24"/>
          <w:szCs w:val="24"/>
        </w:rPr>
        <w:object w:dxaOrig="1120" w:dyaOrig="320" w14:anchorId="138611C9">
          <v:shape id="_x0000_i1090" type="#_x0000_t75" style="width:54.95pt;height:16.6pt" o:ole="" o:preferrelative="f">
            <v:imagedata r:id="rId136" o:title=""/>
            <o:lock v:ext="edit" aspectratio="f"/>
          </v:shape>
          <o:OLEObject Type="Embed" ProgID="Equation.DSMT4" ShapeID="_x0000_i1090" DrawAspect="Content" ObjectID="_1764157405" r:id="rId137"/>
        </w:object>
      </w:r>
      <w:r w:rsidRPr="00110128">
        <w:rPr>
          <w:rFonts w:ascii="Times New Roman" w:hAnsi="Times New Roman" w:cs="Times New Roman"/>
          <w:sz w:val="24"/>
          <w:szCs w:val="24"/>
        </w:rPr>
        <w:t xml:space="preserve">matrix capturing the correlations between </w:t>
      </w:r>
      <w:r>
        <w:rPr>
          <w:rFonts w:ascii="Times New Roman" w:hAnsi="Times New Roman" w:cs="Times New Roman"/>
          <w:sz w:val="24"/>
          <w:szCs w:val="24"/>
        </w:rPr>
        <w:t>telework frequency</w:t>
      </w:r>
      <w:r w:rsidRPr="00110128">
        <w:rPr>
          <w:rFonts w:ascii="Times New Roman" w:hAnsi="Times New Roman" w:cs="Times New Roman"/>
          <w:sz w:val="24"/>
          <w:szCs w:val="24"/>
        </w:rPr>
        <w:t xml:space="preserve"> and the nominal outcome </w:t>
      </w:r>
      <w:r w:rsidR="00E6316B">
        <w:rPr>
          <w:rFonts w:ascii="Times New Roman" w:hAnsi="Times New Roman" w:cs="Times New Roman"/>
          <w:sz w:val="24"/>
          <w:szCs w:val="24"/>
        </w:rPr>
        <w:t>(</w:t>
      </w:r>
      <w:r w:rsidR="00F766AE">
        <w:rPr>
          <w:rFonts w:ascii="Times New Roman" w:hAnsi="Times New Roman" w:cs="Times New Roman"/>
          <w:sz w:val="24"/>
          <w:szCs w:val="24"/>
        </w:rPr>
        <w:t xml:space="preserve">again </w:t>
      </w:r>
      <w:r w:rsidR="00E6316B">
        <w:rPr>
          <w:rFonts w:ascii="Times New Roman" w:hAnsi="Times New Roman" w:cs="Times New Roman"/>
          <w:sz w:val="24"/>
          <w:szCs w:val="24"/>
        </w:rPr>
        <w:t>in the utility differen</w:t>
      </w:r>
      <w:r w:rsidR="00F766AE">
        <w:rPr>
          <w:rFonts w:ascii="Times New Roman" w:hAnsi="Times New Roman" w:cs="Times New Roman"/>
          <w:sz w:val="24"/>
          <w:szCs w:val="24"/>
        </w:rPr>
        <w:t xml:space="preserve">ced </w:t>
      </w:r>
      <w:r w:rsidR="00E6316B">
        <w:rPr>
          <w:rFonts w:ascii="Times New Roman" w:hAnsi="Times New Roman" w:cs="Times New Roman"/>
          <w:sz w:val="24"/>
          <w:szCs w:val="24"/>
        </w:rPr>
        <w:t xml:space="preserve">form, with the difference taken with respect to the first alternative) </w:t>
      </w:r>
      <w:r w:rsidRPr="00110128">
        <w:rPr>
          <w:rFonts w:ascii="Times New Roman" w:hAnsi="Times New Roman" w:cs="Times New Roman"/>
          <w:sz w:val="24"/>
          <w:szCs w:val="24"/>
        </w:rPr>
        <w:t xml:space="preserve">at choice occasion </w:t>
      </w:r>
      <w:r w:rsidRPr="00110128">
        <w:rPr>
          <w:rFonts w:ascii="Times New Roman" w:hAnsi="Times New Roman" w:cs="Times New Roman"/>
          <w:i/>
          <w:sz w:val="24"/>
          <w:szCs w:val="24"/>
        </w:rPr>
        <w:t>t</w:t>
      </w:r>
      <w:r>
        <w:rPr>
          <w:rFonts w:ascii="Times New Roman" w:hAnsi="Times New Roman" w:cs="Times New Roman"/>
          <w:i/>
          <w:sz w:val="24"/>
          <w:szCs w:val="24"/>
        </w:rPr>
        <w:t>.</w:t>
      </w:r>
      <w:r w:rsidR="008E694B" w:rsidRPr="008E694B">
        <w:rPr>
          <w:rFonts w:ascii="Times New Roman" w:hAnsi="Times New Roman" w:cs="Times New Roman"/>
          <w:sz w:val="24"/>
          <w:szCs w:val="24"/>
        </w:rPr>
        <w:t xml:space="preserve"> </w:t>
      </w:r>
      <w:r w:rsidR="00AC0069">
        <w:rPr>
          <w:rFonts w:ascii="Times New Roman" w:hAnsi="Times New Roman" w:cs="Times New Roman"/>
          <w:sz w:val="24"/>
          <w:szCs w:val="24"/>
        </w:rPr>
        <w:t xml:space="preserve">If the individual </w:t>
      </w:r>
      <w:r w:rsidR="00BB5987">
        <w:rPr>
          <w:rFonts w:ascii="Times New Roman" w:hAnsi="Times New Roman" w:cs="Times New Roman"/>
          <w:sz w:val="24"/>
          <w:szCs w:val="24"/>
        </w:rPr>
        <w:t xml:space="preserve">does not telework at the </w:t>
      </w:r>
      <w:r w:rsidR="00BB5987" w:rsidRPr="00961062">
        <w:rPr>
          <w:rFonts w:ascii="Times New Roman" w:hAnsi="Times New Roman" w:cs="Times New Roman"/>
          <w:i/>
          <w:sz w:val="24"/>
          <w:szCs w:val="24"/>
        </w:rPr>
        <w:t>t</w:t>
      </w:r>
      <w:r w:rsidR="00BB5987">
        <w:rPr>
          <w:rFonts w:ascii="Times New Roman" w:hAnsi="Times New Roman" w:cs="Times New Roman"/>
          <w:sz w:val="24"/>
          <w:szCs w:val="24"/>
        </w:rPr>
        <w:t xml:space="preserve">th choice occasion, define </w:t>
      </w:r>
      <w:r w:rsidR="002A04F4" w:rsidRPr="00705643">
        <w:rPr>
          <w:rFonts w:ascii="Times New Roman" w:hAnsi="Times New Roman" w:cs="Times New Roman"/>
          <w:noProof/>
          <w:position w:val="-14"/>
          <w:sz w:val="24"/>
          <w:szCs w:val="24"/>
        </w:rPr>
        <w:object w:dxaOrig="1100" w:dyaOrig="400" w14:anchorId="1BEACF93">
          <v:shape id="_x0000_i1091" type="#_x0000_t75" style="width:54.95pt;height:20.35pt" o:ole="" o:preferrelative="f">
            <v:imagedata r:id="rId138" o:title=""/>
            <o:lock v:ext="edit" aspectratio="f"/>
          </v:shape>
          <o:OLEObject Type="Embed" ProgID="Equation.DSMT4" ShapeID="_x0000_i1091" DrawAspect="Content" ObjectID="_1764157406" r:id="rId139"/>
        </w:object>
      </w:r>
      <w:r w:rsidR="00BB5987">
        <w:rPr>
          <w:rFonts w:ascii="Times New Roman" w:hAnsi="Times New Roman" w:cs="Times New Roman"/>
          <w:noProof/>
          <w:sz w:val="24"/>
          <w:szCs w:val="24"/>
        </w:rPr>
        <w:t xml:space="preserve"> and</w:t>
      </w:r>
      <w:r w:rsidR="00BB5987">
        <w:t xml:space="preserve"> </w:t>
      </w:r>
      <w:r w:rsidR="002A04F4" w:rsidRPr="00705643">
        <w:rPr>
          <w:rFonts w:ascii="Times New Roman" w:hAnsi="Times New Roman" w:cs="Times New Roman"/>
          <w:position w:val="-12"/>
          <w:sz w:val="24"/>
          <w:szCs w:val="24"/>
        </w:rPr>
        <w:object w:dxaOrig="760" w:dyaOrig="360" w14:anchorId="1A29E830">
          <v:shape id="_x0000_i1092" type="#_x0000_t75" style="width:38.35pt;height:18pt" o:ole="" o:preferrelative="f">
            <v:imagedata r:id="rId140" o:title=""/>
            <o:lock v:ext="edit" aspectratio="f"/>
          </v:shape>
          <o:OLEObject Type="Embed" ProgID="Equation.DSMT4" ShapeID="_x0000_i1092" DrawAspect="Content" ObjectID="_1764157407" r:id="rId141"/>
        </w:object>
      </w:r>
      <w:r w:rsidR="00BB5987">
        <w:rPr>
          <w:rFonts w:ascii="Times New Roman" w:hAnsi="Times New Roman" w:cs="Times New Roman"/>
          <w:sz w:val="24"/>
          <w:szCs w:val="24"/>
        </w:rPr>
        <w:t>.</w:t>
      </w:r>
      <w:r w:rsidR="0095392C">
        <w:rPr>
          <w:rFonts w:ascii="Times New Roman" w:hAnsi="Times New Roman" w:cs="Times New Roman"/>
          <w:sz w:val="24"/>
          <w:szCs w:val="24"/>
        </w:rPr>
        <w:t xml:space="preserve"> </w:t>
      </w:r>
    </w:p>
    <w:p w14:paraId="33B90E7C" w14:textId="550D282D" w:rsidR="00DB4D22" w:rsidRDefault="006063F5" w:rsidP="00503211">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Next </w:t>
      </w:r>
      <w:r w:rsidR="00F766AE">
        <w:rPr>
          <w:rFonts w:ascii="Times New Roman" w:hAnsi="Times New Roman" w:cs="Times New Roman"/>
          <w:sz w:val="24"/>
          <w:szCs w:val="24"/>
        </w:rPr>
        <w:t xml:space="preserve">Also, </w:t>
      </w:r>
      <w:r w:rsidR="00291B8F" w:rsidRPr="00110128">
        <w:rPr>
          <w:rFonts w:ascii="Times New Roman" w:hAnsi="Times New Roman" w:cs="Times New Roman"/>
          <w:sz w:val="24"/>
          <w:szCs w:val="24"/>
        </w:rPr>
        <w:t xml:space="preserve">define </w:t>
      </w:r>
      <w:r w:rsidR="002A04F4" w:rsidRPr="007E1AFA">
        <w:rPr>
          <w:rFonts w:ascii="Times New Roman" w:hAnsi="Times New Roman" w:cs="Times New Roman"/>
          <w:position w:val="-12"/>
          <w:sz w:val="24"/>
          <w:szCs w:val="24"/>
        </w:rPr>
        <w:object w:dxaOrig="1340" w:dyaOrig="360" w14:anchorId="5016398C">
          <v:shape id="_x0000_i1093" type="#_x0000_t75" style="width:66.8pt;height:18pt" o:ole="" o:preferrelative="f">
            <v:imagedata r:id="rId142" o:title=""/>
            <o:lock v:ext="edit" aspectratio="f"/>
          </v:shape>
          <o:OLEObject Type="Embed" ProgID="Equation.DSMT4" ShapeID="_x0000_i1093" DrawAspect="Content" ObjectID="_1764157408" r:id="rId143"/>
        </w:object>
      </w:r>
      <w:r w:rsidR="00F766AE">
        <w:rPr>
          <w:rFonts w:ascii="Times New Roman" w:hAnsi="Times New Roman" w:cs="Times New Roman"/>
          <w:sz w:val="24"/>
          <w:szCs w:val="24"/>
        </w:rPr>
        <w:t>and</w:t>
      </w:r>
      <w:r w:rsidR="0095392C">
        <w:rPr>
          <w:rFonts w:ascii="Times New Roman" w:hAnsi="Times New Roman" w:cs="Times New Roman"/>
          <w:sz w:val="24"/>
          <w:szCs w:val="24"/>
        </w:rPr>
        <w:t xml:space="preserve"> </w:t>
      </w:r>
      <w:r w:rsidR="002A04F4" w:rsidRPr="00F1186D">
        <w:rPr>
          <w:rFonts w:ascii="Times New Roman" w:hAnsi="Times New Roman" w:cs="Times New Roman"/>
          <w:position w:val="-32"/>
          <w:sz w:val="24"/>
          <w:szCs w:val="24"/>
        </w:rPr>
        <w:object w:dxaOrig="1560" w:dyaOrig="760" w14:anchorId="7FAA910A">
          <v:shape id="_x0000_i1094" type="#_x0000_t75" style="width:78.15pt;height:38.35pt" o:ole="" o:preferrelative="f">
            <v:imagedata r:id="rId144" o:title=""/>
            <o:lock v:ext="edit" aspectratio="f"/>
          </v:shape>
          <o:OLEObject Type="Embed" ProgID="Equation.DSMT4" ShapeID="_x0000_i1094" DrawAspect="Content" ObjectID="_1764157409" r:id="rId145"/>
        </w:object>
      </w:r>
      <w:r w:rsidR="0095392C">
        <w:rPr>
          <w:rFonts w:ascii="Times New Roman" w:hAnsi="Times New Roman" w:cs="Times New Roman"/>
          <w:sz w:val="24"/>
          <w:szCs w:val="24"/>
        </w:rPr>
        <w:t>.</w:t>
      </w:r>
      <w:r>
        <w:rPr>
          <w:rFonts w:ascii="Times New Roman" w:hAnsi="Times New Roman" w:cs="Times New Roman"/>
          <w:sz w:val="24"/>
          <w:szCs w:val="24"/>
        </w:rPr>
        <w:t xml:space="preserve"> </w:t>
      </w:r>
      <w:r w:rsidR="00291B8F" w:rsidRPr="00110128">
        <w:rPr>
          <w:rFonts w:ascii="Times New Roman" w:hAnsi="Times New Roman" w:cs="Times New Roman"/>
          <w:sz w:val="24"/>
          <w:szCs w:val="24"/>
        </w:rPr>
        <w:t xml:space="preserve">The off-diagonal </w:t>
      </w:r>
      <w:r w:rsidR="002A04F4" w:rsidRPr="00F1186D">
        <w:rPr>
          <w:rFonts w:ascii="Times New Roman" w:hAnsi="Times New Roman" w:cs="Times New Roman"/>
          <w:position w:val="-12"/>
          <w:sz w:val="24"/>
          <w:szCs w:val="24"/>
        </w:rPr>
        <w:object w:dxaOrig="360" w:dyaOrig="360" w14:anchorId="35D577F8">
          <v:shape id="_x0000_i1095" type="#_x0000_t75" style="width:18pt;height:18pt" o:ole="" o:preferrelative="f">
            <v:imagedata r:id="rId146" o:title=""/>
            <o:lock v:ext="edit" aspectratio="f"/>
          </v:shape>
          <o:OLEObject Type="Embed" ProgID="Equation.DSMT4" ShapeID="_x0000_i1095" DrawAspect="Content" ObjectID="_1764157410" r:id="rId147"/>
        </w:object>
      </w:r>
      <w:r w:rsidR="00EE6BA7">
        <w:rPr>
          <w:rFonts w:ascii="Times New Roman" w:hAnsi="Times New Roman" w:cs="Times New Roman"/>
          <w:sz w:val="24"/>
          <w:szCs w:val="24"/>
        </w:rPr>
        <w:t xml:space="preserve"> </w:t>
      </w:r>
      <w:r w:rsidR="00DE22A0">
        <w:rPr>
          <w:rFonts w:ascii="Times New Roman" w:hAnsi="Times New Roman" w:cs="Times New Roman"/>
          <w:sz w:val="24"/>
          <w:szCs w:val="24"/>
        </w:rPr>
        <w:t>matrix captures</w:t>
      </w:r>
      <w:r w:rsidR="00291B8F" w:rsidRPr="00110128">
        <w:rPr>
          <w:rFonts w:ascii="Times New Roman" w:hAnsi="Times New Roman" w:cs="Times New Roman"/>
          <w:sz w:val="24"/>
          <w:szCs w:val="24"/>
        </w:rPr>
        <w:t xml:space="preserve"> the panel correlations</w:t>
      </w:r>
      <w:r w:rsidR="000564E7">
        <w:rPr>
          <w:rFonts w:ascii="Times New Roman" w:hAnsi="Times New Roman" w:cs="Times New Roman"/>
          <w:sz w:val="24"/>
          <w:szCs w:val="24"/>
        </w:rPr>
        <w:t xml:space="preserve"> or</w:t>
      </w:r>
      <w:r w:rsidR="00291B8F" w:rsidRPr="00110128">
        <w:rPr>
          <w:rFonts w:ascii="Times New Roman" w:hAnsi="Times New Roman" w:cs="Times New Roman"/>
          <w:sz w:val="24"/>
          <w:szCs w:val="24"/>
        </w:rPr>
        <w:t xml:space="preserve"> the correlations </w:t>
      </w:r>
      <w:r w:rsidR="00291B8F">
        <w:rPr>
          <w:rFonts w:ascii="Times New Roman" w:hAnsi="Times New Roman" w:cs="Times New Roman"/>
          <w:sz w:val="24"/>
          <w:szCs w:val="24"/>
        </w:rPr>
        <w:t>among the unobserved component</w:t>
      </w:r>
      <w:r w:rsidR="00DE22A0">
        <w:rPr>
          <w:rFonts w:ascii="Times New Roman" w:hAnsi="Times New Roman" w:cs="Times New Roman"/>
          <w:sz w:val="24"/>
          <w:szCs w:val="24"/>
        </w:rPr>
        <w:t>s</w:t>
      </w:r>
      <w:r w:rsidR="00291B8F">
        <w:rPr>
          <w:rFonts w:ascii="Times New Roman" w:hAnsi="Times New Roman" w:cs="Times New Roman"/>
          <w:sz w:val="24"/>
          <w:szCs w:val="24"/>
        </w:rPr>
        <w:t xml:space="preserve"> of the dependent outcomes</w:t>
      </w:r>
      <w:r w:rsidR="00291B8F" w:rsidRPr="00110128">
        <w:rPr>
          <w:rFonts w:ascii="Times New Roman" w:hAnsi="Times New Roman" w:cs="Times New Roman"/>
          <w:sz w:val="24"/>
          <w:szCs w:val="24"/>
        </w:rPr>
        <w:t xml:space="preserve"> across choice occasions.</w:t>
      </w:r>
      <w:r w:rsidR="00DE22A0">
        <w:rPr>
          <w:rFonts w:ascii="Times New Roman" w:hAnsi="Times New Roman" w:cs="Times New Roman"/>
          <w:sz w:val="24"/>
          <w:szCs w:val="24"/>
        </w:rPr>
        <w:t xml:space="preserve"> T</w:t>
      </w:r>
      <w:r w:rsidR="00291B8F" w:rsidRPr="00110128">
        <w:rPr>
          <w:rFonts w:ascii="Times New Roman" w:hAnsi="Times New Roman" w:cs="Times New Roman"/>
          <w:sz w:val="24"/>
          <w:szCs w:val="24"/>
        </w:rPr>
        <w:t xml:space="preserve">o impart a parsimonious </w:t>
      </w:r>
      <w:r w:rsidR="00621F3C">
        <w:rPr>
          <w:rFonts w:ascii="Times New Roman" w:hAnsi="Times New Roman" w:cs="Times New Roman"/>
          <w:sz w:val="24"/>
          <w:szCs w:val="24"/>
        </w:rPr>
        <w:t xml:space="preserve">and interpretable </w:t>
      </w:r>
      <w:r w:rsidR="00291B8F" w:rsidRPr="00110128">
        <w:rPr>
          <w:rFonts w:ascii="Times New Roman" w:hAnsi="Times New Roman" w:cs="Times New Roman"/>
          <w:sz w:val="24"/>
          <w:szCs w:val="24"/>
        </w:rPr>
        <w:t>specification</w:t>
      </w:r>
      <w:r w:rsidR="00F766AE">
        <w:rPr>
          <w:rFonts w:ascii="Times New Roman" w:hAnsi="Times New Roman" w:cs="Times New Roman"/>
          <w:sz w:val="24"/>
          <w:szCs w:val="24"/>
        </w:rPr>
        <w:t>,</w:t>
      </w:r>
      <w:r w:rsidR="00291B8F" w:rsidRPr="00110128">
        <w:rPr>
          <w:rFonts w:ascii="Times New Roman" w:hAnsi="Times New Roman" w:cs="Times New Roman"/>
          <w:sz w:val="24"/>
          <w:szCs w:val="24"/>
        </w:rPr>
        <w:t xml:space="preserve"> while also imposing a logical identifiable structure on the correlation matrix, </w:t>
      </w:r>
      <w:r w:rsidR="00291B8F">
        <w:rPr>
          <w:rFonts w:ascii="Times New Roman" w:hAnsi="Times New Roman" w:cs="Times New Roman"/>
          <w:sz w:val="24"/>
          <w:szCs w:val="24"/>
        </w:rPr>
        <w:t xml:space="preserve">we restrict </w:t>
      </w:r>
      <w:r w:rsidR="00291B8F" w:rsidRPr="00110128">
        <w:rPr>
          <w:rFonts w:ascii="Times New Roman" w:hAnsi="Times New Roman" w:cs="Times New Roman"/>
          <w:sz w:val="24"/>
          <w:szCs w:val="24"/>
        </w:rPr>
        <w:t xml:space="preserve">the panel correlations </w:t>
      </w:r>
      <w:r w:rsidR="00621F3C">
        <w:rPr>
          <w:rFonts w:ascii="Times New Roman" w:hAnsi="Times New Roman" w:cs="Times New Roman"/>
          <w:sz w:val="24"/>
          <w:szCs w:val="24"/>
        </w:rPr>
        <w:t>to those between</w:t>
      </w:r>
      <w:r w:rsidR="008615FA">
        <w:rPr>
          <w:rFonts w:ascii="Times New Roman" w:hAnsi="Times New Roman" w:cs="Times New Roman"/>
          <w:sz w:val="24"/>
          <w:szCs w:val="24"/>
        </w:rPr>
        <w:t xml:space="preserve"> the same outcome variables across the choice occasions.</w:t>
      </w:r>
      <w:r w:rsidR="00621F3C">
        <w:rPr>
          <w:rFonts w:ascii="Times New Roman" w:hAnsi="Times New Roman" w:cs="Times New Roman"/>
          <w:sz w:val="24"/>
          <w:szCs w:val="24"/>
        </w:rPr>
        <w:t xml:space="preserve"> </w:t>
      </w:r>
      <w:r w:rsidR="000564E7">
        <w:rPr>
          <w:rFonts w:ascii="Times New Roman" w:hAnsi="Times New Roman" w:cs="Times New Roman"/>
          <w:sz w:val="24"/>
          <w:szCs w:val="24"/>
        </w:rPr>
        <w:t>T</w:t>
      </w:r>
      <w:r w:rsidR="00291B8F">
        <w:rPr>
          <w:rFonts w:ascii="Times New Roman" w:hAnsi="Times New Roman" w:cs="Times New Roman"/>
          <w:sz w:val="24"/>
          <w:szCs w:val="24"/>
        </w:rPr>
        <w:t xml:space="preserve">hus, for example, we allow the telework adoption outcome at the first choice occasion to be correlated with the telework adoption outcome at the second choice occasion (and similarly for the other two </w:t>
      </w:r>
      <w:r w:rsidR="00291B8F">
        <w:rPr>
          <w:rFonts w:ascii="Times New Roman" w:hAnsi="Times New Roman" w:cs="Times New Roman"/>
          <w:sz w:val="24"/>
          <w:szCs w:val="24"/>
        </w:rPr>
        <w:lastRenderedPageBreak/>
        <w:t>dimensions)</w:t>
      </w:r>
      <w:r w:rsidR="000564E7">
        <w:rPr>
          <w:rFonts w:ascii="Times New Roman" w:hAnsi="Times New Roman" w:cs="Times New Roman"/>
          <w:sz w:val="24"/>
          <w:szCs w:val="24"/>
        </w:rPr>
        <w:t xml:space="preserve">. </w:t>
      </w:r>
      <w:r w:rsidR="00621F3C">
        <w:rPr>
          <w:rFonts w:ascii="Times New Roman" w:hAnsi="Times New Roman" w:cs="Times New Roman"/>
          <w:sz w:val="24"/>
          <w:szCs w:val="24"/>
        </w:rPr>
        <w:t>But</w:t>
      </w:r>
      <w:r w:rsidR="000564E7">
        <w:rPr>
          <w:rFonts w:ascii="Times New Roman" w:hAnsi="Times New Roman" w:cs="Times New Roman"/>
          <w:sz w:val="24"/>
          <w:szCs w:val="24"/>
        </w:rPr>
        <w:t xml:space="preserve"> </w:t>
      </w:r>
      <w:r w:rsidR="00291B8F">
        <w:rPr>
          <w:rFonts w:ascii="Times New Roman" w:hAnsi="Times New Roman" w:cs="Times New Roman"/>
          <w:sz w:val="24"/>
          <w:szCs w:val="24"/>
        </w:rPr>
        <w:t xml:space="preserve">we do not allow, for example, the correlation between the telework adoption outcome at the first choice occasion with the telework frequency outcome at the second choice occasion (although they are allowed to be correlated within the same choice occasion). </w:t>
      </w:r>
      <w:r w:rsidR="00497CEA">
        <w:rPr>
          <w:rFonts w:ascii="Times New Roman" w:hAnsi="Times New Roman" w:cs="Times New Roman"/>
          <w:sz w:val="24"/>
          <w:szCs w:val="24"/>
        </w:rPr>
        <w:t>Importantly</w:t>
      </w:r>
      <w:r w:rsidR="00291B8F" w:rsidRPr="003D1AAE">
        <w:rPr>
          <w:rFonts w:ascii="Times New Roman" w:hAnsi="Times New Roman" w:cs="Times New Roman"/>
          <w:sz w:val="24"/>
          <w:szCs w:val="24"/>
        </w:rPr>
        <w:t xml:space="preserve">, </w:t>
      </w:r>
      <w:r w:rsidR="00497CEA">
        <w:rPr>
          <w:rFonts w:ascii="Times New Roman" w:hAnsi="Times New Roman" w:cs="Times New Roman"/>
          <w:sz w:val="24"/>
          <w:szCs w:val="24"/>
        </w:rPr>
        <w:t>note that all the elements in the</w:t>
      </w:r>
      <w:r w:rsidR="00291B8F" w:rsidRPr="003D1AAE">
        <w:rPr>
          <w:rFonts w:ascii="Times New Roman" w:hAnsi="Times New Roman" w:cs="Times New Roman"/>
          <w:sz w:val="24"/>
          <w:szCs w:val="24"/>
        </w:rPr>
        <w:t xml:space="preserve"> </w:t>
      </w:r>
      <w:r w:rsidR="002A04F4" w:rsidRPr="00E813B7">
        <w:rPr>
          <w:rFonts w:ascii="Times New Roman" w:hAnsi="Times New Roman" w:cs="Times New Roman"/>
          <w:position w:val="-12"/>
          <w:sz w:val="24"/>
          <w:szCs w:val="24"/>
        </w:rPr>
        <w:object w:dxaOrig="300" w:dyaOrig="360" w14:anchorId="59683125">
          <v:shape id="_x0000_i1096" type="#_x0000_t75" style="width:15.15pt;height:18pt" o:ole="" o:preferrelative="f">
            <v:imagedata r:id="rId148" o:title=""/>
            <o:lock v:ext="edit" aspectratio="f"/>
          </v:shape>
          <o:OLEObject Type="Embed" ProgID="Equation.DSMT4" ShapeID="_x0000_i1096" DrawAspect="Content" ObjectID="_1764157411" r:id="rId149"/>
        </w:object>
      </w:r>
      <w:r w:rsidR="00291B8F" w:rsidRPr="00E813B7">
        <w:rPr>
          <w:rFonts w:ascii="Times New Roman" w:hAnsi="Times New Roman" w:cs="Times New Roman"/>
          <w:sz w:val="24"/>
          <w:szCs w:val="24"/>
        </w:rPr>
        <w:t>matrices (</w:t>
      </w:r>
      <w:r w:rsidR="002A04F4" w:rsidRPr="00E813B7">
        <w:rPr>
          <w:rFonts w:ascii="Times New Roman" w:hAnsi="Times New Roman" w:cs="Times New Roman"/>
          <w:position w:val="-12"/>
          <w:sz w:val="24"/>
          <w:szCs w:val="24"/>
        </w:rPr>
        <w:object w:dxaOrig="300" w:dyaOrig="360" w14:anchorId="0D32404C">
          <v:shape id="_x0000_i1097" type="#_x0000_t75" style="width:15.15pt;height:18pt" o:ole="" o:preferrelative="f">
            <v:imagedata r:id="rId150" o:title=""/>
            <o:lock v:ext="edit" aspectratio="f"/>
          </v:shape>
          <o:OLEObject Type="Embed" ProgID="Equation.DSMT4" ShapeID="_x0000_i1097" DrawAspect="Content" ObjectID="_1764157412" r:id="rId151"/>
        </w:object>
      </w:r>
      <w:r w:rsidR="00291B8F" w:rsidRPr="00E813B7">
        <w:rPr>
          <w:rFonts w:ascii="Times New Roman" w:hAnsi="Times New Roman" w:cs="Times New Roman"/>
          <w:sz w:val="24"/>
          <w:szCs w:val="24"/>
        </w:rPr>
        <w:t xml:space="preserve">and </w:t>
      </w:r>
      <w:r w:rsidR="002A04F4" w:rsidRPr="00E813B7">
        <w:rPr>
          <w:rFonts w:ascii="Times New Roman" w:hAnsi="Times New Roman" w:cs="Times New Roman"/>
          <w:position w:val="-12"/>
          <w:sz w:val="24"/>
          <w:szCs w:val="24"/>
        </w:rPr>
        <w:object w:dxaOrig="320" w:dyaOrig="360" w14:anchorId="5BD94DA5">
          <v:shape id="_x0000_i1098" type="#_x0000_t75" style="width:16.6pt;height:18pt" o:ole="" o:preferrelative="f">
            <v:imagedata r:id="rId152" o:title=""/>
            <o:lock v:ext="edit" aspectratio="f"/>
          </v:shape>
          <o:OLEObject Type="Embed" ProgID="Equation.DSMT4" ShapeID="_x0000_i1098" DrawAspect="Content" ObjectID="_1764157413" r:id="rId153"/>
        </w:object>
      </w:r>
      <w:r w:rsidR="00291B8F" w:rsidRPr="00E813B7">
        <w:rPr>
          <w:rFonts w:ascii="Times New Roman" w:hAnsi="Times New Roman" w:cs="Times New Roman"/>
          <w:sz w:val="24"/>
          <w:szCs w:val="24"/>
        </w:rPr>
        <w:t>)</w:t>
      </w:r>
      <w:r w:rsidR="00291B8F" w:rsidRPr="003D1AAE">
        <w:rPr>
          <w:rFonts w:ascii="Times New Roman" w:hAnsi="Times New Roman" w:cs="Times New Roman"/>
          <w:sz w:val="24"/>
          <w:szCs w:val="24"/>
        </w:rPr>
        <w:t xml:space="preserve"> are</w:t>
      </w:r>
      <w:r w:rsidR="00497CEA">
        <w:rPr>
          <w:rFonts w:ascii="Times New Roman" w:hAnsi="Times New Roman" w:cs="Times New Roman"/>
          <w:sz w:val="24"/>
          <w:szCs w:val="24"/>
        </w:rPr>
        <w:t xml:space="preserve"> identifiable</w:t>
      </w:r>
      <w:r w:rsidR="00DF04BD">
        <w:rPr>
          <w:rFonts w:ascii="Times New Roman" w:hAnsi="Times New Roman" w:cs="Times New Roman"/>
          <w:sz w:val="24"/>
          <w:szCs w:val="24"/>
        </w:rPr>
        <w:t xml:space="preserve"> (because the correlation matrix of the nominal outcome at any choice occasion, </w:t>
      </w:r>
      <w:r w:rsidR="002A04F4" w:rsidRPr="00D719D6">
        <w:rPr>
          <w:rFonts w:ascii="Times New Roman" w:hAnsi="Times New Roman" w:cs="Times New Roman"/>
          <w:position w:val="-12"/>
          <w:sz w:val="24"/>
          <w:szCs w:val="24"/>
        </w:rPr>
        <w:object w:dxaOrig="360" w:dyaOrig="360" w14:anchorId="1778AA76">
          <v:shape id="_x0000_i1099" type="#_x0000_t75" style="width:18pt;height:18pt" o:ole="" o:preferrelative="f">
            <v:imagedata r:id="rId154" o:title=""/>
            <o:lock v:ext="edit" aspectratio="f"/>
          </v:shape>
          <o:OLEObject Type="Embed" ProgID="Equation.DSMT4" ShapeID="_x0000_i1099" DrawAspect="Content" ObjectID="_1764157414" r:id="rId155"/>
        </w:object>
      </w:r>
      <w:r w:rsidR="00DF04BD" w:rsidRPr="00E1729F">
        <w:rPr>
          <w:rFonts w:ascii="Times New Roman" w:hAnsi="Times New Roman" w:cs="Times New Roman"/>
          <w:sz w:val="24"/>
          <w:szCs w:val="24"/>
        </w:rPr>
        <w:t>, is in the differenced form)</w:t>
      </w:r>
      <w:r w:rsidR="00B458EB">
        <w:rPr>
          <w:rFonts w:ascii="Times New Roman" w:hAnsi="Times New Roman" w:cs="Times New Roman"/>
          <w:sz w:val="24"/>
          <w:szCs w:val="24"/>
        </w:rPr>
        <w:t>, and therefore the correlation matrix</w:t>
      </w:r>
      <w:r w:rsidR="001A0321">
        <w:rPr>
          <w:rFonts w:ascii="Times New Roman" w:hAnsi="Times New Roman" w:cs="Times New Roman"/>
          <w:sz w:val="24"/>
          <w:szCs w:val="24"/>
        </w:rPr>
        <w:t xml:space="preserve"> </w:t>
      </w:r>
      <w:r w:rsidR="002A04F4" w:rsidRPr="00D719D6">
        <w:rPr>
          <w:rFonts w:ascii="Times New Roman" w:hAnsi="Times New Roman" w:cs="Times New Roman"/>
          <w:position w:val="-4"/>
          <w:sz w:val="24"/>
          <w:szCs w:val="24"/>
        </w:rPr>
        <w:object w:dxaOrig="240" w:dyaOrig="260" w14:anchorId="1EB8AC91">
          <v:shape id="_x0000_i1100" type="#_x0000_t75" style="width:11.85pt;height:12.8pt" o:ole="" o:preferrelative="f">
            <v:imagedata r:id="rId156" o:title=""/>
            <o:lock v:ext="edit" aspectratio="f"/>
          </v:shape>
          <o:OLEObject Type="Embed" ProgID="Equation.DSMT4" ShapeID="_x0000_i1100" DrawAspect="Content" ObjectID="_1764157415" r:id="rId157"/>
        </w:object>
      </w:r>
      <w:r w:rsidR="00B458EB">
        <w:rPr>
          <w:rFonts w:ascii="Times New Roman" w:hAnsi="Times New Roman" w:cs="Times New Roman"/>
          <w:sz w:val="24"/>
          <w:szCs w:val="24"/>
        </w:rPr>
        <w:t xml:space="preserve"> is estimable</w:t>
      </w:r>
      <w:r w:rsidR="00497CEA">
        <w:rPr>
          <w:rFonts w:ascii="Times New Roman" w:hAnsi="Times New Roman" w:cs="Times New Roman"/>
          <w:sz w:val="24"/>
          <w:szCs w:val="24"/>
        </w:rPr>
        <w:t>.</w:t>
      </w:r>
      <w:r w:rsidR="00DE22A0">
        <w:rPr>
          <w:rStyle w:val="FootnoteReference"/>
          <w:rFonts w:ascii="Times New Roman" w:hAnsi="Times New Roman" w:cs="Times New Roman"/>
          <w:sz w:val="24"/>
          <w:szCs w:val="24"/>
        </w:rPr>
        <w:footnoteReference w:id="9"/>
      </w:r>
      <w:r w:rsidR="008F57AA">
        <w:rPr>
          <w:rFonts w:ascii="Times New Roman" w:hAnsi="Times New Roman" w:cs="Times New Roman"/>
          <w:sz w:val="24"/>
          <w:szCs w:val="24"/>
        </w:rPr>
        <w:t xml:space="preserve"> </w:t>
      </w:r>
    </w:p>
    <w:p w14:paraId="4AD6B97F" w14:textId="046FC2EE" w:rsidR="00DB4D22" w:rsidRDefault="00DB4D22" w:rsidP="00DB4D22">
      <w:pPr>
        <w:spacing w:after="0" w:line="276" w:lineRule="auto"/>
        <w:rPr>
          <w:rFonts w:ascii="Times New Roman" w:hAnsi="Times New Roman" w:cs="Times New Roman"/>
          <w:sz w:val="24"/>
          <w:szCs w:val="24"/>
        </w:rPr>
      </w:pPr>
    </w:p>
    <w:p w14:paraId="681C263E" w14:textId="6E9587C3" w:rsidR="00DB4D22" w:rsidRPr="000D4FD3" w:rsidRDefault="00A03376" w:rsidP="00DB4D22">
      <w:pPr>
        <w:spacing w:after="0" w:line="276" w:lineRule="auto"/>
        <w:rPr>
          <w:rFonts w:ascii="Times New Roman" w:hAnsi="Times New Roman" w:cs="Times New Roman"/>
          <w:b/>
          <w:i/>
          <w:sz w:val="24"/>
        </w:rPr>
      </w:pPr>
      <w:r>
        <w:rPr>
          <w:rFonts w:ascii="Times New Roman" w:hAnsi="Times New Roman" w:cs="Times New Roman"/>
          <w:b/>
          <w:i/>
          <w:sz w:val="24"/>
        </w:rPr>
        <w:t>4</w:t>
      </w:r>
      <w:r w:rsidR="00DB4D22" w:rsidRPr="000D4FD3">
        <w:rPr>
          <w:rFonts w:ascii="Times New Roman" w:hAnsi="Times New Roman" w:cs="Times New Roman"/>
          <w:b/>
          <w:i/>
          <w:sz w:val="24"/>
        </w:rPr>
        <w:t>.2.2. Estimation</w:t>
      </w:r>
    </w:p>
    <w:p w14:paraId="120AF672" w14:textId="212E5B0E" w:rsidR="00FA2766" w:rsidRDefault="00BB5987" w:rsidP="00DB4D2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For ease in presentation, we will consider the most comprehensive estimation case </w:t>
      </w:r>
      <w:r w:rsidR="00FA2766">
        <w:rPr>
          <w:rFonts w:ascii="Times New Roman" w:hAnsi="Times New Roman" w:cs="Times New Roman"/>
          <w:sz w:val="24"/>
          <w:szCs w:val="24"/>
        </w:rPr>
        <w:t xml:space="preserve">here </w:t>
      </w:r>
      <w:r>
        <w:rPr>
          <w:rFonts w:ascii="Times New Roman" w:hAnsi="Times New Roman" w:cs="Times New Roman"/>
          <w:sz w:val="24"/>
          <w:szCs w:val="24"/>
        </w:rPr>
        <w:t xml:space="preserve">when an individual is observed to be teleworking in both the </w:t>
      </w:r>
      <w:r w:rsidR="00700FD4">
        <w:rPr>
          <w:rFonts w:ascii="Times New Roman" w:hAnsi="Times New Roman" w:cs="Times New Roman"/>
          <w:i/>
          <w:sz w:val="24"/>
          <w:szCs w:val="24"/>
        </w:rPr>
        <w:t>B</w:t>
      </w:r>
      <w:r w:rsidRPr="00961062">
        <w:rPr>
          <w:rFonts w:ascii="Times New Roman" w:hAnsi="Times New Roman" w:cs="Times New Roman"/>
          <w:i/>
          <w:sz w:val="24"/>
          <w:szCs w:val="24"/>
        </w:rPr>
        <w:t>efore</w:t>
      </w:r>
      <w:r w:rsidR="00EF49C0">
        <w:rPr>
          <w:rFonts w:ascii="Times New Roman" w:hAnsi="Times New Roman" w:cs="Times New Roman"/>
          <w:i/>
          <w:sz w:val="24"/>
          <w:szCs w:val="24"/>
        </w:rPr>
        <w:t xml:space="preserve"> </w:t>
      </w:r>
      <w:r w:rsidRPr="00EF49C0">
        <w:rPr>
          <w:rFonts w:ascii="Times New Roman" w:hAnsi="Times New Roman" w:cs="Times New Roman"/>
          <w:sz w:val="24"/>
          <w:szCs w:val="24"/>
        </w:rPr>
        <w:t>COVID</w:t>
      </w:r>
      <w:r>
        <w:rPr>
          <w:rFonts w:ascii="Times New Roman" w:hAnsi="Times New Roman" w:cs="Times New Roman"/>
          <w:sz w:val="24"/>
          <w:szCs w:val="24"/>
        </w:rPr>
        <w:t xml:space="preserve"> and </w:t>
      </w:r>
      <w:r w:rsidR="00700FD4">
        <w:rPr>
          <w:rFonts w:ascii="Times New Roman" w:hAnsi="Times New Roman" w:cs="Times New Roman"/>
          <w:i/>
          <w:sz w:val="24"/>
          <w:szCs w:val="24"/>
        </w:rPr>
        <w:t>A</w:t>
      </w:r>
      <w:r w:rsidRPr="00961062">
        <w:rPr>
          <w:rFonts w:ascii="Times New Roman" w:hAnsi="Times New Roman" w:cs="Times New Roman"/>
          <w:i/>
          <w:sz w:val="24"/>
          <w:szCs w:val="24"/>
        </w:rPr>
        <w:t>fter</w:t>
      </w:r>
      <w:r w:rsidR="00EF49C0">
        <w:rPr>
          <w:rFonts w:ascii="Times New Roman" w:hAnsi="Times New Roman" w:cs="Times New Roman"/>
          <w:i/>
          <w:sz w:val="24"/>
          <w:szCs w:val="24"/>
        </w:rPr>
        <w:t xml:space="preserve"> </w:t>
      </w:r>
      <w:r w:rsidRPr="00EF49C0">
        <w:rPr>
          <w:rFonts w:ascii="Times New Roman" w:hAnsi="Times New Roman" w:cs="Times New Roman"/>
          <w:sz w:val="24"/>
          <w:szCs w:val="24"/>
        </w:rPr>
        <w:t xml:space="preserve">COVID </w:t>
      </w:r>
      <w:r>
        <w:rPr>
          <w:rFonts w:ascii="Times New Roman" w:hAnsi="Times New Roman" w:cs="Times New Roman"/>
          <w:sz w:val="24"/>
          <w:szCs w:val="24"/>
        </w:rPr>
        <w:t xml:space="preserve">periods. </w:t>
      </w:r>
      <w:r w:rsidR="00FA2766">
        <w:rPr>
          <w:rFonts w:ascii="Times New Roman" w:hAnsi="Times New Roman" w:cs="Times New Roman"/>
          <w:sz w:val="24"/>
          <w:szCs w:val="24"/>
        </w:rPr>
        <w:t xml:space="preserve">In this situation, both the teleworking frequency and the teleworking location dimensions come into play at both choice occasions. </w:t>
      </w:r>
      <w:r>
        <w:rPr>
          <w:rFonts w:ascii="Times New Roman" w:hAnsi="Times New Roman" w:cs="Times New Roman"/>
          <w:sz w:val="24"/>
          <w:szCs w:val="24"/>
        </w:rPr>
        <w:t xml:space="preserve">If an individual is not teleworking at one or both occasions, the procedure discussed below </w:t>
      </w:r>
      <w:r w:rsidR="00FA2766">
        <w:rPr>
          <w:rFonts w:ascii="Times New Roman" w:hAnsi="Times New Roman" w:cs="Times New Roman"/>
          <w:sz w:val="24"/>
          <w:szCs w:val="24"/>
        </w:rPr>
        <w:t xml:space="preserve">needs to be </w:t>
      </w:r>
      <w:r w:rsidR="00AD1DB1">
        <w:rPr>
          <w:rFonts w:ascii="Times New Roman" w:hAnsi="Times New Roman" w:cs="Times New Roman"/>
          <w:sz w:val="24"/>
          <w:szCs w:val="24"/>
        </w:rPr>
        <w:t xml:space="preserve">only slightly </w:t>
      </w:r>
      <w:r w:rsidR="00FA2766">
        <w:rPr>
          <w:rFonts w:ascii="Times New Roman" w:hAnsi="Times New Roman" w:cs="Times New Roman"/>
          <w:sz w:val="24"/>
          <w:szCs w:val="24"/>
        </w:rPr>
        <w:t xml:space="preserve">modified to obtain </w:t>
      </w:r>
      <w:r w:rsidR="00AD1DB1">
        <w:rPr>
          <w:rFonts w:ascii="Times New Roman" w:hAnsi="Times New Roman" w:cs="Times New Roman"/>
          <w:sz w:val="24"/>
          <w:szCs w:val="24"/>
        </w:rPr>
        <w:t>the corresponding matrices marginalized to include only the telework adoption equation elements</w:t>
      </w:r>
      <w:r w:rsidR="00FA2766">
        <w:rPr>
          <w:rFonts w:ascii="Times New Roman" w:hAnsi="Times New Roman" w:cs="Times New Roman"/>
          <w:sz w:val="24"/>
          <w:szCs w:val="24"/>
        </w:rPr>
        <w:t xml:space="preserve">. </w:t>
      </w:r>
    </w:p>
    <w:p w14:paraId="3526E9D7" w14:textId="2DCEF4CB" w:rsidR="00BD305B" w:rsidRPr="00110128" w:rsidRDefault="009F1215" w:rsidP="000D45A8">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Let the individual under consideration be observed to </w:t>
      </w:r>
      <w:r w:rsidR="00FD06E9">
        <w:rPr>
          <w:rFonts w:ascii="Times New Roman" w:hAnsi="Times New Roman" w:cs="Times New Roman"/>
          <w:sz w:val="24"/>
          <w:szCs w:val="24"/>
        </w:rPr>
        <w:t xml:space="preserve">choose </w:t>
      </w:r>
      <w:r w:rsidR="00CC3EE0">
        <w:rPr>
          <w:rFonts w:ascii="Times New Roman" w:hAnsi="Times New Roman" w:cs="Times New Roman"/>
          <w:sz w:val="24"/>
          <w:szCs w:val="24"/>
        </w:rPr>
        <w:t xml:space="preserve">ordinal category </w:t>
      </w:r>
      <w:r w:rsidR="00CC3EE0" w:rsidRPr="0090363A">
        <w:rPr>
          <w:rFonts w:ascii="Times New Roman" w:hAnsi="Times New Roman" w:cs="Times New Roman"/>
          <w:position w:val="-12"/>
          <w:sz w:val="24"/>
          <w:szCs w:val="24"/>
        </w:rPr>
        <w:object w:dxaOrig="260" w:dyaOrig="360" w14:anchorId="6E3838D3">
          <v:shape id="_x0000_i1101" type="#_x0000_t75" style="width:12.8pt;height:18.95pt" o:ole="" o:preferrelative="f">
            <v:imagedata r:id="rId158" o:title=""/>
            <o:lock v:ext="edit" aspectratio="f"/>
          </v:shape>
          <o:OLEObject Type="Embed" ProgID="Equation.DSMT4" ShapeID="_x0000_i1101" DrawAspect="Content" ObjectID="_1764157416" r:id="rId159"/>
        </w:object>
      </w:r>
      <w:r w:rsidR="00E60321" w:rsidRPr="0090363A">
        <w:rPr>
          <w:rFonts w:ascii="Times New Roman" w:hAnsi="Times New Roman" w:cs="Times New Roman"/>
          <w:position w:val="-12"/>
          <w:sz w:val="24"/>
          <w:szCs w:val="24"/>
        </w:rPr>
        <w:object w:dxaOrig="1740" w:dyaOrig="360" w14:anchorId="2C848506">
          <v:shape id="_x0000_i1102" type="#_x0000_t75" style="width:87.65pt;height:18.95pt" o:ole="" o:preferrelative="f">
            <v:imagedata r:id="rId160" o:title=""/>
            <o:lock v:ext="edit" aspectratio="f"/>
          </v:shape>
          <o:OLEObject Type="Embed" ProgID="Equation.DSMT4" ShapeID="_x0000_i1102" DrawAspect="Content" ObjectID="_1764157417" r:id="rId161"/>
        </w:object>
      </w:r>
      <w:r w:rsidR="00E60321">
        <w:rPr>
          <w:rFonts w:ascii="Times New Roman" w:hAnsi="Times New Roman" w:cs="Times New Roman"/>
          <w:sz w:val="24"/>
          <w:szCs w:val="24"/>
        </w:rPr>
        <w:t xml:space="preserve"> </w:t>
      </w:r>
      <w:r w:rsidR="00CC3EE0">
        <w:rPr>
          <w:rFonts w:ascii="Times New Roman" w:hAnsi="Times New Roman" w:cs="Times New Roman"/>
          <w:sz w:val="24"/>
          <w:szCs w:val="24"/>
        </w:rPr>
        <w:t>for the telework frequency and</w:t>
      </w:r>
      <w:r w:rsidR="00AC0069">
        <w:rPr>
          <w:rFonts w:ascii="Times New Roman" w:hAnsi="Times New Roman" w:cs="Times New Roman"/>
          <w:sz w:val="24"/>
          <w:szCs w:val="24"/>
        </w:rPr>
        <w:t xml:space="preserve"> </w:t>
      </w:r>
      <w:r w:rsidR="00CC3EE0">
        <w:rPr>
          <w:rFonts w:ascii="Times New Roman" w:hAnsi="Times New Roman" w:cs="Times New Roman"/>
          <w:sz w:val="24"/>
          <w:szCs w:val="24"/>
        </w:rPr>
        <w:t xml:space="preserve">the nominal category </w:t>
      </w:r>
      <w:r w:rsidR="00CC3EE0" w:rsidRPr="0090363A">
        <w:rPr>
          <w:rFonts w:ascii="Times New Roman" w:hAnsi="Times New Roman" w:cs="Times New Roman"/>
          <w:position w:val="-12"/>
          <w:sz w:val="24"/>
          <w:szCs w:val="24"/>
        </w:rPr>
        <w:object w:dxaOrig="300" w:dyaOrig="360" w14:anchorId="1B3B5D0C">
          <v:shape id="_x0000_i1103" type="#_x0000_t75" style="width:15.65pt;height:18.95pt" o:ole="" o:preferrelative="f">
            <v:imagedata r:id="rId162" o:title=""/>
            <o:lock v:ext="edit" aspectratio="f"/>
          </v:shape>
          <o:OLEObject Type="Embed" ProgID="Equation.DSMT4" ShapeID="_x0000_i1103" DrawAspect="Content" ObjectID="_1764157418" r:id="rId163"/>
        </w:object>
      </w:r>
      <w:r w:rsidR="00CC3EE0">
        <w:rPr>
          <w:rFonts w:ascii="Times New Roman" w:hAnsi="Times New Roman" w:cs="Times New Roman"/>
          <w:sz w:val="24"/>
          <w:szCs w:val="24"/>
        </w:rPr>
        <w:t xml:space="preserve"> </w:t>
      </w:r>
      <w:r w:rsidR="00AC0069">
        <w:rPr>
          <w:rFonts w:ascii="Times New Roman" w:hAnsi="Times New Roman" w:cs="Times New Roman"/>
          <w:sz w:val="24"/>
          <w:szCs w:val="24"/>
        </w:rPr>
        <w:t xml:space="preserve">for telework location </w:t>
      </w:r>
      <w:r w:rsidR="00CC3EE0">
        <w:rPr>
          <w:rFonts w:ascii="Times New Roman" w:hAnsi="Times New Roman" w:cs="Times New Roman"/>
          <w:sz w:val="24"/>
          <w:szCs w:val="24"/>
        </w:rPr>
        <w:t xml:space="preserve">at choice occasion </w:t>
      </w:r>
      <w:r w:rsidR="00CC3EE0" w:rsidRPr="00961062">
        <w:rPr>
          <w:rFonts w:ascii="Times New Roman" w:hAnsi="Times New Roman" w:cs="Times New Roman"/>
          <w:i/>
          <w:sz w:val="24"/>
          <w:szCs w:val="24"/>
        </w:rPr>
        <w:t>t</w:t>
      </w:r>
      <w:r w:rsidR="00AE56E3">
        <w:rPr>
          <w:rFonts w:ascii="Times New Roman" w:hAnsi="Times New Roman" w:cs="Times New Roman"/>
          <w:sz w:val="24"/>
          <w:szCs w:val="24"/>
        </w:rPr>
        <w:t xml:space="preserve">. </w:t>
      </w:r>
      <w:r w:rsidR="00CC3EE0">
        <w:rPr>
          <w:rFonts w:ascii="Times New Roman" w:hAnsi="Times New Roman" w:cs="Times New Roman"/>
          <w:sz w:val="24"/>
          <w:szCs w:val="24"/>
        </w:rPr>
        <w:t xml:space="preserve"> </w:t>
      </w:r>
      <w:r w:rsidR="00664373">
        <w:rPr>
          <w:rFonts w:ascii="Times New Roman" w:hAnsi="Times New Roman" w:cs="Times New Roman"/>
          <w:sz w:val="24"/>
          <w:szCs w:val="24"/>
        </w:rPr>
        <w:t>Construct</w:t>
      </w:r>
      <w:r w:rsidR="00CC3EE0">
        <w:rPr>
          <w:rFonts w:ascii="Times New Roman" w:hAnsi="Times New Roman" w:cs="Times New Roman"/>
          <w:sz w:val="24"/>
          <w:szCs w:val="24"/>
        </w:rPr>
        <w:t xml:space="preserve"> </w:t>
      </w:r>
      <w:r w:rsidR="00664373">
        <w:rPr>
          <w:rFonts w:ascii="Times New Roman" w:hAnsi="Times New Roman" w:cs="Times New Roman"/>
          <w:sz w:val="24"/>
          <w:szCs w:val="24"/>
        </w:rPr>
        <w:t xml:space="preserve">a </w:t>
      </w:r>
      <w:r w:rsidR="00E60321" w:rsidRPr="00144D25">
        <w:rPr>
          <w:position w:val="-10"/>
        </w:rPr>
        <w:object w:dxaOrig="980" w:dyaOrig="320" w14:anchorId="153AFA4A">
          <v:shape id="_x0000_i1104" type="#_x0000_t75" style="width:49.25pt;height:16.6pt" o:ole="">
            <v:imagedata r:id="rId164" o:title=""/>
          </v:shape>
          <o:OLEObject Type="Embed" ProgID="Equation.DSMT4" ShapeID="_x0000_i1104" DrawAspect="Content" ObjectID="_1764157419" r:id="rId165"/>
        </w:object>
      </w:r>
      <w:r w:rsidR="00E60321">
        <w:t xml:space="preserve"> </w:t>
      </w:r>
      <w:r w:rsidR="00E60321">
        <w:rPr>
          <w:rFonts w:ascii="Times New Roman" w:hAnsi="Times New Roman" w:cs="Times New Roman"/>
          <w:sz w:val="24"/>
          <w:szCs w:val="24"/>
        </w:rPr>
        <w:t>vector</w:t>
      </w:r>
      <w:r w:rsidR="00CC3EE0">
        <w:rPr>
          <w:rFonts w:ascii="Times New Roman" w:hAnsi="Times New Roman" w:cs="Times New Roman"/>
          <w:sz w:val="24"/>
          <w:szCs w:val="24"/>
        </w:rPr>
        <w:t xml:space="preserve"> </w:t>
      </w:r>
      <w:r w:rsidR="002A04F4" w:rsidRPr="00817E54">
        <w:rPr>
          <w:rFonts w:ascii="Times New Roman" w:hAnsi="Times New Roman" w:cs="Times New Roman"/>
          <w:position w:val="-12"/>
          <w:sz w:val="24"/>
          <w:szCs w:val="24"/>
        </w:rPr>
        <w:object w:dxaOrig="540" w:dyaOrig="360" w14:anchorId="73A2C053">
          <v:shape id="_x0000_i1105" type="#_x0000_t75" style="width:27pt;height:18pt" o:ole="" o:preferrelative="f">
            <v:imagedata r:id="rId166" o:title=""/>
            <o:lock v:ext="edit" aspectratio="f"/>
          </v:shape>
          <o:OLEObject Type="Embed" ProgID="Equation.DSMT4" ShapeID="_x0000_i1105" DrawAspect="Content" ObjectID="_1764157420" r:id="rId167"/>
        </w:object>
      </w:r>
      <w:r w:rsidR="00E60321">
        <w:rPr>
          <w:rFonts w:ascii="Times New Roman" w:hAnsi="Times New Roman" w:cs="Times New Roman"/>
          <w:sz w:val="24"/>
          <w:szCs w:val="24"/>
        </w:rPr>
        <w:t xml:space="preserve"> and another </w:t>
      </w:r>
      <w:r w:rsidR="00E60321" w:rsidRPr="00144D25">
        <w:rPr>
          <w:position w:val="-10"/>
        </w:rPr>
        <w:object w:dxaOrig="980" w:dyaOrig="320" w14:anchorId="0F805E5E">
          <v:shape id="_x0000_i1106" type="#_x0000_t75" style="width:49.25pt;height:16.6pt" o:ole="">
            <v:imagedata r:id="rId164" o:title=""/>
          </v:shape>
          <o:OLEObject Type="Embed" ProgID="Equation.DSMT4" ShapeID="_x0000_i1106" DrawAspect="Content" ObjectID="_1764157421" r:id="rId168"/>
        </w:object>
      </w:r>
      <w:r w:rsidR="00E60321">
        <w:t xml:space="preserve"> </w:t>
      </w:r>
      <w:r w:rsidR="00E60321">
        <w:rPr>
          <w:rFonts w:ascii="Times New Roman" w:hAnsi="Times New Roman" w:cs="Times New Roman"/>
          <w:sz w:val="24"/>
          <w:szCs w:val="24"/>
        </w:rPr>
        <w:t xml:space="preserve">vector </w:t>
      </w:r>
      <w:r w:rsidR="002A04F4" w:rsidRPr="00144D25">
        <w:rPr>
          <w:rFonts w:ascii="Times New Roman" w:hAnsi="Times New Roman" w:cs="Times New Roman"/>
          <w:position w:val="-14"/>
          <w:sz w:val="24"/>
          <w:szCs w:val="24"/>
        </w:rPr>
        <w:object w:dxaOrig="580" w:dyaOrig="380" w14:anchorId="4AB108CD">
          <v:shape id="_x0000_i1107" type="#_x0000_t75" style="width:28.4pt;height:18.95pt" o:ole="" o:preferrelative="f">
            <v:imagedata r:id="rId169" o:title=""/>
            <o:lock v:ext="edit" aspectratio="f"/>
          </v:shape>
          <o:OLEObject Type="Embed" ProgID="Equation.DSMT4" ShapeID="_x0000_i1107" DrawAspect="Content" ObjectID="_1764157422" r:id="rId170"/>
        </w:object>
      </w:r>
      <w:r w:rsidR="00E60321">
        <w:rPr>
          <w:rFonts w:ascii="Times New Roman" w:hAnsi="Times New Roman" w:cs="Times New Roman"/>
          <w:sz w:val="24"/>
          <w:szCs w:val="24"/>
        </w:rPr>
        <w:t xml:space="preserve">. Populate both these row vectors with zeros, and then position the value of ‘1’ in the </w:t>
      </w:r>
      <w:r w:rsidR="00E60321" w:rsidRPr="0090363A">
        <w:rPr>
          <w:rFonts w:ascii="Times New Roman" w:hAnsi="Times New Roman" w:cs="Times New Roman"/>
          <w:position w:val="-12"/>
          <w:sz w:val="24"/>
          <w:szCs w:val="24"/>
        </w:rPr>
        <w:object w:dxaOrig="260" w:dyaOrig="360" w14:anchorId="43704381">
          <v:shape id="_x0000_i1108" type="#_x0000_t75" style="width:12.8pt;height:18.95pt" o:ole="" o:preferrelative="f">
            <v:imagedata r:id="rId158" o:title=""/>
            <o:lock v:ext="edit" aspectratio="f"/>
          </v:shape>
          <o:OLEObject Type="Embed" ProgID="Equation.DSMT4" ShapeID="_x0000_i1108" DrawAspect="Content" ObjectID="_1764157423" r:id="rId171"/>
        </w:object>
      </w:r>
      <w:proofErr w:type="spellStart"/>
      <w:r w:rsidR="00E60321">
        <w:rPr>
          <w:rFonts w:ascii="Times New Roman" w:hAnsi="Times New Roman" w:cs="Times New Roman"/>
          <w:sz w:val="24"/>
          <w:szCs w:val="24"/>
        </w:rPr>
        <w:t>th</w:t>
      </w:r>
      <w:proofErr w:type="spellEnd"/>
      <w:r w:rsidR="00E60321">
        <w:rPr>
          <w:rFonts w:ascii="Times New Roman" w:hAnsi="Times New Roman" w:cs="Times New Roman"/>
          <w:sz w:val="24"/>
          <w:szCs w:val="24"/>
        </w:rPr>
        <w:t xml:space="preserve"> column of </w:t>
      </w:r>
      <w:r w:rsidR="002A04F4" w:rsidRPr="00817E54">
        <w:rPr>
          <w:rFonts w:ascii="Times New Roman" w:hAnsi="Times New Roman" w:cs="Times New Roman"/>
          <w:position w:val="-12"/>
          <w:sz w:val="24"/>
          <w:szCs w:val="24"/>
        </w:rPr>
        <w:object w:dxaOrig="540" w:dyaOrig="360" w14:anchorId="32D1CEEC">
          <v:shape id="_x0000_i1109" type="#_x0000_t75" style="width:27pt;height:18pt" o:ole="" o:preferrelative="f">
            <v:imagedata r:id="rId166" o:title=""/>
            <o:lock v:ext="edit" aspectratio="f"/>
          </v:shape>
          <o:OLEObject Type="Embed" ProgID="Equation.DSMT4" ShapeID="_x0000_i1109" DrawAspect="Content" ObjectID="_1764157424" r:id="rId172"/>
        </w:object>
      </w:r>
      <w:r w:rsidR="00E60321">
        <w:rPr>
          <w:rFonts w:ascii="Times New Roman" w:hAnsi="Times New Roman" w:cs="Times New Roman"/>
          <w:sz w:val="24"/>
          <w:szCs w:val="24"/>
        </w:rPr>
        <w:t xml:space="preserve"> and position the value of ‘1’ in the </w:t>
      </w:r>
      <w:r w:rsidR="00E60321" w:rsidRPr="0090363A">
        <w:rPr>
          <w:rFonts w:ascii="Times New Roman" w:hAnsi="Times New Roman" w:cs="Times New Roman"/>
          <w:position w:val="-12"/>
          <w:sz w:val="24"/>
          <w:szCs w:val="24"/>
        </w:rPr>
        <w:object w:dxaOrig="740" w:dyaOrig="360" w14:anchorId="2132E2E1">
          <v:shape id="_x0000_i1110" type="#_x0000_t75" style="width:37.4pt;height:18.95pt" o:ole="" o:preferrelative="f">
            <v:imagedata r:id="rId173" o:title=""/>
            <o:lock v:ext="edit" aspectratio="f"/>
          </v:shape>
          <o:OLEObject Type="Embed" ProgID="Equation.DSMT4" ShapeID="_x0000_i1110" DrawAspect="Content" ObjectID="_1764157425" r:id="rId174"/>
        </w:object>
      </w:r>
      <w:proofErr w:type="spellStart"/>
      <w:r w:rsidR="00E60321">
        <w:rPr>
          <w:rFonts w:ascii="Times New Roman" w:hAnsi="Times New Roman" w:cs="Times New Roman"/>
          <w:sz w:val="24"/>
          <w:szCs w:val="24"/>
        </w:rPr>
        <w:t>th</w:t>
      </w:r>
      <w:proofErr w:type="spellEnd"/>
      <w:r w:rsidR="00E60321">
        <w:rPr>
          <w:rFonts w:ascii="Times New Roman" w:hAnsi="Times New Roman" w:cs="Times New Roman"/>
          <w:sz w:val="24"/>
          <w:szCs w:val="24"/>
        </w:rPr>
        <w:t xml:space="preserve"> column</w:t>
      </w:r>
      <w:r w:rsidR="00FA2766">
        <w:rPr>
          <w:rFonts w:ascii="Times New Roman" w:hAnsi="Times New Roman" w:cs="Times New Roman"/>
          <w:sz w:val="24"/>
          <w:szCs w:val="24"/>
        </w:rPr>
        <w:t xml:space="preserve"> of </w:t>
      </w:r>
      <w:r w:rsidR="002A04F4" w:rsidRPr="00144D25">
        <w:rPr>
          <w:rFonts w:ascii="Times New Roman" w:hAnsi="Times New Roman" w:cs="Times New Roman"/>
          <w:position w:val="-14"/>
          <w:sz w:val="24"/>
          <w:szCs w:val="24"/>
        </w:rPr>
        <w:object w:dxaOrig="580" w:dyaOrig="380" w14:anchorId="0C9AE850">
          <v:shape id="_x0000_i1111" type="#_x0000_t75" style="width:28.4pt;height:18.95pt" o:ole="" o:preferrelative="f">
            <v:imagedata r:id="rId169" o:title=""/>
            <o:lock v:ext="edit" aspectratio="f"/>
          </v:shape>
          <o:OLEObject Type="Embed" ProgID="Equation.DSMT4" ShapeID="_x0000_i1111" DrawAspect="Content" ObjectID="_1764157426" r:id="rId175"/>
        </w:object>
      </w:r>
      <w:r w:rsidR="005B032C">
        <w:rPr>
          <w:rFonts w:ascii="Times New Roman" w:hAnsi="Times New Roman" w:cs="Times New Roman"/>
          <w:sz w:val="24"/>
          <w:szCs w:val="24"/>
        </w:rPr>
        <w:t xml:space="preserve">. </w:t>
      </w:r>
      <w:r w:rsidR="00AE56E3">
        <w:rPr>
          <w:rFonts w:ascii="Times New Roman" w:hAnsi="Times New Roman" w:cs="Times New Roman"/>
          <w:sz w:val="24"/>
          <w:szCs w:val="24"/>
        </w:rPr>
        <w:t xml:space="preserve">Also, construct the </w:t>
      </w:r>
      <w:r w:rsidR="005B032C" w:rsidRPr="00144D25">
        <w:rPr>
          <w:position w:val="-10"/>
        </w:rPr>
        <w:object w:dxaOrig="980" w:dyaOrig="320" w14:anchorId="2B9B7ACF">
          <v:shape id="_x0000_i1112" type="#_x0000_t75" style="width:49.25pt;height:15.65pt" o:ole="" o:preferrelative="f">
            <v:imagedata r:id="rId176" o:title=""/>
            <o:lock v:ext="edit" aspectratio="f"/>
          </v:shape>
          <o:OLEObject Type="Embed" ProgID="Equation.DSMT4" ShapeID="_x0000_i1112" DrawAspect="Content" ObjectID="_1764157427" r:id="rId177"/>
        </w:object>
      </w:r>
      <w:r w:rsidR="00AE56E3">
        <w:t xml:space="preserve"> </w:t>
      </w:r>
      <w:r w:rsidR="00AE56E3" w:rsidRPr="00961062">
        <w:rPr>
          <w:rFonts w:ascii="Times New Roman" w:hAnsi="Times New Roman" w:cs="Times New Roman"/>
          <w:sz w:val="24"/>
          <w:szCs w:val="24"/>
        </w:rPr>
        <w:t>vector</w:t>
      </w:r>
      <w:r w:rsidR="00AE56E3">
        <w:t xml:space="preserve"> </w:t>
      </w:r>
      <w:r w:rsidR="005B032C" w:rsidRPr="00817E54">
        <w:rPr>
          <w:position w:val="-10"/>
        </w:rPr>
        <w:object w:dxaOrig="1760" w:dyaOrig="380" w14:anchorId="6736875B">
          <v:shape id="_x0000_i1113" type="#_x0000_t75" style="width:88.6pt;height:19.4pt" o:ole="">
            <v:imagedata r:id="rId178" o:title=""/>
          </v:shape>
          <o:OLEObject Type="Embed" ProgID="Equation.DSMT4" ShapeID="_x0000_i1113" DrawAspect="Content" ObjectID="_1764157428" r:id="rId179"/>
        </w:object>
      </w:r>
      <w:r w:rsidR="005B032C">
        <w:t>.</w:t>
      </w:r>
      <w:r w:rsidR="00AE56E3">
        <w:t xml:space="preserve"> </w:t>
      </w:r>
      <w:r w:rsidR="00E60321">
        <w:rPr>
          <w:rFonts w:ascii="Times New Roman" w:hAnsi="Times New Roman" w:cs="Times New Roman"/>
          <w:sz w:val="24"/>
          <w:szCs w:val="24"/>
        </w:rPr>
        <w:t xml:space="preserve">In terms of the nominal variable, </w:t>
      </w:r>
      <w:r w:rsidR="00DE22A0">
        <w:rPr>
          <w:rFonts w:ascii="Times New Roman" w:hAnsi="Times New Roman" w:cs="Times New Roman"/>
          <w:sz w:val="24"/>
          <w:szCs w:val="24"/>
        </w:rPr>
        <w:t xml:space="preserve">in our estimation, </w:t>
      </w:r>
      <w:r w:rsidR="00E60321">
        <w:rPr>
          <w:rFonts w:ascii="Times New Roman" w:hAnsi="Times New Roman" w:cs="Times New Roman"/>
          <w:sz w:val="24"/>
          <w:szCs w:val="24"/>
        </w:rPr>
        <w:t xml:space="preserve">we will need </w:t>
      </w:r>
      <w:r w:rsidR="00DE22A0">
        <w:rPr>
          <w:rFonts w:ascii="Times New Roman" w:hAnsi="Times New Roman" w:cs="Times New Roman"/>
          <w:sz w:val="24"/>
          <w:szCs w:val="24"/>
        </w:rPr>
        <w:t xml:space="preserve">the correlation matrix </w:t>
      </w:r>
      <w:r w:rsidR="00045E3D">
        <w:rPr>
          <w:rFonts w:ascii="Times New Roman" w:hAnsi="Times New Roman" w:cs="Times New Roman"/>
          <w:sz w:val="24"/>
          <w:szCs w:val="24"/>
        </w:rPr>
        <w:t xml:space="preserve">corresponding to the error term differences taken with respect to the chosen </w:t>
      </w:r>
      <w:r w:rsidR="00DE22A0">
        <w:rPr>
          <w:rFonts w:ascii="Times New Roman" w:hAnsi="Times New Roman" w:cs="Times New Roman"/>
          <w:sz w:val="24"/>
          <w:szCs w:val="24"/>
        </w:rPr>
        <w:t>nominal alternative</w:t>
      </w:r>
      <w:r w:rsidR="00045E3D">
        <w:rPr>
          <w:rFonts w:ascii="Times New Roman" w:hAnsi="Times New Roman" w:cs="Times New Roman"/>
          <w:sz w:val="24"/>
          <w:szCs w:val="24"/>
        </w:rPr>
        <w:t xml:space="preserve">; that is, the correlation matrix </w:t>
      </w:r>
      <w:r w:rsidR="00AE56E3">
        <w:rPr>
          <w:rFonts w:ascii="Times New Roman" w:hAnsi="Times New Roman" w:cs="Times New Roman"/>
          <w:sz w:val="24"/>
          <w:szCs w:val="24"/>
        </w:rPr>
        <w:t xml:space="preserve">corresponding </w:t>
      </w:r>
      <w:r w:rsidR="00045E3D">
        <w:rPr>
          <w:rFonts w:ascii="Times New Roman" w:hAnsi="Times New Roman" w:cs="Times New Roman"/>
          <w:sz w:val="24"/>
          <w:szCs w:val="24"/>
        </w:rPr>
        <w:t xml:space="preserve">to the error term difference </w:t>
      </w:r>
      <w:r w:rsidR="002A04F4" w:rsidRPr="00817E54">
        <w:rPr>
          <w:rFonts w:ascii="Times New Roman" w:hAnsi="Times New Roman" w:cs="Times New Roman"/>
          <w:position w:val="-14"/>
          <w:sz w:val="24"/>
          <w:szCs w:val="24"/>
        </w:rPr>
        <w:object w:dxaOrig="2220" w:dyaOrig="420" w14:anchorId="5D19B6FB">
          <v:shape id="_x0000_i1114" type="#_x0000_t75" style="width:110.85pt;height:20.85pt" o:ole="" o:preferrelative="f">
            <v:imagedata r:id="rId180" o:title=""/>
            <o:lock v:ext="edit" aspectratio="f"/>
          </v:shape>
          <o:OLEObject Type="Embed" ProgID="Equation.DSMT4" ShapeID="_x0000_i1114" DrawAspect="Content" ObjectID="_1764157429" r:id="rId181"/>
        </w:object>
      </w:r>
      <w:r w:rsidR="00045E3D">
        <w:rPr>
          <w:rFonts w:ascii="Times New Roman" w:hAnsi="Times New Roman" w:cs="Times New Roman"/>
          <w:sz w:val="24"/>
          <w:szCs w:val="24"/>
        </w:rPr>
        <w:t>. To obtain this</w:t>
      </w:r>
      <w:r w:rsidR="00AE56E3">
        <w:rPr>
          <w:rFonts w:ascii="Times New Roman" w:hAnsi="Times New Roman" w:cs="Times New Roman"/>
          <w:sz w:val="24"/>
          <w:szCs w:val="24"/>
        </w:rPr>
        <w:t xml:space="preserve"> </w:t>
      </w:r>
      <w:r w:rsidR="00045E3D">
        <w:rPr>
          <w:rFonts w:ascii="Times New Roman" w:hAnsi="Times New Roman" w:cs="Times New Roman"/>
          <w:sz w:val="24"/>
          <w:szCs w:val="24"/>
        </w:rPr>
        <w:t>correlation matrix</w:t>
      </w:r>
      <w:r w:rsidR="008F57AA">
        <w:rPr>
          <w:rFonts w:ascii="Times New Roman" w:hAnsi="Times New Roman" w:cs="Times New Roman"/>
          <w:sz w:val="24"/>
          <w:szCs w:val="24"/>
        </w:rPr>
        <w:t>,</w:t>
      </w:r>
      <w:r w:rsidR="00AE56E3">
        <w:rPr>
          <w:rFonts w:ascii="Times New Roman" w:hAnsi="Times New Roman" w:cs="Times New Roman"/>
          <w:sz w:val="24"/>
          <w:szCs w:val="24"/>
        </w:rPr>
        <w:t xml:space="preserve"> </w:t>
      </w:r>
      <w:r w:rsidR="00B458EB">
        <w:rPr>
          <w:rFonts w:ascii="Times New Roman" w:hAnsi="Times New Roman" w:cs="Times New Roman"/>
          <w:sz w:val="24"/>
          <w:szCs w:val="24"/>
        </w:rPr>
        <w:t xml:space="preserve">first define a matrix </w:t>
      </w:r>
      <w:r w:rsidR="00B458EB" w:rsidRPr="00E1729F">
        <w:rPr>
          <w:rFonts w:ascii="Times New Roman" w:hAnsi="Times New Roman" w:cs="Times New Roman"/>
          <w:b/>
          <w:sz w:val="24"/>
          <w:szCs w:val="24"/>
        </w:rPr>
        <w:t>D</w:t>
      </w:r>
      <w:r w:rsidR="00B458EB">
        <w:rPr>
          <w:rFonts w:ascii="Times New Roman" w:hAnsi="Times New Roman" w:cs="Times New Roman"/>
          <w:sz w:val="24"/>
          <w:szCs w:val="24"/>
        </w:rPr>
        <w:t xml:space="preserve"> of size </w:t>
      </w:r>
      <w:r w:rsidR="00DB4D22" w:rsidRPr="007E1AFA">
        <w:rPr>
          <w:rFonts w:ascii="Times New Roman" w:hAnsi="Times New Roman" w:cs="Times New Roman"/>
          <w:noProof/>
          <w:position w:val="-10"/>
          <w:sz w:val="24"/>
          <w:szCs w:val="24"/>
        </w:rPr>
        <w:object w:dxaOrig="2540" w:dyaOrig="320" w14:anchorId="2CD61B83">
          <v:shape id="_x0000_i1115" type="#_x0000_t75" style="width:127.4pt;height:16.6pt" o:ole="" o:preferrelative="f">
            <v:imagedata r:id="rId182" o:title=""/>
            <o:lock v:ext="edit" aspectratio="f"/>
          </v:shape>
          <o:OLEObject Type="Embed" ProgID="Equation.DSMT4" ShapeID="_x0000_i1115" DrawAspect="Content" ObjectID="_1764157430" r:id="rId183"/>
        </w:object>
      </w:r>
      <w:r w:rsidR="00B458EB">
        <w:rPr>
          <w:rFonts w:ascii="Times New Roman" w:hAnsi="Times New Roman" w:cs="Times New Roman"/>
          <w:noProof/>
          <w:sz w:val="24"/>
          <w:szCs w:val="24"/>
        </w:rPr>
        <w:t xml:space="preserve">. Since </w:t>
      </w:r>
      <w:r w:rsidR="00B458EB">
        <w:rPr>
          <w:rFonts w:ascii="Times New Roman" w:hAnsi="Times New Roman" w:cs="Times New Roman"/>
          <w:i/>
          <w:noProof/>
          <w:sz w:val="24"/>
          <w:szCs w:val="24"/>
        </w:rPr>
        <w:t>T=</w:t>
      </w:r>
      <w:r w:rsidR="00B458EB">
        <w:rPr>
          <w:rFonts w:ascii="Times New Roman" w:hAnsi="Times New Roman" w:cs="Times New Roman"/>
          <w:noProof/>
          <w:sz w:val="24"/>
          <w:szCs w:val="24"/>
        </w:rPr>
        <w:t xml:space="preserve">2 and </w:t>
      </w:r>
      <w:r w:rsidR="00B458EB">
        <w:rPr>
          <w:rFonts w:ascii="Times New Roman" w:hAnsi="Times New Roman" w:cs="Times New Roman"/>
          <w:i/>
          <w:noProof/>
          <w:sz w:val="24"/>
          <w:szCs w:val="24"/>
        </w:rPr>
        <w:t>I=</w:t>
      </w:r>
      <w:r w:rsidR="00B458EB">
        <w:rPr>
          <w:rFonts w:ascii="Times New Roman" w:hAnsi="Times New Roman" w:cs="Times New Roman"/>
          <w:noProof/>
          <w:sz w:val="24"/>
          <w:szCs w:val="24"/>
        </w:rPr>
        <w:t xml:space="preserve">3 in our empirical context, matrix </w:t>
      </w:r>
      <w:r w:rsidR="00B458EB" w:rsidRPr="00E1729F">
        <w:rPr>
          <w:rFonts w:ascii="Times New Roman" w:hAnsi="Times New Roman" w:cs="Times New Roman"/>
          <w:b/>
          <w:noProof/>
          <w:sz w:val="24"/>
          <w:szCs w:val="24"/>
        </w:rPr>
        <w:t>D</w:t>
      </w:r>
      <w:r w:rsidR="00B458EB">
        <w:rPr>
          <w:rFonts w:ascii="Times New Roman" w:hAnsi="Times New Roman" w:cs="Times New Roman"/>
          <w:noProof/>
          <w:sz w:val="24"/>
          <w:szCs w:val="24"/>
        </w:rPr>
        <w:t xml:space="preserve"> is of size </w:t>
      </w:r>
      <w:r w:rsidR="00B458EB" w:rsidRPr="00D21A7C">
        <w:rPr>
          <w:rFonts w:ascii="Times New Roman" w:hAnsi="Times New Roman" w:cs="Times New Roman"/>
          <w:noProof/>
          <w:position w:val="-10"/>
          <w:sz w:val="24"/>
          <w:szCs w:val="24"/>
        </w:rPr>
        <w:object w:dxaOrig="740" w:dyaOrig="320" w14:anchorId="0778204B">
          <v:shape id="_x0000_i1116" type="#_x0000_t75" style="width:37.4pt;height:16.6pt" o:ole="" o:preferrelative="f">
            <v:imagedata r:id="rId184" o:title=""/>
            <o:lock v:ext="edit" aspectratio="f"/>
          </v:shape>
          <o:OLEObject Type="Embed" ProgID="Equation.DSMT4" ShapeID="_x0000_i1116" DrawAspect="Content" ObjectID="_1764157431" r:id="rId185"/>
        </w:object>
      </w:r>
      <w:r w:rsidR="00B458EB" w:rsidRPr="00D21A7C">
        <w:rPr>
          <w:rFonts w:ascii="Times New Roman" w:hAnsi="Times New Roman" w:cs="Times New Roman"/>
          <w:noProof/>
          <w:sz w:val="24"/>
          <w:szCs w:val="24"/>
        </w:rPr>
        <w:t xml:space="preserve">. </w:t>
      </w:r>
      <w:r w:rsidR="005C1C76" w:rsidRPr="00D21A7C">
        <w:rPr>
          <w:rFonts w:ascii="Times New Roman" w:hAnsi="Times New Roman" w:cs="Times New Roman"/>
          <w:noProof/>
          <w:sz w:val="24"/>
          <w:szCs w:val="24"/>
        </w:rPr>
        <w:t xml:space="preserve">This matrix </w:t>
      </w:r>
      <w:r w:rsidR="005C1C76" w:rsidRPr="00D21A7C">
        <w:rPr>
          <w:rFonts w:ascii="Times New Roman" w:hAnsi="Times New Roman" w:cs="Times New Roman"/>
          <w:b/>
          <w:noProof/>
          <w:sz w:val="24"/>
          <w:szCs w:val="24"/>
        </w:rPr>
        <w:t>D</w:t>
      </w:r>
      <w:r w:rsidR="005C1C76" w:rsidRPr="00D21A7C">
        <w:rPr>
          <w:rFonts w:ascii="Times New Roman" w:hAnsi="Times New Roman" w:cs="Times New Roman"/>
          <w:noProof/>
          <w:sz w:val="24"/>
          <w:szCs w:val="24"/>
        </w:rPr>
        <w:t xml:space="preserve"> is constructed by first taking an identity matrix of size eight (in our case) and then supplementing two additional </w:t>
      </w:r>
      <w:r w:rsidR="00DB4D22" w:rsidRPr="00D21A7C">
        <w:rPr>
          <w:rFonts w:ascii="Times New Roman" w:hAnsi="Times New Roman" w:cs="Times New Roman"/>
          <w:noProof/>
          <w:sz w:val="24"/>
          <w:szCs w:val="24"/>
        </w:rPr>
        <w:t xml:space="preserve">zero </w:t>
      </w:r>
      <w:r w:rsidR="005C1C76" w:rsidRPr="00D21A7C">
        <w:rPr>
          <w:rFonts w:ascii="Times New Roman" w:hAnsi="Times New Roman" w:cs="Times New Roman"/>
          <w:noProof/>
          <w:sz w:val="24"/>
          <w:szCs w:val="24"/>
        </w:rPr>
        <w:t>row</w:t>
      </w:r>
      <w:r w:rsidR="00DB4D22" w:rsidRPr="00D21A7C">
        <w:rPr>
          <w:rFonts w:ascii="Times New Roman" w:hAnsi="Times New Roman" w:cs="Times New Roman"/>
          <w:noProof/>
          <w:sz w:val="24"/>
          <w:szCs w:val="24"/>
        </w:rPr>
        <w:t xml:space="preserve"> vectors of length </w:t>
      </w:r>
      <w:r w:rsidR="00DB4D22" w:rsidRPr="00D21A7C">
        <w:rPr>
          <w:rFonts w:ascii="Times New Roman" w:hAnsi="Times New Roman" w:cs="Times New Roman"/>
          <w:noProof/>
          <w:position w:val="-10"/>
          <w:sz w:val="24"/>
          <w:szCs w:val="24"/>
        </w:rPr>
        <w:object w:dxaOrig="600" w:dyaOrig="320" w14:anchorId="40D1321D">
          <v:shape id="_x0000_i1117" type="#_x0000_t75" style="width:29.85pt;height:16.6pt" o:ole="" o:preferrelative="f">
            <v:imagedata r:id="rId186" o:title=""/>
            <o:lock v:ext="edit" aspectratio="f"/>
          </v:shape>
          <o:OLEObject Type="Embed" ProgID="Equation.DSMT4" ShapeID="_x0000_i1117" DrawAspect="Content" ObjectID="_1764157432" r:id="rId187"/>
        </w:object>
      </w:r>
      <w:r w:rsidR="009A330A" w:rsidRPr="00D21A7C">
        <w:rPr>
          <w:rFonts w:ascii="Times New Roman" w:hAnsi="Times New Roman" w:cs="Times New Roman"/>
          <w:noProof/>
          <w:sz w:val="24"/>
          <w:szCs w:val="24"/>
        </w:rPr>
        <w:t>at the thi</w:t>
      </w:r>
      <w:r w:rsidR="006063F5">
        <w:rPr>
          <w:rFonts w:ascii="Times New Roman" w:hAnsi="Times New Roman" w:cs="Times New Roman"/>
          <w:noProof/>
          <w:sz w:val="24"/>
          <w:szCs w:val="24"/>
        </w:rPr>
        <w:t>rd</w:t>
      </w:r>
      <w:r w:rsidR="009A330A" w:rsidRPr="00D21A7C">
        <w:rPr>
          <w:rFonts w:ascii="Times New Roman" w:hAnsi="Times New Roman" w:cs="Times New Roman"/>
          <w:noProof/>
          <w:sz w:val="24"/>
          <w:szCs w:val="24"/>
        </w:rPr>
        <w:t xml:space="preserve"> and </w:t>
      </w:r>
      <w:r w:rsidR="006063F5">
        <w:rPr>
          <w:rFonts w:ascii="Times New Roman" w:hAnsi="Times New Roman" w:cs="Times New Roman"/>
          <w:noProof/>
          <w:sz w:val="24"/>
          <w:szCs w:val="24"/>
        </w:rPr>
        <w:t>seventh</w:t>
      </w:r>
      <w:r w:rsidR="009A330A" w:rsidRPr="00D21A7C">
        <w:rPr>
          <w:rFonts w:ascii="Times New Roman" w:hAnsi="Times New Roman" w:cs="Times New Roman"/>
          <w:noProof/>
          <w:sz w:val="24"/>
          <w:szCs w:val="24"/>
        </w:rPr>
        <w:t xml:space="preserve"> row indices</w:t>
      </w:r>
      <w:r w:rsidR="00DB4D22" w:rsidRPr="00D21A7C">
        <w:rPr>
          <w:rFonts w:ascii="Times New Roman" w:hAnsi="Times New Roman" w:cs="Times New Roman"/>
          <w:noProof/>
          <w:sz w:val="24"/>
          <w:szCs w:val="24"/>
        </w:rPr>
        <w:t xml:space="preserve">. </w:t>
      </w:r>
      <w:r w:rsidR="00AE56E3" w:rsidRPr="00D21A7C">
        <w:rPr>
          <w:rFonts w:ascii="Times New Roman" w:hAnsi="Times New Roman" w:cs="Times New Roman"/>
          <w:noProof/>
          <w:sz w:val="24"/>
          <w:szCs w:val="24"/>
        </w:rPr>
        <w:t>Next, define</w:t>
      </w:r>
      <w:r w:rsidR="00D66CE8" w:rsidRPr="00D21A7C">
        <w:rPr>
          <w:rFonts w:ascii="Times New Roman" w:hAnsi="Times New Roman" w:cs="Times New Roman"/>
          <w:noProof/>
          <w:sz w:val="24"/>
          <w:szCs w:val="24"/>
        </w:rPr>
        <w:t xml:space="preserve"> </w:t>
      </w:r>
      <w:r w:rsidR="00BD305B" w:rsidRPr="00D21A7C">
        <w:rPr>
          <w:rFonts w:ascii="Times New Roman" w:hAnsi="Times New Roman" w:cs="Times New Roman"/>
          <w:noProof/>
          <w:sz w:val="24"/>
          <w:szCs w:val="24"/>
        </w:rPr>
        <w:t>a</w:t>
      </w:r>
      <w:r w:rsidR="00BD305B" w:rsidRPr="00110128">
        <w:rPr>
          <w:rFonts w:ascii="Times New Roman" w:hAnsi="Times New Roman" w:cs="Times New Roman"/>
          <w:noProof/>
          <w:sz w:val="24"/>
          <w:szCs w:val="24"/>
        </w:rPr>
        <w:t xml:space="preserve"> matrix </w:t>
      </w:r>
      <w:r w:rsidR="00BD305B" w:rsidRPr="00110128">
        <w:rPr>
          <w:rFonts w:ascii="Times New Roman" w:hAnsi="Times New Roman" w:cs="Times New Roman"/>
          <w:b/>
          <w:noProof/>
          <w:sz w:val="24"/>
          <w:szCs w:val="24"/>
        </w:rPr>
        <w:t>M</w:t>
      </w:r>
      <w:r w:rsidR="00BD305B">
        <w:rPr>
          <w:rFonts w:ascii="Times New Roman" w:hAnsi="Times New Roman" w:cs="Times New Roman"/>
          <w:noProof/>
          <w:sz w:val="24"/>
          <w:szCs w:val="24"/>
          <w:vertAlign w:val="subscript"/>
        </w:rPr>
        <w:t>1</w:t>
      </w:r>
      <w:r w:rsidR="00BD305B" w:rsidRPr="00110128">
        <w:rPr>
          <w:rFonts w:ascii="Times New Roman" w:hAnsi="Times New Roman" w:cs="Times New Roman"/>
          <w:noProof/>
          <w:sz w:val="24"/>
          <w:szCs w:val="24"/>
        </w:rPr>
        <w:t xml:space="preserve"> of size </w:t>
      </w:r>
      <w:r w:rsidR="00AE56E3" w:rsidRPr="007E1AFA">
        <w:rPr>
          <w:rFonts w:ascii="Times New Roman" w:hAnsi="Times New Roman" w:cs="Times New Roman"/>
          <w:noProof/>
          <w:position w:val="-14"/>
          <w:sz w:val="24"/>
          <w:szCs w:val="24"/>
        </w:rPr>
        <w:object w:dxaOrig="1760" w:dyaOrig="400" w14:anchorId="51354084">
          <v:shape id="_x0000_i1118" type="#_x0000_t75" style="width:91.4pt;height:19.4pt" o:ole="">
            <v:imagedata r:id="rId188" o:title=""/>
          </v:shape>
          <o:OLEObject Type="Embed" ProgID="Equation.DSMT4" ShapeID="_x0000_i1118" DrawAspect="Content" ObjectID="_1764157433" r:id="rId189"/>
        </w:object>
      </w:r>
      <w:r w:rsidR="00BD305B">
        <w:rPr>
          <w:rFonts w:ascii="Times New Roman" w:hAnsi="Times New Roman" w:cs="Times New Roman"/>
          <w:noProof/>
          <w:sz w:val="24"/>
          <w:szCs w:val="24"/>
        </w:rPr>
        <w:t>for choice occasion one</w:t>
      </w:r>
      <w:r w:rsidR="00AE56E3">
        <w:rPr>
          <w:rFonts w:ascii="Times New Roman" w:hAnsi="Times New Roman" w:cs="Times New Roman"/>
          <w:noProof/>
          <w:sz w:val="24"/>
          <w:szCs w:val="24"/>
        </w:rPr>
        <w:t xml:space="preserve"> (</w:t>
      </w:r>
      <w:r w:rsidR="00AE56E3" w:rsidRPr="00110128">
        <w:rPr>
          <w:rFonts w:ascii="Times New Roman" w:hAnsi="Times New Roman" w:cs="Times New Roman"/>
          <w:b/>
          <w:noProof/>
          <w:sz w:val="24"/>
          <w:szCs w:val="24"/>
        </w:rPr>
        <w:t>M</w:t>
      </w:r>
      <w:r w:rsidR="00AE56E3">
        <w:rPr>
          <w:rFonts w:ascii="Times New Roman" w:hAnsi="Times New Roman" w:cs="Times New Roman"/>
          <w:noProof/>
          <w:sz w:val="24"/>
          <w:szCs w:val="24"/>
          <w:vertAlign w:val="subscript"/>
        </w:rPr>
        <w:t>1</w:t>
      </w:r>
      <w:r w:rsidR="00AE56E3">
        <w:rPr>
          <w:rFonts w:ascii="Times New Roman" w:hAnsi="Times New Roman" w:cs="Times New Roman"/>
          <w:noProof/>
          <w:sz w:val="24"/>
          <w:szCs w:val="24"/>
        </w:rPr>
        <w:t xml:space="preserve"> is a </w:t>
      </w:r>
      <w:r w:rsidR="00AE56E3" w:rsidRPr="007E1AFA">
        <w:rPr>
          <w:rFonts w:ascii="Times New Roman" w:hAnsi="Times New Roman" w:cs="Times New Roman"/>
          <w:noProof/>
          <w:position w:val="-10"/>
          <w:sz w:val="24"/>
          <w:szCs w:val="24"/>
        </w:rPr>
        <w:object w:dxaOrig="660" w:dyaOrig="320" w14:anchorId="6007DDCC">
          <v:shape id="_x0000_i1119" type="#_x0000_t75" style="width:32.2pt;height:16.6pt" o:ole="" o:preferrelative="f">
            <v:imagedata r:id="rId190" o:title=""/>
            <o:lock v:ext="edit" aspectratio="f"/>
          </v:shape>
          <o:OLEObject Type="Embed" ProgID="Equation.DSMT4" ShapeID="_x0000_i1119" DrawAspect="Content" ObjectID="_1764157434" r:id="rId191"/>
        </w:object>
      </w:r>
      <w:r w:rsidR="00AE56E3">
        <w:rPr>
          <w:rFonts w:ascii="Times New Roman" w:hAnsi="Times New Roman" w:cs="Times New Roman"/>
          <w:noProof/>
          <w:sz w:val="24"/>
          <w:szCs w:val="24"/>
        </w:rPr>
        <w:t>matrix in our case).</w:t>
      </w:r>
      <w:r w:rsidR="00BD305B" w:rsidRPr="00110128">
        <w:rPr>
          <w:rFonts w:ascii="Times New Roman" w:hAnsi="Times New Roman" w:cs="Times New Roman"/>
          <w:noProof/>
          <w:sz w:val="24"/>
          <w:szCs w:val="24"/>
        </w:rPr>
        <w:t xml:space="preserve"> Fill this matrix with values of zero. Then, in the first</w:t>
      </w:r>
      <w:r w:rsidR="00BD305B" w:rsidRPr="00110128">
        <w:rPr>
          <w:rFonts w:ascii="Times New Roman" w:hAnsi="Times New Roman" w:cs="Times New Roman"/>
          <w:sz w:val="24"/>
          <w:szCs w:val="24"/>
        </w:rPr>
        <w:t xml:space="preserve"> </w:t>
      </w:r>
      <w:r w:rsidR="00BD305B">
        <w:rPr>
          <w:rFonts w:ascii="Times New Roman" w:hAnsi="Times New Roman" w:cs="Times New Roman"/>
          <w:sz w:val="24"/>
          <w:szCs w:val="24"/>
        </w:rPr>
        <w:t>two</w:t>
      </w:r>
      <w:r w:rsidR="00BD305B" w:rsidRPr="00110128">
        <w:rPr>
          <w:rFonts w:ascii="Times New Roman" w:hAnsi="Times New Roman" w:cs="Times New Roman"/>
          <w:sz w:val="24"/>
          <w:szCs w:val="24"/>
        </w:rPr>
        <w:t xml:space="preserve"> rows </w:t>
      </w:r>
      <w:r w:rsidR="00BD305B">
        <w:rPr>
          <w:rFonts w:ascii="Times New Roman" w:hAnsi="Times New Roman" w:cs="Times New Roman"/>
          <w:sz w:val="24"/>
          <w:szCs w:val="24"/>
        </w:rPr>
        <w:t>and two</w:t>
      </w:r>
      <w:r w:rsidR="00BD305B" w:rsidRPr="00110128">
        <w:rPr>
          <w:rFonts w:ascii="Times New Roman" w:hAnsi="Times New Roman" w:cs="Times New Roman"/>
          <w:sz w:val="24"/>
          <w:szCs w:val="24"/>
        </w:rPr>
        <w:t xml:space="preserve"> columns</w:t>
      </w:r>
      <w:r w:rsidR="00BD305B">
        <w:rPr>
          <w:rFonts w:ascii="Times New Roman" w:hAnsi="Times New Roman" w:cs="Times New Roman"/>
          <w:sz w:val="24"/>
          <w:szCs w:val="24"/>
        </w:rPr>
        <w:t xml:space="preserve">, </w:t>
      </w:r>
      <w:r w:rsidR="00BD305B" w:rsidRPr="00110128">
        <w:rPr>
          <w:rFonts w:ascii="Times New Roman" w:hAnsi="Times New Roman" w:cs="Times New Roman"/>
          <w:noProof/>
          <w:sz w:val="24"/>
          <w:szCs w:val="24"/>
        </w:rPr>
        <w:t xml:space="preserve">insert an identity matrix of size </w:t>
      </w:r>
      <w:r w:rsidR="00BD305B">
        <w:rPr>
          <w:rFonts w:ascii="Times New Roman" w:hAnsi="Times New Roman" w:cs="Times New Roman"/>
          <w:noProof/>
          <w:sz w:val="24"/>
          <w:szCs w:val="24"/>
        </w:rPr>
        <w:t xml:space="preserve">two. </w:t>
      </w:r>
      <w:r w:rsidR="00BD305B" w:rsidRPr="00110128">
        <w:rPr>
          <w:rFonts w:ascii="Times New Roman" w:hAnsi="Times New Roman" w:cs="Times New Roman"/>
          <w:sz w:val="24"/>
          <w:szCs w:val="24"/>
        </w:rPr>
        <w:t xml:space="preserve"> </w:t>
      </w:r>
      <w:r w:rsidR="00BD305B">
        <w:rPr>
          <w:rFonts w:ascii="Times New Roman" w:hAnsi="Times New Roman" w:cs="Times New Roman"/>
          <w:sz w:val="24"/>
          <w:szCs w:val="24"/>
        </w:rPr>
        <w:t>Next, c</w:t>
      </w:r>
      <w:r w:rsidR="00BD305B" w:rsidRPr="00110128">
        <w:rPr>
          <w:rFonts w:ascii="Times New Roman" w:hAnsi="Times New Roman" w:cs="Times New Roman"/>
          <w:sz w:val="24"/>
          <w:szCs w:val="24"/>
        </w:rPr>
        <w:t xml:space="preserve">onsider the </w:t>
      </w:r>
      <w:r w:rsidR="00BD305B">
        <w:rPr>
          <w:rFonts w:ascii="Times New Roman" w:hAnsi="Times New Roman" w:cs="Times New Roman"/>
          <w:sz w:val="24"/>
          <w:szCs w:val="24"/>
        </w:rPr>
        <w:t>3</w:t>
      </w:r>
      <w:r w:rsidR="00BD305B" w:rsidRPr="00EC3A88">
        <w:rPr>
          <w:rFonts w:ascii="Times New Roman" w:hAnsi="Times New Roman" w:cs="Times New Roman"/>
          <w:sz w:val="24"/>
          <w:szCs w:val="24"/>
          <w:vertAlign w:val="superscript"/>
        </w:rPr>
        <w:t>rd</w:t>
      </w:r>
      <w:r w:rsidR="00BD305B">
        <w:rPr>
          <w:rFonts w:ascii="Times New Roman" w:hAnsi="Times New Roman" w:cs="Times New Roman"/>
          <w:sz w:val="24"/>
          <w:szCs w:val="24"/>
        </w:rPr>
        <w:t xml:space="preserve"> row t</w:t>
      </w:r>
      <w:r w:rsidR="00AE56E3">
        <w:rPr>
          <w:rFonts w:ascii="Times New Roman" w:hAnsi="Times New Roman" w:cs="Times New Roman"/>
          <w:sz w:val="24"/>
          <w:szCs w:val="24"/>
        </w:rPr>
        <w:t xml:space="preserve">hrough </w:t>
      </w:r>
      <w:r w:rsidR="00BD305B">
        <w:rPr>
          <w:rFonts w:ascii="Times New Roman" w:hAnsi="Times New Roman" w:cs="Times New Roman"/>
          <w:sz w:val="24"/>
          <w:szCs w:val="24"/>
        </w:rPr>
        <w:t xml:space="preserve">the </w:t>
      </w:r>
      <w:r w:rsidR="00BD305B" w:rsidRPr="00110128">
        <w:rPr>
          <w:rFonts w:ascii="Times New Roman" w:hAnsi="Times New Roman" w:cs="Times New Roman"/>
          <w:sz w:val="24"/>
          <w:szCs w:val="24"/>
        </w:rPr>
        <w:t xml:space="preserve"> </w:t>
      </w:r>
      <w:r w:rsidR="00AE56E3" w:rsidRPr="007E1AFA">
        <w:rPr>
          <w:rFonts w:ascii="Times New Roman" w:hAnsi="Times New Roman" w:cs="Times New Roman"/>
          <w:position w:val="-10"/>
          <w:sz w:val="24"/>
          <w:szCs w:val="24"/>
        </w:rPr>
        <w:object w:dxaOrig="639" w:dyaOrig="320" w14:anchorId="02F8F7E6">
          <v:shape id="_x0000_i1120" type="#_x0000_t75" style="width:31.75pt;height:16.6pt" o:ole="">
            <v:imagedata r:id="rId192" o:title=""/>
          </v:shape>
          <o:OLEObject Type="Embed" ProgID="Equation.DSMT4" ShapeID="_x0000_i1120" DrawAspect="Content" ObjectID="_1764157435" r:id="rId193"/>
        </w:object>
      </w:r>
      <w:proofErr w:type="spellStart"/>
      <w:r w:rsidR="00BD305B" w:rsidRPr="00EC3A88">
        <w:rPr>
          <w:rFonts w:ascii="Times New Roman" w:hAnsi="Times New Roman" w:cs="Times New Roman"/>
          <w:sz w:val="24"/>
          <w:szCs w:val="24"/>
          <w:vertAlign w:val="superscript"/>
        </w:rPr>
        <w:t>th</w:t>
      </w:r>
      <w:proofErr w:type="spellEnd"/>
      <w:r w:rsidR="00BD305B" w:rsidRPr="00110128">
        <w:rPr>
          <w:rFonts w:ascii="Times New Roman" w:hAnsi="Times New Roman" w:cs="Times New Roman"/>
          <w:sz w:val="24"/>
          <w:szCs w:val="24"/>
        </w:rPr>
        <w:t xml:space="preserve"> row</w:t>
      </w:r>
      <w:r w:rsidR="00AE56E3">
        <w:rPr>
          <w:rFonts w:ascii="Times New Roman" w:hAnsi="Times New Roman" w:cs="Times New Roman"/>
          <w:sz w:val="24"/>
          <w:szCs w:val="24"/>
        </w:rPr>
        <w:t xml:space="preserve"> (fourth row in our empirical case),</w:t>
      </w:r>
      <w:r w:rsidR="00BD305B" w:rsidRPr="00110128">
        <w:rPr>
          <w:rFonts w:ascii="Times New Roman" w:hAnsi="Times New Roman" w:cs="Times New Roman"/>
          <w:sz w:val="24"/>
          <w:szCs w:val="24"/>
        </w:rPr>
        <w:t xml:space="preserve"> and </w:t>
      </w:r>
      <w:r w:rsidR="00BD305B">
        <w:rPr>
          <w:rFonts w:ascii="Times New Roman" w:hAnsi="Times New Roman" w:cs="Times New Roman"/>
          <w:sz w:val="24"/>
          <w:szCs w:val="24"/>
        </w:rPr>
        <w:t>the 3</w:t>
      </w:r>
      <w:r w:rsidR="00BD305B" w:rsidRPr="00EC3A88">
        <w:rPr>
          <w:rFonts w:ascii="Times New Roman" w:hAnsi="Times New Roman" w:cs="Times New Roman"/>
          <w:sz w:val="24"/>
          <w:szCs w:val="24"/>
          <w:vertAlign w:val="superscript"/>
        </w:rPr>
        <w:t>rd</w:t>
      </w:r>
      <w:r w:rsidR="00BD305B">
        <w:rPr>
          <w:rFonts w:ascii="Times New Roman" w:hAnsi="Times New Roman" w:cs="Times New Roman"/>
          <w:sz w:val="24"/>
          <w:szCs w:val="24"/>
        </w:rPr>
        <w:t xml:space="preserve"> column t</w:t>
      </w:r>
      <w:r w:rsidR="00AE56E3">
        <w:rPr>
          <w:rFonts w:ascii="Times New Roman" w:hAnsi="Times New Roman" w:cs="Times New Roman"/>
          <w:sz w:val="24"/>
          <w:szCs w:val="24"/>
        </w:rPr>
        <w:t>hrough</w:t>
      </w:r>
      <w:r w:rsidR="00BD305B">
        <w:rPr>
          <w:rFonts w:ascii="Times New Roman" w:hAnsi="Times New Roman" w:cs="Times New Roman"/>
          <w:sz w:val="24"/>
          <w:szCs w:val="24"/>
        </w:rPr>
        <w:t xml:space="preserve"> the (</w:t>
      </w:r>
      <w:r w:rsidR="00BD305B" w:rsidRPr="00110128">
        <w:rPr>
          <w:rFonts w:ascii="Times New Roman" w:hAnsi="Times New Roman" w:cs="Times New Roman"/>
          <w:i/>
          <w:sz w:val="24"/>
          <w:szCs w:val="24"/>
        </w:rPr>
        <w:t>I</w:t>
      </w:r>
      <w:r w:rsidR="00AE56E3">
        <w:rPr>
          <w:rFonts w:ascii="Times New Roman" w:hAnsi="Times New Roman" w:cs="Times New Roman"/>
          <w:i/>
          <w:sz w:val="24"/>
          <w:szCs w:val="24"/>
        </w:rPr>
        <w:t>+</w:t>
      </w:r>
      <w:r w:rsidR="00AE56E3" w:rsidRPr="00961062">
        <w:rPr>
          <w:rFonts w:ascii="Times New Roman" w:hAnsi="Times New Roman" w:cs="Times New Roman"/>
          <w:sz w:val="24"/>
          <w:szCs w:val="24"/>
        </w:rPr>
        <w:t>2</w:t>
      </w:r>
      <w:r w:rsidR="00BD305B">
        <w:rPr>
          <w:rFonts w:ascii="Times New Roman" w:hAnsi="Times New Roman" w:cs="Times New Roman"/>
          <w:sz w:val="24"/>
          <w:szCs w:val="24"/>
        </w:rPr>
        <w:t>)</w:t>
      </w:r>
      <w:r w:rsidR="00BD305B" w:rsidRPr="00EC3A88">
        <w:rPr>
          <w:rFonts w:ascii="Times New Roman" w:hAnsi="Times New Roman" w:cs="Times New Roman"/>
          <w:sz w:val="24"/>
          <w:szCs w:val="24"/>
          <w:vertAlign w:val="superscript"/>
        </w:rPr>
        <w:t>th</w:t>
      </w:r>
      <w:r w:rsidR="00BD305B" w:rsidRPr="00110128">
        <w:rPr>
          <w:rFonts w:ascii="Times New Roman" w:hAnsi="Times New Roman" w:cs="Times New Roman"/>
          <w:i/>
          <w:sz w:val="24"/>
          <w:szCs w:val="24"/>
        </w:rPr>
        <w:t xml:space="preserve"> </w:t>
      </w:r>
      <w:r w:rsidR="00BD305B" w:rsidRPr="00110128">
        <w:rPr>
          <w:rFonts w:ascii="Times New Roman" w:hAnsi="Times New Roman" w:cs="Times New Roman"/>
          <w:sz w:val="24"/>
          <w:szCs w:val="24"/>
        </w:rPr>
        <w:t>column</w:t>
      </w:r>
      <w:r w:rsidR="00AE56E3">
        <w:rPr>
          <w:rFonts w:ascii="Times New Roman" w:hAnsi="Times New Roman" w:cs="Times New Roman"/>
          <w:sz w:val="24"/>
          <w:szCs w:val="24"/>
        </w:rPr>
        <w:t xml:space="preserve"> (fifth column in our empirical case)</w:t>
      </w:r>
      <w:r w:rsidR="00BD305B">
        <w:rPr>
          <w:rFonts w:ascii="Times New Roman" w:hAnsi="Times New Roman" w:cs="Times New Roman"/>
          <w:sz w:val="24"/>
          <w:szCs w:val="24"/>
        </w:rPr>
        <w:t xml:space="preserve">; </w:t>
      </w:r>
      <w:r w:rsidR="00BD305B">
        <w:rPr>
          <w:rFonts w:ascii="Times New Roman" w:hAnsi="Times New Roman" w:cs="Times New Roman"/>
          <w:noProof/>
          <w:sz w:val="24"/>
          <w:szCs w:val="24"/>
        </w:rPr>
        <w:t>i</w:t>
      </w:r>
      <w:r w:rsidR="00BD305B" w:rsidRPr="00110128">
        <w:rPr>
          <w:rFonts w:ascii="Times New Roman" w:hAnsi="Times New Roman" w:cs="Times New Roman"/>
          <w:noProof/>
          <w:sz w:val="24"/>
          <w:szCs w:val="24"/>
        </w:rPr>
        <w:t xml:space="preserve">nsert an identity matrix of size </w:t>
      </w:r>
      <w:r w:rsidR="00BD305B" w:rsidRPr="007E1AFA">
        <w:rPr>
          <w:rFonts w:ascii="Times New Roman" w:hAnsi="Times New Roman" w:cs="Times New Roman"/>
          <w:noProof/>
          <w:position w:val="-10"/>
          <w:sz w:val="24"/>
          <w:szCs w:val="24"/>
        </w:rPr>
        <w:object w:dxaOrig="639" w:dyaOrig="320" w14:anchorId="244AF445">
          <v:shape id="_x0000_i1121" type="#_x0000_t75" style="width:31.75pt;height:16.6pt" o:ole="">
            <v:imagedata r:id="rId194" o:title=""/>
          </v:shape>
          <o:OLEObject Type="Embed" ProgID="Equation.DSMT4" ShapeID="_x0000_i1121" DrawAspect="Content" ObjectID="_1764157436" r:id="rId195"/>
        </w:object>
      </w:r>
      <w:r w:rsidR="00BD305B" w:rsidRPr="00110128">
        <w:rPr>
          <w:rFonts w:ascii="Times New Roman" w:hAnsi="Times New Roman" w:cs="Times New Roman"/>
          <w:noProof/>
          <w:sz w:val="24"/>
          <w:szCs w:val="24"/>
        </w:rPr>
        <w:t xml:space="preserve"> after supplementing with a column of ‘-1’ values in column </w:t>
      </w:r>
      <w:r w:rsidR="00AE56E3" w:rsidRPr="0090363A">
        <w:rPr>
          <w:rFonts w:ascii="Times New Roman" w:hAnsi="Times New Roman" w:cs="Times New Roman"/>
          <w:position w:val="-12"/>
          <w:sz w:val="24"/>
          <w:szCs w:val="24"/>
        </w:rPr>
        <w:object w:dxaOrig="300" w:dyaOrig="360" w14:anchorId="0E939225">
          <v:shape id="_x0000_i1122" type="#_x0000_t75" style="width:15.65pt;height:18.95pt" o:ole="" o:preferrelative="f">
            <v:imagedata r:id="rId162" o:title=""/>
            <o:lock v:ext="edit" aspectratio="f"/>
          </v:shape>
          <o:OLEObject Type="Embed" ProgID="Equation.DSMT4" ShapeID="_x0000_i1122" DrawAspect="Content" ObjectID="_1764157437" r:id="rId196"/>
        </w:object>
      </w:r>
      <w:r w:rsidR="00BD305B" w:rsidRPr="00110128">
        <w:rPr>
          <w:rFonts w:ascii="Times New Roman" w:hAnsi="Times New Roman" w:cs="Times New Roman"/>
          <w:noProof/>
          <w:sz w:val="24"/>
          <w:szCs w:val="24"/>
        </w:rPr>
        <w:t xml:space="preserve">. </w:t>
      </w:r>
      <w:r w:rsidR="00BD305B">
        <w:rPr>
          <w:rFonts w:ascii="Times New Roman" w:hAnsi="Times New Roman" w:cs="Times New Roman"/>
          <w:noProof/>
          <w:sz w:val="24"/>
          <w:szCs w:val="24"/>
        </w:rPr>
        <w:t>Using the same procedure, create another matrix,</w:t>
      </w:r>
      <w:r w:rsidR="00BD305B" w:rsidRPr="00EC3A88">
        <w:rPr>
          <w:rFonts w:ascii="Times New Roman" w:hAnsi="Times New Roman" w:cs="Times New Roman"/>
          <w:b/>
          <w:noProof/>
          <w:sz w:val="24"/>
          <w:szCs w:val="24"/>
        </w:rPr>
        <w:t xml:space="preserve"> </w:t>
      </w:r>
      <w:r w:rsidR="00BD305B" w:rsidRPr="00110128">
        <w:rPr>
          <w:rFonts w:ascii="Times New Roman" w:hAnsi="Times New Roman" w:cs="Times New Roman"/>
          <w:b/>
          <w:noProof/>
          <w:sz w:val="24"/>
          <w:szCs w:val="24"/>
        </w:rPr>
        <w:t>M</w:t>
      </w:r>
      <w:r w:rsidR="00BD305B">
        <w:rPr>
          <w:rFonts w:ascii="Times New Roman" w:hAnsi="Times New Roman" w:cs="Times New Roman"/>
          <w:noProof/>
          <w:sz w:val="24"/>
          <w:szCs w:val="24"/>
          <w:vertAlign w:val="subscript"/>
        </w:rPr>
        <w:t>2</w:t>
      </w:r>
      <w:r w:rsidR="00BD305B">
        <w:rPr>
          <w:rFonts w:ascii="Times New Roman" w:hAnsi="Times New Roman" w:cs="Times New Roman"/>
          <w:noProof/>
          <w:sz w:val="24"/>
          <w:szCs w:val="24"/>
        </w:rPr>
        <w:t xml:space="preserve">, corresponding to the </w:t>
      </w:r>
      <w:r w:rsidR="00BD305B">
        <w:rPr>
          <w:rFonts w:ascii="Times New Roman" w:hAnsi="Times New Roman" w:cs="Times New Roman"/>
          <w:noProof/>
          <w:sz w:val="24"/>
          <w:szCs w:val="24"/>
        </w:rPr>
        <w:lastRenderedPageBreak/>
        <w:t xml:space="preserve">second choice occasion. Now define a matrix </w:t>
      </w:r>
      <w:r w:rsidR="00BD305B" w:rsidRPr="00110128">
        <w:rPr>
          <w:rFonts w:ascii="Times New Roman" w:hAnsi="Times New Roman" w:cs="Times New Roman"/>
          <w:b/>
          <w:noProof/>
          <w:sz w:val="24"/>
          <w:szCs w:val="24"/>
        </w:rPr>
        <w:t>M</w:t>
      </w:r>
      <w:r w:rsidR="000D45A8">
        <w:rPr>
          <w:rFonts w:ascii="Times New Roman" w:hAnsi="Times New Roman" w:cs="Times New Roman"/>
          <w:noProof/>
          <w:sz w:val="24"/>
          <w:szCs w:val="24"/>
        </w:rPr>
        <w:t xml:space="preserve"> </w:t>
      </w:r>
      <w:r w:rsidR="00BD305B">
        <w:rPr>
          <w:rFonts w:ascii="Times New Roman" w:hAnsi="Times New Roman" w:cs="Times New Roman"/>
          <w:noProof/>
          <w:sz w:val="24"/>
          <w:szCs w:val="24"/>
        </w:rPr>
        <w:t>of size</w:t>
      </w:r>
      <w:r w:rsidR="000D45A8" w:rsidRPr="000D45A8">
        <w:rPr>
          <w:rFonts w:ascii="Times New Roman" w:hAnsi="Times New Roman" w:cs="Times New Roman"/>
          <w:position w:val="-14"/>
          <w:sz w:val="24"/>
          <w:szCs w:val="24"/>
        </w:rPr>
        <w:object w:dxaOrig="2420" w:dyaOrig="400" w14:anchorId="40B1BF62">
          <v:shape id="_x0000_i1123" type="#_x0000_t75" style="width:120.8pt;height:19.4pt" o:ole="">
            <v:imagedata r:id="rId197" o:title=""/>
          </v:shape>
          <o:OLEObject Type="Embed" ProgID="Equation.DSMT4" ShapeID="_x0000_i1123" DrawAspect="Content" ObjectID="_1764157438" r:id="rId198"/>
        </w:object>
      </w:r>
      <w:r w:rsidR="000D45A8">
        <w:t xml:space="preserve"> </w:t>
      </w:r>
      <w:r w:rsidR="000D45A8" w:rsidRPr="007E1AFA">
        <w:rPr>
          <w:rFonts w:ascii="Times New Roman" w:hAnsi="Times New Roman" w:cs="Times New Roman"/>
          <w:noProof/>
          <w:position w:val="-10"/>
          <w:sz w:val="24"/>
          <w:szCs w:val="24"/>
        </w:rPr>
        <w:object w:dxaOrig="660" w:dyaOrig="320" w14:anchorId="5102E72E">
          <v:shape id="_x0000_i1124" type="#_x0000_t75" style="width:32.2pt;height:16.6pt" o:ole="" o:preferrelative="f">
            <v:imagedata r:id="rId199" o:title=""/>
            <o:lock v:ext="edit" aspectratio="f"/>
          </v:shape>
          <o:OLEObject Type="Embed" ProgID="Equation.DSMT4" ShapeID="_x0000_i1124" DrawAspect="Content" ObjectID="_1764157439" r:id="rId200"/>
        </w:object>
      </w:r>
      <w:r w:rsidR="000D45A8">
        <w:rPr>
          <w:rFonts w:ascii="Times New Roman" w:hAnsi="Times New Roman" w:cs="Times New Roman"/>
          <w:noProof/>
          <w:sz w:val="24"/>
          <w:szCs w:val="24"/>
        </w:rPr>
        <w:t xml:space="preserve"> in our empirical analysis)</w:t>
      </w:r>
      <w:r w:rsidR="00BD305B">
        <w:rPr>
          <w:rFonts w:ascii="Times New Roman" w:hAnsi="Times New Roman" w:cs="Times New Roman"/>
          <w:sz w:val="24"/>
          <w:szCs w:val="24"/>
        </w:rPr>
        <w:t xml:space="preserve">. </w:t>
      </w:r>
      <w:r w:rsidR="00BD305B">
        <w:rPr>
          <w:rFonts w:ascii="Times New Roman" w:hAnsi="Times New Roman" w:cs="Times New Roman"/>
          <w:noProof/>
          <w:sz w:val="24"/>
          <w:szCs w:val="24"/>
        </w:rPr>
        <w:t xml:space="preserve"> Fill all elements of this matrix with zeros. Then, place the matrix </w:t>
      </w:r>
      <w:r w:rsidR="00BD305B" w:rsidRPr="00110128">
        <w:rPr>
          <w:rFonts w:ascii="Times New Roman" w:hAnsi="Times New Roman" w:cs="Times New Roman"/>
          <w:b/>
          <w:noProof/>
          <w:sz w:val="24"/>
          <w:szCs w:val="24"/>
        </w:rPr>
        <w:t>M</w:t>
      </w:r>
      <w:r w:rsidR="00BD305B">
        <w:rPr>
          <w:rFonts w:ascii="Times New Roman" w:hAnsi="Times New Roman" w:cs="Times New Roman"/>
          <w:noProof/>
          <w:sz w:val="24"/>
          <w:szCs w:val="24"/>
          <w:vertAlign w:val="subscript"/>
        </w:rPr>
        <w:t>1</w:t>
      </w:r>
      <w:r w:rsidR="00BD305B">
        <w:rPr>
          <w:rFonts w:ascii="Times New Roman" w:hAnsi="Times New Roman" w:cs="Times New Roman"/>
          <w:noProof/>
          <w:sz w:val="24"/>
          <w:szCs w:val="24"/>
        </w:rPr>
        <w:t xml:space="preserve"> as the first block diagonal matrix and the matrix </w:t>
      </w:r>
      <w:r w:rsidR="00BD305B" w:rsidRPr="00110128">
        <w:rPr>
          <w:rFonts w:ascii="Times New Roman" w:hAnsi="Times New Roman" w:cs="Times New Roman"/>
          <w:b/>
          <w:noProof/>
          <w:sz w:val="24"/>
          <w:szCs w:val="24"/>
        </w:rPr>
        <w:t>M</w:t>
      </w:r>
      <w:r w:rsidR="00BD305B">
        <w:rPr>
          <w:rFonts w:ascii="Times New Roman" w:hAnsi="Times New Roman" w:cs="Times New Roman"/>
          <w:noProof/>
          <w:sz w:val="24"/>
          <w:szCs w:val="24"/>
          <w:vertAlign w:val="subscript"/>
        </w:rPr>
        <w:t>2</w:t>
      </w:r>
      <w:r w:rsidR="00BD305B">
        <w:rPr>
          <w:rFonts w:ascii="Times New Roman" w:hAnsi="Times New Roman" w:cs="Times New Roman"/>
          <w:noProof/>
          <w:sz w:val="24"/>
          <w:szCs w:val="24"/>
        </w:rPr>
        <w:t xml:space="preserve"> as the second block diagonal matrix within matrix </w:t>
      </w:r>
      <w:r w:rsidR="00BD305B">
        <w:rPr>
          <w:rFonts w:ascii="Times New Roman" w:hAnsi="Times New Roman" w:cs="Times New Roman"/>
          <w:b/>
          <w:noProof/>
          <w:sz w:val="24"/>
          <w:szCs w:val="24"/>
        </w:rPr>
        <w:t>M</w:t>
      </w:r>
      <w:r w:rsidR="00BD305B">
        <w:rPr>
          <w:rFonts w:ascii="Times New Roman" w:hAnsi="Times New Roman" w:cs="Times New Roman"/>
          <w:noProof/>
          <w:sz w:val="24"/>
          <w:szCs w:val="24"/>
        </w:rPr>
        <w:t xml:space="preserve">. </w:t>
      </w:r>
    </w:p>
    <w:p w14:paraId="30E59D3F" w14:textId="7EB9A809" w:rsidR="00BD305B" w:rsidRPr="00110128" w:rsidRDefault="00BD305B" w:rsidP="00F02093">
      <w:pPr>
        <w:spacing w:after="0" w:line="276" w:lineRule="auto"/>
        <w:ind w:firstLine="720"/>
        <w:rPr>
          <w:rFonts w:ascii="Times New Roman" w:hAnsi="Times New Roman" w:cs="Times New Roman"/>
          <w:sz w:val="24"/>
          <w:szCs w:val="24"/>
        </w:rPr>
      </w:pPr>
      <w:r w:rsidRPr="00110128">
        <w:rPr>
          <w:rFonts w:ascii="Times New Roman" w:hAnsi="Times New Roman" w:cs="Times New Roman"/>
          <w:noProof/>
          <w:sz w:val="24"/>
          <w:szCs w:val="24"/>
        </w:rPr>
        <w:t xml:space="preserve">Let </w:t>
      </w:r>
      <w:r w:rsidRPr="007E1AFA">
        <w:rPr>
          <w:rFonts w:ascii="Times New Roman" w:hAnsi="Times New Roman" w:cs="Times New Roman"/>
          <w:position w:val="-6"/>
          <w:sz w:val="24"/>
          <w:szCs w:val="24"/>
        </w:rPr>
        <w:object w:dxaOrig="200" w:dyaOrig="279" w14:anchorId="12D92C77">
          <v:shape id="_x0000_i1125" type="#_x0000_t75" style="width:9.95pt;height:13.75pt" o:ole="">
            <v:imagedata r:id="rId201" o:title=""/>
          </v:shape>
          <o:OLEObject Type="Embed" ProgID="Equation.DSMT4" ShapeID="_x0000_i1125" DrawAspect="Content" ObjectID="_1764157440" r:id="rId202"/>
        </w:object>
      </w:r>
      <w:r w:rsidRPr="00110128">
        <w:rPr>
          <w:rFonts w:ascii="Times New Roman" w:hAnsi="Times New Roman" w:cs="Times New Roman"/>
          <w:sz w:val="24"/>
          <w:szCs w:val="24"/>
        </w:rPr>
        <w:t xml:space="preserve"> </w:t>
      </w:r>
      <w:r w:rsidRPr="00110128">
        <w:rPr>
          <w:rFonts w:ascii="Times New Roman" w:hAnsi="Times New Roman" w:cs="Times New Roman"/>
          <w:noProof/>
          <w:sz w:val="24"/>
          <w:szCs w:val="24"/>
        </w:rPr>
        <w:t>be the collection of parameters to be estimated:</w:t>
      </w:r>
      <w:r w:rsidR="005B032C">
        <w:rPr>
          <w:rFonts w:ascii="Times New Roman" w:hAnsi="Times New Roman" w:cs="Times New Roman"/>
          <w:noProof/>
          <w:sz w:val="24"/>
          <w:szCs w:val="24"/>
        </w:rPr>
        <w:t xml:space="preserve"> </w:t>
      </w:r>
      <w:r w:rsidR="002A04F4" w:rsidRPr="007E1AFA">
        <w:rPr>
          <w:rFonts w:ascii="Times New Roman" w:hAnsi="Times New Roman" w:cs="Times New Roman"/>
          <w:noProof/>
          <w:position w:val="-26"/>
          <w:sz w:val="24"/>
          <w:szCs w:val="24"/>
        </w:rPr>
        <w:object w:dxaOrig="3240" w:dyaOrig="740" w14:anchorId="308B884E">
          <v:shape id="_x0000_i1126" type="#_x0000_t75" style="width:162pt;height:36.95pt" o:ole="" o:preferrelative="f">
            <v:imagedata r:id="rId203" o:title=""/>
            <o:lock v:ext="edit" aspectratio="f"/>
          </v:shape>
          <o:OLEObject Type="Embed" ProgID="Equation.DSMT4" ShapeID="_x0000_i1126" DrawAspect="Content" ObjectID="_1764157441" r:id="rId204"/>
        </w:object>
      </w:r>
      <w:r w:rsidRPr="00110128">
        <w:rPr>
          <w:rFonts w:ascii="Times New Roman" w:hAnsi="Times New Roman" w:cs="Times New Roman"/>
          <w:noProof/>
          <w:sz w:val="24"/>
          <w:szCs w:val="24"/>
        </w:rPr>
        <w:t xml:space="preserve"> where the operator</w:t>
      </w:r>
      <w:r w:rsidRPr="00110128">
        <w:rPr>
          <w:rFonts w:ascii="Times New Roman" w:hAnsi="Times New Roman" w:cs="Times New Roman"/>
          <w:sz w:val="24"/>
          <w:szCs w:val="24"/>
        </w:rPr>
        <w:t xml:space="preserve"> </w:t>
      </w:r>
      <w:r w:rsidRPr="007E1AFA">
        <w:rPr>
          <w:rFonts w:ascii="Times New Roman" w:hAnsi="Times New Roman" w:cs="Times New Roman"/>
          <w:position w:val="-10"/>
          <w:sz w:val="24"/>
          <w:szCs w:val="24"/>
        </w:rPr>
        <w:object w:dxaOrig="1040" w:dyaOrig="320" w14:anchorId="73F8DF37">
          <v:shape id="_x0000_i1127" type="#_x0000_t75" style="width:52.6pt;height:16.6pt" o:ole="">
            <v:imagedata r:id="rId205" o:title=""/>
          </v:shape>
          <o:OLEObject Type="Embed" ProgID="Equation.DSMT4" ShapeID="_x0000_i1127" DrawAspect="Content" ObjectID="_1764157442" r:id="rId206"/>
        </w:object>
      </w:r>
      <w:r w:rsidRPr="00110128">
        <w:rPr>
          <w:rFonts w:ascii="Times New Roman" w:hAnsi="Times New Roman" w:cs="Times New Roman"/>
          <w:sz w:val="24"/>
          <w:szCs w:val="24"/>
        </w:rPr>
        <w:t xml:space="preserve"> row-vectorizes the non-zero upper diagonal elements of a matrix.</w:t>
      </w:r>
    </w:p>
    <w:p w14:paraId="73CE3FF1" w14:textId="427FE2D5" w:rsidR="00BD305B" w:rsidRPr="00110128" w:rsidRDefault="00BD305B" w:rsidP="00F02093">
      <w:pPr>
        <w:tabs>
          <w:tab w:val="right" w:pos="9360"/>
        </w:tabs>
        <w:spacing w:after="0" w:line="276" w:lineRule="auto"/>
        <w:rPr>
          <w:rFonts w:ascii="Times New Roman" w:hAnsi="Times New Roman" w:cs="Times New Roman"/>
          <w:noProof/>
          <w:sz w:val="24"/>
          <w:szCs w:val="24"/>
        </w:rPr>
      </w:pPr>
      <w:r w:rsidRPr="00110128">
        <w:rPr>
          <w:rFonts w:ascii="Times New Roman" w:hAnsi="Times New Roman" w:cs="Times New Roman"/>
          <w:noProof/>
          <w:sz w:val="24"/>
          <w:szCs w:val="24"/>
        </w:rPr>
        <w:t>Next, define the f</w:t>
      </w:r>
      <w:r w:rsidR="00D66CE8">
        <w:rPr>
          <w:rFonts w:ascii="Times New Roman" w:hAnsi="Times New Roman" w:cs="Times New Roman"/>
          <w:noProof/>
          <w:sz w:val="24"/>
          <w:szCs w:val="24"/>
        </w:rPr>
        <w:t>ollowing</w:t>
      </w:r>
      <w:r w:rsidRPr="00110128">
        <w:rPr>
          <w:rFonts w:ascii="Times New Roman" w:hAnsi="Times New Roman" w:cs="Times New Roman"/>
          <w:noProof/>
          <w:sz w:val="24"/>
          <w:szCs w:val="24"/>
        </w:rPr>
        <w:t xml:space="preserve"> </w:t>
      </w:r>
      <w:r w:rsidR="000D45A8" w:rsidRPr="00817E54">
        <w:rPr>
          <w:rFonts w:ascii="Times New Roman" w:hAnsi="Times New Roman" w:cs="Times New Roman"/>
          <w:noProof/>
          <w:position w:val="-14"/>
          <w:sz w:val="24"/>
          <w:szCs w:val="24"/>
        </w:rPr>
        <w:object w:dxaOrig="2200" w:dyaOrig="400" w14:anchorId="368AE851">
          <v:shape id="_x0000_i1128" type="#_x0000_t75" style="width:112.75pt;height:19.4pt" o:ole="">
            <v:imagedata r:id="rId207" o:title=""/>
          </v:shape>
          <o:OLEObject Type="Embed" ProgID="Equation.DSMT4" ShapeID="_x0000_i1128" DrawAspect="Content" ObjectID="_1764157443" r:id="rId208"/>
        </w:object>
      </w:r>
      <w:r w:rsidR="00D66CE8">
        <w:rPr>
          <w:rFonts w:ascii="Times New Roman" w:hAnsi="Times New Roman" w:cs="Times New Roman"/>
          <w:noProof/>
          <w:sz w:val="24"/>
          <w:szCs w:val="24"/>
        </w:rPr>
        <w:t xml:space="preserve"> </w:t>
      </w:r>
      <w:r w:rsidRPr="00110128">
        <w:rPr>
          <w:rFonts w:ascii="Times New Roman" w:hAnsi="Times New Roman" w:cs="Times New Roman"/>
          <w:noProof/>
          <w:sz w:val="24"/>
          <w:szCs w:val="24"/>
        </w:rPr>
        <w:t>threshold vectors</w:t>
      </w:r>
      <w:r w:rsidR="00D66CE8">
        <w:rPr>
          <w:rFonts w:ascii="Times New Roman" w:hAnsi="Times New Roman" w:cs="Times New Roman"/>
          <w:noProof/>
          <w:sz w:val="24"/>
          <w:szCs w:val="24"/>
        </w:rPr>
        <w:t>:</w:t>
      </w:r>
    </w:p>
    <w:p w14:paraId="4A77FA62" w14:textId="7E7645ED" w:rsidR="00BD305B" w:rsidRDefault="002A04F4" w:rsidP="00F02093">
      <w:pPr>
        <w:tabs>
          <w:tab w:val="right" w:pos="9360"/>
        </w:tabs>
        <w:spacing w:after="0" w:line="276" w:lineRule="auto"/>
        <w:rPr>
          <w:rFonts w:ascii="Times New Roman" w:hAnsi="Times New Roman" w:cs="Times New Roman"/>
          <w:noProof/>
          <w:sz w:val="24"/>
          <w:szCs w:val="24"/>
        </w:rPr>
      </w:pPr>
      <w:r w:rsidRPr="007E1AFA">
        <w:rPr>
          <w:rFonts w:ascii="Times New Roman" w:hAnsi="Times New Roman" w:cs="Times New Roman"/>
          <w:noProof/>
          <w:position w:val="-16"/>
          <w:sz w:val="24"/>
          <w:szCs w:val="24"/>
        </w:rPr>
        <w:object w:dxaOrig="4840" w:dyaOrig="560" w14:anchorId="2D983ABE">
          <v:shape id="_x0000_i1129" type="#_x0000_t75" style="width:241.6pt;height:27.95pt" o:ole="" o:preferrelative="f">
            <v:imagedata r:id="rId209" o:title=""/>
            <o:lock v:ext="edit" aspectratio="f"/>
          </v:shape>
          <o:OLEObject Type="Embed" ProgID="Equation.DSMT4" ShapeID="_x0000_i1129" DrawAspect="Content" ObjectID="_1764157444" r:id="rId210"/>
        </w:object>
      </w:r>
      <w:r w:rsidR="00BD305B" w:rsidRPr="00110128">
        <w:rPr>
          <w:rFonts w:ascii="Times New Roman" w:hAnsi="Times New Roman" w:cs="Times New Roman"/>
          <w:noProof/>
          <w:sz w:val="24"/>
          <w:szCs w:val="24"/>
        </w:rPr>
        <w:t xml:space="preserve">and </w:t>
      </w:r>
    </w:p>
    <w:p w14:paraId="3A2F3CB6" w14:textId="4F251316" w:rsidR="00D66CE8" w:rsidRDefault="002A04F4" w:rsidP="00F02093">
      <w:pPr>
        <w:tabs>
          <w:tab w:val="right" w:pos="9360"/>
        </w:tabs>
        <w:spacing w:after="0" w:line="276" w:lineRule="auto"/>
        <w:rPr>
          <w:rFonts w:ascii="Times New Roman" w:hAnsi="Times New Roman" w:cs="Times New Roman"/>
          <w:noProof/>
          <w:sz w:val="24"/>
          <w:szCs w:val="24"/>
        </w:rPr>
      </w:pPr>
      <w:r w:rsidRPr="007E1AFA">
        <w:rPr>
          <w:rFonts w:ascii="Times New Roman" w:hAnsi="Times New Roman" w:cs="Times New Roman"/>
          <w:noProof/>
          <w:position w:val="-16"/>
          <w:sz w:val="24"/>
          <w:szCs w:val="24"/>
        </w:rPr>
        <w:object w:dxaOrig="4700" w:dyaOrig="560" w14:anchorId="23ABDC51">
          <v:shape id="_x0000_i1130" type="#_x0000_t75" style="width:234.95pt;height:27.95pt" o:ole="" o:preferrelative="f">
            <v:imagedata r:id="rId211" o:title=""/>
            <o:lock v:ext="edit" aspectratio="f"/>
          </v:shape>
          <o:OLEObject Type="Embed" ProgID="Equation.DSMT4" ShapeID="_x0000_i1130" DrawAspect="Content" ObjectID="_1764157445" r:id="rId212"/>
        </w:object>
      </w:r>
    </w:p>
    <w:p w14:paraId="77CD68ED" w14:textId="77777777" w:rsidR="00BD305B" w:rsidRPr="00110128" w:rsidRDefault="00BD305B" w:rsidP="00F02093">
      <w:pPr>
        <w:tabs>
          <w:tab w:val="right" w:pos="9360"/>
        </w:tabs>
        <w:spacing w:before="120" w:after="120" w:line="276" w:lineRule="auto"/>
        <w:rPr>
          <w:rFonts w:ascii="Times New Roman" w:hAnsi="Times New Roman" w:cs="Times New Roman"/>
          <w:noProof/>
          <w:sz w:val="24"/>
          <w:szCs w:val="24"/>
        </w:rPr>
      </w:pPr>
      <w:r w:rsidRPr="00110128">
        <w:rPr>
          <w:rFonts w:ascii="Times New Roman" w:hAnsi="Times New Roman" w:cs="Times New Roman"/>
          <w:noProof/>
          <w:sz w:val="24"/>
          <w:szCs w:val="24"/>
        </w:rPr>
        <w:t>Then the likelihood function may be written as:</w:t>
      </w:r>
    </w:p>
    <w:p w14:paraId="1E3F3872" w14:textId="0DD519CF" w:rsidR="00BD305B" w:rsidRPr="00110128" w:rsidRDefault="002A04F4" w:rsidP="00F02093">
      <w:pPr>
        <w:tabs>
          <w:tab w:val="right" w:pos="9360"/>
        </w:tabs>
        <w:spacing w:after="0" w:line="276" w:lineRule="auto"/>
        <w:rPr>
          <w:rFonts w:ascii="Times New Roman" w:hAnsi="Times New Roman" w:cs="Times New Roman"/>
          <w:noProof/>
          <w:sz w:val="24"/>
          <w:szCs w:val="24"/>
        </w:rPr>
      </w:pPr>
      <w:r w:rsidRPr="00334AFE">
        <w:rPr>
          <w:rFonts w:ascii="Times New Roman" w:hAnsi="Times New Roman" w:cs="Times New Roman"/>
          <w:noProof/>
          <w:position w:val="-34"/>
          <w:sz w:val="24"/>
          <w:szCs w:val="24"/>
        </w:rPr>
        <w:object w:dxaOrig="3660" w:dyaOrig="620" w14:anchorId="0BEBBB0E">
          <v:shape id="_x0000_i1131" type="#_x0000_t75" style="width:182.85pt;height:30.8pt" o:ole="" o:preferrelative="f">
            <v:imagedata r:id="rId213" o:title=""/>
            <o:lock v:ext="edit" aspectratio="f"/>
          </v:shape>
          <o:OLEObject Type="Embed" ProgID="Equation.DSMT4" ShapeID="_x0000_i1131" DrawAspect="Content" ObjectID="_1764157446" r:id="rId214"/>
        </w:object>
      </w:r>
      <w:r w:rsidR="00F106B0">
        <w:rPr>
          <w:rFonts w:ascii="Times New Roman" w:hAnsi="Times New Roman" w:cs="Times New Roman"/>
          <w:noProof/>
          <w:sz w:val="24"/>
          <w:szCs w:val="24"/>
        </w:rPr>
        <w:t>,</w:t>
      </w:r>
      <w:r w:rsidR="00BD305B" w:rsidRPr="00110128">
        <w:rPr>
          <w:rFonts w:ascii="Times New Roman" w:hAnsi="Times New Roman" w:cs="Times New Roman"/>
          <w:noProof/>
          <w:sz w:val="24"/>
          <w:szCs w:val="24"/>
        </w:rPr>
        <w:t xml:space="preserve">                          </w:t>
      </w:r>
      <w:r w:rsidR="00BD305B" w:rsidRPr="00110128">
        <w:rPr>
          <w:rFonts w:ascii="Times New Roman" w:hAnsi="Times New Roman" w:cs="Times New Roman"/>
          <w:noProof/>
          <w:sz w:val="24"/>
          <w:szCs w:val="24"/>
          <w:lang w:eastAsia="zh-CN"/>
        </w:rPr>
        <w:t xml:space="preserve">                                </w:t>
      </w:r>
      <w:r w:rsidR="00BD305B" w:rsidRPr="00110128">
        <w:rPr>
          <w:rFonts w:ascii="Times New Roman" w:hAnsi="Times New Roman" w:cs="Times New Roman"/>
          <w:b/>
          <w:noProof/>
          <w:sz w:val="24"/>
          <w:szCs w:val="24"/>
        </w:rPr>
        <w:t xml:space="preserve">                           </w:t>
      </w:r>
      <w:r w:rsidR="00BD305B" w:rsidRPr="00110128">
        <w:rPr>
          <w:rFonts w:ascii="Times New Roman" w:hAnsi="Times New Roman" w:cs="Times New Roman"/>
          <w:bCs/>
          <w:noProof/>
          <w:sz w:val="24"/>
          <w:szCs w:val="24"/>
        </w:rPr>
        <w:t xml:space="preserve">               (4)</w:t>
      </w:r>
    </w:p>
    <w:p w14:paraId="210CBB74" w14:textId="26A1034A" w:rsidR="00334AFE" w:rsidRDefault="00BD305B" w:rsidP="00F02093">
      <w:pPr>
        <w:tabs>
          <w:tab w:val="right" w:pos="9360"/>
        </w:tabs>
        <w:spacing w:after="0" w:line="276" w:lineRule="auto"/>
        <w:rPr>
          <w:rFonts w:ascii="Times New Roman" w:hAnsi="Times New Roman" w:cs="Times New Roman"/>
          <w:noProof/>
          <w:sz w:val="24"/>
          <w:szCs w:val="24"/>
        </w:rPr>
      </w:pPr>
      <w:r w:rsidRPr="00110128">
        <w:rPr>
          <w:rFonts w:ascii="Times New Roman" w:hAnsi="Times New Roman" w:cs="Times New Roman"/>
          <w:noProof/>
          <w:sz w:val="24"/>
          <w:szCs w:val="24"/>
        </w:rPr>
        <w:t xml:space="preserve">where the integration domain </w:t>
      </w:r>
      <w:r w:rsidR="002A04F4" w:rsidRPr="007E1AFA">
        <w:rPr>
          <w:rFonts w:ascii="Times New Roman" w:hAnsi="Times New Roman" w:cs="Times New Roman"/>
          <w:noProof/>
          <w:position w:val="-14"/>
          <w:sz w:val="24"/>
          <w:szCs w:val="24"/>
        </w:rPr>
        <w:object w:dxaOrig="2480" w:dyaOrig="420" w14:anchorId="0A7F658B">
          <v:shape id="_x0000_i1132" type="#_x0000_t75" style="width:123.65pt;height:20.85pt" o:ole="" o:preferrelative="f">
            <v:imagedata r:id="rId215" o:title=""/>
            <o:lock v:ext="edit" aspectratio="f"/>
          </v:shape>
          <o:OLEObject Type="Embed" ProgID="Equation.DSMT4" ShapeID="_x0000_i1132" DrawAspect="Content" ObjectID="_1764157447" r:id="rId216"/>
        </w:object>
      </w:r>
      <w:r w:rsidRPr="00110128">
        <w:rPr>
          <w:rFonts w:ascii="Times New Roman" w:hAnsi="Times New Roman" w:cs="Times New Roman"/>
          <w:noProof/>
          <w:sz w:val="24"/>
          <w:szCs w:val="24"/>
        </w:rPr>
        <w:t xml:space="preserve"> is simply the multivariate region of </w:t>
      </w:r>
      <w:r w:rsidR="00334AFE">
        <w:rPr>
          <w:rFonts w:ascii="Times New Roman" w:hAnsi="Times New Roman" w:cs="Times New Roman"/>
          <w:noProof/>
          <w:sz w:val="24"/>
          <w:szCs w:val="24"/>
        </w:rPr>
        <w:t xml:space="preserve">integration </w:t>
      </w:r>
      <w:r w:rsidRPr="00110128">
        <w:rPr>
          <w:rFonts w:ascii="Times New Roman" w:hAnsi="Times New Roman" w:cs="Times New Roman"/>
          <w:noProof/>
          <w:sz w:val="24"/>
          <w:szCs w:val="24"/>
        </w:rPr>
        <w:t xml:space="preserve">determined by the observed </w:t>
      </w:r>
      <w:r>
        <w:rPr>
          <w:rFonts w:ascii="Times New Roman" w:hAnsi="Times New Roman" w:cs="Times New Roman"/>
          <w:noProof/>
          <w:sz w:val="24"/>
          <w:szCs w:val="24"/>
        </w:rPr>
        <w:t>binary</w:t>
      </w:r>
      <w:r w:rsidR="00334AFE">
        <w:rPr>
          <w:rFonts w:ascii="Times New Roman" w:hAnsi="Times New Roman" w:cs="Times New Roman"/>
          <w:noProof/>
          <w:sz w:val="24"/>
          <w:szCs w:val="24"/>
        </w:rPr>
        <w:t>/</w:t>
      </w:r>
      <w:r w:rsidRPr="00110128">
        <w:rPr>
          <w:rFonts w:ascii="Times New Roman" w:hAnsi="Times New Roman" w:cs="Times New Roman"/>
          <w:noProof/>
          <w:sz w:val="24"/>
          <w:szCs w:val="24"/>
        </w:rPr>
        <w:t xml:space="preserve">ordinal outcomes and the the utility differences taken with respect to the utility of the chosen alternative for the multinomial outcome. </w:t>
      </w:r>
      <w:r w:rsidR="00334AFE">
        <w:rPr>
          <w:rFonts w:ascii="Times New Roman" w:hAnsi="Times New Roman" w:cs="Times New Roman"/>
          <w:noProof/>
          <w:sz w:val="24"/>
          <w:szCs w:val="24"/>
        </w:rPr>
        <w:t xml:space="preserve">This would be an eight-dimensional integral. </w:t>
      </w:r>
    </w:p>
    <w:p w14:paraId="7F079D06" w14:textId="5D2A8574" w:rsidR="00334AFE" w:rsidRDefault="00334AFE" w:rsidP="00F02093">
      <w:pPr>
        <w:tabs>
          <w:tab w:val="right" w:pos="720"/>
        </w:tabs>
        <w:spacing w:after="0" w:line="276" w:lineRule="auto"/>
        <w:ind w:firstLine="720"/>
        <w:rPr>
          <w:rFonts w:ascii="Times New Roman" w:hAnsi="Times New Roman" w:cs="Times New Roman"/>
          <w:noProof/>
          <w:sz w:val="24"/>
          <w:szCs w:val="24"/>
        </w:rPr>
      </w:pPr>
      <w:r>
        <w:rPr>
          <w:rFonts w:ascii="Times New Roman" w:hAnsi="Times New Roman" w:cs="Times New Roman"/>
          <w:noProof/>
          <w:sz w:val="24"/>
          <w:szCs w:val="24"/>
        </w:rPr>
        <w:t xml:space="preserve">The likelihood function above is for an individual who teleworks both in the </w:t>
      </w:r>
      <w:r w:rsidRPr="00961062">
        <w:rPr>
          <w:rFonts w:ascii="Times New Roman" w:hAnsi="Times New Roman" w:cs="Times New Roman"/>
          <w:i/>
          <w:noProof/>
          <w:sz w:val="24"/>
          <w:szCs w:val="24"/>
        </w:rPr>
        <w:t>Before</w:t>
      </w:r>
      <w:r w:rsidR="00EF49C0">
        <w:rPr>
          <w:rFonts w:ascii="Times New Roman" w:hAnsi="Times New Roman" w:cs="Times New Roman"/>
          <w:i/>
          <w:noProof/>
          <w:sz w:val="24"/>
          <w:szCs w:val="24"/>
        </w:rPr>
        <w:t xml:space="preserve"> </w:t>
      </w:r>
      <w:r w:rsidRPr="00EF49C0">
        <w:rPr>
          <w:rFonts w:ascii="Times New Roman" w:hAnsi="Times New Roman" w:cs="Times New Roman"/>
          <w:noProof/>
          <w:sz w:val="24"/>
          <w:szCs w:val="24"/>
        </w:rPr>
        <w:t xml:space="preserve">COVID </w:t>
      </w:r>
      <w:r>
        <w:rPr>
          <w:rFonts w:ascii="Times New Roman" w:hAnsi="Times New Roman" w:cs="Times New Roman"/>
          <w:noProof/>
          <w:sz w:val="24"/>
          <w:szCs w:val="24"/>
        </w:rPr>
        <w:t xml:space="preserve">and </w:t>
      </w:r>
      <w:r w:rsidRPr="00961062">
        <w:rPr>
          <w:rFonts w:ascii="Times New Roman" w:hAnsi="Times New Roman" w:cs="Times New Roman"/>
          <w:i/>
          <w:noProof/>
          <w:sz w:val="24"/>
          <w:szCs w:val="24"/>
        </w:rPr>
        <w:t>After</w:t>
      </w:r>
      <w:r w:rsidR="00EF49C0">
        <w:rPr>
          <w:rFonts w:ascii="Times New Roman" w:hAnsi="Times New Roman" w:cs="Times New Roman"/>
          <w:i/>
          <w:noProof/>
          <w:sz w:val="24"/>
          <w:szCs w:val="24"/>
        </w:rPr>
        <w:t xml:space="preserve"> </w:t>
      </w:r>
      <w:r w:rsidRPr="00EF49C0">
        <w:rPr>
          <w:rFonts w:ascii="Times New Roman" w:hAnsi="Times New Roman" w:cs="Times New Roman"/>
          <w:noProof/>
          <w:sz w:val="24"/>
          <w:szCs w:val="24"/>
        </w:rPr>
        <w:t xml:space="preserve">COVID </w:t>
      </w:r>
      <w:r>
        <w:rPr>
          <w:rFonts w:ascii="Times New Roman" w:hAnsi="Times New Roman" w:cs="Times New Roman"/>
          <w:noProof/>
          <w:sz w:val="24"/>
          <w:szCs w:val="24"/>
        </w:rPr>
        <w:t xml:space="preserve">periods. If an individual is observed to telework in only one period but not both, minor modifications need to be made and the likelihood function collapses to a five-dimensional integral. If an individual does not telework in both periods, with minor modifications, the likelihood dimension collapses to a two-dimensional integral. </w:t>
      </w:r>
    </w:p>
    <w:p w14:paraId="0D9E5EBB" w14:textId="73CFE33C" w:rsidR="00BD305B" w:rsidRPr="00961062" w:rsidRDefault="00334AFE" w:rsidP="00961062">
      <w:pPr>
        <w:tabs>
          <w:tab w:val="right" w:pos="810"/>
        </w:tabs>
        <w:spacing w:after="0" w:line="276" w:lineRule="auto"/>
        <w:ind w:firstLine="720"/>
        <w:rPr>
          <w:rFonts w:ascii="Times New Roman" w:hAnsi="Times New Roman" w:cs="Times New Roman"/>
          <w:noProof/>
          <w:sz w:val="24"/>
          <w:szCs w:val="24"/>
        </w:rPr>
      </w:pPr>
      <w:r>
        <w:rPr>
          <w:rFonts w:ascii="Times New Roman" w:hAnsi="Times New Roman" w:cs="Times New Roman"/>
          <w:noProof/>
          <w:sz w:val="24"/>
          <w:szCs w:val="24"/>
        </w:rPr>
        <w:tab/>
      </w:r>
      <w:r w:rsidR="00BD305B" w:rsidRPr="00110128">
        <w:rPr>
          <w:rFonts w:ascii="Times New Roman" w:hAnsi="Times New Roman" w:cs="Times New Roman"/>
          <w:noProof/>
          <w:sz w:val="24"/>
          <w:szCs w:val="24"/>
        </w:rPr>
        <w:t xml:space="preserve">The likelihood function for a sample of </w:t>
      </w:r>
      <w:r w:rsidR="00BD305B" w:rsidRPr="00110128">
        <w:rPr>
          <w:rFonts w:ascii="Times New Roman" w:hAnsi="Times New Roman" w:cs="Times New Roman"/>
          <w:i/>
          <w:noProof/>
          <w:sz w:val="24"/>
          <w:szCs w:val="24"/>
        </w:rPr>
        <w:t>Q</w:t>
      </w:r>
      <w:r w:rsidR="00BD305B" w:rsidRPr="00110128">
        <w:rPr>
          <w:rFonts w:ascii="Times New Roman" w:hAnsi="Times New Roman" w:cs="Times New Roman"/>
          <w:noProof/>
          <w:sz w:val="24"/>
          <w:szCs w:val="24"/>
        </w:rPr>
        <w:t xml:space="preserve"> decision-makers is obtained as the product of the individual-level likelihood functions. </w:t>
      </w:r>
      <w:r w:rsidR="00BD305B" w:rsidRPr="00110128">
        <w:rPr>
          <w:rFonts w:ascii="Times New Roman" w:hAnsi="Times New Roman" w:cs="Times New Roman"/>
          <w:sz w:val="24"/>
          <w:szCs w:val="24"/>
        </w:rPr>
        <w:t>Since a closed form expression does not exist for th</w:t>
      </w:r>
      <w:r w:rsidR="00A60016">
        <w:rPr>
          <w:rFonts w:ascii="Times New Roman" w:hAnsi="Times New Roman" w:cs="Times New Roman"/>
          <w:sz w:val="24"/>
          <w:szCs w:val="24"/>
        </w:rPr>
        <w:t>e</w:t>
      </w:r>
      <w:r w:rsidR="00BD305B" w:rsidRPr="00110128">
        <w:rPr>
          <w:rFonts w:ascii="Times New Roman" w:hAnsi="Times New Roman" w:cs="Times New Roman"/>
          <w:sz w:val="24"/>
          <w:szCs w:val="24"/>
        </w:rPr>
        <w:t xml:space="preserve"> integral and evaluation using simulation techniques can be time consuming, we used the One-</w:t>
      </w:r>
      <w:r w:rsidR="00BD305B" w:rsidRPr="00961062">
        <w:rPr>
          <w:rFonts w:ascii="Times New Roman" w:hAnsi="Times New Roman" w:cs="Times New Roman"/>
          <w:sz w:val="24"/>
          <w:szCs w:val="24"/>
        </w:rPr>
        <w:t xml:space="preserve">variate Univariate Screening technique proposed by </w:t>
      </w:r>
      <w:r w:rsidR="00BD305B" w:rsidRPr="00961062">
        <w:rPr>
          <w:rFonts w:ascii="Times New Roman" w:hAnsi="Times New Roman" w:cs="Times New Roman"/>
          <w:sz w:val="24"/>
          <w:szCs w:val="24"/>
        </w:rPr>
        <w:fldChar w:fldCharType="begin" w:fldLock="1"/>
      </w:r>
      <w:r w:rsidR="00BD305B" w:rsidRPr="00961062">
        <w:rPr>
          <w:rFonts w:ascii="Times New Roman" w:hAnsi="Times New Roman" w:cs="Times New Roman"/>
          <w:sz w:val="24"/>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00BD305B" w:rsidRPr="00961062">
        <w:rPr>
          <w:rFonts w:ascii="Times New Roman" w:hAnsi="Times New Roman" w:cs="Times New Roman"/>
          <w:sz w:val="24"/>
          <w:szCs w:val="24"/>
        </w:rPr>
        <w:fldChar w:fldCharType="separate"/>
      </w:r>
      <w:r w:rsidR="00BD305B" w:rsidRPr="00961062">
        <w:rPr>
          <w:rFonts w:ascii="Times New Roman" w:hAnsi="Times New Roman" w:cs="Times New Roman"/>
          <w:noProof/>
          <w:sz w:val="24"/>
          <w:szCs w:val="24"/>
        </w:rPr>
        <w:t>Bhat (2018)</w:t>
      </w:r>
      <w:r w:rsidR="00BD305B" w:rsidRPr="00961062">
        <w:rPr>
          <w:rFonts w:ascii="Times New Roman" w:hAnsi="Times New Roman" w:cs="Times New Roman"/>
          <w:sz w:val="24"/>
          <w:szCs w:val="24"/>
        </w:rPr>
        <w:fldChar w:fldCharType="end"/>
      </w:r>
      <w:r w:rsidR="00BD305B" w:rsidRPr="00961062">
        <w:rPr>
          <w:rFonts w:ascii="Times New Roman" w:hAnsi="Times New Roman" w:cs="Times New Roman"/>
          <w:sz w:val="24"/>
          <w:szCs w:val="24"/>
        </w:rPr>
        <w:t xml:space="preserve"> for </w:t>
      </w:r>
      <w:r w:rsidR="00A60016" w:rsidRPr="00961062">
        <w:rPr>
          <w:rFonts w:ascii="Times New Roman" w:hAnsi="Times New Roman" w:cs="Times New Roman"/>
          <w:sz w:val="24"/>
          <w:szCs w:val="24"/>
        </w:rPr>
        <w:t xml:space="preserve">evaluating </w:t>
      </w:r>
      <w:r w:rsidR="00BD305B" w:rsidRPr="00961062">
        <w:rPr>
          <w:rFonts w:ascii="Times New Roman" w:hAnsi="Times New Roman" w:cs="Times New Roman"/>
          <w:sz w:val="24"/>
          <w:szCs w:val="24"/>
        </w:rPr>
        <w:t>th</w:t>
      </w:r>
      <w:r w:rsidR="00A60016" w:rsidRPr="00961062">
        <w:rPr>
          <w:rFonts w:ascii="Times New Roman" w:hAnsi="Times New Roman" w:cs="Times New Roman"/>
          <w:sz w:val="24"/>
          <w:szCs w:val="24"/>
        </w:rPr>
        <w:t>e</w:t>
      </w:r>
      <w:r w:rsidR="00BD305B" w:rsidRPr="00961062">
        <w:rPr>
          <w:rFonts w:ascii="Times New Roman" w:hAnsi="Times New Roman" w:cs="Times New Roman"/>
          <w:sz w:val="24"/>
          <w:szCs w:val="24"/>
        </w:rPr>
        <w:t xml:space="preserve"> integral. </w:t>
      </w:r>
      <w:r w:rsidR="00087769" w:rsidRPr="00961062">
        <w:rPr>
          <w:rFonts w:ascii="Times New Roman" w:hAnsi="Times New Roman" w:cs="Times New Roman"/>
          <w:sz w:val="24"/>
          <w:szCs w:val="24"/>
        </w:rPr>
        <w:t xml:space="preserve">Further, to ensure positive definiteness of the correlation matrix </w:t>
      </w:r>
      <w:r w:rsidR="002A04F4" w:rsidRPr="00961062">
        <w:rPr>
          <w:rFonts w:ascii="Times New Roman" w:hAnsi="Times New Roman" w:cs="Times New Roman"/>
          <w:position w:val="-4"/>
          <w:sz w:val="24"/>
          <w:szCs w:val="24"/>
        </w:rPr>
        <w:object w:dxaOrig="240" w:dyaOrig="260" w14:anchorId="30656AC4">
          <v:shape id="_x0000_i1133" type="#_x0000_t75" style="width:11.85pt;height:12.8pt" o:ole="" o:preferrelative="f">
            <v:imagedata r:id="rId217" o:title=""/>
            <o:lock v:ext="edit" aspectratio="f"/>
          </v:shape>
          <o:OLEObject Type="Embed" ProgID="Equation.DSMT4" ShapeID="_x0000_i1133" DrawAspect="Content" ObjectID="_1764157448" r:id="rId218"/>
        </w:object>
      </w:r>
      <w:r w:rsidR="00087769" w:rsidRPr="00961062">
        <w:rPr>
          <w:rFonts w:ascii="Times New Roman" w:hAnsi="Times New Roman" w:cs="Times New Roman"/>
          <w:sz w:val="24"/>
          <w:szCs w:val="24"/>
        </w:rPr>
        <w:t xml:space="preserve">, we adopted </w:t>
      </w:r>
      <w:r w:rsidR="00AE47AC" w:rsidRPr="00961062">
        <w:rPr>
          <w:rFonts w:ascii="Times New Roman" w:hAnsi="Times New Roman" w:cs="Times New Roman"/>
          <w:sz w:val="24"/>
          <w:szCs w:val="24"/>
        </w:rPr>
        <w:t xml:space="preserve">a spherical parameterization approach for the Cholesky of </w:t>
      </w:r>
      <w:r w:rsidR="005B032C" w:rsidRPr="00961062">
        <w:rPr>
          <w:rFonts w:ascii="Times New Roman" w:hAnsi="Times New Roman" w:cs="Times New Roman"/>
          <w:position w:val="-4"/>
          <w:sz w:val="24"/>
          <w:szCs w:val="24"/>
        </w:rPr>
        <w:object w:dxaOrig="240" w:dyaOrig="260" w14:anchorId="54858DCB">
          <v:shape id="_x0000_i1134" type="#_x0000_t75" style="width:11.85pt;height:12.8pt" o:ole="" o:preferrelative="f">
            <v:imagedata r:id="rId217" o:title=""/>
            <o:lock v:ext="edit" aspectratio="f"/>
          </v:shape>
          <o:OLEObject Type="Embed" ProgID="Equation.DSMT4" ShapeID="_x0000_i1134" DrawAspect="Content" ObjectID="_1764157449" r:id="rId219"/>
        </w:object>
      </w:r>
      <w:r w:rsidR="00AE47AC" w:rsidRPr="00961062">
        <w:rPr>
          <w:rFonts w:ascii="Times New Roman" w:hAnsi="Times New Roman" w:cs="Times New Roman"/>
          <w:sz w:val="24"/>
          <w:szCs w:val="24"/>
        </w:rPr>
        <w:t xml:space="preserve"> (see </w:t>
      </w:r>
      <w:r w:rsidR="00AE47AC" w:rsidRPr="00A16412">
        <w:rPr>
          <w:rFonts w:ascii="Times New Roman" w:hAnsi="Times New Roman" w:cs="Times New Roman"/>
          <w:sz w:val="24"/>
          <w:szCs w:val="24"/>
        </w:rPr>
        <w:t>Forrester and Zhang, 2020; Bhat and Mondal, 2021).</w:t>
      </w:r>
      <w:r w:rsidR="00AE47AC" w:rsidRPr="00961062">
        <w:rPr>
          <w:rFonts w:ascii="Times New Roman" w:hAnsi="Times New Roman" w:cs="Times New Roman"/>
          <w:sz w:val="24"/>
          <w:szCs w:val="24"/>
        </w:rPr>
        <w:t xml:space="preserve"> In addition, to maintain the zero correlation restrictions on specific elements of </w:t>
      </w:r>
      <w:r w:rsidR="00AE47AC" w:rsidRPr="00961062">
        <w:rPr>
          <w:rFonts w:ascii="Times New Roman" w:hAnsi="Times New Roman" w:cs="Times New Roman"/>
          <w:position w:val="-12"/>
          <w:sz w:val="24"/>
          <w:szCs w:val="24"/>
        </w:rPr>
        <w:object w:dxaOrig="360" w:dyaOrig="360" w14:anchorId="75F6D455">
          <v:shape id="_x0000_i1135" type="#_x0000_t75" style="width:18.95pt;height:18.95pt" o:ole="">
            <v:imagedata r:id="rId146" o:title=""/>
          </v:shape>
          <o:OLEObject Type="Embed" ProgID="Equation.DSMT4" ShapeID="_x0000_i1135" DrawAspect="Content" ObjectID="_1764157450" r:id="rId220"/>
        </w:object>
      </w:r>
      <w:r w:rsidR="00AE47AC" w:rsidRPr="00961062">
        <w:rPr>
          <w:rFonts w:ascii="Times New Roman" w:hAnsi="Times New Roman" w:cs="Times New Roman"/>
          <w:sz w:val="24"/>
          <w:szCs w:val="24"/>
        </w:rPr>
        <w:t xml:space="preserve">, while maintaining positive definiteness of </w:t>
      </w:r>
      <w:r w:rsidR="005B032C" w:rsidRPr="00961062">
        <w:rPr>
          <w:rFonts w:ascii="Times New Roman" w:hAnsi="Times New Roman" w:cs="Times New Roman"/>
          <w:position w:val="-4"/>
          <w:sz w:val="24"/>
          <w:szCs w:val="24"/>
        </w:rPr>
        <w:object w:dxaOrig="240" w:dyaOrig="260" w14:anchorId="76195BF4">
          <v:shape id="_x0000_i1136" type="#_x0000_t75" style="width:11.85pt;height:12.8pt" o:ole="" o:preferrelative="f">
            <v:imagedata r:id="rId217" o:title=""/>
            <o:lock v:ext="edit" aspectratio="f"/>
          </v:shape>
          <o:OLEObject Type="Embed" ProgID="Equation.DSMT4" ShapeID="_x0000_i1136" DrawAspect="Content" ObjectID="_1764157451" r:id="rId221"/>
        </w:object>
      </w:r>
      <w:r w:rsidR="00AE47AC" w:rsidRPr="00961062">
        <w:rPr>
          <w:rFonts w:ascii="Times New Roman" w:hAnsi="Times New Roman" w:cs="Times New Roman"/>
          <w:sz w:val="24"/>
          <w:szCs w:val="24"/>
        </w:rPr>
        <w:t xml:space="preserve">, we adopted the procedure recently proposed by </w:t>
      </w:r>
      <w:r w:rsidR="00AE47AC" w:rsidRPr="00A16412">
        <w:rPr>
          <w:rFonts w:ascii="Times New Roman" w:hAnsi="Times New Roman" w:cs="Times New Roman"/>
          <w:sz w:val="24"/>
          <w:szCs w:val="24"/>
        </w:rPr>
        <w:t>Saxena et al. (2022).</w:t>
      </w:r>
      <w:r w:rsidR="00AE47AC">
        <w:rPr>
          <w:rFonts w:ascii="Times New Roman" w:hAnsi="Times New Roman" w:cs="Times New Roman"/>
          <w:sz w:val="24"/>
          <w:szCs w:val="24"/>
        </w:rPr>
        <w:t xml:space="preserve"> </w:t>
      </w:r>
    </w:p>
    <w:p w14:paraId="11A59D50" w14:textId="77777777" w:rsidR="00FD060A" w:rsidRPr="00961062" w:rsidRDefault="00FD060A" w:rsidP="00E1729F">
      <w:pPr>
        <w:spacing w:after="0" w:line="276" w:lineRule="auto"/>
        <w:rPr>
          <w:rFonts w:ascii="Times New Roman" w:hAnsi="Times New Roman" w:cs="Times New Roman"/>
          <w:sz w:val="24"/>
        </w:rPr>
      </w:pPr>
    </w:p>
    <w:p w14:paraId="3AA833AC" w14:textId="4A6F8EC3" w:rsidR="006E60A3" w:rsidRPr="00837F9C" w:rsidRDefault="00B92EB1" w:rsidP="000D4FD3">
      <w:pPr>
        <w:pStyle w:val="Heading1"/>
      </w:pPr>
      <w:r w:rsidRPr="00837F9C">
        <w:t xml:space="preserve">MODEL ESTIMATION </w:t>
      </w:r>
      <w:r w:rsidR="00566AEF" w:rsidRPr="00837F9C">
        <w:t>RESULTS</w:t>
      </w:r>
    </w:p>
    <w:p w14:paraId="33DF87A9" w14:textId="559682B3" w:rsidR="00A07D07" w:rsidRPr="00837F9C" w:rsidRDefault="00A07D07" w:rsidP="00E1729F">
      <w:pPr>
        <w:shd w:val="clear" w:color="auto" w:fill="FFFFFF"/>
        <w:spacing w:after="0" w:line="276" w:lineRule="auto"/>
        <w:rPr>
          <w:rFonts w:ascii="Times New Roman" w:hAnsi="Times New Roman" w:cs="Times New Roman"/>
          <w:sz w:val="24"/>
          <w:szCs w:val="24"/>
        </w:rPr>
      </w:pPr>
      <w:bookmarkStart w:id="8" w:name="_Hlk65017383"/>
      <w:r w:rsidRPr="00837F9C">
        <w:rPr>
          <w:rFonts w:ascii="Times New Roman" w:hAnsi="Times New Roman" w:cs="Times New Roman"/>
          <w:sz w:val="24"/>
          <w:szCs w:val="24"/>
        </w:rPr>
        <w:t xml:space="preserve">In the model specifications, we explored a range of alternative functional forms for the explanatory variables. These included a linear form, a dummy variable categorization, as well as piecewise spline forms for the </w:t>
      </w:r>
      <w:r w:rsidR="00671FE4" w:rsidRPr="00837F9C">
        <w:rPr>
          <w:rFonts w:ascii="Times New Roman" w:hAnsi="Times New Roman" w:cs="Times New Roman"/>
          <w:sz w:val="24"/>
          <w:szCs w:val="24"/>
        </w:rPr>
        <w:t>non-dummy</w:t>
      </w:r>
      <w:r w:rsidRPr="00837F9C">
        <w:rPr>
          <w:rFonts w:ascii="Times New Roman" w:hAnsi="Times New Roman" w:cs="Times New Roman"/>
          <w:sz w:val="24"/>
          <w:szCs w:val="24"/>
        </w:rPr>
        <w:t xml:space="preserve"> variables (respondent age</w:t>
      </w:r>
      <w:r w:rsidR="000631B2" w:rsidRPr="00837F9C">
        <w:rPr>
          <w:rFonts w:ascii="Times New Roman" w:hAnsi="Times New Roman" w:cs="Times New Roman"/>
          <w:sz w:val="24"/>
          <w:szCs w:val="24"/>
        </w:rPr>
        <w:t>, commute time,</w:t>
      </w:r>
      <w:r w:rsidRPr="00837F9C">
        <w:rPr>
          <w:rFonts w:ascii="Times New Roman" w:hAnsi="Times New Roman" w:cs="Times New Roman"/>
          <w:sz w:val="24"/>
          <w:szCs w:val="24"/>
        </w:rPr>
        <w:t xml:space="preserve"> and </w:t>
      </w:r>
      <w:r w:rsidR="00671FE4" w:rsidRPr="00837F9C">
        <w:rPr>
          <w:rFonts w:ascii="Times New Roman" w:hAnsi="Times New Roman" w:cs="Times New Roman"/>
          <w:sz w:val="24"/>
          <w:szCs w:val="24"/>
        </w:rPr>
        <w:t xml:space="preserve">days worked per </w:t>
      </w:r>
      <w:r w:rsidR="00671FE4" w:rsidRPr="00837F9C">
        <w:rPr>
          <w:rFonts w:ascii="Times New Roman" w:hAnsi="Times New Roman" w:cs="Times New Roman"/>
          <w:sz w:val="24"/>
          <w:szCs w:val="24"/>
        </w:rPr>
        <w:lastRenderedPageBreak/>
        <w:t>month</w:t>
      </w:r>
      <w:r w:rsidRPr="00837F9C">
        <w:rPr>
          <w:rFonts w:ascii="Times New Roman" w:hAnsi="Times New Roman" w:cs="Times New Roman"/>
          <w:sz w:val="24"/>
          <w:szCs w:val="24"/>
        </w:rPr>
        <w:t>). But</w:t>
      </w:r>
      <w:r w:rsidR="000631B2" w:rsidRPr="00837F9C">
        <w:rPr>
          <w:rFonts w:ascii="Times New Roman" w:hAnsi="Times New Roman" w:cs="Times New Roman"/>
          <w:sz w:val="24"/>
          <w:szCs w:val="24"/>
        </w:rPr>
        <w:t>, except for the commute time variable,</w:t>
      </w:r>
      <w:r w:rsidRPr="00837F9C">
        <w:rPr>
          <w:rFonts w:ascii="Times New Roman" w:hAnsi="Times New Roman" w:cs="Times New Roman"/>
          <w:sz w:val="24"/>
          <w:szCs w:val="24"/>
        </w:rPr>
        <w:t xml:space="preserve"> the dummy variable specification turned up to consistently provide the best data fit </w:t>
      </w:r>
      <w:r w:rsidR="000631B2" w:rsidRPr="00837F9C">
        <w:rPr>
          <w:rFonts w:ascii="Times New Roman" w:hAnsi="Times New Roman" w:cs="Times New Roman"/>
          <w:sz w:val="24"/>
          <w:szCs w:val="24"/>
        </w:rPr>
        <w:t xml:space="preserve">for </w:t>
      </w:r>
      <w:r w:rsidR="00AD1DB1">
        <w:rPr>
          <w:rFonts w:ascii="Times New Roman" w:hAnsi="Times New Roman" w:cs="Times New Roman"/>
          <w:sz w:val="24"/>
          <w:szCs w:val="24"/>
        </w:rPr>
        <w:t xml:space="preserve">all other </w:t>
      </w:r>
      <w:r w:rsidR="000631B2" w:rsidRPr="00837F9C">
        <w:rPr>
          <w:rFonts w:ascii="Times New Roman" w:hAnsi="Times New Roman" w:cs="Times New Roman"/>
          <w:sz w:val="24"/>
          <w:szCs w:val="24"/>
        </w:rPr>
        <w:t>variables</w:t>
      </w:r>
      <w:r w:rsidRPr="00837F9C">
        <w:rPr>
          <w:rFonts w:ascii="Times New Roman" w:hAnsi="Times New Roman" w:cs="Times New Roman"/>
          <w:sz w:val="24"/>
          <w:szCs w:val="24"/>
        </w:rPr>
        <w:t>. In this dummy variable form, we tested</w:t>
      </w:r>
      <w:r w:rsidR="00671FE4" w:rsidRPr="00837F9C">
        <w:rPr>
          <w:rFonts w:ascii="Times New Roman" w:hAnsi="Times New Roman" w:cs="Times New Roman"/>
          <w:sz w:val="24"/>
          <w:szCs w:val="24"/>
        </w:rPr>
        <w:t xml:space="preserve"> </w:t>
      </w:r>
      <w:r w:rsidRPr="00837F9C">
        <w:rPr>
          <w:rFonts w:ascii="Times New Roman" w:hAnsi="Times New Roman" w:cs="Times New Roman"/>
          <w:sz w:val="24"/>
          <w:szCs w:val="24"/>
        </w:rPr>
        <w:t xml:space="preserve">different </w:t>
      </w:r>
      <w:r w:rsidR="00671FE4" w:rsidRPr="00837F9C">
        <w:rPr>
          <w:rFonts w:ascii="Times New Roman" w:hAnsi="Times New Roman" w:cs="Times New Roman"/>
          <w:sz w:val="24"/>
          <w:szCs w:val="24"/>
        </w:rPr>
        <w:t xml:space="preserve">sets of </w:t>
      </w:r>
      <w:r w:rsidRPr="00837F9C">
        <w:rPr>
          <w:rFonts w:ascii="Times New Roman" w:hAnsi="Times New Roman" w:cs="Times New Roman"/>
          <w:sz w:val="24"/>
          <w:szCs w:val="24"/>
        </w:rPr>
        <w:t>finer categories, and progressively combined categories based on statistical tests and intuitive reasoning to yield parsimonious specifications.</w:t>
      </w:r>
    </w:p>
    <w:p w14:paraId="0BFF0F67" w14:textId="1F4C7208" w:rsidR="00682802" w:rsidRDefault="00A07D07" w:rsidP="00E1729F">
      <w:pPr>
        <w:spacing w:after="0" w:line="276" w:lineRule="auto"/>
        <w:ind w:firstLine="720"/>
        <w:rPr>
          <w:rFonts w:ascii="Times New Roman" w:hAnsi="Times New Roman" w:cs="Times New Roman"/>
          <w:b/>
          <w:sz w:val="24"/>
          <w:szCs w:val="24"/>
        </w:rPr>
      </w:pPr>
      <w:bookmarkStart w:id="9" w:name="_Hlk143072463"/>
      <w:bookmarkStart w:id="10" w:name="_Hlk143411229"/>
      <w:r w:rsidRPr="00837F9C">
        <w:rPr>
          <w:rFonts w:ascii="Times New Roman" w:hAnsi="Times New Roman" w:cs="Times New Roman"/>
          <w:sz w:val="24"/>
          <w:szCs w:val="24"/>
        </w:rPr>
        <w:t xml:space="preserve">The final model specification was obtained after a systematic process of testing alternative combinations (and interactions) of explanatory variables based on statistical fit and parsimony considerations. </w:t>
      </w:r>
      <w:r w:rsidR="008A2A0F" w:rsidRPr="00167EAB">
        <w:rPr>
          <w:rFonts w:ascii="Times New Roman" w:eastAsia="Times New Roman" w:hAnsi="Times New Roman" w:cs="Times New Roman"/>
          <w:sz w:val="24"/>
          <w:szCs w:val="24"/>
          <w:lang w:eastAsia="en-IN"/>
        </w:rPr>
        <w:t>I</w:t>
      </w:r>
      <w:r w:rsidR="008A2A0F" w:rsidRPr="00167EAB">
        <w:rPr>
          <w:rFonts w:ascii="Times New Roman" w:hAnsi="Times New Roman" w:cs="Times New Roman"/>
          <w:sz w:val="24"/>
          <w:szCs w:val="24"/>
        </w:rPr>
        <w:t xml:space="preserve">n the final model specification, we used a t-statistic threshold of 1.00 to retain variables (corresponding to a 0.32 level of significance or 68% confidence level), because of the moderate-sized sample used in the analysis, the small share of individuals who use the third location only and “both home and third location” alternatives in the location model, and the potential for such included variables to guide future </w:t>
      </w:r>
      <w:r w:rsidR="008A2A0F">
        <w:rPr>
          <w:rFonts w:ascii="Times New Roman" w:hAnsi="Times New Roman" w:cs="Times New Roman"/>
          <w:sz w:val="24"/>
          <w:szCs w:val="24"/>
        </w:rPr>
        <w:t>telework-related</w:t>
      </w:r>
      <w:r w:rsidR="008A2A0F" w:rsidRPr="00167EAB">
        <w:rPr>
          <w:rFonts w:ascii="Times New Roman" w:hAnsi="Times New Roman" w:cs="Times New Roman"/>
          <w:sz w:val="24"/>
          <w:szCs w:val="24"/>
        </w:rPr>
        <w:t xml:space="preserve"> investigations with larger sample </w:t>
      </w:r>
      <w:r w:rsidR="008A2A0F" w:rsidRPr="00682802">
        <w:rPr>
          <w:rFonts w:ascii="Times New Roman" w:hAnsi="Times New Roman" w:cs="Times New Roman"/>
          <w:sz w:val="24"/>
          <w:szCs w:val="24"/>
        </w:rPr>
        <w:t>sizes.</w:t>
      </w:r>
      <w:r w:rsidR="008A2A0F" w:rsidRPr="00682802">
        <w:rPr>
          <w:rFonts w:ascii="Times New Roman" w:hAnsi="Times New Roman" w:cs="Times New Roman"/>
          <w:b/>
          <w:sz w:val="24"/>
          <w:szCs w:val="24"/>
        </w:rPr>
        <w:t xml:space="preserve"> </w:t>
      </w:r>
      <w:bookmarkEnd w:id="8"/>
      <w:r w:rsidR="00682802" w:rsidRPr="00194389">
        <w:rPr>
          <w:rFonts w:ascii="Times New Roman" w:hAnsi="Times New Roman" w:cs="Times New Roman"/>
          <w:sz w:val="24"/>
          <w:szCs w:val="24"/>
        </w:rPr>
        <w:t>After all, choosing a level of significance is closely related to Type II error. Especially, one needs to worry not only about including variables incorrectly (Type I error), but also rejecting variables incorrectly (Type II error). In selecting a level of significance, we face a trade-off between making the two different types of errors. In multidimensional models, we would rather make a slightly larger Type I error if it means identifying variables that are suggestive and that may aid researchers working with more data in the future</w:t>
      </w:r>
      <w:bookmarkEnd w:id="9"/>
      <w:r w:rsidR="00682802" w:rsidRPr="00194389">
        <w:rPr>
          <w:rFonts w:ascii="Times New Roman" w:hAnsi="Times New Roman" w:cs="Times New Roman"/>
          <w:sz w:val="24"/>
          <w:szCs w:val="24"/>
        </w:rPr>
        <w:t>.</w:t>
      </w:r>
      <w:r w:rsidR="001F4114">
        <w:rPr>
          <w:rStyle w:val="FootnoteReference"/>
          <w:rFonts w:ascii="Times New Roman" w:hAnsi="Times New Roman" w:cs="Times New Roman"/>
          <w:sz w:val="24"/>
          <w:szCs w:val="24"/>
        </w:rPr>
        <w:footnoteReference w:id="10"/>
      </w:r>
    </w:p>
    <w:bookmarkEnd w:id="10"/>
    <w:p w14:paraId="389D2DE2" w14:textId="4CBD0F41" w:rsidR="00097417" w:rsidRPr="00837F9C" w:rsidRDefault="00FF1F7F" w:rsidP="00E1729F">
      <w:pPr>
        <w:spacing w:after="0" w:line="276" w:lineRule="auto"/>
        <w:ind w:firstLine="720"/>
        <w:rPr>
          <w:rFonts w:ascii="Times New Roman" w:eastAsia="Times New Roman" w:hAnsi="Times New Roman" w:cs="Times New Roman"/>
          <w:sz w:val="24"/>
          <w:szCs w:val="24"/>
          <w:lang w:eastAsia="en-IN"/>
        </w:rPr>
      </w:pPr>
      <w:r w:rsidRPr="00837F9C">
        <w:rPr>
          <w:rFonts w:ascii="Times New Roman" w:hAnsi="Times New Roman" w:cs="Times New Roman"/>
          <w:sz w:val="24"/>
          <w:szCs w:val="24"/>
        </w:rPr>
        <w:t xml:space="preserve">Table 3 presents the estimation results for all choice dimensions of interest in this study. The results for each choice dimension are presented in turn. </w:t>
      </w:r>
      <w:r w:rsidR="00FD4BC8">
        <w:rPr>
          <w:rFonts w:ascii="Times New Roman" w:hAnsi="Times New Roman" w:cs="Times New Roman"/>
          <w:sz w:val="24"/>
          <w:szCs w:val="24"/>
        </w:rPr>
        <w:t xml:space="preserve">Important to note is that the coefficients in Table 3 characterize the effects of exogenous variables on (1) the underlying propensity for telework adoption (for the telework adoption binary choice model), (2) the underlying propensity for telework frequency (for the telework frequency ordinal choice model), and (3) the utility for the </w:t>
      </w:r>
      <w:r w:rsidR="00976231">
        <w:rPr>
          <w:rFonts w:ascii="Times New Roman" w:hAnsi="Times New Roman" w:cs="Times New Roman"/>
          <w:sz w:val="24"/>
          <w:szCs w:val="24"/>
        </w:rPr>
        <w:t>“</w:t>
      </w:r>
      <w:r w:rsidR="00FD4BC8">
        <w:rPr>
          <w:rFonts w:ascii="Times New Roman" w:hAnsi="Times New Roman" w:cs="Times New Roman"/>
          <w:sz w:val="24"/>
          <w:szCs w:val="24"/>
        </w:rPr>
        <w:t>third</w:t>
      </w:r>
      <w:r w:rsidR="00976231">
        <w:rPr>
          <w:rFonts w:ascii="Times New Roman" w:hAnsi="Times New Roman" w:cs="Times New Roman"/>
          <w:sz w:val="24"/>
          <w:szCs w:val="24"/>
        </w:rPr>
        <w:t xml:space="preserve"> location only” and “both home and third location” alternatives, with the “home only” alternative serving as the base alternative for identification purposes. </w:t>
      </w:r>
      <w:r w:rsidR="00DD2B69">
        <w:rPr>
          <w:rFonts w:ascii="Times New Roman" w:hAnsi="Times New Roman" w:cs="Times New Roman"/>
          <w:sz w:val="24"/>
          <w:szCs w:val="24"/>
        </w:rPr>
        <w:t xml:space="preserve">Also, for dummy variables, the base variable in identified in parenthesis. </w:t>
      </w:r>
    </w:p>
    <w:p w14:paraId="233784F3" w14:textId="77777777" w:rsidR="00F31214" w:rsidRPr="00837F9C" w:rsidRDefault="00F31214" w:rsidP="00E1729F">
      <w:pPr>
        <w:spacing w:after="0" w:line="276" w:lineRule="auto"/>
        <w:rPr>
          <w:rFonts w:ascii="Times New Roman" w:hAnsi="Times New Roman" w:cs="Times New Roman"/>
          <w:sz w:val="24"/>
          <w:szCs w:val="24"/>
        </w:rPr>
      </w:pPr>
    </w:p>
    <w:p w14:paraId="6D12D3B7" w14:textId="7FD401FB" w:rsidR="002B7811" w:rsidRPr="00837F9C" w:rsidRDefault="00A03376" w:rsidP="00E1729F">
      <w:pPr>
        <w:spacing w:after="0" w:line="276" w:lineRule="auto"/>
        <w:rPr>
          <w:rFonts w:ascii="Times New Roman" w:hAnsi="Times New Roman" w:cs="Times New Roman"/>
          <w:b/>
          <w:sz w:val="24"/>
          <w:szCs w:val="24"/>
        </w:rPr>
      </w:pPr>
      <w:bookmarkStart w:id="11" w:name="_Ref520649517"/>
      <w:bookmarkStart w:id="12" w:name="_Ref520670347"/>
      <w:r>
        <w:rPr>
          <w:rFonts w:ascii="Times New Roman" w:hAnsi="Times New Roman" w:cs="Times New Roman"/>
          <w:b/>
          <w:sz w:val="24"/>
          <w:szCs w:val="24"/>
        </w:rPr>
        <w:t>5</w:t>
      </w:r>
      <w:r w:rsidR="00AE3275" w:rsidRPr="00837F9C">
        <w:rPr>
          <w:rFonts w:ascii="Times New Roman" w:hAnsi="Times New Roman" w:cs="Times New Roman"/>
          <w:b/>
          <w:sz w:val="24"/>
          <w:szCs w:val="24"/>
        </w:rPr>
        <w:t>.</w:t>
      </w:r>
      <w:r w:rsidR="00895F98" w:rsidRPr="00837F9C">
        <w:rPr>
          <w:rFonts w:ascii="Times New Roman" w:hAnsi="Times New Roman" w:cs="Times New Roman"/>
          <w:b/>
          <w:sz w:val="24"/>
          <w:szCs w:val="24"/>
        </w:rPr>
        <w:t>1</w:t>
      </w:r>
      <w:r w:rsidR="008B7E12" w:rsidRPr="00837F9C">
        <w:rPr>
          <w:rFonts w:ascii="Times New Roman" w:hAnsi="Times New Roman" w:cs="Times New Roman"/>
          <w:b/>
          <w:sz w:val="24"/>
          <w:szCs w:val="24"/>
        </w:rPr>
        <w:t xml:space="preserve"> </w:t>
      </w:r>
      <w:r w:rsidR="00A658F5" w:rsidRPr="00837F9C">
        <w:rPr>
          <w:rFonts w:ascii="Times New Roman" w:hAnsi="Times New Roman" w:cs="Times New Roman"/>
          <w:b/>
          <w:sz w:val="24"/>
          <w:szCs w:val="24"/>
        </w:rPr>
        <w:t>Telework Adoption (Binary Choice)</w:t>
      </w:r>
    </w:p>
    <w:p w14:paraId="68FB5526" w14:textId="6BC84565" w:rsidR="00813096" w:rsidRDefault="00D4525C"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 xml:space="preserve">The first set of results in Table 3 </w:t>
      </w:r>
      <w:r w:rsidR="00FD4BC8">
        <w:rPr>
          <w:rFonts w:ascii="Times New Roman" w:hAnsi="Times New Roman" w:cs="Times New Roman"/>
          <w:bCs/>
          <w:sz w:val="24"/>
          <w:szCs w:val="24"/>
        </w:rPr>
        <w:t>presents</w:t>
      </w:r>
      <w:r w:rsidRPr="00837F9C">
        <w:rPr>
          <w:rFonts w:ascii="Times New Roman" w:hAnsi="Times New Roman" w:cs="Times New Roman"/>
          <w:bCs/>
          <w:sz w:val="24"/>
          <w:szCs w:val="24"/>
        </w:rPr>
        <w:t xml:space="preserve"> the influence of exogenous variables and COVID on the adoption of teleworking (cho</w:t>
      </w:r>
      <w:r w:rsidR="00641693" w:rsidRPr="00837F9C">
        <w:rPr>
          <w:rFonts w:ascii="Times New Roman" w:hAnsi="Times New Roman" w:cs="Times New Roman"/>
          <w:bCs/>
          <w:sz w:val="24"/>
          <w:szCs w:val="24"/>
        </w:rPr>
        <w:t>osing</w:t>
      </w:r>
      <w:r w:rsidRPr="00837F9C">
        <w:rPr>
          <w:rFonts w:ascii="Times New Roman" w:hAnsi="Times New Roman" w:cs="Times New Roman"/>
          <w:bCs/>
          <w:sz w:val="24"/>
          <w:szCs w:val="24"/>
        </w:rPr>
        <w:t xml:space="preserve"> of whether to tele</w:t>
      </w:r>
      <w:r w:rsidR="00FC5545">
        <w:rPr>
          <w:rFonts w:ascii="Times New Roman" w:hAnsi="Times New Roman" w:cs="Times New Roman"/>
          <w:bCs/>
          <w:sz w:val="24"/>
          <w:szCs w:val="24"/>
        </w:rPr>
        <w:t>work</w:t>
      </w:r>
      <w:r w:rsidRPr="00837F9C">
        <w:rPr>
          <w:rFonts w:ascii="Times New Roman" w:hAnsi="Times New Roman" w:cs="Times New Roman"/>
          <w:bCs/>
          <w:sz w:val="24"/>
          <w:szCs w:val="24"/>
        </w:rPr>
        <w:t xml:space="preserve"> or not). The findings are largely intuitive and consistent with the literature. </w:t>
      </w:r>
      <w:r w:rsidR="008C058A" w:rsidRPr="00837F9C">
        <w:rPr>
          <w:rFonts w:ascii="Times New Roman" w:hAnsi="Times New Roman" w:cs="Times New Roman"/>
          <w:bCs/>
          <w:sz w:val="24"/>
          <w:szCs w:val="24"/>
        </w:rPr>
        <w:t xml:space="preserve">Women </w:t>
      </w:r>
      <w:r w:rsidRPr="00837F9C">
        <w:rPr>
          <w:rFonts w:ascii="Times New Roman" w:hAnsi="Times New Roman" w:cs="Times New Roman"/>
          <w:bCs/>
          <w:sz w:val="24"/>
          <w:szCs w:val="24"/>
        </w:rPr>
        <w:t xml:space="preserve">are less inclined to </w:t>
      </w:r>
      <w:r w:rsidR="00DD2B69">
        <w:rPr>
          <w:rFonts w:ascii="Times New Roman" w:hAnsi="Times New Roman" w:cs="Times New Roman"/>
          <w:bCs/>
          <w:sz w:val="24"/>
          <w:szCs w:val="24"/>
        </w:rPr>
        <w:t xml:space="preserve">adopt </w:t>
      </w:r>
      <w:r w:rsidRPr="00837F9C">
        <w:rPr>
          <w:rFonts w:ascii="Times New Roman" w:hAnsi="Times New Roman" w:cs="Times New Roman"/>
          <w:bCs/>
          <w:sz w:val="24"/>
          <w:szCs w:val="24"/>
        </w:rPr>
        <w:t>telework</w:t>
      </w:r>
      <w:r w:rsidR="00DD2B69">
        <w:rPr>
          <w:rFonts w:ascii="Times New Roman" w:hAnsi="Times New Roman" w:cs="Times New Roman"/>
          <w:bCs/>
          <w:sz w:val="24"/>
          <w:szCs w:val="24"/>
        </w:rPr>
        <w:t>ing</w:t>
      </w:r>
      <w:r w:rsidRPr="00837F9C">
        <w:rPr>
          <w:rFonts w:ascii="Times New Roman" w:hAnsi="Times New Roman" w:cs="Times New Roman"/>
          <w:bCs/>
          <w:sz w:val="24"/>
          <w:szCs w:val="24"/>
        </w:rPr>
        <w:t xml:space="preserve"> </w:t>
      </w:r>
      <w:r w:rsidR="00641693" w:rsidRPr="00837F9C">
        <w:rPr>
          <w:rFonts w:ascii="Times New Roman" w:hAnsi="Times New Roman" w:cs="Times New Roman"/>
          <w:bCs/>
          <w:sz w:val="24"/>
          <w:szCs w:val="24"/>
        </w:rPr>
        <w:t>compared to</w:t>
      </w:r>
      <w:r w:rsidRPr="00837F9C">
        <w:rPr>
          <w:rFonts w:ascii="Times New Roman" w:hAnsi="Times New Roman" w:cs="Times New Roman"/>
          <w:bCs/>
          <w:sz w:val="24"/>
          <w:szCs w:val="24"/>
        </w:rPr>
        <w:t xml:space="preserve"> m</w:t>
      </w:r>
      <w:r w:rsidR="008C058A" w:rsidRPr="00837F9C">
        <w:rPr>
          <w:rFonts w:ascii="Times New Roman" w:hAnsi="Times New Roman" w:cs="Times New Roman"/>
          <w:bCs/>
          <w:sz w:val="24"/>
          <w:szCs w:val="24"/>
        </w:rPr>
        <w:t>en</w:t>
      </w:r>
      <w:r w:rsidR="00FD4BC8">
        <w:rPr>
          <w:rFonts w:ascii="Times New Roman" w:hAnsi="Times New Roman" w:cs="Times New Roman"/>
          <w:bCs/>
          <w:sz w:val="24"/>
          <w:szCs w:val="24"/>
        </w:rPr>
        <w:t xml:space="preserve"> and there is no change </w:t>
      </w:r>
      <w:r w:rsidR="00BA6B49">
        <w:rPr>
          <w:rFonts w:ascii="Times New Roman" w:hAnsi="Times New Roman" w:cs="Times New Roman"/>
          <w:bCs/>
          <w:sz w:val="24"/>
          <w:szCs w:val="24"/>
        </w:rPr>
        <w:t>in this gender-based differential between the two time period</w:t>
      </w:r>
      <w:r w:rsidR="00DD2B69">
        <w:rPr>
          <w:rFonts w:ascii="Times New Roman" w:hAnsi="Times New Roman" w:cs="Times New Roman"/>
          <w:bCs/>
          <w:sz w:val="24"/>
          <w:szCs w:val="24"/>
        </w:rPr>
        <w:t xml:space="preserve">s. That women are less inclined to telework has been </w:t>
      </w:r>
      <w:r w:rsidRPr="00837F9C">
        <w:rPr>
          <w:rFonts w:ascii="Times New Roman" w:hAnsi="Times New Roman" w:cs="Times New Roman"/>
          <w:bCs/>
          <w:sz w:val="24"/>
          <w:szCs w:val="24"/>
        </w:rPr>
        <w:t>reported in the literature</w:t>
      </w:r>
      <w:r w:rsidR="00DD2B69">
        <w:rPr>
          <w:rFonts w:ascii="Times New Roman" w:hAnsi="Times New Roman" w:cs="Times New Roman"/>
          <w:bCs/>
          <w:sz w:val="24"/>
          <w:szCs w:val="24"/>
        </w:rPr>
        <w:t xml:space="preserve">, </w:t>
      </w:r>
      <w:r w:rsidR="00DD2B69" w:rsidRPr="004D5DF9">
        <w:rPr>
          <w:rFonts w:ascii="Times New Roman" w:hAnsi="Times New Roman" w:cs="Times New Roman"/>
          <w:bCs/>
          <w:sz w:val="24"/>
          <w:szCs w:val="24"/>
        </w:rPr>
        <w:t xml:space="preserve">and </w:t>
      </w:r>
      <w:r w:rsidR="00DD2B69" w:rsidRPr="00A15909">
        <w:rPr>
          <w:rFonts w:ascii="Times New Roman" w:hAnsi="Times New Roman" w:cs="Times New Roman"/>
          <w:bCs/>
          <w:sz w:val="24"/>
          <w:szCs w:val="24"/>
        </w:rPr>
        <w:t>has been attributed</w:t>
      </w:r>
      <w:r w:rsidR="00C06EE0">
        <w:rPr>
          <w:rFonts w:ascii="Times New Roman" w:hAnsi="Times New Roman" w:cs="Times New Roman"/>
          <w:bCs/>
          <w:sz w:val="24"/>
          <w:szCs w:val="24"/>
        </w:rPr>
        <w:t>, among other reasons,</w:t>
      </w:r>
      <w:r w:rsidR="00DD2B69" w:rsidRPr="00A15909">
        <w:rPr>
          <w:rFonts w:ascii="Times New Roman" w:hAnsi="Times New Roman" w:cs="Times New Roman"/>
          <w:bCs/>
          <w:sz w:val="24"/>
          <w:szCs w:val="24"/>
        </w:rPr>
        <w:t xml:space="preserve"> to </w:t>
      </w:r>
      <w:r w:rsidR="00656B82" w:rsidRPr="00A15909">
        <w:rPr>
          <w:rFonts w:ascii="Times New Roman" w:hAnsi="Times New Roman" w:cs="Times New Roman"/>
          <w:bCs/>
          <w:sz w:val="24"/>
          <w:szCs w:val="24"/>
        </w:rPr>
        <w:t xml:space="preserve">blurred </w:t>
      </w:r>
      <w:r w:rsidR="00C06EE0">
        <w:rPr>
          <w:rFonts w:ascii="Times New Roman" w:hAnsi="Times New Roman" w:cs="Times New Roman"/>
          <w:bCs/>
          <w:sz w:val="24"/>
          <w:szCs w:val="24"/>
        </w:rPr>
        <w:t xml:space="preserve">responsibility </w:t>
      </w:r>
      <w:r w:rsidR="00656B82" w:rsidRPr="00A15909">
        <w:rPr>
          <w:rFonts w:ascii="Times New Roman" w:hAnsi="Times New Roman" w:cs="Times New Roman"/>
          <w:bCs/>
          <w:sz w:val="24"/>
          <w:szCs w:val="24"/>
        </w:rPr>
        <w:t xml:space="preserve">boundaries between home/family life and work life when working remote, leading women to use their in-person office </w:t>
      </w:r>
      <w:r w:rsidR="00C06EE0">
        <w:rPr>
          <w:rFonts w:ascii="Times New Roman" w:hAnsi="Times New Roman" w:cs="Times New Roman"/>
          <w:bCs/>
          <w:sz w:val="24"/>
          <w:szCs w:val="24"/>
        </w:rPr>
        <w:t xml:space="preserve">as a means to compartmentalize their varied responsibilities </w:t>
      </w:r>
      <w:r w:rsidRPr="004D5DF9">
        <w:rPr>
          <w:rFonts w:ascii="Times New Roman" w:hAnsi="Times New Roman" w:cs="Times New Roman"/>
          <w:bCs/>
          <w:sz w:val="24"/>
          <w:szCs w:val="24"/>
        </w:rPr>
        <w:t>(</w:t>
      </w:r>
      <w:r w:rsidR="00656B82" w:rsidRPr="00A15909">
        <w:rPr>
          <w:rFonts w:ascii="Times New Roman" w:hAnsi="Times New Roman" w:cs="Times New Roman"/>
          <w:color w:val="000000"/>
          <w:sz w:val="24"/>
          <w:szCs w:val="24"/>
        </w:rPr>
        <w:t>Ellder, 20</w:t>
      </w:r>
      <w:r w:rsidR="00C71A4E">
        <w:rPr>
          <w:rFonts w:ascii="Times New Roman" w:hAnsi="Times New Roman" w:cs="Times New Roman"/>
          <w:color w:val="000000"/>
          <w:sz w:val="24"/>
          <w:szCs w:val="24"/>
        </w:rPr>
        <w:t>20</w:t>
      </w:r>
      <w:r w:rsidR="00656B82" w:rsidRPr="00A15909">
        <w:rPr>
          <w:rFonts w:ascii="Times New Roman" w:hAnsi="Times New Roman" w:cs="Times New Roman"/>
          <w:color w:val="000000"/>
          <w:sz w:val="24"/>
          <w:szCs w:val="24"/>
        </w:rPr>
        <w:t xml:space="preserve">, </w:t>
      </w:r>
      <w:r w:rsidR="00560549" w:rsidRPr="004D5DF9">
        <w:rPr>
          <w:rFonts w:ascii="Times New Roman" w:hAnsi="Times New Roman" w:cs="Times New Roman"/>
          <w:bCs/>
          <w:sz w:val="24"/>
          <w:szCs w:val="24"/>
        </w:rPr>
        <w:t>Danalet</w:t>
      </w:r>
      <w:r w:rsidR="00560549" w:rsidRPr="00837F9C">
        <w:rPr>
          <w:rFonts w:ascii="Times New Roman" w:hAnsi="Times New Roman" w:cs="Times New Roman"/>
          <w:bCs/>
          <w:sz w:val="24"/>
          <w:szCs w:val="24"/>
        </w:rPr>
        <w:t xml:space="preserve"> et al., 2021; Nguyen, 2021</w:t>
      </w:r>
      <w:r w:rsidRPr="00837F9C">
        <w:rPr>
          <w:rFonts w:ascii="Times New Roman" w:hAnsi="Times New Roman" w:cs="Times New Roman"/>
          <w:bCs/>
          <w:sz w:val="24"/>
          <w:szCs w:val="24"/>
        </w:rPr>
        <w:t>)</w:t>
      </w:r>
      <w:r w:rsidR="008C058A" w:rsidRPr="00837F9C">
        <w:rPr>
          <w:rFonts w:ascii="Times New Roman" w:hAnsi="Times New Roman" w:cs="Times New Roman"/>
          <w:bCs/>
          <w:sz w:val="24"/>
          <w:szCs w:val="24"/>
        </w:rPr>
        <w:t>.</w:t>
      </w:r>
      <w:r w:rsidR="00B912F2">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On the other hand, a COVID shift effect is observed for individuals 18-29 years old; this group is more inclined to telework </w:t>
      </w:r>
      <w:r w:rsidRPr="001D5043">
        <w:rPr>
          <w:rFonts w:ascii="Times New Roman" w:hAnsi="Times New Roman" w:cs="Times New Roman"/>
          <w:bCs/>
          <w:iCs/>
          <w:sz w:val="24"/>
          <w:szCs w:val="24"/>
        </w:rPr>
        <w:t xml:space="preserve">after COVID </w:t>
      </w:r>
      <w:r w:rsidRPr="00837F9C">
        <w:rPr>
          <w:rFonts w:ascii="Times New Roman" w:hAnsi="Times New Roman" w:cs="Times New Roman"/>
          <w:bCs/>
          <w:sz w:val="24"/>
          <w:szCs w:val="24"/>
        </w:rPr>
        <w:t>than before COVID.</w:t>
      </w:r>
      <w:r w:rsidR="00B912F2">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A similar COVID </w:t>
      </w:r>
      <w:r w:rsidR="0056736F" w:rsidRPr="00837F9C">
        <w:rPr>
          <w:rFonts w:ascii="Times New Roman" w:hAnsi="Times New Roman" w:cs="Times New Roman"/>
          <w:bCs/>
          <w:sz w:val="24"/>
          <w:szCs w:val="24"/>
        </w:rPr>
        <w:t xml:space="preserve">shift </w:t>
      </w:r>
      <w:r w:rsidRPr="00837F9C">
        <w:rPr>
          <w:rFonts w:ascii="Times New Roman" w:hAnsi="Times New Roman" w:cs="Times New Roman"/>
          <w:bCs/>
          <w:sz w:val="24"/>
          <w:szCs w:val="24"/>
        </w:rPr>
        <w:t xml:space="preserve">effect is found for those in the </w:t>
      </w:r>
      <w:r w:rsidRPr="00837F9C">
        <w:rPr>
          <w:rFonts w:ascii="Times New Roman" w:hAnsi="Times New Roman" w:cs="Times New Roman"/>
          <w:bCs/>
          <w:sz w:val="24"/>
          <w:szCs w:val="24"/>
        </w:rPr>
        <w:lastRenderedPageBreak/>
        <w:t xml:space="preserve">30-64 year old age group, while </w:t>
      </w:r>
      <w:r w:rsidR="00DD2B69">
        <w:rPr>
          <w:rFonts w:ascii="Times New Roman" w:hAnsi="Times New Roman" w:cs="Times New Roman"/>
          <w:bCs/>
          <w:sz w:val="24"/>
          <w:szCs w:val="24"/>
        </w:rPr>
        <w:t xml:space="preserve">older workers (65 years of age or over) have a constant effect across both the </w:t>
      </w:r>
      <w:r w:rsidR="00DD2B69" w:rsidRPr="00EF49C0">
        <w:rPr>
          <w:rFonts w:ascii="Times New Roman" w:hAnsi="Times New Roman" w:cs="Times New Roman"/>
          <w:bCs/>
          <w:i/>
          <w:sz w:val="24"/>
          <w:szCs w:val="24"/>
        </w:rPr>
        <w:t>Before</w:t>
      </w:r>
      <w:r w:rsidR="00DD2B69">
        <w:rPr>
          <w:rFonts w:ascii="Times New Roman" w:hAnsi="Times New Roman" w:cs="Times New Roman"/>
          <w:bCs/>
          <w:sz w:val="24"/>
          <w:szCs w:val="24"/>
        </w:rPr>
        <w:t xml:space="preserve"> and </w:t>
      </w:r>
      <w:r w:rsidR="00DD2B69" w:rsidRPr="00EF49C0">
        <w:rPr>
          <w:rFonts w:ascii="Times New Roman" w:hAnsi="Times New Roman" w:cs="Times New Roman"/>
          <w:bCs/>
          <w:i/>
          <w:sz w:val="24"/>
          <w:szCs w:val="24"/>
        </w:rPr>
        <w:t>After</w:t>
      </w:r>
      <w:r w:rsidR="00DD2B69">
        <w:rPr>
          <w:rFonts w:ascii="Times New Roman" w:hAnsi="Times New Roman" w:cs="Times New Roman"/>
          <w:bCs/>
          <w:sz w:val="24"/>
          <w:szCs w:val="24"/>
        </w:rPr>
        <w:t xml:space="preserve"> COVID periods. The net result is that older workers tended to adopt teleworking more than their younger peers before the pandemic, but younger individuals have started to adopt teleworking much more than their middle-aged and older counterparts in the </w:t>
      </w:r>
      <w:r w:rsidR="00DD2B69" w:rsidRPr="00EF49C0">
        <w:rPr>
          <w:rFonts w:ascii="Times New Roman" w:hAnsi="Times New Roman" w:cs="Times New Roman"/>
          <w:bCs/>
          <w:i/>
          <w:sz w:val="24"/>
          <w:szCs w:val="24"/>
        </w:rPr>
        <w:t xml:space="preserve">After </w:t>
      </w:r>
      <w:r w:rsidR="00DD2B69">
        <w:rPr>
          <w:rFonts w:ascii="Times New Roman" w:hAnsi="Times New Roman" w:cs="Times New Roman"/>
          <w:bCs/>
          <w:sz w:val="24"/>
          <w:szCs w:val="24"/>
        </w:rPr>
        <w:t xml:space="preserve">COVID period. This </w:t>
      </w:r>
      <w:r w:rsidR="00AF57DD">
        <w:rPr>
          <w:rFonts w:ascii="Times New Roman" w:hAnsi="Times New Roman" w:cs="Times New Roman"/>
          <w:bCs/>
          <w:sz w:val="24"/>
          <w:szCs w:val="24"/>
        </w:rPr>
        <w:t xml:space="preserve">intertemporal shift in age effects </w:t>
      </w:r>
      <w:r w:rsidR="00DD2B69">
        <w:rPr>
          <w:rFonts w:ascii="Times New Roman" w:hAnsi="Times New Roman" w:cs="Times New Roman"/>
          <w:bCs/>
          <w:sz w:val="24"/>
          <w:szCs w:val="24"/>
        </w:rPr>
        <w:t xml:space="preserve">may be because older individuals had more stability in their careers before the pandemic, and so availed of the option to telework </w:t>
      </w:r>
      <w:r w:rsidR="00AF57DD">
        <w:rPr>
          <w:rFonts w:ascii="Times New Roman" w:hAnsi="Times New Roman" w:cs="Times New Roman"/>
          <w:bCs/>
          <w:sz w:val="24"/>
          <w:szCs w:val="24"/>
        </w:rPr>
        <w:t xml:space="preserve">at higher rates than their younger peers, as suggested </w:t>
      </w:r>
      <w:r w:rsidR="00AF57DD" w:rsidRPr="004D5DF9">
        <w:rPr>
          <w:rFonts w:ascii="Times New Roman" w:hAnsi="Times New Roman" w:cs="Times New Roman"/>
          <w:bCs/>
          <w:sz w:val="24"/>
          <w:szCs w:val="24"/>
        </w:rPr>
        <w:t xml:space="preserve">by </w:t>
      </w:r>
      <w:r w:rsidR="00A717B2" w:rsidRPr="00A15909">
        <w:rPr>
          <w:rFonts w:ascii="Times New Roman" w:hAnsi="Times New Roman" w:cs="Times New Roman"/>
          <w:bCs/>
          <w:sz w:val="24"/>
          <w:szCs w:val="24"/>
        </w:rPr>
        <w:t>Cheng et al.</w:t>
      </w:r>
      <w:r w:rsidR="00A717B2">
        <w:rPr>
          <w:rFonts w:ascii="Times New Roman" w:hAnsi="Times New Roman" w:cs="Times New Roman"/>
          <w:bCs/>
          <w:sz w:val="24"/>
          <w:szCs w:val="24"/>
        </w:rPr>
        <w:t xml:space="preserve"> (</w:t>
      </w:r>
      <w:r w:rsidR="00A717B2" w:rsidRPr="00A15909">
        <w:rPr>
          <w:rFonts w:ascii="Times New Roman" w:hAnsi="Times New Roman" w:cs="Times New Roman"/>
          <w:bCs/>
          <w:sz w:val="24"/>
          <w:szCs w:val="24"/>
        </w:rPr>
        <w:t>2022</w:t>
      </w:r>
      <w:r w:rsidR="00A717B2">
        <w:rPr>
          <w:rFonts w:ascii="Times New Roman" w:hAnsi="Times New Roman" w:cs="Times New Roman"/>
          <w:bCs/>
          <w:sz w:val="24"/>
          <w:szCs w:val="24"/>
        </w:rPr>
        <w:t>)</w:t>
      </w:r>
      <w:r w:rsidR="00A717B2" w:rsidRPr="00A15909">
        <w:rPr>
          <w:rFonts w:ascii="Times New Roman" w:hAnsi="Times New Roman" w:cs="Times New Roman"/>
          <w:bCs/>
          <w:sz w:val="24"/>
          <w:szCs w:val="24"/>
        </w:rPr>
        <w:t>.</w:t>
      </w:r>
      <w:r w:rsidR="00A717B2" w:rsidRPr="004D5DF9">
        <w:rPr>
          <w:rFonts w:ascii="Times New Roman" w:hAnsi="Times New Roman" w:cs="Times New Roman"/>
          <w:bCs/>
          <w:sz w:val="24"/>
          <w:szCs w:val="24"/>
        </w:rPr>
        <w:t xml:space="preserve"> </w:t>
      </w:r>
      <w:r w:rsidR="00AF57DD" w:rsidRPr="004D5DF9">
        <w:rPr>
          <w:rFonts w:ascii="Times New Roman" w:hAnsi="Times New Roman" w:cs="Times New Roman"/>
          <w:bCs/>
          <w:sz w:val="24"/>
          <w:szCs w:val="24"/>
        </w:rPr>
        <w:t>On</w:t>
      </w:r>
      <w:r w:rsidR="00AF57DD">
        <w:rPr>
          <w:rFonts w:ascii="Times New Roman" w:hAnsi="Times New Roman" w:cs="Times New Roman"/>
          <w:bCs/>
          <w:sz w:val="24"/>
          <w:szCs w:val="24"/>
        </w:rPr>
        <w:t xml:space="preserve"> the other hand, younger individuals may have felt some pressure to show up and be visible to upper management before the pandemic. However, after the pandemic, while older individuals continued to turn up at the regular workplace at similar rates as before the pandemic (because of their limited socialization networks outside their work place; see </w:t>
      </w:r>
      <w:r w:rsidR="00A717B2" w:rsidRPr="00A15909">
        <w:rPr>
          <w:rFonts w:ascii="Times New Roman" w:hAnsi="Times New Roman" w:cs="Times New Roman"/>
          <w:sz w:val="24"/>
          <w:szCs w:val="24"/>
        </w:rPr>
        <w:t>Tahlyan et al.</w:t>
      </w:r>
      <w:r w:rsidR="00A717B2">
        <w:rPr>
          <w:rFonts w:ascii="Times New Roman" w:hAnsi="Times New Roman" w:cs="Times New Roman"/>
          <w:sz w:val="24"/>
          <w:szCs w:val="24"/>
        </w:rPr>
        <w:t>, 2022</w:t>
      </w:r>
      <w:r w:rsidR="00AF57DD" w:rsidRPr="004D5DF9">
        <w:rPr>
          <w:rFonts w:ascii="Times New Roman" w:hAnsi="Times New Roman" w:cs="Times New Roman"/>
          <w:bCs/>
          <w:sz w:val="24"/>
          <w:szCs w:val="24"/>
        </w:rPr>
        <w:t>),</w:t>
      </w:r>
      <w:r w:rsidR="00AF57DD">
        <w:rPr>
          <w:rFonts w:ascii="Times New Roman" w:hAnsi="Times New Roman" w:cs="Times New Roman"/>
          <w:bCs/>
          <w:sz w:val="24"/>
          <w:szCs w:val="24"/>
        </w:rPr>
        <w:t xml:space="preserve"> younger individuals, who are known to have an extended social network outside their workplace, appear to have embraced teleworking at higher rates given less pressure to show up at the workplace (due to the general acceptance of telework arrangements among many employers).   </w:t>
      </w:r>
      <w:r w:rsidR="00837F9C">
        <w:rPr>
          <w:rFonts w:ascii="Times New Roman" w:hAnsi="Times New Roman" w:cs="Times New Roman"/>
          <w:bCs/>
          <w:sz w:val="24"/>
          <w:szCs w:val="24"/>
        </w:rPr>
        <w:t>Also c</w:t>
      </w:r>
      <w:r w:rsidR="0056736F" w:rsidRPr="00837F9C">
        <w:rPr>
          <w:rFonts w:ascii="Times New Roman" w:hAnsi="Times New Roman" w:cs="Times New Roman"/>
          <w:bCs/>
          <w:sz w:val="24"/>
          <w:szCs w:val="24"/>
        </w:rPr>
        <w:t>onsistent with expectations, those with a graduate degree are more likely to telework after COVID relative to before COVID</w:t>
      </w:r>
      <w:r w:rsidR="00E50E4B" w:rsidRPr="00837F9C">
        <w:rPr>
          <w:rFonts w:ascii="Times New Roman" w:hAnsi="Times New Roman" w:cs="Times New Roman"/>
          <w:bCs/>
          <w:sz w:val="24"/>
          <w:szCs w:val="24"/>
        </w:rPr>
        <w:t xml:space="preserve"> (</w:t>
      </w:r>
      <w:r w:rsidR="00C06EE0">
        <w:rPr>
          <w:rFonts w:ascii="Times New Roman" w:hAnsi="Times New Roman" w:cs="Times New Roman"/>
          <w:bCs/>
          <w:sz w:val="24"/>
          <w:szCs w:val="24"/>
        </w:rPr>
        <w:t xml:space="preserve">see </w:t>
      </w:r>
      <w:r w:rsidR="00560549" w:rsidRPr="00837F9C">
        <w:rPr>
          <w:rFonts w:ascii="Times New Roman" w:hAnsi="Times New Roman" w:cs="Times New Roman"/>
          <w:bCs/>
          <w:sz w:val="24"/>
          <w:szCs w:val="24"/>
        </w:rPr>
        <w:t>Zhang et al., 2020 and Asfaw, 2022</w:t>
      </w:r>
      <w:r w:rsidR="00C06EE0">
        <w:rPr>
          <w:rFonts w:ascii="Times New Roman" w:hAnsi="Times New Roman" w:cs="Times New Roman"/>
          <w:bCs/>
          <w:sz w:val="24"/>
          <w:szCs w:val="24"/>
        </w:rPr>
        <w:t xml:space="preserve"> for a similar result</w:t>
      </w:r>
      <w:r w:rsidR="00E50E4B" w:rsidRPr="00837F9C">
        <w:rPr>
          <w:rFonts w:ascii="Times New Roman" w:hAnsi="Times New Roman" w:cs="Times New Roman"/>
          <w:bCs/>
          <w:sz w:val="24"/>
          <w:szCs w:val="24"/>
        </w:rPr>
        <w:t>)</w:t>
      </w:r>
      <w:r w:rsidR="0056736F" w:rsidRPr="00837F9C">
        <w:rPr>
          <w:rFonts w:ascii="Times New Roman" w:hAnsi="Times New Roman" w:cs="Times New Roman"/>
          <w:bCs/>
          <w:sz w:val="24"/>
          <w:szCs w:val="24"/>
        </w:rPr>
        <w:t xml:space="preserve">.  However, in the </w:t>
      </w:r>
      <w:r w:rsidR="00700FD4">
        <w:rPr>
          <w:rFonts w:ascii="Times New Roman" w:hAnsi="Times New Roman" w:cs="Times New Roman"/>
          <w:bCs/>
          <w:i/>
          <w:sz w:val="24"/>
          <w:szCs w:val="24"/>
        </w:rPr>
        <w:t>B</w:t>
      </w:r>
      <w:r w:rsidR="0056736F" w:rsidRPr="00700FD4">
        <w:rPr>
          <w:rFonts w:ascii="Times New Roman" w:hAnsi="Times New Roman" w:cs="Times New Roman"/>
          <w:bCs/>
          <w:i/>
          <w:sz w:val="24"/>
          <w:szCs w:val="24"/>
        </w:rPr>
        <w:t>efore</w:t>
      </w:r>
      <w:r w:rsidR="00EF49C0">
        <w:rPr>
          <w:rFonts w:ascii="Times New Roman" w:hAnsi="Times New Roman" w:cs="Times New Roman"/>
          <w:bCs/>
          <w:i/>
          <w:sz w:val="24"/>
          <w:szCs w:val="24"/>
        </w:rPr>
        <w:t xml:space="preserve"> </w:t>
      </w:r>
      <w:r w:rsidR="0056736F" w:rsidRPr="00EF49C0">
        <w:rPr>
          <w:rFonts w:ascii="Times New Roman" w:hAnsi="Times New Roman" w:cs="Times New Roman"/>
          <w:bCs/>
          <w:sz w:val="24"/>
          <w:szCs w:val="24"/>
        </w:rPr>
        <w:t xml:space="preserve">COVID </w:t>
      </w:r>
      <w:r w:rsidR="0056736F" w:rsidRPr="00837F9C">
        <w:rPr>
          <w:rFonts w:ascii="Times New Roman" w:hAnsi="Times New Roman" w:cs="Times New Roman"/>
          <w:bCs/>
          <w:sz w:val="24"/>
          <w:szCs w:val="24"/>
        </w:rPr>
        <w:t xml:space="preserve">period, it appears that education level had no significant effect on telework adoption, which is somewhat counter to earlier findings that </w:t>
      </w:r>
      <w:r w:rsidR="00551DE9">
        <w:rPr>
          <w:rFonts w:ascii="Times New Roman" w:hAnsi="Times New Roman" w:cs="Times New Roman"/>
          <w:bCs/>
          <w:sz w:val="24"/>
          <w:szCs w:val="24"/>
        </w:rPr>
        <w:t xml:space="preserve">show </w:t>
      </w:r>
      <w:r w:rsidR="0056736F" w:rsidRPr="00837F9C">
        <w:rPr>
          <w:rFonts w:ascii="Times New Roman" w:hAnsi="Times New Roman" w:cs="Times New Roman"/>
          <w:bCs/>
          <w:sz w:val="24"/>
          <w:szCs w:val="24"/>
        </w:rPr>
        <w:t>those with a higher education level are more likely to tele</w:t>
      </w:r>
      <w:r w:rsidR="00FC5545">
        <w:rPr>
          <w:rFonts w:ascii="Times New Roman" w:hAnsi="Times New Roman" w:cs="Times New Roman"/>
          <w:bCs/>
          <w:sz w:val="24"/>
          <w:szCs w:val="24"/>
        </w:rPr>
        <w:t>work</w:t>
      </w:r>
      <w:r w:rsidR="0056736F" w:rsidRPr="00837F9C">
        <w:rPr>
          <w:rFonts w:ascii="Times New Roman" w:hAnsi="Times New Roman" w:cs="Times New Roman"/>
          <w:bCs/>
          <w:sz w:val="24"/>
          <w:szCs w:val="24"/>
        </w:rPr>
        <w:t xml:space="preserve"> (</w:t>
      </w:r>
      <w:r w:rsidR="00560549" w:rsidRPr="00837F9C">
        <w:rPr>
          <w:rFonts w:ascii="Times New Roman" w:hAnsi="Times New Roman" w:cs="Times New Roman"/>
          <w:bCs/>
          <w:sz w:val="24"/>
          <w:szCs w:val="24"/>
        </w:rPr>
        <w:t>Nguyen, 2021</w:t>
      </w:r>
      <w:r w:rsidR="0056736F" w:rsidRPr="00837F9C">
        <w:rPr>
          <w:rFonts w:ascii="Times New Roman" w:hAnsi="Times New Roman" w:cs="Times New Roman"/>
          <w:bCs/>
          <w:sz w:val="24"/>
          <w:szCs w:val="24"/>
        </w:rPr>
        <w:t xml:space="preserve">).  </w:t>
      </w:r>
    </w:p>
    <w:p w14:paraId="1B831A9C" w14:textId="77777777" w:rsidR="00DD49E4" w:rsidRDefault="00DD49E4" w:rsidP="00E1729F">
      <w:pPr>
        <w:spacing w:after="0" w:line="276" w:lineRule="auto"/>
        <w:rPr>
          <w:rFonts w:ascii="Times New Roman" w:hAnsi="Times New Roman" w:cs="Times New Roman"/>
          <w:bCs/>
          <w:sz w:val="24"/>
          <w:szCs w:val="24"/>
        </w:rPr>
      </w:pPr>
    </w:p>
    <w:p w14:paraId="1FC24963" w14:textId="77777777" w:rsidR="00DD49E4" w:rsidRDefault="00DD49E4" w:rsidP="00E1729F">
      <w:pPr>
        <w:spacing w:after="0" w:line="276" w:lineRule="auto"/>
        <w:rPr>
          <w:rFonts w:ascii="Times New Roman" w:hAnsi="Times New Roman" w:cs="Times New Roman"/>
          <w:bCs/>
          <w:sz w:val="24"/>
          <w:szCs w:val="24"/>
        </w:rPr>
      </w:pPr>
    </w:p>
    <w:p w14:paraId="47BFAB2E" w14:textId="32B36F98" w:rsidR="00DD49E4" w:rsidRDefault="00DD49E4" w:rsidP="00E1729F">
      <w:pPr>
        <w:spacing w:after="0" w:line="276" w:lineRule="auto"/>
        <w:rPr>
          <w:rFonts w:ascii="Times New Roman" w:hAnsi="Times New Roman" w:cs="Times New Roman"/>
          <w:bCs/>
          <w:sz w:val="24"/>
          <w:szCs w:val="24"/>
        </w:rPr>
        <w:sectPr w:rsidR="00DD49E4" w:rsidSect="00E1729F">
          <w:pgSz w:w="12240" w:h="15840" w:code="1"/>
          <w:pgMar w:top="1440" w:right="1440" w:bottom="1440" w:left="1440" w:header="720" w:footer="720" w:gutter="0"/>
          <w:cols w:space="720"/>
          <w:docGrid w:linePitch="360"/>
        </w:sectPr>
      </w:pPr>
    </w:p>
    <w:p w14:paraId="2377C0D6" w14:textId="38C886A9" w:rsidR="00FB60ED" w:rsidRPr="00E1729F" w:rsidRDefault="00D3630D" w:rsidP="00E46C39">
      <w:pPr>
        <w:spacing w:after="120" w:line="240" w:lineRule="auto"/>
        <w:rPr>
          <w:rFonts w:ascii="Times New Roman" w:hAnsi="Times New Roman" w:cs="Times New Roman"/>
          <w:b/>
          <w:sz w:val="24"/>
          <w:szCs w:val="24"/>
        </w:rPr>
      </w:pPr>
      <w:r w:rsidRPr="00E1729F">
        <w:rPr>
          <w:rFonts w:ascii="Times New Roman" w:hAnsi="Times New Roman" w:cs="Times New Roman"/>
          <w:b/>
          <w:sz w:val="24"/>
          <w:szCs w:val="24"/>
        </w:rPr>
        <w:lastRenderedPageBreak/>
        <w:t>Table 3. Model Estimation Results</w:t>
      </w:r>
    </w:p>
    <w:tbl>
      <w:tblPr>
        <w:tblW w:w="12770" w:type="dxa"/>
        <w:tblLayout w:type="fixed"/>
        <w:tblCellMar>
          <w:left w:w="72" w:type="dxa"/>
          <w:right w:w="72" w:type="dxa"/>
        </w:tblCellMar>
        <w:tblLook w:val="04A0" w:firstRow="1" w:lastRow="0" w:firstColumn="1" w:lastColumn="0" w:noHBand="0" w:noVBand="1"/>
      </w:tblPr>
      <w:tblGrid>
        <w:gridCol w:w="4752"/>
        <w:gridCol w:w="1083"/>
        <w:gridCol w:w="994"/>
        <w:gridCol w:w="986"/>
        <w:gridCol w:w="999"/>
        <w:gridCol w:w="986"/>
        <w:gridCol w:w="990"/>
        <w:gridCol w:w="990"/>
        <w:gridCol w:w="990"/>
      </w:tblGrid>
      <w:tr w:rsidR="00673664" w:rsidRPr="00837F9C" w14:paraId="16FE5025" w14:textId="2AE188C7" w:rsidTr="00B24C81">
        <w:trPr>
          <w:trHeight w:val="576"/>
        </w:trPr>
        <w:tc>
          <w:tcPr>
            <w:tcW w:w="4752" w:type="dxa"/>
            <w:vMerge w:val="restart"/>
            <w:tcBorders>
              <w:top w:val="double" w:sz="4" w:space="0" w:color="auto"/>
              <w:left w:val="double" w:sz="4" w:space="0" w:color="auto"/>
              <w:right w:val="double" w:sz="4" w:space="0" w:color="auto"/>
            </w:tcBorders>
            <w:shd w:val="clear" w:color="auto" w:fill="auto"/>
            <w:noWrap/>
            <w:tcMar>
              <w:left w:w="72" w:type="dxa"/>
              <w:right w:w="72" w:type="dxa"/>
            </w:tcMar>
            <w:vAlign w:val="center"/>
          </w:tcPr>
          <w:p w14:paraId="0A8B7551" w14:textId="77777777"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Exogenous Variables</w:t>
            </w:r>
          </w:p>
          <w:p w14:paraId="23204FBD" w14:textId="0AC1CAF3"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 xml:space="preserve">(base category – </w:t>
            </w:r>
            <w:r w:rsidR="00F07FF8" w:rsidRPr="00F07FF8">
              <w:rPr>
                <w:rFonts w:ascii="Times New Roman" w:eastAsia="Times New Roman" w:hAnsi="Times New Roman" w:cs="Times New Roman"/>
                <w:b/>
                <w:bCs/>
                <w:i/>
                <w:sz w:val="20"/>
                <w:szCs w:val="20"/>
              </w:rPr>
              <w:t xml:space="preserve">WITHOUT THE </w:t>
            </w:r>
            <w:r w:rsidRPr="00F07FF8">
              <w:rPr>
                <w:rFonts w:ascii="Times New Roman" w:eastAsia="Times New Roman" w:hAnsi="Times New Roman" w:cs="Times New Roman"/>
                <w:b/>
                <w:bCs/>
                <w:i/>
                <w:sz w:val="20"/>
                <w:szCs w:val="20"/>
              </w:rPr>
              <w:t>COVID SHIFT EFFECT</w:t>
            </w:r>
            <w:r w:rsidRPr="00F07FF8">
              <w:rPr>
                <w:rFonts w:ascii="Times New Roman" w:eastAsia="Times New Roman" w:hAnsi="Times New Roman" w:cs="Times New Roman"/>
                <w:b/>
                <w:bCs/>
                <w:sz w:val="20"/>
                <w:szCs w:val="20"/>
              </w:rPr>
              <w:t>)</w:t>
            </w:r>
          </w:p>
        </w:tc>
        <w:tc>
          <w:tcPr>
            <w:tcW w:w="2077" w:type="dxa"/>
            <w:gridSpan w:val="2"/>
            <w:vMerge w:val="restart"/>
            <w:tcBorders>
              <w:top w:val="double" w:sz="4" w:space="0" w:color="auto"/>
              <w:left w:val="double" w:sz="4" w:space="0" w:color="auto"/>
              <w:right w:val="double" w:sz="4" w:space="0" w:color="auto"/>
            </w:tcBorders>
            <w:shd w:val="clear" w:color="auto" w:fill="auto"/>
            <w:noWrap/>
            <w:tcMar>
              <w:left w:w="72" w:type="dxa"/>
              <w:right w:w="72" w:type="dxa"/>
            </w:tcMar>
            <w:vAlign w:val="center"/>
          </w:tcPr>
          <w:p w14:paraId="299FB8B0" w14:textId="158040C2"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Adoption (Binary)</w:t>
            </w:r>
            <w:r>
              <w:rPr>
                <w:rFonts w:ascii="Times New Roman" w:eastAsia="Times New Roman" w:hAnsi="Times New Roman" w:cs="Times New Roman"/>
                <w:b/>
                <w:bCs/>
                <w:sz w:val="20"/>
                <w:szCs w:val="20"/>
              </w:rPr>
              <w:t xml:space="preserve"> Propensity</w:t>
            </w:r>
          </w:p>
        </w:tc>
        <w:tc>
          <w:tcPr>
            <w:tcW w:w="1985" w:type="dxa"/>
            <w:gridSpan w:val="2"/>
            <w:vMerge w:val="restart"/>
            <w:tcBorders>
              <w:top w:val="double" w:sz="4" w:space="0" w:color="auto"/>
              <w:left w:val="single" w:sz="12" w:space="0" w:color="auto"/>
              <w:right w:val="double" w:sz="4" w:space="0" w:color="auto"/>
            </w:tcBorders>
            <w:shd w:val="clear" w:color="auto" w:fill="auto"/>
            <w:tcMar>
              <w:left w:w="72" w:type="dxa"/>
              <w:right w:w="72" w:type="dxa"/>
            </w:tcMar>
            <w:vAlign w:val="center"/>
          </w:tcPr>
          <w:p w14:paraId="6F7D0629" w14:textId="5D418543"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Frequency (Ordered)</w:t>
            </w:r>
            <w:r>
              <w:rPr>
                <w:rFonts w:ascii="Times New Roman" w:eastAsia="Times New Roman" w:hAnsi="Times New Roman" w:cs="Times New Roman"/>
                <w:b/>
                <w:bCs/>
                <w:sz w:val="20"/>
                <w:szCs w:val="20"/>
              </w:rPr>
              <w:t xml:space="preserve"> Propensity</w:t>
            </w:r>
          </w:p>
        </w:tc>
        <w:tc>
          <w:tcPr>
            <w:tcW w:w="3956" w:type="dxa"/>
            <w:gridSpan w:val="4"/>
            <w:tcBorders>
              <w:top w:val="double" w:sz="4" w:space="0" w:color="auto"/>
              <w:left w:val="single" w:sz="12" w:space="0" w:color="auto"/>
              <w:bottom w:val="single" w:sz="4" w:space="0" w:color="auto"/>
              <w:right w:val="double" w:sz="4" w:space="0" w:color="auto"/>
            </w:tcBorders>
            <w:tcMar>
              <w:left w:w="72" w:type="dxa"/>
              <w:right w:w="72" w:type="dxa"/>
            </w:tcMar>
            <w:vAlign w:val="center"/>
          </w:tcPr>
          <w:p w14:paraId="2A17A43B" w14:textId="5CDEFAEE" w:rsidR="00B03DA3" w:rsidRDefault="00B03DA3"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Location (Multinomial) Propensity</w:t>
            </w:r>
          </w:p>
          <w:p w14:paraId="294907FF" w14:textId="68043EE7" w:rsidR="00B03DA3" w:rsidRPr="00837F9C" w:rsidRDefault="00B03DA3"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(base category – Home Only Utility)</w:t>
            </w:r>
          </w:p>
        </w:tc>
      </w:tr>
      <w:tr w:rsidR="00673664" w:rsidRPr="00837F9C" w14:paraId="5D8BC9D1" w14:textId="77777777" w:rsidTr="00B24C81">
        <w:trPr>
          <w:trHeight w:val="432"/>
        </w:trPr>
        <w:tc>
          <w:tcPr>
            <w:tcW w:w="4752" w:type="dxa"/>
            <w:vMerge/>
            <w:tcBorders>
              <w:left w:val="double" w:sz="4" w:space="0" w:color="auto"/>
              <w:right w:val="double" w:sz="4" w:space="0" w:color="auto"/>
            </w:tcBorders>
            <w:shd w:val="clear" w:color="auto" w:fill="auto"/>
            <w:noWrap/>
            <w:tcMar>
              <w:left w:w="72" w:type="dxa"/>
              <w:right w:w="72" w:type="dxa"/>
            </w:tcMar>
            <w:vAlign w:val="center"/>
            <w:hideMark/>
          </w:tcPr>
          <w:p w14:paraId="35555CEE" w14:textId="77777777" w:rsidR="00B824FC" w:rsidRPr="00837F9C" w:rsidRDefault="00B824FC" w:rsidP="00E46C39">
            <w:pPr>
              <w:spacing w:after="0" w:line="240" w:lineRule="auto"/>
              <w:jc w:val="left"/>
              <w:rPr>
                <w:rFonts w:ascii="Times New Roman" w:eastAsia="Times New Roman" w:hAnsi="Times New Roman" w:cs="Times New Roman"/>
                <w:b/>
                <w:bCs/>
                <w:sz w:val="20"/>
                <w:szCs w:val="20"/>
              </w:rPr>
            </w:pPr>
          </w:p>
        </w:tc>
        <w:tc>
          <w:tcPr>
            <w:tcW w:w="2077" w:type="dxa"/>
            <w:gridSpan w:val="2"/>
            <w:vMerge/>
            <w:tcBorders>
              <w:left w:val="double" w:sz="4" w:space="0" w:color="auto"/>
              <w:bottom w:val="single" w:sz="4" w:space="0" w:color="auto"/>
              <w:right w:val="double" w:sz="4" w:space="0" w:color="auto"/>
            </w:tcBorders>
            <w:shd w:val="clear" w:color="auto" w:fill="auto"/>
            <w:noWrap/>
            <w:tcMar>
              <w:left w:w="72" w:type="dxa"/>
              <w:right w:w="72" w:type="dxa"/>
            </w:tcMar>
            <w:vAlign w:val="center"/>
            <w:hideMark/>
          </w:tcPr>
          <w:p w14:paraId="26DAE6DC" w14:textId="77777777" w:rsidR="00B824FC" w:rsidRPr="00837F9C" w:rsidRDefault="00B824FC" w:rsidP="00E46C39">
            <w:pPr>
              <w:spacing w:after="0" w:line="240" w:lineRule="auto"/>
              <w:jc w:val="center"/>
              <w:rPr>
                <w:rFonts w:ascii="Times New Roman" w:eastAsia="Times New Roman" w:hAnsi="Times New Roman" w:cs="Times New Roman"/>
                <w:b/>
                <w:bCs/>
                <w:sz w:val="20"/>
                <w:szCs w:val="20"/>
              </w:rPr>
            </w:pPr>
          </w:p>
        </w:tc>
        <w:tc>
          <w:tcPr>
            <w:tcW w:w="1985" w:type="dxa"/>
            <w:gridSpan w:val="2"/>
            <w:vMerge/>
            <w:tcBorders>
              <w:left w:val="double" w:sz="4" w:space="0" w:color="auto"/>
              <w:bottom w:val="single" w:sz="4" w:space="0" w:color="auto"/>
              <w:right w:val="double" w:sz="4" w:space="0" w:color="auto"/>
            </w:tcBorders>
            <w:shd w:val="clear" w:color="auto" w:fill="auto"/>
            <w:noWrap/>
            <w:tcMar>
              <w:left w:w="72" w:type="dxa"/>
              <w:right w:w="72" w:type="dxa"/>
            </w:tcMar>
            <w:vAlign w:val="center"/>
            <w:hideMark/>
          </w:tcPr>
          <w:p w14:paraId="36D75BF1" w14:textId="77777777" w:rsidR="00B824FC" w:rsidRPr="00837F9C" w:rsidRDefault="00B824FC" w:rsidP="00E46C39">
            <w:pPr>
              <w:spacing w:after="0" w:line="240" w:lineRule="auto"/>
              <w:jc w:val="center"/>
              <w:rPr>
                <w:rFonts w:ascii="Times New Roman" w:eastAsia="Times New Roman" w:hAnsi="Times New Roman" w:cs="Times New Roman"/>
                <w:b/>
                <w:bCs/>
                <w:sz w:val="20"/>
                <w:szCs w:val="20"/>
              </w:rPr>
            </w:pPr>
          </w:p>
        </w:tc>
        <w:tc>
          <w:tcPr>
            <w:tcW w:w="1976" w:type="dxa"/>
            <w:gridSpan w:val="2"/>
            <w:tcBorders>
              <w:top w:val="single" w:sz="4" w:space="0" w:color="auto"/>
              <w:left w:val="double" w:sz="4" w:space="0" w:color="auto"/>
              <w:bottom w:val="single" w:sz="4" w:space="0" w:color="auto"/>
              <w:right w:val="double" w:sz="4" w:space="0" w:color="auto"/>
            </w:tcBorders>
            <w:tcMar>
              <w:left w:w="72" w:type="dxa"/>
              <w:right w:w="72" w:type="dxa"/>
            </w:tcMar>
            <w:vAlign w:val="center"/>
          </w:tcPr>
          <w:p w14:paraId="5F3FE24E" w14:textId="7D878B5F" w:rsidR="00B824FC" w:rsidRPr="00837F9C" w:rsidRDefault="00B824FC"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 xml:space="preserve">Third </w:t>
            </w:r>
            <w:r>
              <w:rPr>
                <w:rFonts w:ascii="Times New Roman" w:eastAsia="Times New Roman" w:hAnsi="Times New Roman" w:cs="Times New Roman"/>
                <w:b/>
                <w:bCs/>
                <w:sz w:val="20"/>
                <w:szCs w:val="20"/>
              </w:rPr>
              <w:t>Location Only Utility</w:t>
            </w:r>
          </w:p>
        </w:tc>
        <w:tc>
          <w:tcPr>
            <w:tcW w:w="1980" w:type="dxa"/>
            <w:gridSpan w:val="2"/>
            <w:tcBorders>
              <w:top w:val="single" w:sz="4" w:space="0" w:color="auto"/>
              <w:left w:val="double" w:sz="4" w:space="0" w:color="auto"/>
              <w:bottom w:val="single" w:sz="4" w:space="0" w:color="auto"/>
              <w:right w:val="double" w:sz="4" w:space="0" w:color="auto"/>
            </w:tcBorders>
            <w:tcMar>
              <w:left w:w="72" w:type="dxa"/>
              <w:right w:w="72" w:type="dxa"/>
            </w:tcMar>
            <w:vAlign w:val="center"/>
          </w:tcPr>
          <w:p w14:paraId="1AE17349" w14:textId="53FAB2B9" w:rsidR="00B824FC" w:rsidRPr="00837F9C" w:rsidRDefault="00B824FC" w:rsidP="00E46C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Both </w:t>
            </w:r>
            <w:r w:rsidRPr="00837F9C">
              <w:rPr>
                <w:rFonts w:ascii="Times New Roman" w:eastAsia="Times New Roman" w:hAnsi="Times New Roman" w:cs="Times New Roman"/>
                <w:b/>
                <w:bCs/>
                <w:sz w:val="20"/>
                <w:szCs w:val="20"/>
              </w:rPr>
              <w:t xml:space="preserve">Home and Third </w:t>
            </w:r>
            <w:r>
              <w:rPr>
                <w:rFonts w:ascii="Times New Roman" w:eastAsia="Times New Roman" w:hAnsi="Times New Roman" w:cs="Times New Roman"/>
                <w:b/>
                <w:bCs/>
                <w:sz w:val="20"/>
                <w:szCs w:val="20"/>
              </w:rPr>
              <w:t>Location Utility</w:t>
            </w:r>
          </w:p>
        </w:tc>
      </w:tr>
      <w:tr w:rsidR="00E46C39" w:rsidRPr="00837F9C" w14:paraId="018408C9" w14:textId="77777777" w:rsidTr="00B24C81">
        <w:trPr>
          <w:trHeight w:val="288"/>
        </w:trPr>
        <w:tc>
          <w:tcPr>
            <w:tcW w:w="4752" w:type="dxa"/>
            <w:vMerge/>
            <w:tcBorders>
              <w:left w:val="double" w:sz="4" w:space="0" w:color="auto"/>
              <w:bottom w:val="double" w:sz="4" w:space="0" w:color="auto"/>
              <w:right w:val="double" w:sz="4" w:space="0" w:color="auto"/>
            </w:tcBorders>
            <w:shd w:val="clear" w:color="auto" w:fill="auto"/>
            <w:noWrap/>
            <w:tcMar>
              <w:left w:w="72" w:type="dxa"/>
              <w:right w:w="72" w:type="dxa"/>
            </w:tcMar>
            <w:vAlign w:val="center"/>
            <w:hideMark/>
          </w:tcPr>
          <w:p w14:paraId="56CA5015" w14:textId="77777777" w:rsidR="00B03DA3" w:rsidRPr="00837F9C" w:rsidRDefault="00B03DA3" w:rsidP="00E46C39">
            <w:pPr>
              <w:spacing w:after="0" w:line="240" w:lineRule="auto"/>
              <w:jc w:val="left"/>
              <w:rPr>
                <w:rFonts w:ascii="Times New Roman" w:eastAsia="Times New Roman" w:hAnsi="Times New Roman" w:cs="Times New Roman"/>
                <w:sz w:val="20"/>
                <w:szCs w:val="20"/>
              </w:rPr>
            </w:pPr>
          </w:p>
        </w:tc>
        <w:tc>
          <w:tcPr>
            <w:tcW w:w="1083" w:type="dxa"/>
            <w:tcBorders>
              <w:top w:val="single" w:sz="4" w:space="0" w:color="auto"/>
              <w:left w:val="double" w:sz="4" w:space="0" w:color="auto"/>
              <w:bottom w:val="double" w:sz="4" w:space="0" w:color="auto"/>
              <w:right w:val="single" w:sz="4" w:space="0" w:color="auto"/>
            </w:tcBorders>
            <w:shd w:val="clear" w:color="auto" w:fill="auto"/>
            <w:noWrap/>
            <w:tcMar>
              <w:left w:w="72" w:type="dxa"/>
              <w:right w:w="72" w:type="dxa"/>
            </w:tcMar>
            <w:vAlign w:val="center"/>
            <w:hideMark/>
          </w:tcPr>
          <w:p w14:paraId="2A6F2AD2" w14:textId="77777777"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Coeff.</w:t>
            </w:r>
          </w:p>
        </w:tc>
        <w:tc>
          <w:tcPr>
            <w:tcW w:w="994" w:type="dxa"/>
            <w:tcBorders>
              <w:top w:val="single" w:sz="4" w:space="0" w:color="auto"/>
              <w:left w:val="single" w:sz="4" w:space="0" w:color="auto"/>
              <w:bottom w:val="double" w:sz="4" w:space="0" w:color="auto"/>
              <w:right w:val="double" w:sz="4" w:space="0" w:color="auto"/>
            </w:tcBorders>
            <w:shd w:val="clear" w:color="auto" w:fill="auto"/>
            <w:noWrap/>
            <w:tcMar>
              <w:left w:w="72" w:type="dxa"/>
              <w:right w:w="72" w:type="dxa"/>
            </w:tcMar>
            <w:vAlign w:val="center"/>
            <w:hideMark/>
          </w:tcPr>
          <w:p w14:paraId="05CA7111" w14:textId="77777777"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t-stat</w:t>
            </w:r>
          </w:p>
        </w:tc>
        <w:tc>
          <w:tcPr>
            <w:tcW w:w="986" w:type="dxa"/>
            <w:tcBorders>
              <w:top w:val="single" w:sz="4" w:space="0" w:color="auto"/>
              <w:left w:val="double" w:sz="4" w:space="0" w:color="auto"/>
              <w:bottom w:val="double" w:sz="4" w:space="0" w:color="auto"/>
              <w:right w:val="single" w:sz="4" w:space="0" w:color="auto"/>
            </w:tcBorders>
            <w:shd w:val="clear" w:color="auto" w:fill="auto"/>
            <w:noWrap/>
            <w:tcMar>
              <w:left w:w="72" w:type="dxa"/>
              <w:right w:w="72" w:type="dxa"/>
            </w:tcMar>
            <w:vAlign w:val="center"/>
            <w:hideMark/>
          </w:tcPr>
          <w:p w14:paraId="4260442F" w14:textId="28CCE97F"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Coeff.</w:t>
            </w:r>
          </w:p>
        </w:tc>
        <w:tc>
          <w:tcPr>
            <w:tcW w:w="994" w:type="dxa"/>
            <w:tcBorders>
              <w:top w:val="single" w:sz="4" w:space="0" w:color="auto"/>
              <w:left w:val="single" w:sz="4" w:space="0" w:color="auto"/>
              <w:bottom w:val="double" w:sz="4" w:space="0" w:color="auto"/>
              <w:right w:val="double" w:sz="4" w:space="0" w:color="auto"/>
            </w:tcBorders>
            <w:shd w:val="clear" w:color="auto" w:fill="auto"/>
            <w:noWrap/>
            <w:tcMar>
              <w:left w:w="72" w:type="dxa"/>
              <w:right w:w="72" w:type="dxa"/>
            </w:tcMar>
            <w:vAlign w:val="center"/>
            <w:hideMark/>
          </w:tcPr>
          <w:p w14:paraId="0224A2F5" w14:textId="5826675B"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t-stat</w:t>
            </w:r>
          </w:p>
        </w:tc>
        <w:tc>
          <w:tcPr>
            <w:tcW w:w="986"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005B3D15" w14:textId="70B777F3"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Coeff.</w:t>
            </w:r>
          </w:p>
        </w:tc>
        <w:tc>
          <w:tcPr>
            <w:tcW w:w="990" w:type="dxa"/>
            <w:tcBorders>
              <w:top w:val="single" w:sz="4" w:space="0" w:color="auto"/>
              <w:left w:val="single" w:sz="4" w:space="0" w:color="auto"/>
              <w:bottom w:val="double" w:sz="4" w:space="0" w:color="auto"/>
              <w:right w:val="double" w:sz="4" w:space="0" w:color="auto"/>
            </w:tcBorders>
            <w:tcMar>
              <w:left w:w="72" w:type="dxa"/>
              <w:right w:w="72" w:type="dxa"/>
            </w:tcMar>
            <w:vAlign w:val="center"/>
          </w:tcPr>
          <w:p w14:paraId="2DA673FF" w14:textId="35BE6EF0"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t-stat</w:t>
            </w:r>
          </w:p>
        </w:tc>
        <w:tc>
          <w:tcPr>
            <w:tcW w:w="990"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08C93495" w14:textId="3FF96B5E"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Coeff.</w:t>
            </w:r>
          </w:p>
        </w:tc>
        <w:tc>
          <w:tcPr>
            <w:tcW w:w="990" w:type="dxa"/>
            <w:tcBorders>
              <w:top w:val="single" w:sz="4" w:space="0" w:color="auto"/>
              <w:left w:val="single" w:sz="4" w:space="0" w:color="auto"/>
              <w:bottom w:val="double" w:sz="4" w:space="0" w:color="auto"/>
              <w:right w:val="double" w:sz="4" w:space="0" w:color="auto"/>
            </w:tcBorders>
            <w:tcMar>
              <w:left w:w="72" w:type="dxa"/>
              <w:right w:w="72" w:type="dxa"/>
            </w:tcMar>
            <w:vAlign w:val="center"/>
          </w:tcPr>
          <w:p w14:paraId="4F92028C" w14:textId="5E98B9EE" w:rsidR="00B03DA3" w:rsidRPr="00837F9C" w:rsidRDefault="00B03DA3" w:rsidP="00E46C39">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t-stat</w:t>
            </w:r>
          </w:p>
        </w:tc>
      </w:tr>
      <w:tr w:rsidR="00E46C39" w:rsidRPr="00837F9C" w14:paraId="0B5976BC"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4151BC25" w14:textId="77777777" w:rsidR="00B03DA3" w:rsidRPr="00837F9C" w:rsidRDefault="00B03DA3" w:rsidP="00E46C39">
            <w:pPr>
              <w:spacing w:after="0" w:line="240" w:lineRule="auto"/>
              <w:jc w:val="left"/>
              <w:rPr>
                <w:rFonts w:ascii="Times New Roman" w:eastAsia="Times New Roman" w:hAnsi="Times New Roman" w:cs="Times New Roman"/>
                <w:sz w:val="20"/>
                <w:szCs w:val="20"/>
              </w:rPr>
            </w:pPr>
            <w:r w:rsidRPr="00837F9C">
              <w:rPr>
                <w:rFonts w:ascii="Times New Roman" w:eastAsia="Times New Roman" w:hAnsi="Times New Roman" w:cs="Times New Roman"/>
                <w:b/>
                <w:bCs/>
                <w:i/>
                <w:iCs/>
                <w:sz w:val="20"/>
                <w:szCs w:val="20"/>
              </w:rPr>
              <w:t>Individual-level Characteristics</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7ABA8F6"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F7DE2A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B6CC8C1"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75E74C5"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double" w:sz="4" w:space="0" w:color="auto"/>
              <w:left w:val="double" w:sz="4" w:space="0" w:color="auto"/>
              <w:right w:val="single" w:sz="4" w:space="0" w:color="auto"/>
            </w:tcBorders>
            <w:tcMar>
              <w:left w:w="72" w:type="dxa"/>
              <w:right w:w="72" w:type="dxa"/>
            </w:tcMar>
            <w:vAlign w:val="center"/>
          </w:tcPr>
          <w:p w14:paraId="646F82F4"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top w:val="double" w:sz="4" w:space="0" w:color="auto"/>
              <w:left w:val="single" w:sz="4" w:space="0" w:color="auto"/>
              <w:right w:val="double" w:sz="4" w:space="0" w:color="auto"/>
            </w:tcBorders>
            <w:tcMar>
              <w:left w:w="72" w:type="dxa"/>
              <w:right w:w="72" w:type="dxa"/>
            </w:tcMar>
            <w:vAlign w:val="center"/>
          </w:tcPr>
          <w:p w14:paraId="14FCFF07" w14:textId="233FDF8A"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top w:val="double" w:sz="4" w:space="0" w:color="auto"/>
              <w:left w:val="double" w:sz="4" w:space="0" w:color="auto"/>
              <w:right w:val="single" w:sz="4" w:space="0" w:color="auto"/>
            </w:tcBorders>
            <w:tcMar>
              <w:left w:w="72" w:type="dxa"/>
              <w:right w:w="72" w:type="dxa"/>
            </w:tcMar>
            <w:vAlign w:val="center"/>
          </w:tcPr>
          <w:p w14:paraId="4E8406F9"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top w:val="double" w:sz="4" w:space="0" w:color="auto"/>
              <w:left w:val="single" w:sz="4" w:space="0" w:color="auto"/>
              <w:right w:val="double" w:sz="4" w:space="0" w:color="auto"/>
            </w:tcBorders>
            <w:tcMar>
              <w:left w:w="72" w:type="dxa"/>
              <w:right w:w="72" w:type="dxa"/>
            </w:tcMar>
            <w:vAlign w:val="center"/>
          </w:tcPr>
          <w:p w14:paraId="422656BF" w14:textId="090CE398"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2E8EFC4A"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022CD455" w14:textId="5A918FC9" w:rsidR="00B03DA3" w:rsidRPr="00837F9C" w:rsidRDefault="00B03DA3" w:rsidP="00E46C39">
            <w:pPr>
              <w:spacing w:after="0" w:line="240" w:lineRule="auto"/>
              <w:jc w:val="left"/>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Gender (</w:t>
            </w:r>
            <w:r>
              <w:rPr>
                <w:rFonts w:ascii="Times New Roman" w:eastAsia="Times New Roman" w:hAnsi="Times New Roman" w:cs="Times New Roman"/>
                <w:b/>
                <w:bCs/>
                <w:sz w:val="20"/>
                <w:szCs w:val="20"/>
              </w:rPr>
              <w:t>base: men</w:t>
            </w:r>
            <w:r w:rsidRPr="00837F9C">
              <w:rPr>
                <w:rFonts w:ascii="Times New Roman" w:eastAsia="Times New Roman" w:hAnsi="Times New Roman" w:cs="Times New Roman"/>
                <w:b/>
                <w:bCs/>
                <w:sz w:val="20"/>
                <w:szCs w:val="20"/>
              </w:rPr>
              <w:t>)</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CDA5FAE"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0953C6E"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83C047E"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1853DBC"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3666DD2D"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7CE0EF15" w14:textId="25DD5086"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1B96F39F"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96BF578" w14:textId="07DF4641"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5995D9E3"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3E716C76" w14:textId="78BB1037" w:rsidR="00B03DA3" w:rsidRPr="00837F9C" w:rsidRDefault="00B03DA3"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Women</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05AD2F2"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-0.164</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75B4CDA"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-2.06</w:t>
            </w: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4A03736" w14:textId="013E9188"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17301A9"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35B96ED2" w14:textId="5CB3AC3C"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0861882" w14:textId="30974186"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3C00DB06" w14:textId="73E35BA6"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687A2CB5" w14:textId="5C8A2D83"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2B798355"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64D4CEBA" w14:textId="301DDD15" w:rsidR="00B03DA3" w:rsidRPr="00837F9C" w:rsidRDefault="00B03DA3" w:rsidP="00E46C39">
            <w:pPr>
              <w:spacing w:after="0" w:line="240" w:lineRule="auto"/>
              <w:jc w:val="left"/>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Age (</w:t>
            </w:r>
            <w:r>
              <w:rPr>
                <w:rFonts w:ascii="Times New Roman" w:eastAsia="Times New Roman" w:hAnsi="Times New Roman" w:cs="Times New Roman"/>
                <w:b/>
                <w:bCs/>
                <w:sz w:val="20"/>
                <w:szCs w:val="20"/>
              </w:rPr>
              <w:t xml:space="preserve">base: </w:t>
            </w:r>
            <w:r w:rsidRPr="00837F9C">
              <w:rPr>
                <w:rFonts w:ascii="Times New Roman" w:eastAsia="Times New Roman" w:hAnsi="Times New Roman" w:cs="Times New Roman"/>
                <w:b/>
                <w:bCs/>
                <w:sz w:val="20"/>
                <w:szCs w:val="20"/>
              </w:rPr>
              <w:t>18</w:t>
            </w:r>
            <w:r>
              <w:rPr>
                <w:rFonts w:ascii="Times New Roman" w:eastAsia="Times New Roman" w:hAnsi="Times New Roman" w:cs="Times New Roman"/>
                <w:b/>
                <w:bCs/>
                <w:sz w:val="20"/>
                <w:szCs w:val="20"/>
              </w:rPr>
              <w:t xml:space="preserve">-29 years </w:t>
            </w:r>
            <w:r w:rsidRPr="00EF49C0">
              <w:rPr>
                <w:rFonts w:ascii="Times New Roman" w:eastAsia="Times New Roman" w:hAnsi="Times New Roman" w:cs="Times New Roman"/>
                <w:b/>
                <w:bCs/>
                <w:i/>
                <w:sz w:val="20"/>
                <w:szCs w:val="20"/>
              </w:rPr>
              <w:t xml:space="preserve">before </w:t>
            </w:r>
            <w:r>
              <w:rPr>
                <w:rFonts w:ascii="Times New Roman" w:eastAsia="Times New Roman" w:hAnsi="Times New Roman" w:cs="Times New Roman"/>
                <w:b/>
                <w:bCs/>
                <w:sz w:val="20"/>
                <w:szCs w:val="20"/>
              </w:rPr>
              <w:t>COVID</w:t>
            </w:r>
            <w:r w:rsidRPr="00837F9C">
              <w:rPr>
                <w:rFonts w:ascii="Times New Roman" w:eastAsia="Times New Roman" w:hAnsi="Times New Roman" w:cs="Times New Roman"/>
                <w:b/>
                <w:bCs/>
                <w:sz w:val="20"/>
                <w:szCs w:val="20"/>
              </w:rPr>
              <w:t>)</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530B99AC" w14:textId="77777777" w:rsidR="00B03DA3" w:rsidRPr="00E1729F"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F134F18" w14:textId="77777777" w:rsidR="00B03DA3" w:rsidRPr="00E1729F" w:rsidRDefault="00B03DA3" w:rsidP="00E46C39">
            <w:pPr>
              <w:spacing w:after="0" w:line="240" w:lineRule="auto"/>
              <w:jc w:val="right"/>
              <w:rPr>
                <w:rFonts w:ascii="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2CE565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0D2FC94"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53E26DB3"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5192CC30" w14:textId="6B987C38"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3B9EF783"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7A62E7B5" w14:textId="47FC7846"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3BB56988"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6FB02C5E" w14:textId="5743B24E"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 xml:space="preserve">18 to 29 </w:t>
            </w:r>
            <w:r w:rsidRPr="001D0B33">
              <w:rPr>
                <w:rFonts w:ascii="Times New Roman" w:eastAsia="Times New Roman" w:hAnsi="Times New Roman" w:cs="Times New Roman"/>
                <w:bCs/>
                <w:i/>
                <w:sz w:val="20"/>
                <w:szCs w:val="20"/>
              </w:rPr>
              <w:t>COVID SHIFT EFFECT</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54A2FFD8"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0.570</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C3DD850"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2.62</w:t>
            </w: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BA03C8B" w14:textId="36C58A64"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D3F854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5F94D411" w14:textId="743FF80C"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0A3BF35A" w14:textId="0DCBD41B"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2E888FAC" w14:textId="551BD13B"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64575651" w14:textId="3349BA9B"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611EC550"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399E51EF" w14:textId="3BD666CA"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30 to 64 years</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9BA1B43"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3B4A039"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3737E1B" w14:textId="6348A2CB"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0B98BA8"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7718CF0B" w14:textId="27369B6D"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6D4CBA61" w14:textId="78192120"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1C458D48" w14:textId="74F57A03"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-0.239</w:t>
            </w:r>
          </w:p>
        </w:tc>
        <w:tc>
          <w:tcPr>
            <w:tcW w:w="990" w:type="dxa"/>
            <w:tcBorders>
              <w:left w:val="single" w:sz="4" w:space="0" w:color="auto"/>
              <w:right w:val="double" w:sz="4" w:space="0" w:color="auto"/>
            </w:tcBorders>
            <w:tcMar>
              <w:left w:w="72" w:type="dxa"/>
              <w:right w:w="72" w:type="dxa"/>
            </w:tcMar>
            <w:vAlign w:val="center"/>
          </w:tcPr>
          <w:p w14:paraId="16EBC451" w14:textId="0856C7FE"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-1.05</w:t>
            </w:r>
          </w:p>
        </w:tc>
      </w:tr>
      <w:tr w:rsidR="00E46C39" w:rsidRPr="00837F9C" w14:paraId="6FEE9D3C"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748478D5" w14:textId="4563ABAA"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 xml:space="preserve">30 to 64 years </w:t>
            </w:r>
            <w:r w:rsidRPr="001D0B33">
              <w:rPr>
                <w:rFonts w:ascii="Times New Roman" w:eastAsia="Times New Roman" w:hAnsi="Times New Roman" w:cs="Times New Roman"/>
                <w:bCs/>
                <w:i/>
                <w:sz w:val="20"/>
                <w:szCs w:val="20"/>
              </w:rPr>
              <w:t>COVID SHIFT EFFECT</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91C7D5D"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0.279</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5022788"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2.17</w:t>
            </w: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EB388EF" w14:textId="58FC80AE"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0.192</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89934D4" w14:textId="07E7DFFC"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1.49</w:t>
            </w:r>
          </w:p>
        </w:tc>
        <w:tc>
          <w:tcPr>
            <w:tcW w:w="986" w:type="dxa"/>
            <w:tcBorders>
              <w:left w:val="double" w:sz="4" w:space="0" w:color="auto"/>
              <w:right w:val="single" w:sz="4" w:space="0" w:color="auto"/>
            </w:tcBorders>
            <w:tcMar>
              <w:left w:w="72" w:type="dxa"/>
              <w:right w:w="72" w:type="dxa"/>
            </w:tcMar>
            <w:vAlign w:val="center"/>
          </w:tcPr>
          <w:p w14:paraId="2BC9CF0E" w14:textId="04431B57"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7384D78" w14:textId="2D3D82A5"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642114BF" w14:textId="1D7C97B3"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6E962868" w14:textId="361BD0AC"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36EDC7E2"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3013026E" w14:textId="498AC6C3"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65 years or older</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45104B5"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0.294</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132E904A"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2.34</w:t>
            </w: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C621602" w14:textId="408740CD"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0.149</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9F35498" w14:textId="32FC3BE9"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1.18</w:t>
            </w:r>
          </w:p>
        </w:tc>
        <w:tc>
          <w:tcPr>
            <w:tcW w:w="986" w:type="dxa"/>
            <w:tcBorders>
              <w:left w:val="double" w:sz="4" w:space="0" w:color="auto"/>
              <w:right w:val="single" w:sz="4" w:space="0" w:color="auto"/>
            </w:tcBorders>
            <w:tcMar>
              <w:left w:w="72" w:type="dxa"/>
              <w:right w:w="72" w:type="dxa"/>
            </w:tcMar>
            <w:vAlign w:val="center"/>
          </w:tcPr>
          <w:p w14:paraId="5FFDF8C5" w14:textId="4FD45F41"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79581A58" w14:textId="0F12D18E"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76DA7733" w14:textId="2157276B"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-0.582</w:t>
            </w:r>
          </w:p>
        </w:tc>
        <w:tc>
          <w:tcPr>
            <w:tcW w:w="990" w:type="dxa"/>
            <w:tcBorders>
              <w:left w:val="single" w:sz="4" w:space="0" w:color="auto"/>
              <w:right w:val="double" w:sz="4" w:space="0" w:color="auto"/>
            </w:tcBorders>
            <w:tcMar>
              <w:left w:w="72" w:type="dxa"/>
              <w:right w:w="72" w:type="dxa"/>
            </w:tcMar>
            <w:vAlign w:val="center"/>
          </w:tcPr>
          <w:p w14:paraId="36770874" w14:textId="278FEF71"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-1.72</w:t>
            </w:r>
          </w:p>
        </w:tc>
      </w:tr>
      <w:tr w:rsidR="00E46C39" w:rsidRPr="00837F9C" w14:paraId="4F0AE51B"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5B19E9EA" w14:textId="06FCAE1B" w:rsidR="00B03DA3" w:rsidRPr="004700DB" w:rsidRDefault="00B03DA3" w:rsidP="00E46C39">
            <w:pPr>
              <w:spacing w:after="0" w:line="240" w:lineRule="auto"/>
              <w:jc w:val="left"/>
              <w:rPr>
                <w:rFonts w:ascii="Times New Roman" w:hAnsi="Times New Roman" w:cs="Times New Roman"/>
                <w:b/>
                <w:sz w:val="20"/>
                <w:szCs w:val="20"/>
              </w:rPr>
            </w:pPr>
            <w:r w:rsidRPr="00837F9C">
              <w:rPr>
                <w:rFonts w:ascii="Times New Roman" w:eastAsia="Times New Roman" w:hAnsi="Times New Roman" w:cs="Times New Roman"/>
                <w:b/>
                <w:bCs/>
                <w:sz w:val="20"/>
                <w:szCs w:val="20"/>
              </w:rPr>
              <w:t>Education Level (</w:t>
            </w:r>
            <w:r>
              <w:rPr>
                <w:rFonts w:ascii="Times New Roman" w:eastAsia="Times New Roman" w:hAnsi="Times New Roman" w:cs="Times New Roman"/>
                <w:b/>
                <w:bCs/>
                <w:sz w:val="20"/>
                <w:szCs w:val="20"/>
              </w:rPr>
              <w:t xml:space="preserve">base: </w:t>
            </w:r>
            <w:r w:rsidRPr="00837F9C">
              <w:rPr>
                <w:rFonts w:ascii="Times New Roman" w:hAnsi="Times New Roman" w:cs="Times New Roman"/>
                <w:b/>
                <w:sz w:val="20"/>
                <w:szCs w:val="20"/>
              </w:rPr>
              <w:t>undergraduate degree or less)</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C2F946C"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185DA19E"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5B0DEE95"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086AF35"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03E8A51C"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E06E475" w14:textId="6D4ED259"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4675C675"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F63F950" w14:textId="615CF6D2"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75E8B5FF"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70041944" w14:textId="2716FFB7"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Graduate degree</w:t>
            </w:r>
            <w:r w:rsidRPr="001D0B33">
              <w:rPr>
                <w:rFonts w:ascii="Times New Roman" w:eastAsia="Times New Roman" w:hAnsi="Times New Roman" w:cs="Times New Roman"/>
                <w:bCs/>
                <w:i/>
                <w:sz w:val="20"/>
                <w:szCs w:val="20"/>
              </w:rPr>
              <w:t xml:space="preserve"> COVID SHIFT EFFECT</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84A4B73"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0.124</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53D5D76"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1.53</w:t>
            </w: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E3733D0" w14:textId="585BA002" w:rsidR="00B03DA3" w:rsidRPr="00837F9C" w:rsidRDefault="00B03DA3" w:rsidP="00E46C39">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6CB7207"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6AA8EB11" w14:textId="57E18509"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2709093B" w14:textId="493AAA6D"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34F97728" w14:textId="01B992F3"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BD16B2C" w14:textId="3DE27D9B"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1B78FCC9"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7B9AE03C" w14:textId="77777777" w:rsidR="00B03DA3" w:rsidRPr="00837F9C" w:rsidRDefault="00B03DA3" w:rsidP="00E46C39">
            <w:pPr>
              <w:spacing w:after="0" w:line="240" w:lineRule="auto"/>
              <w:jc w:val="left"/>
              <w:rPr>
                <w:rFonts w:ascii="Times New Roman" w:eastAsia="Times New Roman" w:hAnsi="Times New Roman" w:cs="Times New Roman"/>
                <w:b/>
                <w:bCs/>
                <w:i/>
                <w:iCs/>
                <w:sz w:val="20"/>
                <w:szCs w:val="20"/>
              </w:rPr>
            </w:pPr>
            <w:r w:rsidRPr="00837F9C">
              <w:rPr>
                <w:rFonts w:ascii="Times New Roman" w:eastAsia="Times New Roman" w:hAnsi="Times New Roman" w:cs="Times New Roman"/>
                <w:b/>
                <w:bCs/>
                <w:i/>
                <w:iCs/>
                <w:sz w:val="20"/>
                <w:szCs w:val="20"/>
              </w:rPr>
              <w:t>Household Characteristics</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F994D83"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73F9433"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D253AE0"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8506EC1"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66F7BDD6"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2DDFC7F2" w14:textId="01DBC3EB"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758657C8"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4ADEF24D" w14:textId="4CE4831A"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108D6218"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0B86647E" w14:textId="5EC35A9D" w:rsidR="00B03DA3" w:rsidRPr="00837F9C" w:rsidRDefault="00B03DA3" w:rsidP="00E46C39">
            <w:pPr>
              <w:spacing w:after="0" w:line="240" w:lineRule="auto"/>
              <w:jc w:val="left"/>
              <w:rPr>
                <w:rFonts w:ascii="Times New Roman" w:eastAsia="Times New Roman" w:hAnsi="Times New Roman" w:cs="Times New Roman"/>
                <w:sz w:val="20"/>
                <w:szCs w:val="20"/>
              </w:rPr>
            </w:pPr>
            <w:r w:rsidRPr="00837F9C">
              <w:rPr>
                <w:rFonts w:ascii="Times New Roman" w:eastAsia="Times New Roman" w:hAnsi="Times New Roman" w:cs="Times New Roman"/>
                <w:b/>
                <w:sz w:val="20"/>
                <w:szCs w:val="20"/>
              </w:rPr>
              <w:t>Income (</w:t>
            </w:r>
            <w:r>
              <w:rPr>
                <w:rFonts w:ascii="Times New Roman" w:eastAsia="Times New Roman" w:hAnsi="Times New Roman" w:cs="Times New Roman"/>
                <w:b/>
                <w:sz w:val="20"/>
                <w:szCs w:val="20"/>
              </w:rPr>
              <w:t xml:space="preserve">base: </w:t>
            </w:r>
            <w:r w:rsidRPr="00837F9C">
              <w:rPr>
                <w:rFonts w:ascii="Times New Roman" w:eastAsia="Times New Roman" w:hAnsi="Times New Roman" w:cs="Times New Roman"/>
                <w:b/>
                <w:sz w:val="20"/>
                <w:szCs w:val="20"/>
              </w:rPr>
              <w:t>&lt;$100,000)</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DC9F57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7DA98D8"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8265C4D"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22AFDAE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076326FF"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79272EB5" w14:textId="28FCDAD0"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725F4B9C"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0FA1B8A" w14:textId="2916FFC7"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6BDE7636"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1AF8DBC8" w14:textId="79D4AEBE" w:rsidR="00B03DA3" w:rsidRPr="00837F9C" w:rsidRDefault="00B03DA3"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37F9C">
              <w:rPr>
                <w:rFonts w:ascii="Times New Roman" w:eastAsia="Times New Roman" w:hAnsi="Times New Roman" w:cs="Times New Roman"/>
                <w:sz w:val="20"/>
                <w:szCs w:val="20"/>
              </w:rPr>
              <w:t>$100,000 to $249,999</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58144FD0"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0.190</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1E46B555"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2.41</w:t>
            </w:r>
          </w:p>
        </w:tc>
        <w:tc>
          <w:tcPr>
            <w:tcW w:w="986" w:type="dxa"/>
            <w:tcBorders>
              <w:top w:val="nil"/>
              <w:left w:val="nil"/>
              <w:bottom w:val="nil"/>
              <w:right w:val="single" w:sz="4" w:space="0" w:color="auto"/>
            </w:tcBorders>
            <w:shd w:val="clear" w:color="auto" w:fill="auto"/>
            <w:noWrap/>
            <w:tcMar>
              <w:left w:w="72" w:type="dxa"/>
              <w:right w:w="72" w:type="dxa"/>
            </w:tcMar>
            <w:vAlign w:val="center"/>
          </w:tcPr>
          <w:p w14:paraId="19A73E65" w14:textId="4B135284"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nil"/>
              <w:bottom w:val="nil"/>
              <w:right w:val="nil"/>
            </w:tcBorders>
            <w:shd w:val="clear" w:color="auto" w:fill="auto"/>
            <w:noWrap/>
            <w:tcMar>
              <w:left w:w="72" w:type="dxa"/>
              <w:right w:w="72" w:type="dxa"/>
            </w:tcMar>
            <w:vAlign w:val="center"/>
          </w:tcPr>
          <w:p w14:paraId="40116B3A"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015B5C9E" w14:textId="47471E3D"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8A85153" w14:textId="5762B8E0" w:rsidR="00B03DA3" w:rsidRPr="00E1729F" w:rsidRDefault="00B03DA3" w:rsidP="00E46C39">
            <w:pPr>
              <w:spacing w:after="0" w:line="240" w:lineRule="auto"/>
              <w:jc w:val="right"/>
              <w:rPr>
                <w:rFonts w:ascii="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5E8ED890" w14:textId="0E5FD937" w:rsidR="00B03DA3" w:rsidRPr="00E1729F" w:rsidRDefault="00B03DA3" w:rsidP="00E46C39">
            <w:pPr>
              <w:spacing w:after="0" w:line="240" w:lineRule="auto"/>
              <w:jc w:val="right"/>
              <w:rPr>
                <w:rFonts w:ascii="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7C3A6859" w14:textId="22CAF111" w:rsidR="00B03DA3" w:rsidRPr="00E1729F" w:rsidRDefault="00B03DA3" w:rsidP="00E46C39">
            <w:pPr>
              <w:spacing w:after="0" w:line="240" w:lineRule="auto"/>
              <w:jc w:val="right"/>
              <w:rPr>
                <w:rFonts w:ascii="Times New Roman" w:hAnsi="Times New Roman" w:cs="Times New Roman"/>
                <w:sz w:val="20"/>
                <w:szCs w:val="20"/>
              </w:rPr>
            </w:pPr>
          </w:p>
        </w:tc>
      </w:tr>
      <w:tr w:rsidR="00E46C39" w:rsidRPr="00837F9C" w14:paraId="124ACE47"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5069F6A5" w14:textId="587FF1F6" w:rsidR="00B03DA3" w:rsidRPr="00837F9C" w:rsidRDefault="00B03DA3"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37F9C">
              <w:rPr>
                <w:rFonts w:ascii="Times New Roman" w:eastAsia="Times New Roman" w:hAnsi="Times New Roman" w:cs="Times New Roman"/>
                <w:sz w:val="20"/>
                <w:szCs w:val="20"/>
              </w:rPr>
              <w:t>≥ $250,000</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C27E9B1"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0.190</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23CE54B"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2.41</w:t>
            </w:r>
          </w:p>
        </w:tc>
        <w:tc>
          <w:tcPr>
            <w:tcW w:w="986" w:type="dxa"/>
            <w:tcBorders>
              <w:top w:val="nil"/>
              <w:left w:val="nil"/>
              <w:bottom w:val="nil"/>
              <w:right w:val="single" w:sz="4" w:space="0" w:color="auto"/>
            </w:tcBorders>
            <w:shd w:val="clear" w:color="auto" w:fill="auto"/>
            <w:noWrap/>
            <w:tcMar>
              <w:left w:w="72" w:type="dxa"/>
              <w:right w:w="72" w:type="dxa"/>
            </w:tcMar>
            <w:vAlign w:val="center"/>
          </w:tcPr>
          <w:p w14:paraId="25355EB7" w14:textId="311162E3"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4" w:type="dxa"/>
            <w:tcBorders>
              <w:top w:val="nil"/>
              <w:left w:val="nil"/>
              <w:bottom w:val="nil"/>
              <w:right w:val="nil"/>
            </w:tcBorders>
            <w:shd w:val="clear" w:color="auto" w:fill="auto"/>
            <w:noWrap/>
            <w:tcMar>
              <w:left w:w="72" w:type="dxa"/>
              <w:right w:w="72" w:type="dxa"/>
            </w:tcMar>
            <w:vAlign w:val="center"/>
          </w:tcPr>
          <w:p w14:paraId="0B7F5EB0"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5B07DAD3" w14:textId="0E1CCF4D"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736C3D19" w14:textId="54DDC628" w:rsidR="00B03DA3" w:rsidRPr="00E1729F" w:rsidRDefault="00B03DA3" w:rsidP="00E46C39">
            <w:pPr>
              <w:spacing w:after="0" w:line="240" w:lineRule="auto"/>
              <w:jc w:val="right"/>
              <w:rPr>
                <w:rFonts w:ascii="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36F9A8BB" w14:textId="024978EB"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-0.601</w:t>
            </w:r>
          </w:p>
        </w:tc>
        <w:tc>
          <w:tcPr>
            <w:tcW w:w="990" w:type="dxa"/>
            <w:tcBorders>
              <w:left w:val="single" w:sz="4" w:space="0" w:color="auto"/>
              <w:right w:val="double" w:sz="4" w:space="0" w:color="auto"/>
            </w:tcBorders>
            <w:tcMar>
              <w:left w:w="72" w:type="dxa"/>
              <w:right w:w="72" w:type="dxa"/>
            </w:tcMar>
            <w:vAlign w:val="center"/>
          </w:tcPr>
          <w:p w14:paraId="1B5B4397" w14:textId="57B08ED6"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-1.90</w:t>
            </w:r>
          </w:p>
        </w:tc>
      </w:tr>
      <w:tr w:rsidR="00E46C39" w:rsidRPr="00837F9C" w14:paraId="241D2E94" w14:textId="77777777" w:rsidTr="00B24C81">
        <w:trPr>
          <w:trHeight w:val="288"/>
        </w:trPr>
        <w:tc>
          <w:tcPr>
            <w:tcW w:w="4752" w:type="dxa"/>
            <w:tcBorders>
              <w:top w:val="nil"/>
              <w:left w:val="double" w:sz="4" w:space="0" w:color="auto"/>
              <w:right w:val="double" w:sz="4" w:space="0" w:color="auto"/>
            </w:tcBorders>
            <w:shd w:val="clear" w:color="auto" w:fill="auto"/>
            <w:noWrap/>
            <w:tcMar>
              <w:left w:w="72" w:type="dxa"/>
              <w:right w:w="72" w:type="dxa"/>
            </w:tcMar>
            <w:vAlign w:val="center"/>
          </w:tcPr>
          <w:p w14:paraId="5AD8374F" w14:textId="77777777" w:rsidR="00B03DA3" w:rsidRPr="00837F9C" w:rsidRDefault="00B03DA3" w:rsidP="00E46C39">
            <w:pPr>
              <w:spacing w:after="0" w:line="240" w:lineRule="auto"/>
              <w:jc w:val="left"/>
              <w:rPr>
                <w:rFonts w:ascii="Times New Roman" w:eastAsia="Times New Roman" w:hAnsi="Times New Roman" w:cs="Times New Roman"/>
                <w:b/>
                <w:bCs/>
                <w:i/>
                <w:iCs/>
                <w:sz w:val="20"/>
                <w:szCs w:val="20"/>
              </w:rPr>
            </w:pPr>
            <w:r w:rsidRPr="00837F9C">
              <w:rPr>
                <w:rFonts w:ascii="Times New Roman" w:eastAsia="Times New Roman" w:hAnsi="Times New Roman" w:cs="Times New Roman"/>
                <w:b/>
                <w:bCs/>
                <w:i/>
                <w:iCs/>
                <w:sz w:val="20"/>
                <w:szCs w:val="20"/>
              </w:rPr>
              <w:t>Job Characteristics</w:t>
            </w:r>
          </w:p>
        </w:tc>
        <w:tc>
          <w:tcPr>
            <w:tcW w:w="1083" w:type="dxa"/>
            <w:tcBorders>
              <w:top w:val="nil"/>
              <w:left w:val="double" w:sz="4" w:space="0" w:color="auto"/>
              <w:right w:val="single" w:sz="4" w:space="0" w:color="auto"/>
            </w:tcBorders>
            <w:shd w:val="clear" w:color="auto" w:fill="auto"/>
            <w:noWrap/>
            <w:tcMar>
              <w:left w:w="72" w:type="dxa"/>
              <w:right w:w="72" w:type="dxa"/>
            </w:tcMar>
            <w:vAlign w:val="center"/>
          </w:tcPr>
          <w:p w14:paraId="33CEB069"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1B527667"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right w:val="single" w:sz="4" w:space="0" w:color="auto"/>
            </w:tcBorders>
            <w:shd w:val="clear" w:color="auto" w:fill="auto"/>
            <w:noWrap/>
            <w:tcMar>
              <w:left w:w="72" w:type="dxa"/>
              <w:right w:w="72" w:type="dxa"/>
            </w:tcMar>
            <w:vAlign w:val="center"/>
          </w:tcPr>
          <w:p w14:paraId="4595011E"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0058C27B"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1FBA9B1F"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76642318" w14:textId="1BEAF4B6"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45F53A5F"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120659B2" w14:textId="6FAFCA6A"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5D5450AB" w14:textId="77777777" w:rsidTr="00B24C81">
        <w:trPr>
          <w:trHeight w:val="288"/>
        </w:trPr>
        <w:tc>
          <w:tcPr>
            <w:tcW w:w="4752" w:type="dxa"/>
            <w:tcBorders>
              <w:top w:val="nil"/>
              <w:left w:val="double" w:sz="4" w:space="0" w:color="auto"/>
              <w:right w:val="double" w:sz="4" w:space="0" w:color="auto"/>
            </w:tcBorders>
            <w:shd w:val="clear" w:color="auto" w:fill="auto"/>
            <w:noWrap/>
            <w:tcMar>
              <w:left w:w="72" w:type="dxa"/>
              <w:right w:w="72" w:type="dxa"/>
            </w:tcMar>
            <w:vAlign w:val="center"/>
          </w:tcPr>
          <w:p w14:paraId="5D5D07CE" w14:textId="4FD392CF" w:rsidR="00B03DA3" w:rsidRPr="00837F9C" w:rsidRDefault="00B03DA3" w:rsidP="00E46C39">
            <w:pPr>
              <w:spacing w:after="0" w:line="240" w:lineRule="auto"/>
              <w:jc w:val="left"/>
              <w:rPr>
                <w:rFonts w:ascii="Times New Roman" w:eastAsia="Times New Roman" w:hAnsi="Times New Roman" w:cs="Times New Roman"/>
                <w:b/>
                <w:sz w:val="20"/>
                <w:szCs w:val="20"/>
              </w:rPr>
            </w:pPr>
            <w:r w:rsidRPr="00837F9C">
              <w:rPr>
                <w:rFonts w:ascii="Times New Roman" w:eastAsia="Times New Roman" w:hAnsi="Times New Roman" w:cs="Times New Roman"/>
                <w:b/>
                <w:sz w:val="20"/>
                <w:szCs w:val="20"/>
              </w:rPr>
              <w:t>Employment Status (</w:t>
            </w:r>
            <w:r>
              <w:rPr>
                <w:rFonts w:ascii="Times New Roman" w:eastAsia="Times New Roman" w:hAnsi="Times New Roman" w:cs="Times New Roman"/>
                <w:b/>
                <w:sz w:val="20"/>
                <w:szCs w:val="20"/>
              </w:rPr>
              <w:t xml:space="preserve">base: </w:t>
            </w:r>
            <w:r w:rsidRPr="00837F9C">
              <w:rPr>
                <w:rFonts w:ascii="Times New Roman" w:eastAsia="Times New Roman" w:hAnsi="Times New Roman" w:cs="Times New Roman"/>
                <w:b/>
                <w:sz w:val="20"/>
                <w:szCs w:val="20"/>
              </w:rPr>
              <w:t>not self-employed)</w:t>
            </w:r>
          </w:p>
        </w:tc>
        <w:tc>
          <w:tcPr>
            <w:tcW w:w="1083" w:type="dxa"/>
            <w:tcBorders>
              <w:top w:val="nil"/>
              <w:left w:val="double" w:sz="4" w:space="0" w:color="auto"/>
              <w:right w:val="single" w:sz="4" w:space="0" w:color="auto"/>
            </w:tcBorders>
            <w:shd w:val="clear" w:color="auto" w:fill="auto"/>
            <w:noWrap/>
            <w:tcMar>
              <w:left w:w="72" w:type="dxa"/>
              <w:right w:w="72" w:type="dxa"/>
            </w:tcMar>
            <w:vAlign w:val="center"/>
          </w:tcPr>
          <w:p w14:paraId="55014B8B"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2DBBE7F1"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top w:val="nil"/>
              <w:left w:val="double" w:sz="4" w:space="0" w:color="auto"/>
              <w:right w:val="single" w:sz="4" w:space="0" w:color="auto"/>
            </w:tcBorders>
            <w:shd w:val="clear" w:color="auto" w:fill="auto"/>
            <w:noWrap/>
            <w:tcMar>
              <w:left w:w="72" w:type="dxa"/>
              <w:right w:w="72" w:type="dxa"/>
            </w:tcMar>
            <w:vAlign w:val="center"/>
          </w:tcPr>
          <w:p w14:paraId="1CBDD73A"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39F69B45"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1952E369"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65101022" w14:textId="0662DA0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1BF3B692"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DCF9D93" w14:textId="41169F8D"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3959CBFB" w14:textId="77777777" w:rsidTr="00B24C81">
        <w:trPr>
          <w:trHeight w:val="288"/>
        </w:trPr>
        <w:tc>
          <w:tcPr>
            <w:tcW w:w="4752" w:type="dxa"/>
            <w:tcBorders>
              <w:top w:val="nil"/>
              <w:left w:val="double" w:sz="4" w:space="0" w:color="auto"/>
              <w:right w:val="double" w:sz="4" w:space="0" w:color="auto"/>
            </w:tcBorders>
            <w:shd w:val="clear" w:color="auto" w:fill="auto"/>
            <w:noWrap/>
            <w:tcMar>
              <w:left w:w="72" w:type="dxa"/>
              <w:right w:w="72" w:type="dxa"/>
            </w:tcMar>
            <w:vAlign w:val="center"/>
          </w:tcPr>
          <w:p w14:paraId="06A7A65D" w14:textId="76F1EADD" w:rsidR="00B03DA3" w:rsidRPr="00837F9C" w:rsidRDefault="00B03DA3"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37F9C">
              <w:rPr>
                <w:rFonts w:ascii="Times New Roman" w:eastAsia="Times New Roman" w:hAnsi="Times New Roman" w:cs="Times New Roman"/>
                <w:sz w:val="20"/>
                <w:szCs w:val="20"/>
              </w:rPr>
              <w:t>Self-employed</w:t>
            </w:r>
          </w:p>
        </w:tc>
        <w:tc>
          <w:tcPr>
            <w:tcW w:w="1083" w:type="dxa"/>
            <w:tcBorders>
              <w:top w:val="nil"/>
              <w:left w:val="double" w:sz="4" w:space="0" w:color="auto"/>
              <w:right w:val="single" w:sz="4" w:space="0" w:color="auto"/>
            </w:tcBorders>
            <w:shd w:val="clear" w:color="auto" w:fill="auto"/>
            <w:noWrap/>
            <w:tcMar>
              <w:left w:w="72" w:type="dxa"/>
              <w:right w:w="72" w:type="dxa"/>
            </w:tcMar>
            <w:vAlign w:val="center"/>
          </w:tcPr>
          <w:p w14:paraId="68A5E306"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0.269</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3F034195"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2.16</w:t>
            </w:r>
          </w:p>
        </w:tc>
        <w:tc>
          <w:tcPr>
            <w:tcW w:w="986" w:type="dxa"/>
            <w:tcBorders>
              <w:top w:val="nil"/>
              <w:left w:val="double" w:sz="4" w:space="0" w:color="auto"/>
              <w:right w:val="single" w:sz="4" w:space="0" w:color="auto"/>
            </w:tcBorders>
            <w:shd w:val="clear" w:color="auto" w:fill="auto"/>
            <w:noWrap/>
            <w:tcMar>
              <w:left w:w="72" w:type="dxa"/>
              <w:right w:w="72" w:type="dxa"/>
            </w:tcMar>
            <w:vAlign w:val="center"/>
          </w:tcPr>
          <w:p w14:paraId="7AF7DA40" w14:textId="6664446D"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0.486</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117CC363" w14:textId="71E6D99E"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3.53</w:t>
            </w:r>
          </w:p>
        </w:tc>
        <w:tc>
          <w:tcPr>
            <w:tcW w:w="986" w:type="dxa"/>
            <w:tcBorders>
              <w:left w:val="double" w:sz="4" w:space="0" w:color="auto"/>
              <w:right w:val="single" w:sz="4" w:space="0" w:color="auto"/>
            </w:tcBorders>
            <w:tcMar>
              <w:left w:w="72" w:type="dxa"/>
              <w:right w:w="72" w:type="dxa"/>
            </w:tcMar>
            <w:vAlign w:val="center"/>
          </w:tcPr>
          <w:p w14:paraId="0DAECFB4" w14:textId="2B647BD1"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394F992" w14:textId="32AF647D"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5A77CD94" w14:textId="48EEC3C3"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5F4DCC2D" w14:textId="3967B42C"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10043DAF" w14:textId="77777777" w:rsidTr="00B24C81">
        <w:trPr>
          <w:trHeight w:val="288"/>
        </w:trPr>
        <w:tc>
          <w:tcPr>
            <w:tcW w:w="4752" w:type="dxa"/>
            <w:tcBorders>
              <w:top w:val="nil"/>
              <w:left w:val="double" w:sz="4" w:space="0" w:color="auto"/>
              <w:right w:val="double" w:sz="4" w:space="0" w:color="auto"/>
            </w:tcBorders>
            <w:shd w:val="clear" w:color="auto" w:fill="auto"/>
            <w:noWrap/>
            <w:tcMar>
              <w:left w:w="72" w:type="dxa"/>
              <w:right w:w="72" w:type="dxa"/>
            </w:tcMar>
            <w:vAlign w:val="center"/>
          </w:tcPr>
          <w:p w14:paraId="44F320D1" w14:textId="667F976A" w:rsidR="00B03DA3" w:rsidRPr="00837F9C" w:rsidRDefault="00B03DA3"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37F9C">
              <w:rPr>
                <w:rFonts w:ascii="Times New Roman" w:eastAsia="Times New Roman" w:hAnsi="Times New Roman" w:cs="Times New Roman"/>
                <w:sz w:val="20"/>
                <w:szCs w:val="20"/>
              </w:rPr>
              <w:t>Self-employed</w:t>
            </w:r>
            <w:r w:rsidRPr="001D0B33">
              <w:rPr>
                <w:rFonts w:ascii="Times New Roman" w:eastAsia="Times New Roman" w:hAnsi="Times New Roman" w:cs="Times New Roman"/>
                <w:bCs/>
                <w:i/>
                <w:sz w:val="20"/>
                <w:szCs w:val="20"/>
              </w:rPr>
              <w:t xml:space="preserve"> COVID SHIFT EFFECT</w:t>
            </w:r>
          </w:p>
        </w:tc>
        <w:tc>
          <w:tcPr>
            <w:tcW w:w="1083" w:type="dxa"/>
            <w:tcBorders>
              <w:top w:val="nil"/>
              <w:left w:val="double" w:sz="4" w:space="0" w:color="auto"/>
              <w:right w:val="single" w:sz="4" w:space="0" w:color="auto"/>
            </w:tcBorders>
            <w:shd w:val="clear" w:color="auto" w:fill="auto"/>
            <w:noWrap/>
            <w:tcMar>
              <w:left w:w="72" w:type="dxa"/>
              <w:right w:w="72" w:type="dxa"/>
            </w:tcMar>
            <w:vAlign w:val="center"/>
          </w:tcPr>
          <w:p w14:paraId="3E3EDA74"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-0.381</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0C4F5688"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-2.82</w:t>
            </w:r>
          </w:p>
        </w:tc>
        <w:tc>
          <w:tcPr>
            <w:tcW w:w="986" w:type="dxa"/>
            <w:tcBorders>
              <w:top w:val="nil"/>
              <w:left w:val="double" w:sz="4" w:space="0" w:color="auto"/>
              <w:right w:val="single" w:sz="4" w:space="0" w:color="auto"/>
            </w:tcBorders>
            <w:shd w:val="clear" w:color="auto" w:fill="auto"/>
            <w:noWrap/>
            <w:tcMar>
              <w:left w:w="72" w:type="dxa"/>
              <w:right w:w="72" w:type="dxa"/>
            </w:tcMar>
            <w:vAlign w:val="center"/>
          </w:tcPr>
          <w:p w14:paraId="5AB75055" w14:textId="29C2E07D"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-0.398</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4591BE2C" w14:textId="6C5AA916"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-2.71</w:t>
            </w:r>
          </w:p>
        </w:tc>
        <w:tc>
          <w:tcPr>
            <w:tcW w:w="986" w:type="dxa"/>
            <w:tcBorders>
              <w:left w:val="double" w:sz="4" w:space="0" w:color="auto"/>
              <w:right w:val="single" w:sz="4" w:space="0" w:color="auto"/>
            </w:tcBorders>
            <w:tcMar>
              <w:left w:w="72" w:type="dxa"/>
              <w:right w:w="72" w:type="dxa"/>
            </w:tcMar>
            <w:vAlign w:val="center"/>
          </w:tcPr>
          <w:p w14:paraId="4023A64B"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7242D040" w14:textId="5AD1DD4C"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4BF9636A"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55DA346A" w14:textId="13FF80B5"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33381410" w14:textId="77777777" w:rsidTr="00B24C81">
        <w:trPr>
          <w:trHeight w:val="288"/>
        </w:trPr>
        <w:tc>
          <w:tcPr>
            <w:tcW w:w="4752"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77813999" w14:textId="4E9D2CD8" w:rsidR="00B03DA3" w:rsidRPr="00837F9C" w:rsidRDefault="00B03DA3" w:rsidP="00E46C39">
            <w:pPr>
              <w:spacing w:after="0" w:line="240" w:lineRule="auto"/>
              <w:ind w:left="283" w:hanging="270"/>
              <w:jc w:val="left"/>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 Days Worked per Month (</w:t>
            </w:r>
            <w:r>
              <w:rPr>
                <w:rFonts w:ascii="Times New Roman" w:eastAsia="Times New Roman" w:hAnsi="Times New Roman" w:cs="Times New Roman"/>
                <w:b/>
                <w:bCs/>
                <w:sz w:val="20"/>
                <w:szCs w:val="20"/>
              </w:rPr>
              <w:t xml:space="preserve">base: </w:t>
            </w:r>
            <w:r w:rsidRPr="00837F9C">
              <w:rPr>
                <w:rFonts w:ascii="Times New Roman" w:eastAsia="Times New Roman" w:hAnsi="Times New Roman" w:cs="Times New Roman"/>
                <w:b/>
                <w:bCs/>
                <w:sz w:val="20"/>
                <w:szCs w:val="20"/>
              </w:rPr>
              <w:t xml:space="preserve">16 </w:t>
            </w:r>
            <w:r w:rsidR="007B2229">
              <w:rPr>
                <w:rFonts w:ascii="Times New Roman" w:eastAsia="Times New Roman" w:hAnsi="Times New Roman" w:cs="Times New Roman"/>
                <w:b/>
                <w:bCs/>
                <w:sz w:val="20"/>
                <w:szCs w:val="20"/>
              </w:rPr>
              <w:t>d</w:t>
            </w:r>
            <w:r w:rsidRPr="00837F9C">
              <w:rPr>
                <w:rFonts w:ascii="Times New Roman" w:eastAsia="Times New Roman" w:hAnsi="Times New Roman" w:cs="Times New Roman"/>
                <w:b/>
                <w:bCs/>
                <w:sz w:val="20"/>
                <w:szCs w:val="20"/>
              </w:rPr>
              <w:t>ays</w:t>
            </w:r>
            <w:r>
              <w:rPr>
                <w:rFonts w:ascii="Times New Roman" w:eastAsia="Times New Roman" w:hAnsi="Times New Roman" w:cs="Times New Roman"/>
                <w:b/>
                <w:bCs/>
                <w:sz w:val="20"/>
                <w:szCs w:val="20"/>
              </w:rPr>
              <w:t xml:space="preserve"> </w:t>
            </w:r>
            <w:r w:rsidRPr="00837F9C">
              <w:rPr>
                <w:rFonts w:ascii="Times New Roman" w:eastAsia="Times New Roman" w:hAnsi="Times New Roman" w:cs="Times New Roman"/>
                <w:b/>
                <w:bCs/>
                <w:sz w:val="20"/>
                <w:szCs w:val="20"/>
              </w:rPr>
              <w:t>or more is full time)</w:t>
            </w:r>
          </w:p>
        </w:tc>
        <w:tc>
          <w:tcPr>
            <w:tcW w:w="1083"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38B96A6"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D1F1FB8"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E109F45"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EBB1A91"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left w:val="double" w:sz="4" w:space="0" w:color="auto"/>
              <w:right w:val="single" w:sz="4" w:space="0" w:color="auto"/>
            </w:tcBorders>
            <w:tcMar>
              <w:left w:w="72" w:type="dxa"/>
              <w:right w:w="72" w:type="dxa"/>
            </w:tcMar>
            <w:vAlign w:val="center"/>
          </w:tcPr>
          <w:p w14:paraId="428DF3E1"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6216622" w14:textId="03006E23"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2DC259E5" w14:textId="77777777"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tcMar>
              <w:left w:w="72" w:type="dxa"/>
              <w:right w:w="72" w:type="dxa"/>
            </w:tcMar>
            <w:vAlign w:val="center"/>
          </w:tcPr>
          <w:p w14:paraId="04771007" w14:textId="62E2B18D"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6E53230D" w14:textId="77777777" w:rsidTr="00B24C81">
        <w:trPr>
          <w:trHeight w:val="288"/>
        </w:trPr>
        <w:tc>
          <w:tcPr>
            <w:tcW w:w="4752" w:type="dxa"/>
            <w:tcBorders>
              <w:top w:val="nil"/>
              <w:left w:val="double" w:sz="4" w:space="0" w:color="auto"/>
              <w:right w:val="double" w:sz="4" w:space="0" w:color="auto"/>
            </w:tcBorders>
            <w:shd w:val="clear" w:color="auto" w:fill="auto"/>
            <w:noWrap/>
            <w:tcMar>
              <w:left w:w="72" w:type="dxa"/>
              <w:right w:w="72" w:type="dxa"/>
            </w:tcMar>
            <w:vAlign w:val="center"/>
          </w:tcPr>
          <w:p w14:paraId="096685AE" w14:textId="47AA2599"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1 to 15 days (part time)</w:t>
            </w:r>
          </w:p>
        </w:tc>
        <w:tc>
          <w:tcPr>
            <w:tcW w:w="1083" w:type="dxa"/>
            <w:tcBorders>
              <w:top w:val="nil"/>
              <w:left w:val="double" w:sz="4" w:space="0" w:color="auto"/>
              <w:right w:val="single" w:sz="4" w:space="0" w:color="auto"/>
            </w:tcBorders>
            <w:shd w:val="clear" w:color="auto" w:fill="auto"/>
            <w:noWrap/>
            <w:tcMar>
              <w:left w:w="72" w:type="dxa"/>
              <w:right w:w="72" w:type="dxa"/>
            </w:tcMar>
            <w:vAlign w:val="center"/>
          </w:tcPr>
          <w:p w14:paraId="3D230BD9"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0.446</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048A610C" w14:textId="77777777"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2.50</w:t>
            </w:r>
          </w:p>
        </w:tc>
        <w:tc>
          <w:tcPr>
            <w:tcW w:w="986" w:type="dxa"/>
            <w:tcBorders>
              <w:top w:val="nil"/>
              <w:left w:val="double" w:sz="4" w:space="0" w:color="auto"/>
              <w:right w:val="single" w:sz="4" w:space="0" w:color="auto"/>
            </w:tcBorders>
            <w:shd w:val="clear" w:color="auto" w:fill="auto"/>
            <w:noWrap/>
            <w:tcMar>
              <w:left w:w="72" w:type="dxa"/>
              <w:right w:w="72" w:type="dxa"/>
            </w:tcMar>
            <w:vAlign w:val="center"/>
          </w:tcPr>
          <w:p w14:paraId="4BB9BB56" w14:textId="738684FB"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-0.262</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2F54B200" w14:textId="7E79E4BF" w:rsidR="00B03DA3" w:rsidRPr="00E1729F" w:rsidRDefault="00B03DA3" w:rsidP="00E46C39">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-1.63</w:t>
            </w:r>
          </w:p>
        </w:tc>
        <w:tc>
          <w:tcPr>
            <w:tcW w:w="986" w:type="dxa"/>
            <w:tcBorders>
              <w:left w:val="double" w:sz="4" w:space="0" w:color="auto"/>
              <w:right w:val="single" w:sz="4" w:space="0" w:color="auto"/>
            </w:tcBorders>
            <w:tcMar>
              <w:left w:w="72" w:type="dxa"/>
              <w:right w:w="72" w:type="dxa"/>
            </w:tcMar>
            <w:vAlign w:val="center"/>
          </w:tcPr>
          <w:p w14:paraId="50771228" w14:textId="0AD8EA95"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285D7F67" w14:textId="1D0B2AD6"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tcMar>
              <w:left w:w="72" w:type="dxa"/>
              <w:right w:w="72" w:type="dxa"/>
            </w:tcMar>
            <w:vAlign w:val="center"/>
          </w:tcPr>
          <w:p w14:paraId="1DAF231C" w14:textId="3EAC0855"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tcMar>
              <w:left w:w="72" w:type="dxa"/>
              <w:right w:w="72" w:type="dxa"/>
            </w:tcMar>
            <w:vAlign w:val="center"/>
          </w:tcPr>
          <w:p w14:paraId="4FD278C4" w14:textId="5AE4FC47" w:rsidR="00B03DA3" w:rsidRPr="00837F9C" w:rsidRDefault="00B03DA3" w:rsidP="00E46C39">
            <w:pPr>
              <w:spacing w:after="0" w:line="240" w:lineRule="auto"/>
              <w:jc w:val="right"/>
              <w:rPr>
                <w:rFonts w:ascii="Times New Roman" w:eastAsia="Times New Roman" w:hAnsi="Times New Roman" w:cs="Times New Roman"/>
                <w:sz w:val="20"/>
                <w:szCs w:val="20"/>
              </w:rPr>
            </w:pPr>
          </w:p>
        </w:tc>
      </w:tr>
      <w:tr w:rsidR="00E46C39" w:rsidRPr="00837F9C" w14:paraId="4EA39B71" w14:textId="77777777" w:rsidTr="00B24C81">
        <w:trPr>
          <w:trHeight w:val="288"/>
        </w:trPr>
        <w:tc>
          <w:tcPr>
            <w:tcW w:w="4752" w:type="dxa"/>
            <w:tcBorders>
              <w:top w:val="nil"/>
              <w:left w:val="double" w:sz="4" w:space="0" w:color="auto"/>
              <w:bottom w:val="double" w:sz="4" w:space="0" w:color="auto"/>
              <w:right w:val="double" w:sz="4" w:space="0" w:color="auto"/>
            </w:tcBorders>
            <w:shd w:val="clear" w:color="auto" w:fill="auto"/>
            <w:noWrap/>
            <w:tcMar>
              <w:left w:w="72" w:type="dxa"/>
              <w:right w:w="72" w:type="dxa"/>
            </w:tcMar>
            <w:vAlign w:val="center"/>
          </w:tcPr>
          <w:p w14:paraId="06749FAA" w14:textId="0055B402" w:rsidR="00B03DA3" w:rsidRPr="00837F9C" w:rsidRDefault="00B03DA3"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837F9C">
              <w:rPr>
                <w:rFonts w:ascii="Times New Roman" w:eastAsia="Times New Roman" w:hAnsi="Times New Roman" w:cs="Times New Roman"/>
                <w:bCs/>
                <w:sz w:val="20"/>
                <w:szCs w:val="20"/>
              </w:rPr>
              <w:t>1 to 15 days (part time</w:t>
            </w:r>
            <w:r>
              <w:rPr>
                <w:rFonts w:ascii="Times New Roman" w:eastAsia="Times New Roman" w:hAnsi="Times New Roman" w:cs="Times New Roman"/>
                <w:bCs/>
                <w:sz w:val="20"/>
                <w:szCs w:val="20"/>
              </w:rPr>
              <w:t>)</w:t>
            </w:r>
            <w:r w:rsidRPr="001D0B33">
              <w:rPr>
                <w:rFonts w:ascii="Times New Roman" w:eastAsia="Times New Roman" w:hAnsi="Times New Roman" w:cs="Times New Roman"/>
                <w:bCs/>
                <w:i/>
                <w:sz w:val="20"/>
                <w:szCs w:val="20"/>
              </w:rPr>
              <w:t xml:space="preserve"> COVID SHIFT EFFECT</w:t>
            </w:r>
          </w:p>
        </w:tc>
        <w:tc>
          <w:tcPr>
            <w:tcW w:w="1083" w:type="dxa"/>
            <w:tcBorders>
              <w:top w:val="nil"/>
              <w:left w:val="double" w:sz="4" w:space="0" w:color="auto"/>
              <w:bottom w:val="double" w:sz="4" w:space="0" w:color="auto"/>
              <w:right w:val="single" w:sz="4" w:space="0" w:color="auto"/>
            </w:tcBorders>
            <w:shd w:val="clear" w:color="auto" w:fill="auto"/>
            <w:noWrap/>
            <w:tcMar>
              <w:left w:w="72" w:type="dxa"/>
              <w:right w:w="72" w:type="dxa"/>
            </w:tcMar>
            <w:vAlign w:val="center"/>
          </w:tcPr>
          <w:p w14:paraId="431DECA3"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double" w:sz="4" w:space="0" w:color="auto"/>
              <w:right w:val="double" w:sz="4" w:space="0" w:color="auto"/>
            </w:tcBorders>
            <w:shd w:val="clear" w:color="auto" w:fill="auto"/>
            <w:noWrap/>
            <w:tcMar>
              <w:left w:w="72" w:type="dxa"/>
              <w:right w:w="72" w:type="dxa"/>
            </w:tcMar>
            <w:vAlign w:val="center"/>
          </w:tcPr>
          <w:p w14:paraId="6E0C05AD"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top w:val="nil"/>
              <w:left w:val="double" w:sz="4" w:space="0" w:color="auto"/>
              <w:bottom w:val="double" w:sz="4" w:space="0" w:color="auto"/>
              <w:right w:val="single" w:sz="4" w:space="0" w:color="auto"/>
            </w:tcBorders>
            <w:shd w:val="clear" w:color="auto" w:fill="auto"/>
            <w:noWrap/>
            <w:tcMar>
              <w:left w:w="72" w:type="dxa"/>
              <w:right w:w="72" w:type="dxa"/>
            </w:tcMar>
            <w:vAlign w:val="center"/>
          </w:tcPr>
          <w:p w14:paraId="5E429D3B" w14:textId="25496009" w:rsidR="00B03DA3" w:rsidRPr="00837F9C" w:rsidRDefault="00B03DA3"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double" w:sz="4" w:space="0" w:color="auto"/>
              <w:right w:val="double" w:sz="4" w:space="0" w:color="auto"/>
            </w:tcBorders>
            <w:shd w:val="clear" w:color="auto" w:fill="auto"/>
            <w:noWrap/>
            <w:tcMar>
              <w:left w:w="72" w:type="dxa"/>
              <w:right w:w="72" w:type="dxa"/>
            </w:tcMar>
            <w:vAlign w:val="center"/>
          </w:tcPr>
          <w:p w14:paraId="3C96C31D" w14:textId="77777777" w:rsidR="00B03DA3" w:rsidRPr="00837F9C" w:rsidRDefault="00B03DA3" w:rsidP="00E46C39">
            <w:pPr>
              <w:spacing w:after="0" w:line="240" w:lineRule="auto"/>
              <w:jc w:val="right"/>
              <w:rPr>
                <w:rFonts w:ascii="Times New Roman" w:hAnsi="Times New Roman" w:cs="Times New Roman"/>
                <w:sz w:val="20"/>
                <w:szCs w:val="20"/>
              </w:rPr>
            </w:pPr>
          </w:p>
        </w:tc>
        <w:tc>
          <w:tcPr>
            <w:tcW w:w="986" w:type="dxa"/>
            <w:tcBorders>
              <w:left w:val="double" w:sz="4" w:space="0" w:color="auto"/>
              <w:bottom w:val="double" w:sz="4" w:space="0" w:color="auto"/>
              <w:right w:val="single" w:sz="4" w:space="0" w:color="auto"/>
            </w:tcBorders>
            <w:tcMar>
              <w:left w:w="72" w:type="dxa"/>
              <w:right w:w="72" w:type="dxa"/>
            </w:tcMar>
            <w:vAlign w:val="center"/>
          </w:tcPr>
          <w:p w14:paraId="0453C723" w14:textId="68C8732D" w:rsidR="00B03DA3" w:rsidRPr="00837F9C" w:rsidRDefault="00B03DA3"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bottom w:val="double" w:sz="4" w:space="0" w:color="auto"/>
              <w:right w:val="double" w:sz="4" w:space="0" w:color="auto"/>
            </w:tcBorders>
            <w:tcMar>
              <w:left w:w="72" w:type="dxa"/>
              <w:right w:w="72" w:type="dxa"/>
            </w:tcMar>
            <w:vAlign w:val="center"/>
          </w:tcPr>
          <w:p w14:paraId="1F1FE002" w14:textId="2D5DD8D2" w:rsidR="00B03DA3" w:rsidRPr="00837F9C" w:rsidRDefault="00B03DA3" w:rsidP="00E46C39">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bottom w:val="double" w:sz="4" w:space="0" w:color="auto"/>
              <w:right w:val="single" w:sz="4" w:space="0" w:color="auto"/>
            </w:tcBorders>
            <w:tcMar>
              <w:left w:w="72" w:type="dxa"/>
              <w:right w:w="72" w:type="dxa"/>
            </w:tcMar>
            <w:vAlign w:val="center"/>
          </w:tcPr>
          <w:p w14:paraId="70933855" w14:textId="6CF77E6E"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0.326</w:t>
            </w:r>
          </w:p>
        </w:tc>
        <w:tc>
          <w:tcPr>
            <w:tcW w:w="990" w:type="dxa"/>
            <w:tcBorders>
              <w:left w:val="single" w:sz="4" w:space="0" w:color="auto"/>
              <w:bottom w:val="double" w:sz="4" w:space="0" w:color="auto"/>
              <w:right w:val="double" w:sz="4" w:space="0" w:color="auto"/>
            </w:tcBorders>
            <w:tcMar>
              <w:left w:w="72" w:type="dxa"/>
              <w:right w:w="72" w:type="dxa"/>
            </w:tcMar>
            <w:vAlign w:val="center"/>
          </w:tcPr>
          <w:p w14:paraId="56908F33" w14:textId="6DBA302E" w:rsidR="00B03DA3" w:rsidRPr="00837F9C" w:rsidRDefault="00B03DA3" w:rsidP="00E46C39">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1.25</w:t>
            </w:r>
          </w:p>
        </w:tc>
      </w:tr>
    </w:tbl>
    <w:p w14:paraId="37188321" w14:textId="28A7BFA2" w:rsidR="00E46C39" w:rsidRDefault="00E46C39" w:rsidP="00E46C39">
      <w:pPr>
        <w:spacing w:after="0" w:line="240" w:lineRule="auto"/>
        <w:jc w:val="left"/>
        <w:rPr>
          <w:rFonts w:ascii="Times New Roman" w:hAnsi="Times New Roman" w:cs="Times New Roman"/>
          <w:b/>
          <w:sz w:val="24"/>
          <w:szCs w:val="24"/>
        </w:rPr>
      </w:pPr>
    </w:p>
    <w:p w14:paraId="466F8304" w14:textId="3F021023" w:rsidR="00E46C39" w:rsidRDefault="00E46C39" w:rsidP="00E46C39">
      <w:pPr>
        <w:spacing w:after="0" w:line="240" w:lineRule="auto"/>
        <w:jc w:val="left"/>
        <w:rPr>
          <w:rFonts w:ascii="Times New Roman" w:hAnsi="Times New Roman" w:cs="Times New Roman"/>
          <w:b/>
          <w:sz w:val="24"/>
          <w:szCs w:val="24"/>
        </w:rPr>
      </w:pPr>
    </w:p>
    <w:p w14:paraId="2A5376E2" w14:textId="77777777" w:rsidR="00E46C39" w:rsidRDefault="00E46C39" w:rsidP="00E46C39">
      <w:pPr>
        <w:spacing w:after="0" w:line="240" w:lineRule="auto"/>
        <w:jc w:val="left"/>
        <w:rPr>
          <w:rFonts w:ascii="Times New Roman" w:hAnsi="Times New Roman" w:cs="Times New Roman"/>
          <w:b/>
          <w:sz w:val="24"/>
          <w:szCs w:val="24"/>
        </w:rPr>
      </w:pPr>
    </w:p>
    <w:p w14:paraId="24FCDE2F" w14:textId="4CBAD8B5" w:rsidR="00E46C39" w:rsidRDefault="00E46C39" w:rsidP="00B24C81">
      <w:pPr>
        <w:spacing w:after="120" w:line="240" w:lineRule="auto"/>
        <w:jc w:val="left"/>
        <w:rPr>
          <w:rFonts w:ascii="Times New Roman" w:hAnsi="Times New Roman" w:cs="Times New Roman"/>
          <w:b/>
          <w:sz w:val="24"/>
          <w:szCs w:val="24"/>
        </w:rPr>
      </w:pPr>
      <w:r w:rsidRPr="00E1729F">
        <w:rPr>
          <w:rFonts w:ascii="Times New Roman" w:hAnsi="Times New Roman" w:cs="Times New Roman"/>
          <w:b/>
          <w:sz w:val="24"/>
          <w:szCs w:val="24"/>
        </w:rPr>
        <w:lastRenderedPageBreak/>
        <w:t>Table 3. Model Estimation Results (continued)</w:t>
      </w:r>
    </w:p>
    <w:tbl>
      <w:tblPr>
        <w:tblW w:w="12765" w:type="dxa"/>
        <w:tblLayout w:type="fixed"/>
        <w:tblCellMar>
          <w:left w:w="72" w:type="dxa"/>
          <w:right w:w="72" w:type="dxa"/>
        </w:tblCellMar>
        <w:tblLook w:val="04A0" w:firstRow="1" w:lastRow="0" w:firstColumn="1" w:lastColumn="0" w:noHBand="0" w:noVBand="1"/>
      </w:tblPr>
      <w:tblGrid>
        <w:gridCol w:w="4749"/>
        <w:gridCol w:w="1082"/>
        <w:gridCol w:w="994"/>
        <w:gridCol w:w="985"/>
        <w:gridCol w:w="995"/>
        <w:gridCol w:w="994"/>
        <w:gridCol w:w="986"/>
        <w:gridCol w:w="994"/>
        <w:gridCol w:w="986"/>
      </w:tblGrid>
      <w:tr w:rsidR="00B24C81" w:rsidRPr="0030561C" w14:paraId="2BA5712C" w14:textId="294372CD" w:rsidTr="00B24C81">
        <w:trPr>
          <w:trHeight w:val="576"/>
        </w:trPr>
        <w:tc>
          <w:tcPr>
            <w:tcW w:w="4749" w:type="dxa"/>
            <w:vMerge w:val="restart"/>
            <w:tcBorders>
              <w:top w:val="double" w:sz="4" w:space="0" w:color="auto"/>
              <w:left w:val="double" w:sz="4" w:space="0" w:color="auto"/>
              <w:right w:val="double" w:sz="4" w:space="0" w:color="auto"/>
            </w:tcBorders>
            <w:shd w:val="clear" w:color="auto" w:fill="auto"/>
            <w:noWrap/>
            <w:tcMar>
              <w:left w:w="72" w:type="dxa"/>
              <w:right w:w="72" w:type="dxa"/>
            </w:tcMar>
            <w:vAlign w:val="center"/>
          </w:tcPr>
          <w:p w14:paraId="1C25B187" w14:textId="77777777" w:rsidR="00B03DA3"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 xml:space="preserve">Exogenous Variables </w:t>
            </w:r>
          </w:p>
          <w:p w14:paraId="4C9FC52C" w14:textId="69E845D8"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 xml:space="preserve">(base category – </w:t>
            </w:r>
            <w:r w:rsidR="00F07FF8" w:rsidRPr="00F07FF8">
              <w:rPr>
                <w:rFonts w:ascii="Times New Roman" w:eastAsia="Times New Roman" w:hAnsi="Times New Roman" w:cs="Times New Roman"/>
                <w:b/>
                <w:bCs/>
                <w:i/>
                <w:sz w:val="20"/>
                <w:szCs w:val="20"/>
              </w:rPr>
              <w:t>WITHOUT THE COVID SHIFT EFFECT</w:t>
            </w:r>
            <w:r w:rsidRPr="00F07FF8">
              <w:rPr>
                <w:rFonts w:ascii="Times New Roman" w:eastAsia="Times New Roman" w:hAnsi="Times New Roman" w:cs="Times New Roman"/>
                <w:b/>
                <w:bCs/>
                <w:sz w:val="20"/>
                <w:szCs w:val="20"/>
              </w:rPr>
              <w:t>)</w:t>
            </w:r>
          </w:p>
        </w:tc>
        <w:tc>
          <w:tcPr>
            <w:tcW w:w="2076" w:type="dxa"/>
            <w:gridSpan w:val="2"/>
            <w:vMerge w:val="restart"/>
            <w:tcBorders>
              <w:top w:val="double" w:sz="4" w:space="0" w:color="auto"/>
              <w:left w:val="double" w:sz="4" w:space="0" w:color="auto"/>
              <w:bottom w:val="single" w:sz="4" w:space="0" w:color="auto"/>
              <w:right w:val="double" w:sz="4" w:space="0" w:color="auto"/>
            </w:tcBorders>
            <w:shd w:val="clear" w:color="auto" w:fill="auto"/>
            <w:noWrap/>
            <w:tcMar>
              <w:left w:w="72" w:type="dxa"/>
              <w:right w:w="72" w:type="dxa"/>
            </w:tcMar>
            <w:vAlign w:val="center"/>
          </w:tcPr>
          <w:p w14:paraId="285BFCAE" w14:textId="07F963A7" w:rsidR="00B03DA3" w:rsidRPr="00837F9C" w:rsidRDefault="00B03DA3" w:rsidP="00E46C39">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Adoption (Binary)</w:t>
            </w:r>
            <w:r>
              <w:rPr>
                <w:rFonts w:ascii="Times New Roman" w:eastAsia="Times New Roman" w:hAnsi="Times New Roman" w:cs="Times New Roman"/>
                <w:b/>
                <w:bCs/>
                <w:sz w:val="20"/>
                <w:szCs w:val="20"/>
              </w:rPr>
              <w:t xml:space="preserve"> Propensity</w:t>
            </w:r>
          </w:p>
        </w:tc>
        <w:tc>
          <w:tcPr>
            <w:tcW w:w="1980" w:type="dxa"/>
            <w:gridSpan w:val="2"/>
            <w:vMerge w:val="restart"/>
            <w:tcBorders>
              <w:top w:val="double" w:sz="4" w:space="0" w:color="auto"/>
              <w:left w:val="double" w:sz="4" w:space="0" w:color="auto"/>
              <w:bottom w:val="single" w:sz="4" w:space="0" w:color="auto"/>
              <w:right w:val="double" w:sz="4" w:space="0" w:color="auto"/>
            </w:tcBorders>
            <w:shd w:val="clear" w:color="auto" w:fill="auto"/>
            <w:noWrap/>
            <w:tcMar>
              <w:left w:w="72" w:type="dxa"/>
              <w:right w:w="72" w:type="dxa"/>
            </w:tcMar>
            <w:vAlign w:val="center"/>
          </w:tcPr>
          <w:p w14:paraId="6BF974ED" w14:textId="5966D307" w:rsidR="00B03DA3" w:rsidRPr="0030561C" w:rsidRDefault="00B03DA3" w:rsidP="00E46C39">
            <w:pPr>
              <w:spacing w:after="0" w:line="240" w:lineRule="auto"/>
              <w:jc w:val="center"/>
              <w:rPr>
                <w:rFonts w:ascii="Times New Roman" w:eastAsia="Times New Roman" w:hAnsi="Times New Roman" w:cs="Times New Roman"/>
                <w:b/>
                <w:bCs/>
                <w:sz w:val="20"/>
                <w:szCs w:val="20"/>
              </w:rPr>
            </w:pPr>
            <w:r w:rsidRPr="0030561C">
              <w:rPr>
                <w:rFonts w:ascii="Times New Roman" w:eastAsia="Times New Roman" w:hAnsi="Times New Roman" w:cs="Times New Roman"/>
                <w:b/>
                <w:bCs/>
                <w:sz w:val="20"/>
                <w:szCs w:val="20"/>
              </w:rPr>
              <w:t>Frequency (Ordered)</w:t>
            </w:r>
            <w:r>
              <w:rPr>
                <w:rFonts w:ascii="Times New Roman" w:eastAsia="Times New Roman" w:hAnsi="Times New Roman" w:cs="Times New Roman"/>
                <w:b/>
                <w:bCs/>
                <w:sz w:val="20"/>
                <w:szCs w:val="20"/>
              </w:rPr>
              <w:t xml:space="preserve"> Propensity</w:t>
            </w:r>
          </w:p>
        </w:tc>
        <w:tc>
          <w:tcPr>
            <w:tcW w:w="3960" w:type="dxa"/>
            <w:gridSpan w:val="4"/>
            <w:tcBorders>
              <w:top w:val="double" w:sz="4" w:space="0" w:color="auto"/>
              <w:left w:val="double" w:sz="4" w:space="0" w:color="auto"/>
              <w:bottom w:val="single" w:sz="4" w:space="0" w:color="auto"/>
              <w:right w:val="double" w:sz="4" w:space="0" w:color="auto"/>
            </w:tcBorders>
            <w:tcMar>
              <w:left w:w="72" w:type="dxa"/>
              <w:right w:w="72" w:type="dxa"/>
            </w:tcMar>
            <w:vAlign w:val="center"/>
          </w:tcPr>
          <w:p w14:paraId="13475C74" w14:textId="55349257" w:rsidR="00B03DA3" w:rsidRDefault="00B03DA3"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Location (Multinomial) Propensity</w:t>
            </w:r>
          </w:p>
          <w:p w14:paraId="1B97E696" w14:textId="33B282D1" w:rsidR="00B03DA3" w:rsidRPr="0030561C" w:rsidRDefault="00B03DA3"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(base category – Home Only Utility)</w:t>
            </w:r>
          </w:p>
        </w:tc>
      </w:tr>
      <w:tr w:rsidR="00B24C81" w:rsidRPr="0030561C" w14:paraId="7FF3E6DF" w14:textId="77777777" w:rsidTr="00B24C81">
        <w:trPr>
          <w:trHeight w:val="432"/>
        </w:trPr>
        <w:tc>
          <w:tcPr>
            <w:tcW w:w="4749" w:type="dxa"/>
            <w:vMerge/>
            <w:tcBorders>
              <w:left w:val="double" w:sz="4" w:space="0" w:color="auto"/>
              <w:right w:val="double" w:sz="4" w:space="0" w:color="auto"/>
            </w:tcBorders>
            <w:shd w:val="clear" w:color="auto" w:fill="auto"/>
            <w:noWrap/>
            <w:tcMar>
              <w:left w:w="72" w:type="dxa"/>
              <w:right w:w="72" w:type="dxa"/>
            </w:tcMar>
            <w:vAlign w:val="center"/>
          </w:tcPr>
          <w:p w14:paraId="04F36594" w14:textId="77777777" w:rsidR="00B824FC" w:rsidRPr="0030561C" w:rsidRDefault="00B824FC" w:rsidP="00E46C39">
            <w:pPr>
              <w:spacing w:after="0" w:line="240" w:lineRule="auto"/>
              <w:jc w:val="left"/>
              <w:rPr>
                <w:rFonts w:ascii="Times New Roman" w:eastAsia="Times New Roman" w:hAnsi="Times New Roman" w:cs="Times New Roman"/>
                <w:b/>
                <w:bCs/>
                <w:sz w:val="20"/>
                <w:szCs w:val="20"/>
              </w:rPr>
            </w:pPr>
          </w:p>
        </w:tc>
        <w:tc>
          <w:tcPr>
            <w:tcW w:w="2076" w:type="dxa"/>
            <w:gridSpan w:val="2"/>
            <w:vMerge/>
            <w:tcBorders>
              <w:top w:val="double" w:sz="4" w:space="0" w:color="auto"/>
              <w:left w:val="double" w:sz="4" w:space="0" w:color="auto"/>
              <w:bottom w:val="single" w:sz="4" w:space="0" w:color="auto"/>
              <w:right w:val="double" w:sz="4" w:space="0" w:color="auto"/>
            </w:tcBorders>
            <w:shd w:val="clear" w:color="auto" w:fill="auto"/>
            <w:noWrap/>
            <w:tcMar>
              <w:left w:w="72" w:type="dxa"/>
              <w:right w:w="72" w:type="dxa"/>
            </w:tcMar>
            <w:vAlign w:val="center"/>
          </w:tcPr>
          <w:p w14:paraId="088C81E9" w14:textId="77777777" w:rsidR="00B824FC" w:rsidRPr="0030561C" w:rsidRDefault="00B824FC" w:rsidP="00E46C39">
            <w:pPr>
              <w:spacing w:after="0" w:line="240" w:lineRule="auto"/>
              <w:jc w:val="center"/>
              <w:rPr>
                <w:rFonts w:ascii="Times New Roman" w:eastAsia="Times New Roman" w:hAnsi="Times New Roman" w:cs="Times New Roman"/>
                <w:sz w:val="20"/>
                <w:szCs w:val="20"/>
              </w:rPr>
            </w:pPr>
          </w:p>
        </w:tc>
        <w:tc>
          <w:tcPr>
            <w:tcW w:w="1980" w:type="dxa"/>
            <w:gridSpan w:val="2"/>
            <w:vMerge/>
            <w:tcBorders>
              <w:top w:val="double" w:sz="4" w:space="0" w:color="auto"/>
              <w:left w:val="double" w:sz="4" w:space="0" w:color="auto"/>
              <w:bottom w:val="single" w:sz="4" w:space="0" w:color="auto"/>
              <w:right w:val="double" w:sz="4" w:space="0" w:color="auto"/>
            </w:tcBorders>
            <w:shd w:val="clear" w:color="auto" w:fill="auto"/>
            <w:noWrap/>
            <w:tcMar>
              <w:left w:w="72" w:type="dxa"/>
              <w:right w:w="72" w:type="dxa"/>
            </w:tcMar>
            <w:vAlign w:val="center"/>
          </w:tcPr>
          <w:p w14:paraId="11608264" w14:textId="77777777" w:rsidR="00B824FC" w:rsidRPr="0030561C" w:rsidRDefault="00B824FC" w:rsidP="00E46C39">
            <w:pPr>
              <w:spacing w:after="0" w:line="240" w:lineRule="auto"/>
              <w:jc w:val="center"/>
              <w:rPr>
                <w:rFonts w:ascii="Times New Roman" w:eastAsia="Times New Roman" w:hAnsi="Times New Roman" w:cs="Times New Roman"/>
                <w:sz w:val="20"/>
                <w:szCs w:val="20"/>
              </w:rPr>
            </w:pPr>
          </w:p>
        </w:tc>
        <w:tc>
          <w:tcPr>
            <w:tcW w:w="1980" w:type="dxa"/>
            <w:gridSpan w:val="2"/>
            <w:tcBorders>
              <w:top w:val="single" w:sz="4" w:space="0" w:color="auto"/>
              <w:left w:val="double" w:sz="4" w:space="0" w:color="auto"/>
              <w:bottom w:val="single" w:sz="4" w:space="0" w:color="auto"/>
              <w:right w:val="double" w:sz="4" w:space="0" w:color="auto"/>
            </w:tcBorders>
            <w:tcMar>
              <w:left w:w="72" w:type="dxa"/>
              <w:right w:w="72" w:type="dxa"/>
            </w:tcMar>
            <w:vAlign w:val="center"/>
          </w:tcPr>
          <w:p w14:paraId="5E93A519" w14:textId="2F88814C" w:rsidR="00B824FC" w:rsidRPr="0030561C" w:rsidRDefault="00B824FC" w:rsidP="00E46C39">
            <w:pPr>
              <w:spacing w:after="0" w:line="240" w:lineRule="auto"/>
              <w:jc w:val="center"/>
              <w:rPr>
                <w:rFonts w:ascii="Times New Roman" w:eastAsia="Times New Roman" w:hAnsi="Times New Roman" w:cs="Times New Roman"/>
                <w:b/>
                <w:bCs/>
                <w:sz w:val="20"/>
                <w:szCs w:val="20"/>
              </w:rPr>
            </w:pPr>
            <w:r w:rsidRPr="0030561C">
              <w:rPr>
                <w:rFonts w:ascii="Times New Roman" w:eastAsia="Times New Roman" w:hAnsi="Times New Roman" w:cs="Times New Roman"/>
                <w:b/>
                <w:bCs/>
                <w:sz w:val="20"/>
                <w:szCs w:val="20"/>
              </w:rPr>
              <w:t xml:space="preserve">Third </w:t>
            </w:r>
            <w:r>
              <w:rPr>
                <w:rFonts w:ascii="Times New Roman" w:eastAsia="Times New Roman" w:hAnsi="Times New Roman" w:cs="Times New Roman"/>
                <w:b/>
                <w:bCs/>
                <w:sz w:val="20"/>
                <w:szCs w:val="20"/>
              </w:rPr>
              <w:t>Location Only Utility</w:t>
            </w:r>
          </w:p>
        </w:tc>
        <w:tc>
          <w:tcPr>
            <w:tcW w:w="1980" w:type="dxa"/>
            <w:gridSpan w:val="2"/>
            <w:tcBorders>
              <w:top w:val="single" w:sz="4" w:space="0" w:color="auto"/>
              <w:left w:val="double" w:sz="4" w:space="0" w:color="auto"/>
              <w:bottom w:val="single" w:sz="4" w:space="0" w:color="auto"/>
              <w:right w:val="double" w:sz="4" w:space="0" w:color="auto"/>
            </w:tcBorders>
            <w:tcMar>
              <w:left w:w="72" w:type="dxa"/>
              <w:right w:w="72" w:type="dxa"/>
            </w:tcMar>
            <w:vAlign w:val="center"/>
          </w:tcPr>
          <w:p w14:paraId="195CC366" w14:textId="22D5149B" w:rsidR="00B824FC" w:rsidRPr="0030561C" w:rsidRDefault="00B824FC" w:rsidP="00E46C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Both </w:t>
            </w:r>
            <w:r w:rsidRPr="0030561C">
              <w:rPr>
                <w:rFonts w:ascii="Times New Roman" w:eastAsia="Times New Roman" w:hAnsi="Times New Roman" w:cs="Times New Roman"/>
                <w:b/>
                <w:bCs/>
                <w:sz w:val="20"/>
                <w:szCs w:val="20"/>
              </w:rPr>
              <w:t xml:space="preserve">Home and Third </w:t>
            </w:r>
            <w:r>
              <w:rPr>
                <w:rFonts w:ascii="Times New Roman" w:eastAsia="Times New Roman" w:hAnsi="Times New Roman" w:cs="Times New Roman"/>
                <w:b/>
                <w:bCs/>
                <w:sz w:val="20"/>
                <w:szCs w:val="20"/>
              </w:rPr>
              <w:t>Location Utility</w:t>
            </w:r>
          </w:p>
        </w:tc>
      </w:tr>
      <w:tr w:rsidR="00E46C39" w:rsidRPr="0030561C" w14:paraId="1DDA1C87" w14:textId="77777777" w:rsidTr="00B24C81">
        <w:trPr>
          <w:trHeight w:val="288"/>
        </w:trPr>
        <w:tc>
          <w:tcPr>
            <w:tcW w:w="4749" w:type="dxa"/>
            <w:vMerge/>
            <w:tcBorders>
              <w:left w:val="double" w:sz="4" w:space="0" w:color="auto"/>
              <w:bottom w:val="double" w:sz="4" w:space="0" w:color="auto"/>
              <w:right w:val="double" w:sz="4" w:space="0" w:color="auto"/>
            </w:tcBorders>
            <w:shd w:val="clear" w:color="auto" w:fill="auto"/>
            <w:noWrap/>
            <w:tcMar>
              <w:left w:w="72" w:type="dxa"/>
              <w:right w:w="72" w:type="dxa"/>
            </w:tcMar>
            <w:vAlign w:val="center"/>
          </w:tcPr>
          <w:p w14:paraId="4AECEE80" w14:textId="77777777" w:rsidR="00B03DA3" w:rsidRPr="0030561C" w:rsidRDefault="00B03DA3" w:rsidP="00E46C39">
            <w:pPr>
              <w:spacing w:after="0" w:line="240" w:lineRule="auto"/>
              <w:jc w:val="left"/>
              <w:rPr>
                <w:rFonts w:ascii="Times New Roman" w:eastAsia="Times New Roman" w:hAnsi="Times New Roman" w:cs="Times New Roman"/>
                <w:b/>
                <w:bCs/>
                <w:sz w:val="20"/>
                <w:szCs w:val="20"/>
              </w:rPr>
            </w:pPr>
          </w:p>
        </w:tc>
        <w:tc>
          <w:tcPr>
            <w:tcW w:w="1082" w:type="dxa"/>
            <w:tcBorders>
              <w:top w:val="single" w:sz="4" w:space="0" w:color="auto"/>
              <w:left w:val="double" w:sz="4" w:space="0" w:color="auto"/>
              <w:bottom w:val="double" w:sz="4" w:space="0" w:color="auto"/>
              <w:right w:val="single" w:sz="4" w:space="0" w:color="auto"/>
            </w:tcBorders>
            <w:shd w:val="clear" w:color="auto" w:fill="auto"/>
            <w:noWrap/>
            <w:tcMar>
              <w:left w:w="72" w:type="dxa"/>
              <w:right w:w="72" w:type="dxa"/>
            </w:tcMar>
            <w:vAlign w:val="center"/>
          </w:tcPr>
          <w:p w14:paraId="7E867724" w14:textId="77777777"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Coeff.</w:t>
            </w:r>
          </w:p>
        </w:tc>
        <w:tc>
          <w:tcPr>
            <w:tcW w:w="994" w:type="dxa"/>
            <w:tcBorders>
              <w:top w:val="single" w:sz="4" w:space="0" w:color="auto"/>
              <w:left w:val="single" w:sz="4" w:space="0" w:color="auto"/>
              <w:bottom w:val="double" w:sz="4" w:space="0" w:color="auto"/>
              <w:right w:val="double" w:sz="4" w:space="0" w:color="auto"/>
            </w:tcBorders>
            <w:shd w:val="clear" w:color="auto" w:fill="auto"/>
            <w:noWrap/>
            <w:tcMar>
              <w:left w:w="72" w:type="dxa"/>
              <w:right w:w="72" w:type="dxa"/>
            </w:tcMar>
            <w:vAlign w:val="center"/>
          </w:tcPr>
          <w:p w14:paraId="0795ADB2" w14:textId="77777777"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t-stat</w:t>
            </w:r>
          </w:p>
        </w:tc>
        <w:tc>
          <w:tcPr>
            <w:tcW w:w="985" w:type="dxa"/>
            <w:tcBorders>
              <w:top w:val="single" w:sz="4" w:space="0" w:color="auto"/>
              <w:left w:val="double" w:sz="4" w:space="0" w:color="auto"/>
              <w:bottom w:val="double" w:sz="4" w:space="0" w:color="auto"/>
              <w:right w:val="single" w:sz="4" w:space="0" w:color="auto"/>
            </w:tcBorders>
            <w:shd w:val="clear" w:color="auto" w:fill="auto"/>
            <w:noWrap/>
            <w:tcMar>
              <w:left w:w="72" w:type="dxa"/>
              <w:right w:w="72" w:type="dxa"/>
            </w:tcMar>
            <w:vAlign w:val="center"/>
          </w:tcPr>
          <w:p w14:paraId="143544D5" w14:textId="5457ED11"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Coeff.</w:t>
            </w:r>
          </w:p>
        </w:tc>
        <w:tc>
          <w:tcPr>
            <w:tcW w:w="995" w:type="dxa"/>
            <w:tcBorders>
              <w:top w:val="single" w:sz="4" w:space="0" w:color="auto"/>
              <w:left w:val="single" w:sz="4" w:space="0" w:color="auto"/>
              <w:bottom w:val="double" w:sz="4" w:space="0" w:color="auto"/>
              <w:right w:val="double" w:sz="4" w:space="0" w:color="auto"/>
            </w:tcBorders>
            <w:shd w:val="clear" w:color="auto" w:fill="auto"/>
            <w:noWrap/>
            <w:tcMar>
              <w:left w:w="72" w:type="dxa"/>
              <w:right w:w="72" w:type="dxa"/>
            </w:tcMar>
            <w:vAlign w:val="center"/>
          </w:tcPr>
          <w:p w14:paraId="5A9E5793" w14:textId="4C2E8B4D"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t-stat</w:t>
            </w:r>
          </w:p>
        </w:tc>
        <w:tc>
          <w:tcPr>
            <w:tcW w:w="994"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599B1E0D" w14:textId="30A2F8EB" w:rsidR="00B03DA3" w:rsidRPr="0030561C" w:rsidRDefault="00B03DA3" w:rsidP="00E46C39">
            <w:pPr>
              <w:spacing w:after="0" w:line="240" w:lineRule="auto"/>
              <w:jc w:val="center"/>
              <w:rPr>
                <w:rFonts w:ascii="Times New Roman" w:hAnsi="Times New Roman" w:cs="Times New Roman"/>
                <w:sz w:val="20"/>
                <w:szCs w:val="20"/>
              </w:rPr>
            </w:pPr>
            <w:r w:rsidRPr="0030561C">
              <w:rPr>
                <w:rFonts w:ascii="Times New Roman" w:eastAsia="Times New Roman" w:hAnsi="Times New Roman" w:cs="Times New Roman"/>
                <w:sz w:val="20"/>
                <w:szCs w:val="20"/>
              </w:rPr>
              <w:t>Coeff.</w:t>
            </w:r>
          </w:p>
        </w:tc>
        <w:tc>
          <w:tcPr>
            <w:tcW w:w="986" w:type="dxa"/>
            <w:tcBorders>
              <w:top w:val="single" w:sz="4" w:space="0" w:color="auto"/>
              <w:left w:val="single" w:sz="4" w:space="0" w:color="auto"/>
              <w:bottom w:val="double" w:sz="4" w:space="0" w:color="auto"/>
              <w:right w:val="double" w:sz="4" w:space="0" w:color="auto"/>
            </w:tcBorders>
            <w:tcMar>
              <w:left w:w="72" w:type="dxa"/>
              <w:right w:w="72" w:type="dxa"/>
            </w:tcMar>
            <w:vAlign w:val="center"/>
          </w:tcPr>
          <w:p w14:paraId="45A1879A" w14:textId="77341115"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t-stat</w:t>
            </w:r>
          </w:p>
        </w:tc>
        <w:tc>
          <w:tcPr>
            <w:tcW w:w="994"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722573C6" w14:textId="238037EF"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Coeff.</w:t>
            </w:r>
          </w:p>
        </w:tc>
        <w:tc>
          <w:tcPr>
            <w:tcW w:w="986" w:type="dxa"/>
            <w:tcBorders>
              <w:top w:val="single" w:sz="4" w:space="0" w:color="auto"/>
              <w:left w:val="single" w:sz="4" w:space="0" w:color="auto"/>
              <w:bottom w:val="double" w:sz="4" w:space="0" w:color="auto"/>
              <w:right w:val="double" w:sz="4" w:space="0" w:color="auto"/>
            </w:tcBorders>
            <w:tcMar>
              <w:left w:w="72" w:type="dxa"/>
              <w:right w:w="72" w:type="dxa"/>
            </w:tcMar>
            <w:vAlign w:val="center"/>
          </w:tcPr>
          <w:p w14:paraId="7DB98300" w14:textId="08EE957B" w:rsidR="00B03DA3" w:rsidRPr="0030561C" w:rsidRDefault="00B03DA3" w:rsidP="00E46C39">
            <w:pPr>
              <w:spacing w:after="0" w:line="240" w:lineRule="auto"/>
              <w:jc w:val="center"/>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t-stat</w:t>
            </w:r>
          </w:p>
        </w:tc>
      </w:tr>
      <w:tr w:rsidR="00E46C39" w:rsidRPr="0030561C" w14:paraId="3F2C406C"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385F3A90" w14:textId="3F87CA72" w:rsidR="0054092B" w:rsidRPr="0030561C" w:rsidRDefault="0054092B" w:rsidP="00E46C39">
            <w:pPr>
              <w:spacing w:after="0" w:line="240" w:lineRule="auto"/>
              <w:jc w:val="left"/>
              <w:rPr>
                <w:rFonts w:ascii="Times New Roman" w:eastAsia="Times New Roman" w:hAnsi="Times New Roman" w:cs="Times New Roman"/>
                <w:b/>
                <w:bCs/>
                <w:sz w:val="20"/>
                <w:szCs w:val="20"/>
              </w:rPr>
            </w:pPr>
            <w:r w:rsidRPr="0030561C">
              <w:rPr>
                <w:rFonts w:ascii="Times New Roman" w:eastAsia="Times New Roman" w:hAnsi="Times New Roman" w:cs="Times New Roman"/>
                <w:b/>
                <w:bCs/>
                <w:sz w:val="20"/>
                <w:szCs w:val="20"/>
              </w:rPr>
              <w:t>Occupation (</w:t>
            </w:r>
            <w:r>
              <w:rPr>
                <w:rFonts w:ascii="Times New Roman" w:eastAsia="Times New Roman" w:hAnsi="Times New Roman" w:cs="Times New Roman"/>
                <w:b/>
                <w:bCs/>
                <w:sz w:val="20"/>
                <w:szCs w:val="20"/>
              </w:rPr>
              <w:t xml:space="preserve">base: </w:t>
            </w:r>
            <w:r w:rsidRPr="0030561C">
              <w:rPr>
                <w:rFonts w:ascii="Times New Roman" w:eastAsia="Times New Roman" w:hAnsi="Times New Roman" w:cs="Times New Roman"/>
                <w:b/>
                <w:bCs/>
                <w:sz w:val="20"/>
                <w:szCs w:val="20"/>
              </w:rPr>
              <w:t>managerial/technical job)</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8568758"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A931D6C"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8DCAC00"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4BF47D4"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top w:val="double" w:sz="4" w:space="0" w:color="auto"/>
              <w:left w:val="double" w:sz="4" w:space="0" w:color="auto"/>
              <w:right w:val="single" w:sz="4" w:space="0" w:color="auto"/>
            </w:tcBorders>
            <w:tcMar>
              <w:left w:w="72" w:type="dxa"/>
              <w:right w:w="72" w:type="dxa"/>
            </w:tcMar>
            <w:vAlign w:val="center"/>
          </w:tcPr>
          <w:p w14:paraId="25C0E653"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6" w:type="dxa"/>
            <w:tcBorders>
              <w:top w:val="double" w:sz="4" w:space="0" w:color="auto"/>
              <w:left w:val="single" w:sz="4" w:space="0" w:color="auto"/>
              <w:right w:val="double" w:sz="4" w:space="0" w:color="auto"/>
            </w:tcBorders>
            <w:tcMar>
              <w:left w:w="72" w:type="dxa"/>
              <w:right w:w="72" w:type="dxa"/>
            </w:tcMar>
            <w:vAlign w:val="center"/>
          </w:tcPr>
          <w:p w14:paraId="73EC5148" w14:textId="28FDA573"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top w:val="double" w:sz="4" w:space="0" w:color="auto"/>
              <w:left w:val="double" w:sz="4" w:space="0" w:color="auto"/>
              <w:right w:val="single" w:sz="4" w:space="0" w:color="auto"/>
            </w:tcBorders>
            <w:tcMar>
              <w:left w:w="72" w:type="dxa"/>
              <w:right w:w="72" w:type="dxa"/>
            </w:tcMar>
            <w:vAlign w:val="center"/>
          </w:tcPr>
          <w:p w14:paraId="44BABF92"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6" w:type="dxa"/>
            <w:tcBorders>
              <w:top w:val="double" w:sz="4" w:space="0" w:color="auto"/>
              <w:left w:val="single" w:sz="4" w:space="0" w:color="auto"/>
              <w:right w:val="double" w:sz="4" w:space="0" w:color="auto"/>
            </w:tcBorders>
            <w:tcMar>
              <w:left w:w="72" w:type="dxa"/>
              <w:right w:w="72" w:type="dxa"/>
            </w:tcMar>
            <w:vAlign w:val="center"/>
          </w:tcPr>
          <w:p w14:paraId="42B9FF44" w14:textId="15B10FE0" w:rsidR="0054092B" w:rsidRPr="0030561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58F9275F"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1FB04C73" w14:textId="0056F058"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Healthcare</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497189C1"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-0.735</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23BE90E0"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-3.40</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0C89A18" w14:textId="1F25A98B"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ACC77D1" w14:textId="77777777"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04937BB6" w14:textId="05198A89"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6375D460" w14:textId="29AD9E02"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5590238F" w14:textId="4EF57443"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5417A15E" w14:textId="13378FB1" w:rsidR="0054092B" w:rsidRPr="0030561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35563F0B"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69685C66" w14:textId="34C6A82D"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Healthcare</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3AD9CAE"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0.512</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1660A112"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1.99</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40FEB8F" w14:textId="4C11037D"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1CC9362" w14:textId="77777777"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34FEAFDE" w14:textId="3FE45DC5"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422D04EF" w14:textId="3D9FC2BD"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224A309C" w14:textId="397A1F68"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09D1C3BE" w14:textId="4FF5C317" w:rsidR="0054092B" w:rsidRPr="0030561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5FCCDFFA"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48BD5BA4" w14:textId="5CCDF550"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Education/Social service</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37189D5"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-0.768</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5C16F65"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-9.03</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8DB4650" w14:textId="2A71053D"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F2555FD" w14:textId="77777777"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5223AC8F" w14:textId="36EE2AA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62988EB6" w14:textId="5508EAC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04B2871B" w14:textId="1D13B64B"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25C4917C" w14:textId="6C25E441" w:rsidR="0054092B" w:rsidRPr="0030561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2188505B"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4E8623A9" w14:textId="311ED3A4"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Educ</w:t>
            </w:r>
            <w:r>
              <w:rPr>
                <w:rFonts w:ascii="Times New Roman" w:eastAsia="Times New Roman" w:hAnsi="Times New Roman" w:cs="Times New Roman"/>
                <w:bCs/>
                <w:sz w:val="20"/>
                <w:szCs w:val="20"/>
              </w:rPr>
              <w:t>.</w:t>
            </w:r>
            <w:r w:rsidRPr="0030561C">
              <w:rPr>
                <w:rFonts w:ascii="Times New Roman" w:eastAsia="Times New Roman" w:hAnsi="Times New Roman" w:cs="Times New Roman"/>
                <w:bCs/>
                <w:sz w:val="20"/>
                <w:szCs w:val="20"/>
              </w:rPr>
              <w:t>/Social service</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B12E476"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ED34314"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9C149A8" w14:textId="313806B0"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7338161" w14:textId="4D654AA1"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623637D6" w14:textId="69E72B92"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0.449</w:t>
            </w:r>
          </w:p>
        </w:tc>
        <w:tc>
          <w:tcPr>
            <w:tcW w:w="986" w:type="dxa"/>
            <w:tcBorders>
              <w:left w:val="single" w:sz="4" w:space="0" w:color="auto"/>
              <w:right w:val="double" w:sz="4" w:space="0" w:color="auto"/>
            </w:tcBorders>
            <w:tcMar>
              <w:left w:w="72" w:type="dxa"/>
              <w:right w:w="72" w:type="dxa"/>
            </w:tcMar>
            <w:vAlign w:val="center"/>
          </w:tcPr>
          <w:p w14:paraId="6E32392D" w14:textId="647F7740"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1.27</w:t>
            </w:r>
          </w:p>
        </w:tc>
        <w:tc>
          <w:tcPr>
            <w:tcW w:w="994" w:type="dxa"/>
            <w:tcBorders>
              <w:left w:val="double" w:sz="4" w:space="0" w:color="auto"/>
              <w:right w:val="single" w:sz="4" w:space="0" w:color="auto"/>
            </w:tcBorders>
            <w:tcMar>
              <w:left w:w="72" w:type="dxa"/>
              <w:right w:w="72" w:type="dxa"/>
            </w:tcMar>
            <w:vAlign w:val="center"/>
          </w:tcPr>
          <w:p w14:paraId="686E57A9" w14:textId="18452919" w:rsidR="0054092B" w:rsidRPr="0030561C" w:rsidRDefault="0054092B" w:rsidP="00E46C39">
            <w:pPr>
              <w:spacing w:after="0" w:line="240" w:lineRule="auto"/>
              <w:jc w:val="right"/>
              <w:rPr>
                <w:rFonts w:ascii="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11121606" w14:textId="3B9F46DD"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368A0DAA"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057F882E" w14:textId="57EC137F"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 xml:space="preserve">Public </w:t>
            </w:r>
            <w:r>
              <w:rPr>
                <w:rFonts w:ascii="Times New Roman" w:eastAsia="Times New Roman" w:hAnsi="Times New Roman" w:cs="Times New Roman"/>
                <w:bCs/>
                <w:sz w:val="20"/>
                <w:szCs w:val="20"/>
              </w:rPr>
              <w:t>services</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8980D61"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C45EC59"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188EF52" w14:textId="378B0BA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-0.381</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D51E039" w14:textId="0ED7D6A0"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-1.40</w:t>
            </w:r>
          </w:p>
        </w:tc>
        <w:tc>
          <w:tcPr>
            <w:tcW w:w="994" w:type="dxa"/>
            <w:tcBorders>
              <w:left w:val="double" w:sz="4" w:space="0" w:color="auto"/>
              <w:right w:val="single" w:sz="4" w:space="0" w:color="auto"/>
            </w:tcBorders>
            <w:tcMar>
              <w:left w:w="72" w:type="dxa"/>
              <w:right w:w="72" w:type="dxa"/>
            </w:tcMar>
            <w:vAlign w:val="center"/>
          </w:tcPr>
          <w:p w14:paraId="640713CD" w14:textId="090EABB8"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7E53AD6B" w14:textId="2AA70211"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4EC37654" w14:textId="3046735C" w:rsidR="0054092B" w:rsidRPr="00837F9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22A7BDE4" w14:textId="70322507" w:rsidR="0054092B" w:rsidRPr="00837F9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40D62C10"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693AF597" w14:textId="32904F5A"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 xml:space="preserve">Public </w:t>
            </w:r>
            <w:r>
              <w:rPr>
                <w:rFonts w:ascii="Times New Roman" w:eastAsia="Times New Roman" w:hAnsi="Times New Roman" w:cs="Times New Roman"/>
                <w:bCs/>
                <w:sz w:val="20"/>
                <w:szCs w:val="20"/>
              </w:rPr>
              <w:t>services</w:t>
            </w:r>
            <w:r w:rsidRPr="001D0B33">
              <w:rPr>
                <w:rFonts w:ascii="Times New Roman" w:eastAsia="Times New Roman" w:hAnsi="Times New Roman" w:cs="Times New Roman"/>
                <w:bCs/>
                <w:i/>
                <w:sz w:val="20"/>
                <w:szCs w:val="20"/>
              </w:rPr>
              <w:t xml:space="preserve"> COVID SHIFT</w:t>
            </w:r>
            <w:r>
              <w:rPr>
                <w:rFonts w:ascii="Times New Roman" w:eastAsia="Times New Roman" w:hAnsi="Times New Roman" w:cs="Times New Roman"/>
                <w:bCs/>
                <w:i/>
                <w:sz w:val="20"/>
                <w:szCs w:val="20"/>
              </w:rPr>
              <w:t xml:space="preserve"> </w:t>
            </w:r>
            <w:r w:rsidRPr="001D0B33">
              <w:rPr>
                <w:rFonts w:ascii="Times New Roman" w:eastAsia="Times New Roman" w:hAnsi="Times New Roman" w:cs="Times New Roman"/>
                <w:bCs/>
                <w:i/>
                <w:sz w:val="20"/>
                <w:szCs w:val="20"/>
              </w:rPr>
              <w:t>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5ECA2F6"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2346992"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FC2D457" w14:textId="16EC9E5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0.466</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1058E054" w14:textId="58FF61A0"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1.91</w:t>
            </w:r>
          </w:p>
        </w:tc>
        <w:tc>
          <w:tcPr>
            <w:tcW w:w="994" w:type="dxa"/>
            <w:tcBorders>
              <w:left w:val="double" w:sz="4" w:space="0" w:color="auto"/>
              <w:right w:val="single" w:sz="4" w:space="0" w:color="auto"/>
            </w:tcBorders>
            <w:tcMar>
              <w:left w:w="72" w:type="dxa"/>
              <w:right w:w="72" w:type="dxa"/>
            </w:tcMar>
            <w:vAlign w:val="center"/>
          </w:tcPr>
          <w:p w14:paraId="4163BF19" w14:textId="12DE60AD"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4E9156E3" w14:textId="56602477"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074EAC3C" w14:textId="19C44AA5" w:rsidR="0054092B" w:rsidRPr="00837F9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036B9DAE" w14:textId="2058BCC6" w:rsidR="0054092B" w:rsidRPr="00837F9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48934FD1"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73653C53" w14:textId="1C8DB5BD"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Professional Services</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DC8262E"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26D6716"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4A188F8F" w14:textId="3BAB06E2"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2B482F40" w14:textId="2B33D801"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55EF3F67" w14:textId="782F947A"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-0.407</w:t>
            </w:r>
          </w:p>
        </w:tc>
        <w:tc>
          <w:tcPr>
            <w:tcW w:w="986" w:type="dxa"/>
            <w:tcBorders>
              <w:left w:val="single" w:sz="4" w:space="0" w:color="auto"/>
              <w:right w:val="double" w:sz="4" w:space="0" w:color="auto"/>
            </w:tcBorders>
            <w:tcMar>
              <w:left w:w="72" w:type="dxa"/>
              <w:right w:w="72" w:type="dxa"/>
            </w:tcMar>
            <w:vAlign w:val="center"/>
          </w:tcPr>
          <w:p w14:paraId="15DEB752" w14:textId="545FFF09"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-1.25</w:t>
            </w:r>
          </w:p>
        </w:tc>
        <w:tc>
          <w:tcPr>
            <w:tcW w:w="994" w:type="dxa"/>
            <w:tcBorders>
              <w:left w:val="double" w:sz="4" w:space="0" w:color="auto"/>
              <w:right w:val="single" w:sz="4" w:space="0" w:color="auto"/>
            </w:tcBorders>
            <w:tcMar>
              <w:left w:w="72" w:type="dxa"/>
              <w:right w:w="72" w:type="dxa"/>
            </w:tcMar>
            <w:vAlign w:val="center"/>
          </w:tcPr>
          <w:p w14:paraId="2D5E93CC" w14:textId="1A705497" w:rsidR="0054092B" w:rsidRPr="0030561C" w:rsidRDefault="0054092B" w:rsidP="00E46C39">
            <w:pPr>
              <w:spacing w:after="0" w:line="240" w:lineRule="auto"/>
              <w:jc w:val="right"/>
              <w:rPr>
                <w:rFonts w:ascii="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7D257A55" w14:textId="7F1D9809"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1347CB57"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5669F099" w14:textId="200CFF63"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Professional Services</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93FF819"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61D9ABE" w14:textId="77777777" w:rsidR="0054092B" w:rsidRPr="0030561C" w:rsidRDefault="0054092B" w:rsidP="00E46C39">
            <w:pPr>
              <w:spacing w:after="0" w:line="240" w:lineRule="auto"/>
              <w:jc w:val="right"/>
              <w:rPr>
                <w:rFonts w:ascii="Times New Roman" w:eastAsia="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8C645B0" w14:textId="36FD146F"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0.212</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96C428A" w14:textId="44FD64B0"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1.92</w:t>
            </w:r>
          </w:p>
        </w:tc>
        <w:tc>
          <w:tcPr>
            <w:tcW w:w="994" w:type="dxa"/>
            <w:tcBorders>
              <w:left w:val="double" w:sz="4" w:space="0" w:color="auto"/>
              <w:right w:val="single" w:sz="4" w:space="0" w:color="auto"/>
            </w:tcBorders>
            <w:tcMar>
              <w:left w:w="72" w:type="dxa"/>
              <w:right w:w="72" w:type="dxa"/>
            </w:tcMar>
            <w:vAlign w:val="center"/>
          </w:tcPr>
          <w:p w14:paraId="17BE045E" w14:textId="01C7D9B6"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4ED92A86" w14:textId="4E75C972"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26FAD080" w14:textId="6269E49E" w:rsidR="0054092B" w:rsidRPr="00837F9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392A280C" w14:textId="5A69C6C1" w:rsidR="0054092B" w:rsidRPr="00837F9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0B9FC229"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4450787C" w14:textId="29A8E3C9"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Information/Finance</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5E2B0982"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0.295</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34189F9D"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2.10</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FB00647" w14:textId="27260042"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0.300</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EEDAD22" w14:textId="18620581"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2.03</w:t>
            </w:r>
          </w:p>
        </w:tc>
        <w:tc>
          <w:tcPr>
            <w:tcW w:w="994" w:type="dxa"/>
            <w:tcBorders>
              <w:left w:val="double" w:sz="4" w:space="0" w:color="auto"/>
              <w:right w:val="single" w:sz="4" w:space="0" w:color="auto"/>
            </w:tcBorders>
            <w:tcMar>
              <w:left w:w="72" w:type="dxa"/>
              <w:right w:w="72" w:type="dxa"/>
            </w:tcMar>
            <w:vAlign w:val="center"/>
          </w:tcPr>
          <w:p w14:paraId="23960CCD" w14:textId="6AF7BBA2"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6D539FF3" w14:textId="0CC2ADE6"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4265E75E" w14:textId="13747158"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7707FC8C" w14:textId="710405F8"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4BB41145"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0AE85944" w14:textId="09E0AD42" w:rsidR="0054092B" w:rsidRPr="0030561C" w:rsidRDefault="0054092B" w:rsidP="00E46C39">
            <w:pPr>
              <w:spacing w:after="0" w:line="240" w:lineRule="auto"/>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30561C">
              <w:rPr>
                <w:rFonts w:ascii="Times New Roman" w:eastAsia="Times New Roman" w:hAnsi="Times New Roman" w:cs="Times New Roman"/>
                <w:bCs/>
                <w:sz w:val="20"/>
                <w:szCs w:val="20"/>
              </w:rPr>
              <w:t>Information/Finance</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EB54C4A"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C3C6A67"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14CAE21D" w14:textId="760F1F34"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0.268</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6512D34" w14:textId="0368CD25"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1.68</w:t>
            </w:r>
          </w:p>
        </w:tc>
        <w:tc>
          <w:tcPr>
            <w:tcW w:w="994" w:type="dxa"/>
            <w:tcBorders>
              <w:left w:val="double" w:sz="4" w:space="0" w:color="auto"/>
              <w:right w:val="single" w:sz="4" w:space="0" w:color="auto"/>
            </w:tcBorders>
            <w:tcMar>
              <w:left w:w="72" w:type="dxa"/>
              <w:right w:w="72" w:type="dxa"/>
            </w:tcMar>
            <w:vAlign w:val="center"/>
          </w:tcPr>
          <w:p w14:paraId="4068BA5F" w14:textId="3CE62F9D" w:rsidR="0054092B" w:rsidRPr="00837F9C" w:rsidRDefault="0054092B" w:rsidP="00E46C39">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03F6AF29" w14:textId="244684FE" w:rsidR="0054092B" w:rsidRPr="00837F9C" w:rsidRDefault="0054092B" w:rsidP="00E46C39">
            <w:pPr>
              <w:spacing w:after="0" w:line="240" w:lineRule="auto"/>
              <w:jc w:val="right"/>
              <w:rPr>
                <w:rFonts w:ascii="Times New Roman" w:eastAsia="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65CFD3FA" w14:textId="752CFEAE" w:rsidR="0054092B" w:rsidRPr="00837F9C" w:rsidRDefault="0054092B" w:rsidP="00E46C39">
            <w:pPr>
              <w:spacing w:after="0" w:line="240" w:lineRule="auto"/>
              <w:jc w:val="right"/>
              <w:rPr>
                <w:rFonts w:ascii="Times New Roman" w:eastAsia="Times New Roman" w:hAnsi="Times New Roman" w:cs="Times New Roman"/>
                <w:sz w:val="20"/>
                <w:szCs w:val="20"/>
              </w:rPr>
            </w:pPr>
            <w:r w:rsidRPr="0030561C">
              <w:rPr>
                <w:rFonts w:ascii="Times New Roman" w:eastAsia="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5FEBE347" w14:textId="4572F28D" w:rsidR="0054092B" w:rsidRPr="00837F9C" w:rsidRDefault="0054092B" w:rsidP="00E46C39">
            <w:pPr>
              <w:spacing w:after="0" w:line="240" w:lineRule="auto"/>
              <w:jc w:val="right"/>
              <w:rPr>
                <w:rFonts w:ascii="Times New Roman" w:eastAsia="Times New Roman" w:hAnsi="Times New Roman" w:cs="Times New Roman"/>
                <w:sz w:val="20"/>
                <w:szCs w:val="20"/>
              </w:rPr>
            </w:pPr>
          </w:p>
        </w:tc>
      </w:tr>
      <w:tr w:rsidR="00E46C39" w:rsidRPr="0030561C" w14:paraId="5E3D0892"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560760E7" w14:textId="77777777" w:rsidR="0054092B" w:rsidRPr="0030561C" w:rsidRDefault="0054092B" w:rsidP="00E46C39">
            <w:pPr>
              <w:spacing w:after="0" w:line="240" w:lineRule="auto"/>
              <w:jc w:val="left"/>
              <w:rPr>
                <w:rFonts w:ascii="Times New Roman" w:eastAsia="Times New Roman" w:hAnsi="Times New Roman" w:cs="Times New Roman"/>
                <w:b/>
                <w:sz w:val="20"/>
                <w:szCs w:val="20"/>
              </w:rPr>
            </w:pPr>
            <w:r w:rsidRPr="0030561C">
              <w:rPr>
                <w:rFonts w:ascii="Times New Roman" w:eastAsia="Times New Roman" w:hAnsi="Times New Roman" w:cs="Times New Roman"/>
                <w:b/>
                <w:sz w:val="20"/>
                <w:szCs w:val="20"/>
              </w:rPr>
              <w:t>Commute Time (/100)</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41D59C7"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0.786</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250A1BA9"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2.87</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FD3D952" w14:textId="23E8F817" w:rsidR="0054092B" w:rsidRPr="00837F9C" w:rsidRDefault="0054092B" w:rsidP="00E46C39">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D44D7BC"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22EE1FCB" w14:textId="65BD6AE1"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0B24FED5" w14:textId="7C6DFF75"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1881C518" w14:textId="5A333E83"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4823A1AE" w14:textId="21C8340E"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4E57772E"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667EBFCC" w14:textId="58153ACB" w:rsidR="0054092B" w:rsidRPr="0030561C" w:rsidRDefault="0054092B" w:rsidP="00E46C39">
            <w:pPr>
              <w:spacing w:after="0" w:line="240" w:lineRule="auto"/>
              <w:jc w:val="left"/>
              <w:rPr>
                <w:rFonts w:ascii="Times New Roman" w:eastAsia="Times New Roman" w:hAnsi="Times New Roman" w:cs="Times New Roman"/>
                <w:b/>
                <w:sz w:val="20"/>
                <w:szCs w:val="20"/>
              </w:rPr>
            </w:pPr>
            <w:r w:rsidRPr="0030561C">
              <w:rPr>
                <w:rFonts w:ascii="Times New Roman" w:eastAsia="Times New Roman" w:hAnsi="Times New Roman" w:cs="Times New Roman"/>
                <w:b/>
                <w:sz w:val="20"/>
                <w:szCs w:val="20"/>
              </w:rPr>
              <w:t>Daily Work Hours (</w:t>
            </w:r>
            <w:r>
              <w:rPr>
                <w:rFonts w:ascii="Times New Roman" w:eastAsia="Times New Roman" w:hAnsi="Times New Roman" w:cs="Times New Roman"/>
                <w:b/>
                <w:sz w:val="20"/>
                <w:szCs w:val="20"/>
              </w:rPr>
              <w:t xml:space="preserve">base: </w:t>
            </w:r>
            <w:r w:rsidRPr="0030561C">
              <w:rPr>
                <w:rFonts w:ascii="Times New Roman" w:eastAsia="Times New Roman" w:hAnsi="Times New Roman" w:cs="Times New Roman"/>
                <w:b/>
                <w:sz w:val="20"/>
                <w:szCs w:val="20"/>
              </w:rPr>
              <w:t>6 hours or</w:t>
            </w:r>
            <w:r>
              <w:rPr>
                <w:rFonts w:ascii="Times New Roman" w:eastAsia="Times New Roman" w:hAnsi="Times New Roman" w:cs="Times New Roman"/>
                <w:b/>
                <w:sz w:val="20"/>
                <w:szCs w:val="20"/>
              </w:rPr>
              <w:t xml:space="preserve"> </w:t>
            </w:r>
            <w:r w:rsidRPr="0030561C">
              <w:rPr>
                <w:rFonts w:ascii="Times New Roman" w:eastAsia="Times New Roman" w:hAnsi="Times New Roman" w:cs="Times New Roman"/>
                <w:b/>
                <w:sz w:val="20"/>
                <w:szCs w:val="20"/>
              </w:rPr>
              <w:t>more each day)</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790F17E"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7E8D3654"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A6A2044"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24648BF9"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4F01357E"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2BC752F7" w14:textId="0FD73B0E"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72397847"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50DDFEE5" w14:textId="404A01F2"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1A2A2BE7"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41734094" w14:textId="79967F2A" w:rsidR="0054092B" w:rsidRPr="00673664" w:rsidRDefault="0054092B" w:rsidP="00E46C39">
            <w:pPr>
              <w:spacing w:after="0" w:line="240" w:lineRule="auto"/>
              <w:jc w:val="left"/>
              <w:rPr>
                <w:rFonts w:ascii="Times New Roman" w:eastAsia="Times New Roman" w:hAnsi="Times New Roman" w:cs="Times New Roman"/>
                <w:bCs/>
                <w:i/>
                <w:sz w:val="20"/>
                <w:szCs w:val="20"/>
              </w:rPr>
            </w:pPr>
            <w:r>
              <w:rPr>
                <w:rFonts w:ascii="Times New Roman" w:eastAsia="Times New Roman" w:hAnsi="Times New Roman" w:cs="Times New Roman"/>
                <w:sz w:val="20"/>
                <w:szCs w:val="20"/>
              </w:rPr>
              <w:t xml:space="preserve">  L</w:t>
            </w:r>
            <w:r w:rsidRPr="0030561C">
              <w:rPr>
                <w:rFonts w:ascii="Times New Roman" w:eastAsia="Times New Roman" w:hAnsi="Times New Roman" w:cs="Times New Roman"/>
                <w:sz w:val="20"/>
                <w:szCs w:val="20"/>
              </w:rPr>
              <w:t xml:space="preserve">ess </w:t>
            </w:r>
            <w:r>
              <w:rPr>
                <w:rFonts w:ascii="Times New Roman" w:eastAsia="Times New Roman" w:hAnsi="Times New Roman" w:cs="Times New Roman"/>
                <w:sz w:val="20"/>
                <w:szCs w:val="20"/>
              </w:rPr>
              <w:t xml:space="preserve">than 6 hours </w:t>
            </w:r>
            <w:r w:rsidRPr="0030561C">
              <w:rPr>
                <w:rFonts w:ascii="Times New Roman" w:eastAsia="Times New Roman" w:hAnsi="Times New Roman" w:cs="Times New Roman"/>
                <w:sz w:val="20"/>
                <w:szCs w:val="20"/>
              </w:rPr>
              <w:t>per day</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7D815457"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0.605</w:t>
            </w: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658D80FE"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2.16</w:t>
            </w: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009A85FD" w14:textId="1236DBC4" w:rsidR="0054092B" w:rsidRPr="00837F9C" w:rsidRDefault="0054092B" w:rsidP="00E46C39">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312FC19"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46A700D1" w14:textId="2EBA3991"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14E42292" w14:textId="7904C282"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605537C9" w14:textId="7AF2179B"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5F00A19D" w14:textId="778C66EB"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54D16D72"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vAlign w:val="center"/>
          </w:tcPr>
          <w:p w14:paraId="5EE30F6A" w14:textId="77777777" w:rsidR="0054092B" w:rsidRPr="0030561C" w:rsidRDefault="0054092B" w:rsidP="00E46C39">
            <w:pPr>
              <w:spacing w:after="0" w:line="240" w:lineRule="auto"/>
              <w:jc w:val="left"/>
              <w:rPr>
                <w:rFonts w:ascii="Times New Roman" w:eastAsia="Times New Roman" w:hAnsi="Times New Roman" w:cs="Times New Roman"/>
                <w:b/>
                <w:i/>
                <w:sz w:val="20"/>
                <w:szCs w:val="20"/>
              </w:rPr>
            </w:pPr>
            <w:r w:rsidRPr="0030561C">
              <w:rPr>
                <w:rFonts w:ascii="Times New Roman" w:eastAsia="Times New Roman" w:hAnsi="Times New Roman" w:cs="Times New Roman"/>
                <w:b/>
                <w:i/>
                <w:sz w:val="20"/>
                <w:szCs w:val="20"/>
              </w:rPr>
              <w:t>In-Person Workplace Characteristics</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47D32ED2"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0BB81BEA"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31138985"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558F7EEB"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6BE2DB52"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4E5947AA" w14:textId="61C8B55F"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24089016"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0CCC975C" w14:textId="22DA1947"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319A334C" w14:textId="77777777" w:rsidTr="00B24C81">
        <w:trPr>
          <w:trHeight w:val="288"/>
        </w:trPr>
        <w:tc>
          <w:tcPr>
            <w:tcW w:w="4749" w:type="dxa"/>
            <w:tcBorders>
              <w:top w:val="nil"/>
              <w:left w:val="double" w:sz="4" w:space="0" w:color="auto"/>
              <w:bottom w:val="nil"/>
              <w:right w:val="double" w:sz="4" w:space="0" w:color="auto"/>
            </w:tcBorders>
            <w:shd w:val="clear" w:color="auto" w:fill="auto"/>
            <w:noWrap/>
            <w:tcMar>
              <w:left w:w="72" w:type="dxa"/>
              <w:right w:w="72" w:type="dxa"/>
            </w:tcMar>
          </w:tcPr>
          <w:p w14:paraId="72F2ADC5" w14:textId="4A21C1CA" w:rsidR="0054092B" w:rsidRPr="0030561C" w:rsidRDefault="0054092B" w:rsidP="00E46C39">
            <w:pPr>
              <w:spacing w:after="0" w:line="240" w:lineRule="auto"/>
              <w:ind w:left="274" w:hanging="270"/>
              <w:jc w:val="left"/>
              <w:rPr>
                <w:rFonts w:ascii="Times New Roman" w:eastAsia="Times New Roman" w:hAnsi="Times New Roman" w:cs="Times New Roman"/>
                <w:b/>
                <w:sz w:val="20"/>
                <w:szCs w:val="20"/>
              </w:rPr>
            </w:pPr>
            <w:r w:rsidRPr="0030561C">
              <w:rPr>
                <w:rFonts w:ascii="Times New Roman" w:eastAsia="Times New Roman" w:hAnsi="Times New Roman" w:cs="Times New Roman"/>
                <w:b/>
                <w:sz w:val="20"/>
                <w:szCs w:val="20"/>
              </w:rPr>
              <w:t>Employment Density of the in-person</w:t>
            </w:r>
            <w:r>
              <w:rPr>
                <w:rFonts w:ascii="Times New Roman" w:eastAsia="Times New Roman" w:hAnsi="Times New Roman" w:cs="Times New Roman"/>
                <w:b/>
                <w:sz w:val="20"/>
                <w:szCs w:val="20"/>
              </w:rPr>
              <w:t xml:space="preserve"> </w:t>
            </w:r>
            <w:r w:rsidRPr="0030561C">
              <w:rPr>
                <w:rFonts w:ascii="Times New Roman" w:eastAsia="Times New Roman" w:hAnsi="Times New Roman" w:cs="Times New Roman"/>
                <w:b/>
                <w:sz w:val="20"/>
                <w:szCs w:val="20"/>
              </w:rPr>
              <w:t xml:space="preserve">workplace </w:t>
            </w:r>
            <w:r w:rsidR="00673664">
              <w:rPr>
                <w:rFonts w:ascii="Times New Roman" w:eastAsia="Times New Roman" w:hAnsi="Times New Roman" w:cs="Times New Roman"/>
                <w:b/>
                <w:sz w:val="20"/>
                <w:szCs w:val="20"/>
              </w:rPr>
              <w:t xml:space="preserve">    </w:t>
            </w:r>
            <w:r w:rsidRPr="0030561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base: </w:t>
            </w:r>
            <w:r w:rsidRPr="0030561C">
              <w:rPr>
                <w:rFonts w:ascii="Times New Roman" w:eastAsia="Times New Roman" w:hAnsi="Times New Roman" w:cs="Times New Roman"/>
                <w:b/>
                <w:sz w:val="20"/>
                <w:szCs w:val="20"/>
              </w:rPr>
              <w:t>medium-to-low)</w:t>
            </w:r>
          </w:p>
        </w:tc>
        <w:tc>
          <w:tcPr>
            <w:tcW w:w="1082"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63014BD0"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3C6497F"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5" w:type="dxa"/>
            <w:tcBorders>
              <w:top w:val="nil"/>
              <w:left w:val="double" w:sz="4" w:space="0" w:color="auto"/>
              <w:bottom w:val="nil"/>
              <w:right w:val="single" w:sz="4" w:space="0" w:color="auto"/>
            </w:tcBorders>
            <w:shd w:val="clear" w:color="auto" w:fill="auto"/>
            <w:noWrap/>
            <w:tcMar>
              <w:left w:w="72" w:type="dxa"/>
              <w:right w:w="72" w:type="dxa"/>
            </w:tcMar>
            <w:vAlign w:val="center"/>
          </w:tcPr>
          <w:p w14:paraId="28FE6C4C"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tcMar>
              <w:left w:w="72" w:type="dxa"/>
              <w:right w:w="72" w:type="dxa"/>
            </w:tcMar>
            <w:vAlign w:val="center"/>
          </w:tcPr>
          <w:p w14:paraId="438D6D4F" w14:textId="77777777"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295FF863"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0DB7D2D6" w14:textId="62852817" w:rsidR="0054092B" w:rsidRPr="0030561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05EAFC34"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6" w:type="dxa"/>
            <w:tcBorders>
              <w:left w:val="single" w:sz="4" w:space="0" w:color="auto"/>
              <w:right w:val="double" w:sz="4" w:space="0" w:color="auto"/>
            </w:tcBorders>
            <w:tcMar>
              <w:left w:w="72" w:type="dxa"/>
              <w:right w:w="72" w:type="dxa"/>
            </w:tcMar>
            <w:vAlign w:val="center"/>
          </w:tcPr>
          <w:p w14:paraId="222EB16B" w14:textId="5F922D91" w:rsidR="0054092B" w:rsidRPr="0030561C" w:rsidRDefault="0054092B" w:rsidP="00E46C39">
            <w:pPr>
              <w:spacing w:after="0" w:line="240" w:lineRule="auto"/>
              <w:jc w:val="right"/>
              <w:rPr>
                <w:rFonts w:ascii="Times New Roman" w:hAnsi="Times New Roman" w:cs="Times New Roman"/>
                <w:sz w:val="20"/>
                <w:szCs w:val="20"/>
              </w:rPr>
            </w:pPr>
          </w:p>
        </w:tc>
      </w:tr>
      <w:tr w:rsidR="00E46C39" w:rsidRPr="0030561C" w14:paraId="0A976EC0" w14:textId="77777777" w:rsidTr="00B24C81">
        <w:trPr>
          <w:trHeight w:val="288"/>
        </w:trPr>
        <w:tc>
          <w:tcPr>
            <w:tcW w:w="4749" w:type="dxa"/>
            <w:tcBorders>
              <w:top w:val="nil"/>
              <w:left w:val="double" w:sz="4" w:space="0" w:color="auto"/>
              <w:right w:val="double" w:sz="4" w:space="0" w:color="auto"/>
            </w:tcBorders>
            <w:shd w:val="clear" w:color="auto" w:fill="auto"/>
            <w:noWrap/>
            <w:tcMar>
              <w:left w:w="72" w:type="dxa"/>
              <w:right w:w="72" w:type="dxa"/>
            </w:tcMar>
          </w:tcPr>
          <w:p w14:paraId="03AEC281" w14:textId="18B91A0E" w:rsidR="0054092B" w:rsidRPr="0030561C" w:rsidRDefault="0054092B"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0561C">
              <w:rPr>
                <w:rFonts w:ascii="Times New Roman" w:eastAsia="Times New Roman" w:hAnsi="Times New Roman" w:cs="Times New Roman"/>
                <w:sz w:val="20"/>
                <w:szCs w:val="20"/>
              </w:rPr>
              <w:t>High</w:t>
            </w:r>
          </w:p>
        </w:tc>
        <w:tc>
          <w:tcPr>
            <w:tcW w:w="1082" w:type="dxa"/>
            <w:tcBorders>
              <w:top w:val="nil"/>
              <w:left w:val="double" w:sz="4" w:space="0" w:color="auto"/>
              <w:right w:val="single" w:sz="4" w:space="0" w:color="auto"/>
            </w:tcBorders>
            <w:shd w:val="clear" w:color="auto" w:fill="auto"/>
            <w:noWrap/>
            <w:tcMar>
              <w:left w:w="72" w:type="dxa"/>
              <w:right w:w="72" w:type="dxa"/>
            </w:tcMar>
            <w:vAlign w:val="center"/>
          </w:tcPr>
          <w:p w14:paraId="626884CF"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0.191</w:t>
            </w:r>
          </w:p>
        </w:tc>
        <w:tc>
          <w:tcPr>
            <w:tcW w:w="994" w:type="dxa"/>
            <w:tcBorders>
              <w:top w:val="nil"/>
              <w:left w:val="single" w:sz="4" w:space="0" w:color="auto"/>
              <w:right w:val="double" w:sz="4" w:space="0" w:color="auto"/>
            </w:tcBorders>
            <w:shd w:val="clear" w:color="auto" w:fill="auto"/>
            <w:noWrap/>
            <w:tcMar>
              <w:left w:w="72" w:type="dxa"/>
              <w:right w:w="72" w:type="dxa"/>
            </w:tcMar>
            <w:vAlign w:val="center"/>
          </w:tcPr>
          <w:p w14:paraId="5EBBF102"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1.94</w:t>
            </w:r>
          </w:p>
        </w:tc>
        <w:tc>
          <w:tcPr>
            <w:tcW w:w="985" w:type="dxa"/>
            <w:tcBorders>
              <w:top w:val="nil"/>
              <w:left w:val="double" w:sz="4" w:space="0" w:color="auto"/>
              <w:right w:val="single" w:sz="4" w:space="0" w:color="auto"/>
            </w:tcBorders>
            <w:shd w:val="clear" w:color="auto" w:fill="auto"/>
            <w:noWrap/>
            <w:tcMar>
              <w:left w:w="72" w:type="dxa"/>
              <w:right w:w="72" w:type="dxa"/>
            </w:tcMar>
            <w:vAlign w:val="center"/>
          </w:tcPr>
          <w:p w14:paraId="6B19C492" w14:textId="69104B10"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-0.355</w:t>
            </w:r>
          </w:p>
        </w:tc>
        <w:tc>
          <w:tcPr>
            <w:tcW w:w="995" w:type="dxa"/>
            <w:tcBorders>
              <w:top w:val="nil"/>
              <w:left w:val="single" w:sz="4" w:space="0" w:color="auto"/>
              <w:right w:val="double" w:sz="4" w:space="0" w:color="auto"/>
            </w:tcBorders>
            <w:shd w:val="clear" w:color="auto" w:fill="auto"/>
            <w:noWrap/>
            <w:tcMar>
              <w:left w:w="72" w:type="dxa"/>
              <w:right w:w="72" w:type="dxa"/>
            </w:tcMar>
            <w:vAlign w:val="center"/>
          </w:tcPr>
          <w:p w14:paraId="569715FD" w14:textId="30BD159A"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-2.66</w:t>
            </w:r>
          </w:p>
        </w:tc>
        <w:tc>
          <w:tcPr>
            <w:tcW w:w="994" w:type="dxa"/>
            <w:tcBorders>
              <w:left w:val="double" w:sz="4" w:space="0" w:color="auto"/>
              <w:right w:val="single" w:sz="4" w:space="0" w:color="auto"/>
            </w:tcBorders>
            <w:tcMar>
              <w:left w:w="72" w:type="dxa"/>
              <w:right w:w="72" w:type="dxa"/>
            </w:tcMar>
            <w:vAlign w:val="center"/>
          </w:tcPr>
          <w:p w14:paraId="18ED4BE4" w14:textId="393F44DF" w:rsidR="0054092B" w:rsidRPr="00837F9C" w:rsidRDefault="0054092B" w:rsidP="00E46C39">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4A7E774C" w14:textId="1B409DAA"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right w:val="single" w:sz="4" w:space="0" w:color="auto"/>
            </w:tcBorders>
            <w:tcMar>
              <w:left w:w="72" w:type="dxa"/>
              <w:right w:w="72" w:type="dxa"/>
            </w:tcMar>
            <w:vAlign w:val="center"/>
          </w:tcPr>
          <w:p w14:paraId="7652BFBA" w14:textId="3480845A" w:rsidR="0054092B" w:rsidRPr="00837F9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right w:val="double" w:sz="4" w:space="0" w:color="auto"/>
            </w:tcBorders>
            <w:tcMar>
              <w:left w:w="72" w:type="dxa"/>
              <w:right w:w="72" w:type="dxa"/>
            </w:tcMar>
            <w:vAlign w:val="center"/>
          </w:tcPr>
          <w:p w14:paraId="1C37AE6A" w14:textId="443D14C6" w:rsidR="0054092B" w:rsidRPr="00837F9C" w:rsidRDefault="0054092B" w:rsidP="00E46C39">
            <w:pPr>
              <w:spacing w:after="0" w:line="240" w:lineRule="auto"/>
              <w:jc w:val="right"/>
              <w:rPr>
                <w:rFonts w:ascii="Times New Roman" w:hAnsi="Times New Roman" w:cs="Times New Roman"/>
                <w:sz w:val="20"/>
                <w:szCs w:val="20"/>
              </w:rPr>
            </w:pPr>
          </w:p>
        </w:tc>
      </w:tr>
      <w:tr w:rsidR="00E46C39" w:rsidRPr="0030561C" w14:paraId="593BC3AC" w14:textId="77777777" w:rsidTr="00B24C81">
        <w:trPr>
          <w:trHeight w:val="288"/>
        </w:trPr>
        <w:tc>
          <w:tcPr>
            <w:tcW w:w="4749" w:type="dxa"/>
            <w:tcBorders>
              <w:top w:val="nil"/>
              <w:left w:val="double" w:sz="4" w:space="0" w:color="auto"/>
              <w:bottom w:val="double" w:sz="4" w:space="0" w:color="auto"/>
              <w:right w:val="double" w:sz="4" w:space="0" w:color="auto"/>
            </w:tcBorders>
            <w:shd w:val="clear" w:color="auto" w:fill="auto"/>
            <w:noWrap/>
            <w:tcMar>
              <w:left w:w="72" w:type="dxa"/>
              <w:right w:w="72" w:type="dxa"/>
            </w:tcMar>
          </w:tcPr>
          <w:p w14:paraId="6E808135" w14:textId="2B5CCAF7" w:rsidR="0054092B" w:rsidRPr="0030561C" w:rsidRDefault="0054092B" w:rsidP="00E46C39">
            <w:pPr>
              <w:spacing w:after="0"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0561C">
              <w:rPr>
                <w:rFonts w:ascii="Times New Roman" w:eastAsia="Times New Roman" w:hAnsi="Times New Roman" w:cs="Times New Roman"/>
                <w:sz w:val="20"/>
                <w:szCs w:val="20"/>
              </w:rPr>
              <w:t>High</w:t>
            </w:r>
            <w:r w:rsidRPr="001D0B33">
              <w:rPr>
                <w:rFonts w:ascii="Times New Roman" w:eastAsia="Times New Roman" w:hAnsi="Times New Roman" w:cs="Times New Roman"/>
                <w:bCs/>
                <w:i/>
                <w:sz w:val="20"/>
                <w:szCs w:val="20"/>
              </w:rPr>
              <w:t xml:space="preserve"> COVID SHIFT EFFECT</w:t>
            </w:r>
          </w:p>
        </w:tc>
        <w:tc>
          <w:tcPr>
            <w:tcW w:w="1082" w:type="dxa"/>
            <w:tcBorders>
              <w:top w:val="nil"/>
              <w:left w:val="double" w:sz="4" w:space="0" w:color="auto"/>
              <w:bottom w:val="double" w:sz="4" w:space="0" w:color="auto"/>
              <w:right w:val="single" w:sz="4" w:space="0" w:color="auto"/>
            </w:tcBorders>
            <w:shd w:val="clear" w:color="auto" w:fill="auto"/>
            <w:noWrap/>
            <w:tcMar>
              <w:left w:w="72" w:type="dxa"/>
              <w:right w:w="72" w:type="dxa"/>
            </w:tcMar>
            <w:vAlign w:val="center"/>
          </w:tcPr>
          <w:p w14:paraId="52E9B6B4" w14:textId="77777777"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94" w:type="dxa"/>
            <w:tcBorders>
              <w:top w:val="nil"/>
              <w:left w:val="single" w:sz="4" w:space="0" w:color="auto"/>
              <w:bottom w:val="double" w:sz="4" w:space="0" w:color="auto"/>
              <w:right w:val="double" w:sz="4" w:space="0" w:color="auto"/>
            </w:tcBorders>
            <w:shd w:val="clear" w:color="auto" w:fill="auto"/>
            <w:noWrap/>
            <w:tcMar>
              <w:left w:w="72" w:type="dxa"/>
              <w:right w:w="72" w:type="dxa"/>
            </w:tcMar>
            <w:vAlign w:val="center"/>
          </w:tcPr>
          <w:p w14:paraId="6B12F952" w14:textId="77777777" w:rsidR="0054092B" w:rsidRPr="0030561C" w:rsidRDefault="0054092B" w:rsidP="00E46C39">
            <w:pPr>
              <w:spacing w:after="0" w:line="240" w:lineRule="auto"/>
              <w:jc w:val="right"/>
              <w:rPr>
                <w:rFonts w:ascii="Times New Roman" w:hAnsi="Times New Roman" w:cs="Times New Roman"/>
                <w:sz w:val="20"/>
                <w:szCs w:val="20"/>
              </w:rPr>
            </w:pPr>
          </w:p>
        </w:tc>
        <w:tc>
          <w:tcPr>
            <w:tcW w:w="985" w:type="dxa"/>
            <w:tcBorders>
              <w:top w:val="nil"/>
              <w:left w:val="double" w:sz="4" w:space="0" w:color="auto"/>
              <w:bottom w:val="double" w:sz="4" w:space="0" w:color="auto"/>
              <w:right w:val="single" w:sz="4" w:space="0" w:color="auto"/>
            </w:tcBorders>
            <w:shd w:val="clear" w:color="auto" w:fill="auto"/>
            <w:noWrap/>
            <w:tcMar>
              <w:left w:w="72" w:type="dxa"/>
              <w:right w:w="72" w:type="dxa"/>
            </w:tcMar>
            <w:vAlign w:val="center"/>
          </w:tcPr>
          <w:p w14:paraId="51F3A823" w14:textId="5539DCBB"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0.357</w:t>
            </w:r>
          </w:p>
        </w:tc>
        <w:tc>
          <w:tcPr>
            <w:tcW w:w="995" w:type="dxa"/>
            <w:tcBorders>
              <w:top w:val="nil"/>
              <w:left w:val="single" w:sz="4" w:space="0" w:color="auto"/>
              <w:bottom w:val="double" w:sz="4" w:space="0" w:color="auto"/>
              <w:right w:val="double" w:sz="4" w:space="0" w:color="auto"/>
            </w:tcBorders>
            <w:shd w:val="clear" w:color="auto" w:fill="auto"/>
            <w:noWrap/>
            <w:tcMar>
              <w:left w:w="72" w:type="dxa"/>
              <w:right w:w="72" w:type="dxa"/>
            </w:tcMar>
            <w:vAlign w:val="center"/>
          </w:tcPr>
          <w:p w14:paraId="0B862F8B" w14:textId="54162D23" w:rsidR="0054092B" w:rsidRPr="0030561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2.56</w:t>
            </w:r>
          </w:p>
        </w:tc>
        <w:tc>
          <w:tcPr>
            <w:tcW w:w="994" w:type="dxa"/>
            <w:tcBorders>
              <w:left w:val="double" w:sz="4" w:space="0" w:color="auto"/>
              <w:bottom w:val="double" w:sz="4" w:space="0" w:color="auto"/>
              <w:right w:val="single" w:sz="4" w:space="0" w:color="auto"/>
            </w:tcBorders>
            <w:tcMar>
              <w:left w:w="72" w:type="dxa"/>
              <w:right w:w="72" w:type="dxa"/>
            </w:tcMar>
            <w:vAlign w:val="center"/>
          </w:tcPr>
          <w:p w14:paraId="3E5D4584" w14:textId="4B41E6A5" w:rsidR="0054092B" w:rsidRPr="00837F9C" w:rsidRDefault="0054092B" w:rsidP="00E46C39">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86" w:type="dxa"/>
            <w:tcBorders>
              <w:left w:val="single" w:sz="4" w:space="0" w:color="auto"/>
              <w:bottom w:val="double" w:sz="4" w:space="0" w:color="auto"/>
              <w:right w:val="double" w:sz="4" w:space="0" w:color="auto"/>
            </w:tcBorders>
            <w:tcMar>
              <w:left w:w="72" w:type="dxa"/>
              <w:right w:w="72" w:type="dxa"/>
            </w:tcMar>
            <w:vAlign w:val="center"/>
          </w:tcPr>
          <w:p w14:paraId="31B03379" w14:textId="2FA09412" w:rsidR="0054092B" w:rsidRPr="00837F9C" w:rsidRDefault="0054092B" w:rsidP="00E46C39">
            <w:pPr>
              <w:spacing w:after="0" w:line="240" w:lineRule="auto"/>
              <w:jc w:val="right"/>
              <w:rPr>
                <w:rFonts w:ascii="Times New Roman" w:hAnsi="Times New Roman" w:cs="Times New Roman"/>
                <w:sz w:val="20"/>
                <w:szCs w:val="20"/>
              </w:rPr>
            </w:pPr>
          </w:p>
        </w:tc>
        <w:tc>
          <w:tcPr>
            <w:tcW w:w="994" w:type="dxa"/>
            <w:tcBorders>
              <w:left w:val="double" w:sz="4" w:space="0" w:color="auto"/>
              <w:bottom w:val="double" w:sz="4" w:space="0" w:color="auto"/>
              <w:right w:val="single" w:sz="4" w:space="0" w:color="auto"/>
            </w:tcBorders>
            <w:tcMar>
              <w:left w:w="72" w:type="dxa"/>
              <w:right w:w="72" w:type="dxa"/>
            </w:tcMar>
            <w:vAlign w:val="center"/>
          </w:tcPr>
          <w:p w14:paraId="67FF3264" w14:textId="41625207" w:rsidR="0054092B" w:rsidRPr="00837F9C" w:rsidRDefault="0054092B" w:rsidP="00E46C39">
            <w:pPr>
              <w:spacing w:after="0" w:line="240" w:lineRule="auto"/>
              <w:jc w:val="right"/>
              <w:rPr>
                <w:rFonts w:ascii="Times New Roman" w:hAnsi="Times New Roman" w:cs="Times New Roman"/>
                <w:sz w:val="20"/>
                <w:szCs w:val="20"/>
              </w:rPr>
            </w:pPr>
            <w:r w:rsidRPr="0030561C">
              <w:rPr>
                <w:rFonts w:ascii="Times New Roman" w:hAnsi="Times New Roman" w:cs="Times New Roman"/>
                <w:sz w:val="20"/>
                <w:szCs w:val="20"/>
              </w:rPr>
              <w:t>--</w:t>
            </w:r>
          </w:p>
        </w:tc>
        <w:tc>
          <w:tcPr>
            <w:tcW w:w="986" w:type="dxa"/>
            <w:tcBorders>
              <w:left w:val="single" w:sz="4" w:space="0" w:color="auto"/>
              <w:bottom w:val="double" w:sz="4" w:space="0" w:color="auto"/>
              <w:right w:val="double" w:sz="4" w:space="0" w:color="auto"/>
            </w:tcBorders>
            <w:tcMar>
              <w:left w:w="72" w:type="dxa"/>
              <w:right w:w="72" w:type="dxa"/>
            </w:tcMar>
            <w:vAlign w:val="center"/>
          </w:tcPr>
          <w:p w14:paraId="47E05438" w14:textId="2436DE69" w:rsidR="0054092B" w:rsidRPr="00837F9C" w:rsidRDefault="0054092B" w:rsidP="00E46C39">
            <w:pPr>
              <w:spacing w:after="0" w:line="240" w:lineRule="auto"/>
              <w:jc w:val="right"/>
              <w:rPr>
                <w:rFonts w:ascii="Times New Roman" w:hAnsi="Times New Roman" w:cs="Times New Roman"/>
                <w:sz w:val="20"/>
                <w:szCs w:val="20"/>
              </w:rPr>
            </w:pPr>
          </w:p>
        </w:tc>
      </w:tr>
    </w:tbl>
    <w:p w14:paraId="60138926" w14:textId="2B927EE5" w:rsidR="009D4E41" w:rsidRDefault="009D4E41" w:rsidP="00E46C39">
      <w:pPr>
        <w:spacing w:after="0" w:line="240" w:lineRule="auto"/>
        <w:rPr>
          <w:rFonts w:ascii="Times New Roman" w:hAnsi="Times New Roman" w:cs="Times New Roman"/>
          <w:b/>
          <w:sz w:val="24"/>
          <w:szCs w:val="24"/>
        </w:rPr>
      </w:pPr>
    </w:p>
    <w:p w14:paraId="2E1AD8E8" w14:textId="56FFFB38" w:rsidR="00837F9C" w:rsidRDefault="00837F9C" w:rsidP="00E46C39">
      <w:pPr>
        <w:spacing w:after="0" w:line="240" w:lineRule="auto"/>
        <w:rPr>
          <w:rFonts w:ascii="Times New Roman" w:hAnsi="Times New Roman" w:cs="Times New Roman"/>
          <w:b/>
          <w:sz w:val="24"/>
          <w:szCs w:val="24"/>
        </w:rPr>
      </w:pPr>
    </w:p>
    <w:p w14:paraId="70F92707" w14:textId="77777777" w:rsidR="00E46C39" w:rsidRDefault="00E46C39" w:rsidP="00E46C39">
      <w:pPr>
        <w:spacing w:after="0" w:line="240" w:lineRule="auto"/>
        <w:jc w:val="left"/>
        <w:rPr>
          <w:rFonts w:ascii="Times New Roman" w:hAnsi="Times New Roman" w:cs="Times New Roman"/>
          <w:b/>
          <w:sz w:val="24"/>
          <w:szCs w:val="24"/>
        </w:rPr>
      </w:pPr>
    </w:p>
    <w:p w14:paraId="4BC01C67" w14:textId="77777777" w:rsidR="00B24C81" w:rsidRDefault="00B24C81" w:rsidP="00B24C81">
      <w:pPr>
        <w:spacing w:after="120" w:line="240" w:lineRule="auto"/>
        <w:jc w:val="left"/>
        <w:rPr>
          <w:rFonts w:ascii="Times New Roman" w:hAnsi="Times New Roman" w:cs="Times New Roman"/>
          <w:b/>
          <w:sz w:val="24"/>
          <w:szCs w:val="24"/>
        </w:rPr>
      </w:pPr>
    </w:p>
    <w:p w14:paraId="5D24CF13" w14:textId="77777777" w:rsidR="00B24C81" w:rsidRDefault="00B24C81" w:rsidP="00B24C81">
      <w:pPr>
        <w:spacing w:after="120" w:line="240" w:lineRule="auto"/>
        <w:jc w:val="left"/>
        <w:rPr>
          <w:rFonts w:ascii="Times New Roman" w:hAnsi="Times New Roman" w:cs="Times New Roman"/>
          <w:b/>
          <w:sz w:val="24"/>
          <w:szCs w:val="24"/>
        </w:rPr>
      </w:pPr>
    </w:p>
    <w:p w14:paraId="310BDC4A" w14:textId="77777777" w:rsidR="00B24C81" w:rsidRDefault="00B24C81" w:rsidP="00B24C81">
      <w:pPr>
        <w:spacing w:after="120" w:line="240" w:lineRule="auto"/>
        <w:jc w:val="left"/>
        <w:rPr>
          <w:rFonts w:ascii="Times New Roman" w:hAnsi="Times New Roman" w:cs="Times New Roman"/>
          <w:b/>
          <w:sz w:val="24"/>
          <w:szCs w:val="24"/>
        </w:rPr>
      </w:pPr>
    </w:p>
    <w:p w14:paraId="70E57E35" w14:textId="1299CAF5" w:rsidR="00F07FF8" w:rsidRPr="00E1729F" w:rsidRDefault="00F07FF8" w:rsidP="00B24C81">
      <w:pPr>
        <w:spacing w:after="120" w:line="240" w:lineRule="auto"/>
        <w:jc w:val="left"/>
        <w:rPr>
          <w:rFonts w:ascii="Times New Roman" w:hAnsi="Times New Roman" w:cs="Times New Roman"/>
          <w:b/>
          <w:sz w:val="24"/>
          <w:szCs w:val="24"/>
        </w:rPr>
      </w:pPr>
      <w:r w:rsidRPr="00E1729F">
        <w:rPr>
          <w:rFonts w:ascii="Times New Roman" w:hAnsi="Times New Roman" w:cs="Times New Roman"/>
          <w:b/>
          <w:sz w:val="24"/>
          <w:szCs w:val="24"/>
        </w:rPr>
        <w:lastRenderedPageBreak/>
        <w:t>Table 3. Model Estimation Results (continued)</w:t>
      </w:r>
    </w:p>
    <w:tbl>
      <w:tblPr>
        <w:tblW w:w="12765" w:type="dxa"/>
        <w:tblLayout w:type="fixed"/>
        <w:tblCellMar>
          <w:left w:w="72" w:type="dxa"/>
          <w:right w:w="72" w:type="dxa"/>
        </w:tblCellMar>
        <w:tblLook w:val="04A0" w:firstRow="1" w:lastRow="0" w:firstColumn="1" w:lastColumn="0" w:noHBand="0" w:noVBand="1"/>
      </w:tblPr>
      <w:tblGrid>
        <w:gridCol w:w="4746"/>
        <w:gridCol w:w="1081"/>
        <w:gridCol w:w="993"/>
        <w:gridCol w:w="990"/>
        <w:gridCol w:w="995"/>
        <w:gridCol w:w="990"/>
        <w:gridCol w:w="990"/>
        <w:gridCol w:w="990"/>
        <w:gridCol w:w="990"/>
      </w:tblGrid>
      <w:tr w:rsidR="00B824FC" w:rsidRPr="00837F9C" w14:paraId="70B00698" w14:textId="35C9F516" w:rsidTr="00B24C81">
        <w:trPr>
          <w:trHeight w:val="576"/>
        </w:trPr>
        <w:tc>
          <w:tcPr>
            <w:tcW w:w="4746" w:type="dxa"/>
            <w:vMerge w:val="restart"/>
            <w:tcBorders>
              <w:top w:val="double" w:sz="4" w:space="0" w:color="auto"/>
              <w:left w:val="double" w:sz="4" w:space="0" w:color="auto"/>
              <w:right w:val="double" w:sz="4" w:space="0" w:color="auto"/>
            </w:tcBorders>
            <w:shd w:val="clear" w:color="auto" w:fill="auto"/>
            <w:noWrap/>
            <w:vAlign w:val="center"/>
          </w:tcPr>
          <w:p w14:paraId="56CFB90F" w14:textId="77777777" w:rsidR="00B824FC" w:rsidRDefault="00B824FC" w:rsidP="00B24C81">
            <w:pPr>
              <w:spacing w:after="0" w:line="240" w:lineRule="auto"/>
              <w:jc w:val="center"/>
              <w:rPr>
                <w:rFonts w:ascii="Times New Roman" w:eastAsia="Times New Roman" w:hAnsi="Times New Roman" w:cs="Times New Roman"/>
                <w:b/>
                <w:iCs/>
                <w:sz w:val="20"/>
                <w:szCs w:val="20"/>
              </w:rPr>
            </w:pPr>
            <w:r w:rsidRPr="00837F9C">
              <w:rPr>
                <w:rFonts w:ascii="Times New Roman" w:eastAsia="Times New Roman" w:hAnsi="Times New Roman" w:cs="Times New Roman"/>
                <w:b/>
                <w:iCs/>
                <w:sz w:val="20"/>
                <w:szCs w:val="20"/>
              </w:rPr>
              <w:t xml:space="preserve">Exogenous Variables </w:t>
            </w:r>
          </w:p>
          <w:p w14:paraId="63F6B0D6" w14:textId="0D53FB9C" w:rsidR="00B824FC" w:rsidRPr="00837F9C" w:rsidRDefault="00B824FC" w:rsidP="00B24C81">
            <w:pPr>
              <w:spacing w:after="0" w:line="240" w:lineRule="auto"/>
              <w:jc w:val="center"/>
              <w:rPr>
                <w:rFonts w:ascii="Times New Roman" w:eastAsia="Times New Roman" w:hAnsi="Times New Roman" w:cs="Times New Roman"/>
                <w:b/>
                <w:iCs/>
                <w:sz w:val="20"/>
                <w:szCs w:val="20"/>
              </w:rPr>
            </w:pPr>
            <w:r w:rsidRPr="00837F9C">
              <w:rPr>
                <w:rFonts w:ascii="Times New Roman" w:eastAsia="Times New Roman" w:hAnsi="Times New Roman" w:cs="Times New Roman"/>
                <w:b/>
                <w:iCs/>
                <w:sz w:val="20"/>
                <w:szCs w:val="20"/>
              </w:rPr>
              <w:t xml:space="preserve">(base category – </w:t>
            </w:r>
            <w:r w:rsidR="00F07FF8" w:rsidRPr="00F07FF8">
              <w:rPr>
                <w:rFonts w:ascii="Times New Roman" w:eastAsia="Times New Roman" w:hAnsi="Times New Roman" w:cs="Times New Roman"/>
                <w:b/>
                <w:bCs/>
                <w:i/>
                <w:sz w:val="20"/>
                <w:szCs w:val="20"/>
              </w:rPr>
              <w:t>WITHOUT THE COVID SHIFT EFFECT</w:t>
            </w:r>
            <w:r w:rsidRPr="00F07FF8">
              <w:rPr>
                <w:rFonts w:ascii="Times New Roman" w:eastAsia="Times New Roman" w:hAnsi="Times New Roman" w:cs="Times New Roman"/>
                <w:b/>
                <w:iCs/>
                <w:sz w:val="20"/>
                <w:szCs w:val="20"/>
              </w:rPr>
              <w:t>)</w:t>
            </w:r>
          </w:p>
        </w:tc>
        <w:tc>
          <w:tcPr>
            <w:tcW w:w="2074" w:type="dxa"/>
            <w:gridSpan w:val="2"/>
            <w:vMerge w:val="restart"/>
            <w:tcBorders>
              <w:top w:val="double" w:sz="4" w:space="0" w:color="auto"/>
              <w:left w:val="double" w:sz="4" w:space="0" w:color="auto"/>
              <w:right w:val="double" w:sz="4" w:space="0" w:color="auto"/>
            </w:tcBorders>
            <w:shd w:val="clear" w:color="auto" w:fill="auto"/>
            <w:noWrap/>
            <w:vAlign w:val="center"/>
          </w:tcPr>
          <w:p w14:paraId="14B13561" w14:textId="62F4E0E8" w:rsidR="00B824FC" w:rsidRPr="00837F9C" w:rsidRDefault="00B824FC" w:rsidP="00B24C81">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Adoption (Binary)</w:t>
            </w:r>
            <w:r>
              <w:rPr>
                <w:rFonts w:ascii="Times New Roman" w:eastAsia="Times New Roman" w:hAnsi="Times New Roman" w:cs="Times New Roman"/>
                <w:b/>
                <w:bCs/>
                <w:sz w:val="20"/>
                <w:szCs w:val="20"/>
              </w:rPr>
              <w:t xml:space="preserve"> Propensity</w:t>
            </w:r>
          </w:p>
        </w:tc>
        <w:tc>
          <w:tcPr>
            <w:tcW w:w="1985" w:type="dxa"/>
            <w:gridSpan w:val="2"/>
            <w:vMerge w:val="restart"/>
            <w:tcBorders>
              <w:top w:val="double" w:sz="4" w:space="0" w:color="auto"/>
              <w:left w:val="double" w:sz="4" w:space="0" w:color="auto"/>
              <w:right w:val="double" w:sz="4" w:space="0" w:color="auto"/>
            </w:tcBorders>
            <w:shd w:val="clear" w:color="auto" w:fill="auto"/>
            <w:noWrap/>
            <w:vAlign w:val="center"/>
          </w:tcPr>
          <w:p w14:paraId="1C8F0EC9" w14:textId="34521CD5" w:rsidR="00B824FC" w:rsidRPr="00837F9C" w:rsidRDefault="00B824FC" w:rsidP="00B24C81">
            <w:pPr>
              <w:spacing w:after="0" w:line="240" w:lineRule="auto"/>
              <w:jc w:val="center"/>
              <w:rPr>
                <w:rFonts w:ascii="Times New Roman" w:eastAsia="Times New Roman" w:hAnsi="Times New Roman" w:cs="Times New Roman"/>
                <w:b/>
                <w:bCs/>
                <w:sz w:val="20"/>
                <w:szCs w:val="20"/>
              </w:rPr>
            </w:pPr>
            <w:r w:rsidRPr="00837F9C">
              <w:rPr>
                <w:rFonts w:ascii="Times New Roman" w:eastAsia="Times New Roman" w:hAnsi="Times New Roman" w:cs="Times New Roman"/>
                <w:b/>
                <w:bCs/>
                <w:sz w:val="20"/>
                <w:szCs w:val="20"/>
              </w:rPr>
              <w:t>Frequency (Ordered)</w:t>
            </w:r>
            <w:r>
              <w:rPr>
                <w:rFonts w:ascii="Times New Roman" w:eastAsia="Times New Roman" w:hAnsi="Times New Roman" w:cs="Times New Roman"/>
                <w:b/>
                <w:bCs/>
                <w:sz w:val="20"/>
                <w:szCs w:val="20"/>
              </w:rPr>
              <w:t xml:space="preserve"> Propensity</w:t>
            </w:r>
          </w:p>
        </w:tc>
        <w:tc>
          <w:tcPr>
            <w:tcW w:w="3960" w:type="dxa"/>
            <w:gridSpan w:val="4"/>
            <w:tcBorders>
              <w:top w:val="double" w:sz="4" w:space="0" w:color="auto"/>
              <w:left w:val="double" w:sz="4" w:space="0" w:color="auto"/>
              <w:right w:val="double" w:sz="4" w:space="0" w:color="auto"/>
            </w:tcBorders>
            <w:vAlign w:val="center"/>
          </w:tcPr>
          <w:p w14:paraId="19256FC7" w14:textId="714D68CE" w:rsidR="00B824FC" w:rsidRDefault="00B824FC"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Location (Multinomial) Propensity</w:t>
            </w:r>
          </w:p>
          <w:p w14:paraId="1FCC3093" w14:textId="1C8E4623" w:rsidR="00B824FC" w:rsidRPr="00837F9C" w:rsidRDefault="00B824FC" w:rsidP="00B24C8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(base category – Home Only Utility)</w:t>
            </w:r>
          </w:p>
        </w:tc>
      </w:tr>
      <w:tr w:rsidR="00B824FC" w:rsidRPr="00837F9C" w14:paraId="70EA2767" w14:textId="77777777" w:rsidTr="00B24C81">
        <w:trPr>
          <w:trHeight w:val="432"/>
        </w:trPr>
        <w:tc>
          <w:tcPr>
            <w:tcW w:w="4746" w:type="dxa"/>
            <w:vMerge/>
            <w:tcBorders>
              <w:left w:val="double" w:sz="4" w:space="0" w:color="auto"/>
              <w:right w:val="double" w:sz="4" w:space="0" w:color="auto"/>
            </w:tcBorders>
            <w:shd w:val="clear" w:color="auto" w:fill="auto"/>
            <w:noWrap/>
            <w:vAlign w:val="center"/>
          </w:tcPr>
          <w:p w14:paraId="2BF9EBE8" w14:textId="77777777" w:rsidR="00B824FC" w:rsidRPr="00837F9C" w:rsidRDefault="00B824FC" w:rsidP="00B24C81">
            <w:pPr>
              <w:spacing w:after="0" w:line="240" w:lineRule="auto"/>
              <w:rPr>
                <w:rFonts w:ascii="Times New Roman" w:eastAsia="Times New Roman" w:hAnsi="Times New Roman" w:cs="Times New Roman"/>
                <w:b/>
                <w:i/>
                <w:sz w:val="20"/>
                <w:szCs w:val="20"/>
              </w:rPr>
            </w:pPr>
          </w:p>
        </w:tc>
        <w:tc>
          <w:tcPr>
            <w:tcW w:w="2074" w:type="dxa"/>
            <w:gridSpan w:val="2"/>
            <w:vMerge/>
            <w:tcBorders>
              <w:left w:val="double" w:sz="4" w:space="0" w:color="auto"/>
              <w:bottom w:val="single" w:sz="4" w:space="0" w:color="auto"/>
              <w:right w:val="double" w:sz="4" w:space="0" w:color="auto"/>
            </w:tcBorders>
            <w:shd w:val="clear" w:color="auto" w:fill="auto"/>
            <w:noWrap/>
            <w:vAlign w:val="center"/>
          </w:tcPr>
          <w:p w14:paraId="69EC728E" w14:textId="77777777" w:rsidR="00B824FC" w:rsidRPr="00837F9C" w:rsidRDefault="00B824FC" w:rsidP="00B24C81">
            <w:pPr>
              <w:spacing w:after="0" w:line="240" w:lineRule="auto"/>
              <w:jc w:val="center"/>
              <w:rPr>
                <w:rFonts w:ascii="Times New Roman" w:eastAsia="Times New Roman" w:hAnsi="Times New Roman" w:cs="Times New Roman"/>
                <w:b/>
                <w:bCs/>
                <w:sz w:val="20"/>
                <w:szCs w:val="20"/>
              </w:rPr>
            </w:pPr>
          </w:p>
        </w:tc>
        <w:tc>
          <w:tcPr>
            <w:tcW w:w="1985" w:type="dxa"/>
            <w:gridSpan w:val="2"/>
            <w:vMerge/>
            <w:tcBorders>
              <w:left w:val="double" w:sz="4" w:space="0" w:color="auto"/>
              <w:bottom w:val="single" w:sz="4" w:space="0" w:color="auto"/>
              <w:right w:val="double" w:sz="4" w:space="0" w:color="auto"/>
            </w:tcBorders>
            <w:shd w:val="clear" w:color="auto" w:fill="auto"/>
            <w:noWrap/>
            <w:vAlign w:val="center"/>
          </w:tcPr>
          <w:p w14:paraId="52D94802" w14:textId="77777777" w:rsidR="00B824FC" w:rsidRPr="00837F9C" w:rsidRDefault="00B824FC" w:rsidP="00B24C81">
            <w:pPr>
              <w:spacing w:after="0" w:line="240" w:lineRule="auto"/>
              <w:jc w:val="center"/>
              <w:rPr>
                <w:rFonts w:ascii="Times New Roman" w:eastAsia="Times New Roman" w:hAnsi="Times New Roman" w:cs="Times New Roman"/>
                <w:b/>
                <w:bCs/>
                <w:sz w:val="20"/>
                <w:szCs w:val="20"/>
              </w:rPr>
            </w:pPr>
          </w:p>
        </w:tc>
        <w:tc>
          <w:tcPr>
            <w:tcW w:w="1980" w:type="dxa"/>
            <w:gridSpan w:val="2"/>
            <w:tcBorders>
              <w:top w:val="single" w:sz="4" w:space="0" w:color="auto"/>
              <w:left w:val="double" w:sz="4" w:space="0" w:color="auto"/>
              <w:bottom w:val="single" w:sz="4" w:space="0" w:color="auto"/>
              <w:right w:val="double" w:sz="4" w:space="0" w:color="auto"/>
            </w:tcBorders>
            <w:vAlign w:val="center"/>
          </w:tcPr>
          <w:p w14:paraId="75B09429" w14:textId="46C60831" w:rsidR="00B824FC" w:rsidRPr="00837F9C" w:rsidRDefault="00B824FC" w:rsidP="00B24C81">
            <w:pPr>
              <w:spacing w:after="0" w:line="240" w:lineRule="auto"/>
              <w:jc w:val="center"/>
              <w:rPr>
                <w:rFonts w:ascii="Times New Roman" w:hAnsi="Times New Roman" w:cs="Times New Roman"/>
                <w:b/>
                <w:bCs/>
                <w:sz w:val="20"/>
                <w:szCs w:val="20"/>
              </w:rPr>
            </w:pPr>
            <w:r w:rsidRPr="00837F9C">
              <w:rPr>
                <w:rFonts w:ascii="Times New Roman" w:hAnsi="Times New Roman" w:cs="Times New Roman"/>
                <w:b/>
                <w:bCs/>
                <w:sz w:val="20"/>
                <w:szCs w:val="20"/>
              </w:rPr>
              <w:t xml:space="preserve">Third </w:t>
            </w:r>
            <w:r>
              <w:rPr>
                <w:rFonts w:ascii="Times New Roman" w:hAnsi="Times New Roman" w:cs="Times New Roman"/>
                <w:b/>
                <w:bCs/>
                <w:sz w:val="20"/>
                <w:szCs w:val="20"/>
              </w:rPr>
              <w:t>Location Only Utility</w:t>
            </w:r>
          </w:p>
        </w:tc>
        <w:tc>
          <w:tcPr>
            <w:tcW w:w="1980" w:type="dxa"/>
            <w:gridSpan w:val="2"/>
            <w:tcBorders>
              <w:top w:val="single" w:sz="4" w:space="0" w:color="auto"/>
              <w:left w:val="double" w:sz="4" w:space="0" w:color="auto"/>
              <w:bottom w:val="single" w:sz="4" w:space="0" w:color="auto"/>
              <w:right w:val="double" w:sz="4" w:space="0" w:color="auto"/>
            </w:tcBorders>
            <w:vAlign w:val="center"/>
          </w:tcPr>
          <w:p w14:paraId="277710E6" w14:textId="36350CAE" w:rsidR="00B824FC" w:rsidRPr="00837F9C" w:rsidRDefault="00B824FC" w:rsidP="00B24C8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Both </w:t>
            </w:r>
            <w:r w:rsidRPr="00837F9C">
              <w:rPr>
                <w:rFonts w:ascii="Times New Roman" w:hAnsi="Times New Roman" w:cs="Times New Roman"/>
                <w:b/>
                <w:bCs/>
                <w:sz w:val="20"/>
                <w:szCs w:val="20"/>
              </w:rPr>
              <w:t xml:space="preserve">Home and Third </w:t>
            </w:r>
            <w:r>
              <w:rPr>
                <w:rFonts w:ascii="Times New Roman" w:hAnsi="Times New Roman" w:cs="Times New Roman"/>
                <w:b/>
                <w:bCs/>
                <w:sz w:val="20"/>
                <w:szCs w:val="20"/>
              </w:rPr>
              <w:t>Location Utility</w:t>
            </w:r>
          </w:p>
        </w:tc>
      </w:tr>
      <w:tr w:rsidR="00B24C81" w:rsidRPr="00837F9C" w14:paraId="2EC339CE" w14:textId="77777777" w:rsidTr="00B24C81">
        <w:trPr>
          <w:trHeight w:val="288"/>
        </w:trPr>
        <w:tc>
          <w:tcPr>
            <w:tcW w:w="4746" w:type="dxa"/>
            <w:vMerge/>
            <w:tcBorders>
              <w:left w:val="double" w:sz="4" w:space="0" w:color="auto"/>
              <w:bottom w:val="double" w:sz="4" w:space="0" w:color="auto"/>
              <w:right w:val="double" w:sz="4" w:space="0" w:color="auto"/>
            </w:tcBorders>
            <w:shd w:val="clear" w:color="auto" w:fill="auto"/>
            <w:noWrap/>
            <w:vAlign w:val="center"/>
          </w:tcPr>
          <w:p w14:paraId="61F68DF5" w14:textId="77777777" w:rsidR="00B03DA3" w:rsidRPr="00837F9C" w:rsidRDefault="00B03DA3" w:rsidP="00B24C81">
            <w:pPr>
              <w:spacing w:after="0" w:line="240" w:lineRule="auto"/>
              <w:rPr>
                <w:rFonts w:ascii="Times New Roman" w:eastAsia="Times New Roman" w:hAnsi="Times New Roman" w:cs="Times New Roman"/>
                <w:b/>
                <w:i/>
                <w:sz w:val="20"/>
                <w:szCs w:val="20"/>
              </w:rPr>
            </w:pPr>
          </w:p>
        </w:tc>
        <w:tc>
          <w:tcPr>
            <w:tcW w:w="1081" w:type="dxa"/>
            <w:tcBorders>
              <w:top w:val="single" w:sz="4" w:space="0" w:color="auto"/>
              <w:left w:val="double" w:sz="4" w:space="0" w:color="auto"/>
              <w:bottom w:val="double" w:sz="4" w:space="0" w:color="auto"/>
              <w:right w:val="single" w:sz="4" w:space="0" w:color="auto"/>
            </w:tcBorders>
            <w:shd w:val="clear" w:color="auto" w:fill="auto"/>
            <w:noWrap/>
            <w:vAlign w:val="center"/>
          </w:tcPr>
          <w:p w14:paraId="4AB0CD70" w14:textId="482F89B5" w:rsidR="00B03DA3" w:rsidRPr="00837F9C" w:rsidRDefault="00B03DA3" w:rsidP="00B24C81">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Coeff.</w:t>
            </w:r>
          </w:p>
        </w:tc>
        <w:tc>
          <w:tcPr>
            <w:tcW w:w="993" w:type="dxa"/>
            <w:tcBorders>
              <w:top w:val="single" w:sz="4" w:space="0" w:color="auto"/>
              <w:left w:val="single" w:sz="4" w:space="0" w:color="auto"/>
              <w:bottom w:val="double" w:sz="4" w:space="0" w:color="auto"/>
              <w:right w:val="double" w:sz="4" w:space="0" w:color="auto"/>
            </w:tcBorders>
            <w:shd w:val="clear" w:color="auto" w:fill="auto"/>
            <w:noWrap/>
            <w:vAlign w:val="center"/>
          </w:tcPr>
          <w:p w14:paraId="7BC62EEE" w14:textId="46046443" w:rsidR="00B03DA3" w:rsidRPr="00837F9C" w:rsidRDefault="00B03DA3" w:rsidP="00B24C81">
            <w:pPr>
              <w:spacing w:after="0" w:line="240" w:lineRule="auto"/>
              <w:jc w:val="center"/>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t-stat</w:t>
            </w:r>
          </w:p>
        </w:tc>
        <w:tc>
          <w:tcPr>
            <w:tcW w:w="99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7D035A37" w14:textId="43E9585D" w:rsidR="00B03DA3" w:rsidRPr="00837F9C" w:rsidRDefault="00B03DA3" w:rsidP="00B24C81">
            <w:pPr>
              <w:spacing w:after="0" w:line="240" w:lineRule="auto"/>
              <w:jc w:val="center"/>
              <w:rPr>
                <w:rFonts w:ascii="Times New Roman" w:eastAsia="Times New Roman" w:hAnsi="Times New Roman" w:cs="Times New Roman"/>
                <w:sz w:val="20"/>
                <w:szCs w:val="20"/>
              </w:rPr>
            </w:pPr>
            <w:r w:rsidRPr="00837F9C">
              <w:rPr>
                <w:rFonts w:ascii="Times New Roman" w:hAnsi="Times New Roman" w:cs="Times New Roman"/>
                <w:bCs/>
                <w:sz w:val="20"/>
                <w:szCs w:val="20"/>
              </w:rPr>
              <w:t>Coeff.</w:t>
            </w:r>
          </w:p>
        </w:tc>
        <w:tc>
          <w:tcPr>
            <w:tcW w:w="995" w:type="dxa"/>
            <w:tcBorders>
              <w:top w:val="single" w:sz="4" w:space="0" w:color="auto"/>
              <w:left w:val="single" w:sz="4" w:space="0" w:color="auto"/>
              <w:bottom w:val="double" w:sz="4" w:space="0" w:color="auto"/>
              <w:right w:val="double" w:sz="4" w:space="0" w:color="auto"/>
            </w:tcBorders>
            <w:shd w:val="clear" w:color="auto" w:fill="auto"/>
            <w:noWrap/>
            <w:vAlign w:val="center"/>
          </w:tcPr>
          <w:p w14:paraId="04A8F6A1" w14:textId="69EFC8F7" w:rsidR="00B03DA3" w:rsidRPr="00837F9C" w:rsidRDefault="00B03DA3" w:rsidP="00B24C81">
            <w:pPr>
              <w:spacing w:after="0" w:line="240" w:lineRule="auto"/>
              <w:jc w:val="center"/>
              <w:rPr>
                <w:rFonts w:ascii="Times New Roman" w:eastAsia="Times New Roman" w:hAnsi="Times New Roman" w:cs="Times New Roman"/>
                <w:sz w:val="20"/>
                <w:szCs w:val="20"/>
              </w:rPr>
            </w:pPr>
            <w:r w:rsidRPr="00837F9C">
              <w:rPr>
                <w:rFonts w:ascii="Times New Roman" w:hAnsi="Times New Roman" w:cs="Times New Roman"/>
                <w:bCs/>
                <w:sz w:val="20"/>
                <w:szCs w:val="20"/>
              </w:rPr>
              <w:t>t-stat</w:t>
            </w:r>
          </w:p>
        </w:tc>
        <w:tc>
          <w:tcPr>
            <w:tcW w:w="990" w:type="dxa"/>
            <w:tcBorders>
              <w:top w:val="single" w:sz="4" w:space="0" w:color="auto"/>
              <w:left w:val="double" w:sz="4" w:space="0" w:color="auto"/>
              <w:bottom w:val="double" w:sz="4" w:space="0" w:color="auto"/>
              <w:right w:val="single" w:sz="4" w:space="0" w:color="auto"/>
            </w:tcBorders>
            <w:vAlign w:val="center"/>
          </w:tcPr>
          <w:p w14:paraId="6ED5A7A0" w14:textId="2EFD9C20" w:rsidR="00B03DA3" w:rsidRDefault="00B03DA3" w:rsidP="00B24C81">
            <w:pPr>
              <w:spacing w:after="0" w:line="240" w:lineRule="auto"/>
              <w:jc w:val="center"/>
              <w:rPr>
                <w:rFonts w:ascii="Times New Roman" w:hAnsi="Times New Roman" w:cs="Times New Roman"/>
                <w:bCs/>
                <w:sz w:val="20"/>
                <w:szCs w:val="20"/>
              </w:rPr>
            </w:pPr>
            <w:r w:rsidRPr="00837F9C">
              <w:rPr>
                <w:rFonts w:ascii="Times New Roman" w:hAnsi="Times New Roman" w:cs="Times New Roman"/>
                <w:bCs/>
                <w:sz w:val="20"/>
                <w:szCs w:val="20"/>
              </w:rPr>
              <w:t>Coeff.</w:t>
            </w:r>
          </w:p>
        </w:tc>
        <w:tc>
          <w:tcPr>
            <w:tcW w:w="990" w:type="dxa"/>
            <w:tcBorders>
              <w:top w:val="single" w:sz="4" w:space="0" w:color="auto"/>
              <w:left w:val="single" w:sz="4" w:space="0" w:color="auto"/>
              <w:bottom w:val="double" w:sz="4" w:space="0" w:color="auto"/>
              <w:right w:val="double" w:sz="4" w:space="0" w:color="auto"/>
            </w:tcBorders>
            <w:vAlign w:val="center"/>
          </w:tcPr>
          <w:p w14:paraId="7A346CC6" w14:textId="525B3CC8" w:rsidR="00B03DA3" w:rsidRPr="00837F9C" w:rsidRDefault="00B03DA3" w:rsidP="00B24C81">
            <w:pPr>
              <w:spacing w:after="0" w:line="240" w:lineRule="auto"/>
              <w:jc w:val="center"/>
              <w:rPr>
                <w:rFonts w:ascii="Times New Roman" w:hAnsi="Times New Roman" w:cs="Times New Roman"/>
                <w:bCs/>
                <w:sz w:val="20"/>
                <w:szCs w:val="20"/>
              </w:rPr>
            </w:pPr>
            <w:r w:rsidRPr="00837F9C">
              <w:rPr>
                <w:rFonts w:ascii="Times New Roman" w:hAnsi="Times New Roman" w:cs="Times New Roman"/>
                <w:bCs/>
                <w:sz w:val="20"/>
                <w:szCs w:val="20"/>
              </w:rPr>
              <w:t>t-stat</w:t>
            </w:r>
          </w:p>
        </w:tc>
        <w:tc>
          <w:tcPr>
            <w:tcW w:w="990" w:type="dxa"/>
            <w:tcBorders>
              <w:top w:val="single" w:sz="4" w:space="0" w:color="auto"/>
              <w:left w:val="double" w:sz="4" w:space="0" w:color="auto"/>
              <w:bottom w:val="double" w:sz="4" w:space="0" w:color="auto"/>
              <w:right w:val="single" w:sz="4" w:space="0" w:color="auto"/>
            </w:tcBorders>
            <w:vAlign w:val="center"/>
          </w:tcPr>
          <w:p w14:paraId="0AAC1F2D" w14:textId="1137B799" w:rsidR="00B03DA3" w:rsidRPr="00837F9C" w:rsidRDefault="00B03DA3" w:rsidP="00B24C81">
            <w:pPr>
              <w:spacing w:after="0" w:line="240" w:lineRule="auto"/>
              <w:jc w:val="center"/>
              <w:rPr>
                <w:rFonts w:ascii="Times New Roman" w:hAnsi="Times New Roman" w:cs="Times New Roman"/>
                <w:bCs/>
                <w:sz w:val="20"/>
                <w:szCs w:val="20"/>
              </w:rPr>
            </w:pPr>
            <w:r w:rsidRPr="00837F9C">
              <w:rPr>
                <w:rFonts w:ascii="Times New Roman" w:hAnsi="Times New Roman" w:cs="Times New Roman"/>
                <w:bCs/>
                <w:sz w:val="20"/>
                <w:szCs w:val="20"/>
              </w:rPr>
              <w:t>Coeff.</w:t>
            </w:r>
          </w:p>
        </w:tc>
        <w:tc>
          <w:tcPr>
            <w:tcW w:w="990" w:type="dxa"/>
            <w:tcBorders>
              <w:top w:val="single" w:sz="4" w:space="0" w:color="auto"/>
              <w:left w:val="single" w:sz="4" w:space="0" w:color="auto"/>
              <w:bottom w:val="double" w:sz="4" w:space="0" w:color="auto"/>
              <w:right w:val="double" w:sz="4" w:space="0" w:color="auto"/>
            </w:tcBorders>
            <w:vAlign w:val="center"/>
          </w:tcPr>
          <w:p w14:paraId="546FF36E" w14:textId="218B347D" w:rsidR="00B03DA3" w:rsidRPr="00837F9C" w:rsidRDefault="00B03DA3" w:rsidP="00B24C81">
            <w:pPr>
              <w:spacing w:after="0" w:line="240" w:lineRule="auto"/>
              <w:jc w:val="center"/>
              <w:rPr>
                <w:rFonts w:ascii="Times New Roman" w:hAnsi="Times New Roman" w:cs="Times New Roman"/>
                <w:bCs/>
                <w:sz w:val="20"/>
                <w:szCs w:val="20"/>
              </w:rPr>
            </w:pPr>
            <w:r w:rsidRPr="00837F9C">
              <w:rPr>
                <w:rFonts w:ascii="Times New Roman" w:hAnsi="Times New Roman" w:cs="Times New Roman"/>
                <w:bCs/>
                <w:sz w:val="20"/>
                <w:szCs w:val="20"/>
              </w:rPr>
              <w:t>t-stat</w:t>
            </w:r>
          </w:p>
        </w:tc>
      </w:tr>
      <w:tr w:rsidR="00B24C81" w:rsidRPr="00837F9C" w14:paraId="09C763AF"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298C52C1" w14:textId="450F0A54"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b/>
                <w:i/>
                <w:sz w:val="20"/>
                <w:szCs w:val="20"/>
              </w:rPr>
              <w:t>Residential Characteristics</w:t>
            </w:r>
          </w:p>
        </w:tc>
        <w:tc>
          <w:tcPr>
            <w:tcW w:w="1081" w:type="dxa"/>
            <w:tcBorders>
              <w:top w:val="nil"/>
              <w:left w:val="double" w:sz="4" w:space="0" w:color="auto"/>
              <w:bottom w:val="nil"/>
              <w:right w:val="single" w:sz="4" w:space="0" w:color="auto"/>
            </w:tcBorders>
            <w:shd w:val="clear" w:color="auto" w:fill="auto"/>
            <w:noWrap/>
            <w:vAlign w:val="center"/>
          </w:tcPr>
          <w:p w14:paraId="074F74AF"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3" w:type="dxa"/>
            <w:tcBorders>
              <w:top w:val="nil"/>
              <w:left w:val="single" w:sz="4" w:space="0" w:color="auto"/>
              <w:bottom w:val="nil"/>
              <w:right w:val="double" w:sz="4" w:space="0" w:color="auto"/>
            </w:tcBorders>
            <w:shd w:val="clear" w:color="auto" w:fill="auto"/>
            <w:noWrap/>
            <w:vAlign w:val="center"/>
          </w:tcPr>
          <w:p w14:paraId="0E3C0464"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2F812740"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vAlign w:val="center"/>
          </w:tcPr>
          <w:p w14:paraId="08CBA190"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top w:val="double" w:sz="4" w:space="0" w:color="auto"/>
              <w:left w:val="double" w:sz="4" w:space="0" w:color="auto"/>
              <w:right w:val="single" w:sz="4" w:space="0" w:color="auto"/>
            </w:tcBorders>
            <w:vAlign w:val="center"/>
          </w:tcPr>
          <w:p w14:paraId="001FCAAB"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top w:val="double" w:sz="4" w:space="0" w:color="auto"/>
              <w:left w:val="single" w:sz="4" w:space="0" w:color="auto"/>
              <w:right w:val="double" w:sz="4" w:space="0" w:color="auto"/>
            </w:tcBorders>
            <w:vAlign w:val="center"/>
          </w:tcPr>
          <w:p w14:paraId="07FCA92D" w14:textId="4BFE917A"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top w:val="double" w:sz="4" w:space="0" w:color="auto"/>
              <w:left w:val="double" w:sz="4" w:space="0" w:color="auto"/>
              <w:right w:val="single" w:sz="4" w:space="0" w:color="auto"/>
            </w:tcBorders>
            <w:vAlign w:val="center"/>
          </w:tcPr>
          <w:p w14:paraId="76B47C36"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top w:val="double" w:sz="4" w:space="0" w:color="auto"/>
              <w:left w:val="single" w:sz="4" w:space="0" w:color="auto"/>
              <w:right w:val="double" w:sz="4" w:space="0" w:color="auto"/>
            </w:tcBorders>
            <w:vAlign w:val="center"/>
          </w:tcPr>
          <w:p w14:paraId="12CEC755" w14:textId="4D4BF9A1" w:rsidR="00F07FF8" w:rsidRPr="00837F9C" w:rsidRDefault="00F07FF8" w:rsidP="00B24C81">
            <w:pPr>
              <w:spacing w:after="0" w:line="240" w:lineRule="auto"/>
              <w:jc w:val="right"/>
              <w:rPr>
                <w:rFonts w:ascii="Times New Roman" w:hAnsi="Times New Roman" w:cs="Times New Roman"/>
                <w:bCs/>
                <w:sz w:val="20"/>
                <w:szCs w:val="20"/>
              </w:rPr>
            </w:pPr>
          </w:p>
        </w:tc>
      </w:tr>
      <w:tr w:rsidR="00B24C81" w:rsidRPr="00837F9C" w14:paraId="1D7F3C35"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4147DE35" w14:textId="6489020A"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b/>
                <w:sz w:val="20"/>
                <w:szCs w:val="20"/>
              </w:rPr>
              <w:t>Land Use Type (</w:t>
            </w:r>
            <w:r>
              <w:rPr>
                <w:rFonts w:ascii="Times New Roman" w:eastAsia="Times New Roman" w:hAnsi="Times New Roman" w:cs="Times New Roman"/>
                <w:b/>
                <w:sz w:val="20"/>
                <w:szCs w:val="20"/>
              </w:rPr>
              <w:t xml:space="preserve">base: </w:t>
            </w:r>
            <w:r w:rsidRPr="00837F9C">
              <w:rPr>
                <w:rFonts w:ascii="Times New Roman" w:eastAsia="Times New Roman" w:hAnsi="Times New Roman" w:cs="Times New Roman"/>
                <w:b/>
                <w:sz w:val="20"/>
                <w:szCs w:val="20"/>
              </w:rPr>
              <w:t>rural)</w:t>
            </w:r>
          </w:p>
        </w:tc>
        <w:tc>
          <w:tcPr>
            <w:tcW w:w="1081" w:type="dxa"/>
            <w:tcBorders>
              <w:top w:val="nil"/>
              <w:left w:val="double" w:sz="4" w:space="0" w:color="auto"/>
              <w:bottom w:val="nil"/>
              <w:right w:val="single" w:sz="4" w:space="0" w:color="auto"/>
            </w:tcBorders>
            <w:shd w:val="clear" w:color="auto" w:fill="auto"/>
            <w:noWrap/>
            <w:vAlign w:val="center"/>
          </w:tcPr>
          <w:p w14:paraId="7D24627A"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3" w:type="dxa"/>
            <w:tcBorders>
              <w:top w:val="nil"/>
              <w:left w:val="single" w:sz="4" w:space="0" w:color="auto"/>
              <w:bottom w:val="nil"/>
              <w:right w:val="double" w:sz="4" w:space="0" w:color="auto"/>
            </w:tcBorders>
            <w:shd w:val="clear" w:color="auto" w:fill="auto"/>
            <w:noWrap/>
            <w:vAlign w:val="center"/>
          </w:tcPr>
          <w:p w14:paraId="77E2F09B"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835681D"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vAlign w:val="center"/>
          </w:tcPr>
          <w:p w14:paraId="13E7F97A"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7D2693BC"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3A673FF8" w14:textId="50AFA3AA"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double" w:sz="4" w:space="0" w:color="auto"/>
              <w:right w:val="single" w:sz="4" w:space="0" w:color="auto"/>
            </w:tcBorders>
            <w:vAlign w:val="center"/>
          </w:tcPr>
          <w:p w14:paraId="794453B3"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20D2DD02" w14:textId="311477CA" w:rsidR="00F07FF8" w:rsidRPr="00837F9C" w:rsidRDefault="00F07FF8" w:rsidP="00B24C81">
            <w:pPr>
              <w:spacing w:after="0" w:line="240" w:lineRule="auto"/>
              <w:jc w:val="right"/>
              <w:rPr>
                <w:rFonts w:ascii="Times New Roman" w:hAnsi="Times New Roman" w:cs="Times New Roman"/>
                <w:bCs/>
                <w:sz w:val="20"/>
                <w:szCs w:val="20"/>
              </w:rPr>
            </w:pPr>
          </w:p>
        </w:tc>
      </w:tr>
      <w:tr w:rsidR="00B24C81" w:rsidRPr="00837F9C" w14:paraId="7F1B35C8"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3535753A" w14:textId="03C7179F"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sz w:val="20"/>
                <w:szCs w:val="20"/>
              </w:rPr>
              <w:t xml:space="preserve">  Suburban</w:t>
            </w:r>
          </w:p>
        </w:tc>
        <w:tc>
          <w:tcPr>
            <w:tcW w:w="1081" w:type="dxa"/>
            <w:tcBorders>
              <w:top w:val="nil"/>
              <w:left w:val="double" w:sz="4" w:space="0" w:color="auto"/>
              <w:bottom w:val="nil"/>
              <w:right w:val="single" w:sz="4" w:space="0" w:color="auto"/>
            </w:tcBorders>
            <w:shd w:val="clear" w:color="auto" w:fill="auto"/>
            <w:noWrap/>
            <w:vAlign w:val="center"/>
          </w:tcPr>
          <w:p w14:paraId="5EDEFFD8" w14:textId="07E1E563"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0.160</w:t>
            </w:r>
          </w:p>
        </w:tc>
        <w:tc>
          <w:tcPr>
            <w:tcW w:w="993" w:type="dxa"/>
            <w:tcBorders>
              <w:top w:val="nil"/>
              <w:left w:val="single" w:sz="4" w:space="0" w:color="auto"/>
              <w:bottom w:val="nil"/>
              <w:right w:val="double" w:sz="4" w:space="0" w:color="auto"/>
            </w:tcBorders>
            <w:shd w:val="clear" w:color="auto" w:fill="auto"/>
            <w:noWrap/>
            <w:vAlign w:val="center"/>
          </w:tcPr>
          <w:p w14:paraId="2C09F024" w14:textId="0029CA68"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1.63</w:t>
            </w:r>
          </w:p>
        </w:tc>
        <w:tc>
          <w:tcPr>
            <w:tcW w:w="990" w:type="dxa"/>
            <w:tcBorders>
              <w:top w:val="nil"/>
              <w:left w:val="double" w:sz="4" w:space="0" w:color="auto"/>
              <w:bottom w:val="nil"/>
              <w:right w:val="single" w:sz="4" w:space="0" w:color="auto"/>
            </w:tcBorders>
            <w:shd w:val="clear" w:color="auto" w:fill="auto"/>
            <w:noWrap/>
            <w:vAlign w:val="center"/>
          </w:tcPr>
          <w:p w14:paraId="144E536C" w14:textId="746952F5"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vAlign w:val="center"/>
          </w:tcPr>
          <w:p w14:paraId="1BE30E82"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6351B593" w14:textId="4EB361E8"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vAlign w:val="center"/>
          </w:tcPr>
          <w:p w14:paraId="7EC0233A" w14:textId="44CC0E69"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49D2A518" w14:textId="52BFD68D"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hAnsi="Times New Roman" w:cs="Times New Roman"/>
                <w:sz w:val="20"/>
                <w:szCs w:val="20"/>
              </w:rPr>
              <w:t>--</w:t>
            </w:r>
          </w:p>
        </w:tc>
        <w:tc>
          <w:tcPr>
            <w:tcW w:w="990" w:type="dxa"/>
            <w:tcBorders>
              <w:left w:val="single" w:sz="4" w:space="0" w:color="auto"/>
              <w:right w:val="double" w:sz="4" w:space="0" w:color="auto"/>
            </w:tcBorders>
            <w:vAlign w:val="center"/>
          </w:tcPr>
          <w:p w14:paraId="34D646EC" w14:textId="49FB5402" w:rsidR="00F07FF8" w:rsidRPr="00837F9C" w:rsidRDefault="00F07FF8" w:rsidP="00B24C81">
            <w:pPr>
              <w:spacing w:after="0" w:line="240" w:lineRule="auto"/>
              <w:jc w:val="right"/>
              <w:rPr>
                <w:rFonts w:ascii="Times New Roman" w:eastAsia="Times New Roman" w:hAnsi="Times New Roman" w:cs="Times New Roman"/>
                <w:sz w:val="20"/>
                <w:szCs w:val="20"/>
              </w:rPr>
            </w:pPr>
          </w:p>
        </w:tc>
      </w:tr>
      <w:tr w:rsidR="00B24C81" w:rsidRPr="00837F9C" w14:paraId="391DECF6"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1C2D80AF" w14:textId="007C9438"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sz w:val="20"/>
                <w:szCs w:val="20"/>
              </w:rPr>
              <w:t xml:space="preserve">  Urban</w:t>
            </w:r>
          </w:p>
        </w:tc>
        <w:tc>
          <w:tcPr>
            <w:tcW w:w="1081" w:type="dxa"/>
            <w:tcBorders>
              <w:top w:val="nil"/>
              <w:left w:val="double" w:sz="4" w:space="0" w:color="auto"/>
              <w:bottom w:val="nil"/>
              <w:right w:val="single" w:sz="4" w:space="0" w:color="auto"/>
            </w:tcBorders>
            <w:shd w:val="clear" w:color="auto" w:fill="auto"/>
            <w:noWrap/>
            <w:vAlign w:val="center"/>
          </w:tcPr>
          <w:p w14:paraId="18AE84CE" w14:textId="464EE2CA"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0.356</w:t>
            </w:r>
          </w:p>
        </w:tc>
        <w:tc>
          <w:tcPr>
            <w:tcW w:w="993" w:type="dxa"/>
            <w:tcBorders>
              <w:top w:val="nil"/>
              <w:left w:val="single" w:sz="4" w:space="0" w:color="auto"/>
              <w:bottom w:val="nil"/>
              <w:right w:val="double" w:sz="4" w:space="0" w:color="auto"/>
            </w:tcBorders>
            <w:shd w:val="clear" w:color="auto" w:fill="auto"/>
            <w:noWrap/>
            <w:vAlign w:val="center"/>
          </w:tcPr>
          <w:p w14:paraId="7A299465" w14:textId="5B5F2CEF"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3.07</w:t>
            </w:r>
          </w:p>
        </w:tc>
        <w:tc>
          <w:tcPr>
            <w:tcW w:w="990" w:type="dxa"/>
            <w:tcBorders>
              <w:top w:val="nil"/>
              <w:left w:val="double" w:sz="4" w:space="0" w:color="auto"/>
              <w:bottom w:val="nil"/>
              <w:right w:val="single" w:sz="4" w:space="0" w:color="auto"/>
            </w:tcBorders>
            <w:shd w:val="clear" w:color="auto" w:fill="auto"/>
            <w:noWrap/>
            <w:vAlign w:val="center"/>
          </w:tcPr>
          <w:p w14:paraId="282EE46C" w14:textId="5D65621B"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5" w:type="dxa"/>
            <w:tcBorders>
              <w:top w:val="nil"/>
              <w:left w:val="single" w:sz="4" w:space="0" w:color="auto"/>
              <w:bottom w:val="nil"/>
              <w:right w:val="double" w:sz="4" w:space="0" w:color="auto"/>
            </w:tcBorders>
            <w:shd w:val="clear" w:color="auto" w:fill="auto"/>
            <w:noWrap/>
            <w:vAlign w:val="center"/>
          </w:tcPr>
          <w:p w14:paraId="29FDD548"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0D26C258" w14:textId="1C7A9ED7"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vAlign w:val="center"/>
          </w:tcPr>
          <w:p w14:paraId="299B945A" w14:textId="10544D50"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2B19F0FC" w14:textId="272C5A80"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0.383</w:t>
            </w:r>
          </w:p>
        </w:tc>
        <w:tc>
          <w:tcPr>
            <w:tcW w:w="990" w:type="dxa"/>
            <w:tcBorders>
              <w:left w:val="single" w:sz="4" w:space="0" w:color="auto"/>
              <w:right w:val="double" w:sz="4" w:space="0" w:color="auto"/>
            </w:tcBorders>
            <w:vAlign w:val="center"/>
          </w:tcPr>
          <w:p w14:paraId="6754C0DF" w14:textId="6B98A369"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2.18</w:t>
            </w:r>
          </w:p>
        </w:tc>
      </w:tr>
      <w:tr w:rsidR="00B24C81" w:rsidRPr="00837F9C" w14:paraId="16396DBE"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43AF3CEE" w14:textId="535D148C"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b/>
                <w:sz w:val="20"/>
                <w:szCs w:val="20"/>
              </w:rPr>
              <w:t>House Characteristics</w:t>
            </w:r>
          </w:p>
        </w:tc>
        <w:tc>
          <w:tcPr>
            <w:tcW w:w="1081" w:type="dxa"/>
            <w:tcBorders>
              <w:top w:val="nil"/>
              <w:left w:val="double" w:sz="4" w:space="0" w:color="auto"/>
              <w:bottom w:val="nil"/>
              <w:right w:val="single" w:sz="4" w:space="0" w:color="auto"/>
            </w:tcBorders>
            <w:shd w:val="clear" w:color="auto" w:fill="auto"/>
            <w:noWrap/>
            <w:vAlign w:val="center"/>
          </w:tcPr>
          <w:p w14:paraId="34C1431D"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3" w:type="dxa"/>
            <w:tcBorders>
              <w:top w:val="nil"/>
              <w:left w:val="single" w:sz="4" w:space="0" w:color="auto"/>
              <w:bottom w:val="nil"/>
              <w:right w:val="double" w:sz="4" w:space="0" w:color="auto"/>
            </w:tcBorders>
            <w:shd w:val="clear" w:color="auto" w:fill="auto"/>
            <w:noWrap/>
            <w:vAlign w:val="center"/>
          </w:tcPr>
          <w:p w14:paraId="75388267"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13EFA594"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vAlign w:val="center"/>
          </w:tcPr>
          <w:p w14:paraId="6BAFD17D"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53916CEE"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2C5CAF27" w14:textId="3A686FAF"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double" w:sz="4" w:space="0" w:color="auto"/>
              <w:right w:val="single" w:sz="4" w:space="0" w:color="auto"/>
            </w:tcBorders>
            <w:vAlign w:val="center"/>
          </w:tcPr>
          <w:p w14:paraId="3DBA4D2C"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09F47D01" w14:textId="6CF99447" w:rsidR="00F07FF8" w:rsidRPr="00837F9C" w:rsidRDefault="00F07FF8" w:rsidP="00B24C81">
            <w:pPr>
              <w:spacing w:after="0" w:line="240" w:lineRule="auto"/>
              <w:jc w:val="right"/>
              <w:rPr>
                <w:rFonts w:ascii="Times New Roman" w:hAnsi="Times New Roman" w:cs="Times New Roman"/>
                <w:bCs/>
                <w:sz w:val="20"/>
                <w:szCs w:val="20"/>
              </w:rPr>
            </w:pPr>
          </w:p>
        </w:tc>
      </w:tr>
      <w:tr w:rsidR="00B24C81" w:rsidRPr="00837F9C" w14:paraId="2F0824BB"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3433E20C" w14:textId="77777777" w:rsidR="00F07FF8" w:rsidRPr="00837F9C" w:rsidRDefault="00F07FF8" w:rsidP="00B24C81">
            <w:pPr>
              <w:spacing w:after="0" w:line="240" w:lineRule="auto"/>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 xml:space="preserve">  Private Study</w:t>
            </w:r>
          </w:p>
        </w:tc>
        <w:tc>
          <w:tcPr>
            <w:tcW w:w="1081" w:type="dxa"/>
            <w:tcBorders>
              <w:top w:val="nil"/>
              <w:left w:val="double" w:sz="4" w:space="0" w:color="auto"/>
              <w:bottom w:val="nil"/>
              <w:right w:val="single" w:sz="4" w:space="0" w:color="auto"/>
            </w:tcBorders>
            <w:shd w:val="clear" w:color="auto" w:fill="auto"/>
            <w:noWrap/>
            <w:vAlign w:val="center"/>
          </w:tcPr>
          <w:p w14:paraId="4573BFE6"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0.161</w:t>
            </w:r>
          </w:p>
        </w:tc>
        <w:tc>
          <w:tcPr>
            <w:tcW w:w="993" w:type="dxa"/>
            <w:tcBorders>
              <w:top w:val="nil"/>
              <w:left w:val="single" w:sz="4" w:space="0" w:color="auto"/>
              <w:bottom w:val="nil"/>
              <w:right w:val="double" w:sz="4" w:space="0" w:color="auto"/>
            </w:tcBorders>
            <w:shd w:val="clear" w:color="auto" w:fill="auto"/>
            <w:noWrap/>
            <w:vAlign w:val="center"/>
          </w:tcPr>
          <w:p w14:paraId="0495B6B8"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1.75</w:t>
            </w:r>
          </w:p>
        </w:tc>
        <w:tc>
          <w:tcPr>
            <w:tcW w:w="990" w:type="dxa"/>
            <w:tcBorders>
              <w:top w:val="nil"/>
              <w:left w:val="double" w:sz="4" w:space="0" w:color="auto"/>
              <w:bottom w:val="nil"/>
              <w:right w:val="single" w:sz="4" w:space="0" w:color="auto"/>
            </w:tcBorders>
            <w:shd w:val="clear" w:color="auto" w:fill="auto"/>
            <w:noWrap/>
            <w:vAlign w:val="center"/>
          </w:tcPr>
          <w:p w14:paraId="7E8F745A" w14:textId="131927F1" w:rsidR="00F07FF8" w:rsidRPr="00837F9C" w:rsidRDefault="00F07FF8" w:rsidP="00B24C81">
            <w:pPr>
              <w:spacing w:after="0" w:line="240" w:lineRule="auto"/>
              <w:jc w:val="right"/>
              <w:rPr>
                <w:rFonts w:ascii="Times New Roman" w:eastAsia="Times New Roman" w:hAnsi="Times New Roman" w:cs="Times New Roman"/>
                <w:sz w:val="20"/>
                <w:szCs w:val="20"/>
              </w:rPr>
            </w:pPr>
            <w:r w:rsidRPr="00837F9C">
              <w:rPr>
                <w:rFonts w:ascii="Times New Roman" w:hAnsi="Times New Roman" w:cs="Times New Roman"/>
                <w:bCs/>
                <w:sz w:val="20"/>
                <w:szCs w:val="20"/>
              </w:rPr>
              <w:t>-</w:t>
            </w:r>
            <w:r>
              <w:rPr>
                <w:rFonts w:ascii="Times New Roman" w:hAnsi="Times New Roman" w:cs="Times New Roman"/>
                <w:bCs/>
                <w:sz w:val="20"/>
                <w:szCs w:val="20"/>
              </w:rPr>
              <w:t>0.289</w:t>
            </w:r>
          </w:p>
        </w:tc>
        <w:tc>
          <w:tcPr>
            <w:tcW w:w="995" w:type="dxa"/>
            <w:tcBorders>
              <w:top w:val="nil"/>
              <w:left w:val="single" w:sz="4" w:space="0" w:color="auto"/>
              <w:bottom w:val="nil"/>
              <w:right w:val="double" w:sz="4" w:space="0" w:color="auto"/>
            </w:tcBorders>
            <w:shd w:val="clear" w:color="auto" w:fill="auto"/>
            <w:noWrap/>
            <w:vAlign w:val="center"/>
          </w:tcPr>
          <w:p w14:paraId="606F93C9" w14:textId="31DD1788" w:rsidR="00F07FF8" w:rsidRPr="00837F9C" w:rsidRDefault="00F07FF8" w:rsidP="00B24C81">
            <w:pPr>
              <w:spacing w:after="0" w:line="240" w:lineRule="auto"/>
              <w:jc w:val="right"/>
              <w:rPr>
                <w:rFonts w:ascii="Times New Roman" w:eastAsia="Times New Roman" w:hAnsi="Times New Roman" w:cs="Times New Roman"/>
                <w:sz w:val="20"/>
                <w:szCs w:val="20"/>
              </w:rPr>
            </w:pPr>
            <w:r>
              <w:rPr>
                <w:rFonts w:ascii="Times New Roman" w:hAnsi="Times New Roman" w:cs="Times New Roman"/>
                <w:bCs/>
                <w:sz w:val="20"/>
                <w:szCs w:val="20"/>
              </w:rPr>
              <w:t>-1.98</w:t>
            </w:r>
          </w:p>
        </w:tc>
        <w:tc>
          <w:tcPr>
            <w:tcW w:w="990" w:type="dxa"/>
            <w:tcBorders>
              <w:left w:val="double" w:sz="4" w:space="0" w:color="auto"/>
              <w:right w:val="single" w:sz="4" w:space="0" w:color="auto"/>
            </w:tcBorders>
            <w:vAlign w:val="center"/>
          </w:tcPr>
          <w:p w14:paraId="39F656B0" w14:textId="55D87ABC" w:rsidR="00F07FF8" w:rsidRPr="00837F9C" w:rsidRDefault="00F07FF8" w:rsidP="00B24C81">
            <w:pPr>
              <w:spacing w:after="0" w:line="240" w:lineRule="auto"/>
              <w:jc w:val="right"/>
              <w:rPr>
                <w:rFonts w:ascii="Times New Roman" w:hAnsi="Times New Roman" w:cs="Times New Roman"/>
                <w:bCs/>
                <w:sz w:val="20"/>
                <w:szCs w:val="20"/>
              </w:rPr>
            </w:pPr>
            <w:r w:rsidRPr="00837F9C">
              <w:rPr>
                <w:rFonts w:ascii="Times New Roman" w:hAnsi="Times New Roman" w:cs="Times New Roman"/>
                <w:bCs/>
                <w:sz w:val="20"/>
                <w:szCs w:val="20"/>
              </w:rPr>
              <w:t>-</w:t>
            </w:r>
            <w:r>
              <w:rPr>
                <w:rFonts w:ascii="Times New Roman" w:hAnsi="Times New Roman" w:cs="Times New Roman"/>
                <w:bCs/>
                <w:sz w:val="20"/>
                <w:szCs w:val="20"/>
              </w:rPr>
              <w:t>0.289`</w:t>
            </w:r>
          </w:p>
        </w:tc>
        <w:tc>
          <w:tcPr>
            <w:tcW w:w="990" w:type="dxa"/>
            <w:tcBorders>
              <w:left w:val="single" w:sz="4" w:space="0" w:color="auto"/>
              <w:right w:val="double" w:sz="4" w:space="0" w:color="auto"/>
            </w:tcBorders>
            <w:vAlign w:val="center"/>
          </w:tcPr>
          <w:p w14:paraId="08E05F0D" w14:textId="1D1C01F7" w:rsidR="00F07FF8" w:rsidRPr="00837F9C"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-1.98</w:t>
            </w:r>
          </w:p>
        </w:tc>
        <w:tc>
          <w:tcPr>
            <w:tcW w:w="990" w:type="dxa"/>
            <w:tcBorders>
              <w:left w:val="double" w:sz="4" w:space="0" w:color="auto"/>
              <w:right w:val="single" w:sz="4" w:space="0" w:color="auto"/>
            </w:tcBorders>
            <w:vAlign w:val="center"/>
          </w:tcPr>
          <w:p w14:paraId="6DDDB1C4" w14:textId="568421FE" w:rsidR="00F07FF8" w:rsidRPr="00837F9C"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sz w:val="20"/>
                <w:szCs w:val="20"/>
              </w:rPr>
              <w:t>-0.289</w:t>
            </w:r>
          </w:p>
        </w:tc>
        <w:tc>
          <w:tcPr>
            <w:tcW w:w="990" w:type="dxa"/>
            <w:tcBorders>
              <w:left w:val="single" w:sz="4" w:space="0" w:color="auto"/>
              <w:right w:val="double" w:sz="4" w:space="0" w:color="auto"/>
            </w:tcBorders>
            <w:vAlign w:val="center"/>
          </w:tcPr>
          <w:p w14:paraId="6CBCF339" w14:textId="2618EF22" w:rsidR="00F07FF8" w:rsidRPr="00837F9C"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sz w:val="20"/>
                <w:szCs w:val="20"/>
              </w:rPr>
              <w:t>-1.98</w:t>
            </w:r>
          </w:p>
        </w:tc>
      </w:tr>
      <w:tr w:rsidR="00B24C81" w:rsidRPr="00837F9C" w14:paraId="2245B3DD"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5549ADC8" w14:textId="471DF6DB" w:rsidR="00F07FF8" w:rsidRPr="00837F9C" w:rsidRDefault="00F07FF8" w:rsidP="00B24C81">
            <w:pPr>
              <w:spacing w:after="0" w:line="240" w:lineRule="auto"/>
              <w:rPr>
                <w:rFonts w:ascii="Times New Roman" w:eastAsia="Times New Roman" w:hAnsi="Times New Roman" w:cs="Times New Roman"/>
                <w:b/>
                <w:sz w:val="20"/>
                <w:szCs w:val="20"/>
              </w:rPr>
            </w:pPr>
            <w:r w:rsidRPr="00837F9C">
              <w:rPr>
                <w:rFonts w:ascii="Times New Roman" w:eastAsia="Times New Roman" w:hAnsi="Times New Roman" w:cs="Times New Roman"/>
                <w:b/>
                <w:sz w:val="20"/>
                <w:szCs w:val="20"/>
              </w:rPr>
              <w:t>Household Type (</w:t>
            </w:r>
            <w:r>
              <w:rPr>
                <w:rFonts w:ascii="Times New Roman" w:eastAsia="Times New Roman" w:hAnsi="Times New Roman" w:cs="Times New Roman"/>
                <w:b/>
                <w:sz w:val="20"/>
                <w:szCs w:val="20"/>
              </w:rPr>
              <w:t xml:space="preserve">base: </w:t>
            </w:r>
            <w:r w:rsidRPr="00837F9C">
              <w:rPr>
                <w:rFonts w:ascii="Times New Roman" w:eastAsia="Times New Roman" w:hAnsi="Times New Roman" w:cs="Times New Roman"/>
                <w:b/>
                <w:sz w:val="20"/>
                <w:szCs w:val="20"/>
              </w:rPr>
              <w:t>not a stand-</w:t>
            </w:r>
            <w:r>
              <w:rPr>
                <w:rFonts w:ascii="Times New Roman" w:eastAsia="Times New Roman" w:hAnsi="Times New Roman" w:cs="Times New Roman"/>
                <w:b/>
                <w:sz w:val="20"/>
                <w:szCs w:val="20"/>
              </w:rPr>
              <w:t xml:space="preserve">alone home) </w:t>
            </w:r>
          </w:p>
        </w:tc>
        <w:tc>
          <w:tcPr>
            <w:tcW w:w="1081" w:type="dxa"/>
            <w:tcBorders>
              <w:top w:val="nil"/>
              <w:left w:val="double" w:sz="4" w:space="0" w:color="auto"/>
              <w:bottom w:val="nil"/>
              <w:right w:val="single" w:sz="4" w:space="0" w:color="auto"/>
            </w:tcBorders>
            <w:shd w:val="clear" w:color="auto" w:fill="auto"/>
            <w:noWrap/>
            <w:vAlign w:val="center"/>
          </w:tcPr>
          <w:p w14:paraId="069CC31A" w14:textId="77777777" w:rsidR="00F07FF8" w:rsidRPr="00837F9C" w:rsidRDefault="00F07FF8" w:rsidP="00B24C81">
            <w:pPr>
              <w:spacing w:after="0" w:line="240" w:lineRule="auto"/>
              <w:jc w:val="right"/>
              <w:rPr>
                <w:rFonts w:ascii="Times New Roman" w:hAnsi="Times New Roman" w:cs="Times New Roman"/>
                <w:sz w:val="20"/>
                <w:szCs w:val="20"/>
              </w:rPr>
            </w:pPr>
          </w:p>
        </w:tc>
        <w:tc>
          <w:tcPr>
            <w:tcW w:w="993" w:type="dxa"/>
            <w:tcBorders>
              <w:top w:val="nil"/>
              <w:left w:val="single" w:sz="4" w:space="0" w:color="auto"/>
              <w:bottom w:val="nil"/>
              <w:right w:val="double" w:sz="4" w:space="0" w:color="auto"/>
            </w:tcBorders>
            <w:shd w:val="clear" w:color="auto" w:fill="auto"/>
            <w:noWrap/>
            <w:vAlign w:val="center"/>
          </w:tcPr>
          <w:p w14:paraId="46F57012" w14:textId="77777777" w:rsidR="00F07FF8" w:rsidRPr="00837F9C" w:rsidRDefault="00F07FF8" w:rsidP="00B24C81">
            <w:pPr>
              <w:spacing w:after="0" w:line="240" w:lineRule="auto"/>
              <w:jc w:val="right"/>
              <w:rPr>
                <w:rFonts w:ascii="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0D94226"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bottom w:val="nil"/>
              <w:right w:val="double" w:sz="4" w:space="0" w:color="auto"/>
            </w:tcBorders>
            <w:shd w:val="clear" w:color="auto" w:fill="auto"/>
            <w:noWrap/>
            <w:vAlign w:val="center"/>
          </w:tcPr>
          <w:p w14:paraId="39CB7CF4"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236B1C05"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1B471BFA" w14:textId="03C7CF5F"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double" w:sz="4" w:space="0" w:color="auto"/>
              <w:right w:val="single" w:sz="4" w:space="0" w:color="auto"/>
            </w:tcBorders>
            <w:vAlign w:val="center"/>
          </w:tcPr>
          <w:p w14:paraId="23A6441C" w14:textId="77777777" w:rsidR="00F07FF8" w:rsidRPr="00837F9C" w:rsidRDefault="00F07FF8" w:rsidP="00B24C81">
            <w:pPr>
              <w:spacing w:after="0" w:line="240" w:lineRule="auto"/>
              <w:jc w:val="right"/>
              <w:rPr>
                <w:rFonts w:ascii="Times New Roman" w:hAnsi="Times New Roman" w:cs="Times New Roman"/>
                <w:bCs/>
                <w:sz w:val="20"/>
                <w:szCs w:val="20"/>
              </w:rPr>
            </w:pPr>
          </w:p>
        </w:tc>
        <w:tc>
          <w:tcPr>
            <w:tcW w:w="990" w:type="dxa"/>
            <w:tcBorders>
              <w:left w:val="single" w:sz="4" w:space="0" w:color="auto"/>
              <w:right w:val="double" w:sz="4" w:space="0" w:color="auto"/>
            </w:tcBorders>
            <w:vAlign w:val="center"/>
          </w:tcPr>
          <w:p w14:paraId="4CDF9BD4" w14:textId="79E364FD" w:rsidR="00F07FF8" w:rsidRPr="00837F9C" w:rsidRDefault="00F07FF8" w:rsidP="00B24C81">
            <w:pPr>
              <w:spacing w:after="0" w:line="240" w:lineRule="auto"/>
              <w:jc w:val="right"/>
              <w:rPr>
                <w:rFonts w:ascii="Times New Roman" w:hAnsi="Times New Roman" w:cs="Times New Roman"/>
                <w:bCs/>
                <w:sz w:val="20"/>
                <w:szCs w:val="20"/>
              </w:rPr>
            </w:pPr>
          </w:p>
        </w:tc>
      </w:tr>
      <w:tr w:rsidR="00B24C81" w:rsidRPr="00837F9C" w14:paraId="6BB18789"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6711E8A5" w14:textId="77777777" w:rsidR="00F07FF8" w:rsidRPr="00837F9C" w:rsidRDefault="00F07FF8" w:rsidP="00B24C81">
            <w:pPr>
              <w:spacing w:after="0" w:line="240" w:lineRule="auto"/>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 xml:space="preserve">  Stand-alone home</w:t>
            </w:r>
          </w:p>
        </w:tc>
        <w:tc>
          <w:tcPr>
            <w:tcW w:w="1081" w:type="dxa"/>
            <w:tcBorders>
              <w:top w:val="nil"/>
              <w:left w:val="double" w:sz="4" w:space="0" w:color="auto"/>
              <w:bottom w:val="nil"/>
              <w:right w:val="single" w:sz="4" w:space="0" w:color="auto"/>
            </w:tcBorders>
            <w:shd w:val="clear" w:color="auto" w:fill="auto"/>
            <w:noWrap/>
            <w:vAlign w:val="center"/>
          </w:tcPr>
          <w:p w14:paraId="3516E718" w14:textId="77777777" w:rsidR="00F07FF8" w:rsidRPr="00837F9C" w:rsidRDefault="00F07FF8" w:rsidP="00B24C81">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w:t>
            </w:r>
          </w:p>
        </w:tc>
        <w:tc>
          <w:tcPr>
            <w:tcW w:w="993" w:type="dxa"/>
            <w:tcBorders>
              <w:top w:val="nil"/>
              <w:left w:val="single" w:sz="4" w:space="0" w:color="auto"/>
              <w:bottom w:val="nil"/>
              <w:right w:val="double" w:sz="4" w:space="0" w:color="auto"/>
            </w:tcBorders>
            <w:shd w:val="clear" w:color="auto" w:fill="auto"/>
            <w:noWrap/>
            <w:vAlign w:val="center"/>
          </w:tcPr>
          <w:p w14:paraId="4AAC65CD" w14:textId="77777777" w:rsidR="00F07FF8" w:rsidRPr="00837F9C" w:rsidRDefault="00F07FF8" w:rsidP="00B24C81">
            <w:pPr>
              <w:spacing w:after="0" w:line="240" w:lineRule="auto"/>
              <w:jc w:val="right"/>
              <w:rPr>
                <w:rFonts w:ascii="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2CA3A65" w14:textId="63941323" w:rsidR="00F07FF8" w:rsidRPr="00837F9C" w:rsidRDefault="00F07FF8" w:rsidP="00B24C81">
            <w:pPr>
              <w:spacing w:after="0" w:line="240" w:lineRule="auto"/>
              <w:jc w:val="right"/>
              <w:rPr>
                <w:rFonts w:ascii="Times New Roman" w:eastAsia="Times New Roman" w:hAnsi="Times New Roman" w:cs="Times New Roman"/>
                <w:sz w:val="20"/>
                <w:szCs w:val="20"/>
              </w:rPr>
            </w:pPr>
            <w:r>
              <w:rPr>
                <w:rFonts w:ascii="Times New Roman" w:hAnsi="Times New Roman" w:cs="Times New Roman"/>
                <w:bCs/>
                <w:sz w:val="20"/>
                <w:szCs w:val="20"/>
              </w:rPr>
              <w:t>-0.337</w:t>
            </w:r>
          </w:p>
        </w:tc>
        <w:tc>
          <w:tcPr>
            <w:tcW w:w="995" w:type="dxa"/>
            <w:tcBorders>
              <w:top w:val="nil"/>
              <w:left w:val="single" w:sz="4" w:space="0" w:color="auto"/>
              <w:bottom w:val="nil"/>
              <w:right w:val="double" w:sz="4" w:space="0" w:color="auto"/>
            </w:tcBorders>
            <w:shd w:val="clear" w:color="auto" w:fill="auto"/>
            <w:noWrap/>
            <w:vAlign w:val="center"/>
          </w:tcPr>
          <w:p w14:paraId="332F1520" w14:textId="458140F5" w:rsidR="00F07FF8" w:rsidRPr="00837F9C" w:rsidRDefault="00F07FF8" w:rsidP="00B24C81">
            <w:pPr>
              <w:spacing w:after="0" w:line="240" w:lineRule="auto"/>
              <w:jc w:val="right"/>
              <w:rPr>
                <w:rFonts w:ascii="Times New Roman" w:eastAsia="Times New Roman" w:hAnsi="Times New Roman" w:cs="Times New Roman"/>
                <w:sz w:val="20"/>
                <w:szCs w:val="20"/>
              </w:rPr>
            </w:pPr>
            <w:r>
              <w:rPr>
                <w:rFonts w:ascii="Times New Roman" w:hAnsi="Times New Roman" w:cs="Times New Roman"/>
                <w:bCs/>
                <w:sz w:val="20"/>
                <w:szCs w:val="20"/>
              </w:rPr>
              <w:t>-2.15</w:t>
            </w:r>
          </w:p>
        </w:tc>
        <w:tc>
          <w:tcPr>
            <w:tcW w:w="990" w:type="dxa"/>
            <w:tcBorders>
              <w:left w:val="double" w:sz="4" w:space="0" w:color="auto"/>
              <w:right w:val="single" w:sz="4" w:space="0" w:color="auto"/>
            </w:tcBorders>
            <w:vAlign w:val="center"/>
          </w:tcPr>
          <w:p w14:paraId="64289422" w14:textId="259AA75F" w:rsidR="00F07FF8"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-0.337</w:t>
            </w:r>
          </w:p>
        </w:tc>
        <w:tc>
          <w:tcPr>
            <w:tcW w:w="990" w:type="dxa"/>
            <w:tcBorders>
              <w:left w:val="single" w:sz="4" w:space="0" w:color="auto"/>
              <w:right w:val="double" w:sz="4" w:space="0" w:color="auto"/>
            </w:tcBorders>
            <w:vAlign w:val="center"/>
          </w:tcPr>
          <w:p w14:paraId="00F40062" w14:textId="3913ADF2" w:rsidR="00F07FF8"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-2.15</w:t>
            </w:r>
          </w:p>
        </w:tc>
        <w:tc>
          <w:tcPr>
            <w:tcW w:w="990" w:type="dxa"/>
            <w:tcBorders>
              <w:left w:val="double" w:sz="4" w:space="0" w:color="auto"/>
              <w:right w:val="single" w:sz="4" w:space="0" w:color="auto"/>
            </w:tcBorders>
            <w:vAlign w:val="center"/>
          </w:tcPr>
          <w:p w14:paraId="61B1B7C1" w14:textId="4304ECDD" w:rsidR="00F07FF8" w:rsidRDefault="00F07FF8" w:rsidP="00B24C81">
            <w:pPr>
              <w:spacing w:after="0" w:line="240" w:lineRule="auto"/>
              <w:jc w:val="right"/>
              <w:rPr>
                <w:rFonts w:ascii="Times New Roman" w:hAnsi="Times New Roman" w:cs="Times New Roman"/>
                <w:bCs/>
                <w:sz w:val="20"/>
                <w:szCs w:val="20"/>
              </w:rPr>
            </w:pPr>
            <w:r w:rsidRPr="00837F9C">
              <w:rPr>
                <w:rFonts w:ascii="Times New Roman" w:hAnsi="Times New Roman" w:cs="Times New Roman"/>
                <w:sz w:val="20"/>
                <w:szCs w:val="20"/>
              </w:rPr>
              <w:t>-</w:t>
            </w:r>
            <w:r>
              <w:rPr>
                <w:rFonts w:ascii="Times New Roman" w:hAnsi="Times New Roman" w:cs="Times New Roman"/>
                <w:sz w:val="20"/>
                <w:szCs w:val="20"/>
              </w:rPr>
              <w:t>0.337</w:t>
            </w:r>
          </w:p>
        </w:tc>
        <w:tc>
          <w:tcPr>
            <w:tcW w:w="990" w:type="dxa"/>
            <w:tcBorders>
              <w:left w:val="single" w:sz="4" w:space="0" w:color="auto"/>
              <w:right w:val="double" w:sz="4" w:space="0" w:color="auto"/>
            </w:tcBorders>
            <w:vAlign w:val="center"/>
          </w:tcPr>
          <w:p w14:paraId="303597F7" w14:textId="2EFFACDC" w:rsidR="00F07FF8" w:rsidRDefault="00F07FF8" w:rsidP="00B24C81">
            <w:pPr>
              <w:spacing w:after="0" w:line="240" w:lineRule="auto"/>
              <w:jc w:val="right"/>
              <w:rPr>
                <w:rFonts w:ascii="Times New Roman" w:hAnsi="Times New Roman" w:cs="Times New Roman"/>
                <w:bCs/>
                <w:sz w:val="20"/>
                <w:szCs w:val="20"/>
              </w:rPr>
            </w:pPr>
            <w:r>
              <w:rPr>
                <w:rFonts w:ascii="Times New Roman" w:hAnsi="Times New Roman" w:cs="Times New Roman"/>
                <w:sz w:val="20"/>
                <w:szCs w:val="20"/>
              </w:rPr>
              <w:t>-2.15</w:t>
            </w:r>
          </w:p>
        </w:tc>
      </w:tr>
      <w:tr w:rsidR="00B24C81" w:rsidRPr="00837F9C" w14:paraId="61440D94" w14:textId="77777777" w:rsidTr="00DA63C4">
        <w:trPr>
          <w:trHeight w:val="288"/>
        </w:trPr>
        <w:tc>
          <w:tcPr>
            <w:tcW w:w="4746" w:type="dxa"/>
            <w:tcBorders>
              <w:top w:val="nil"/>
              <w:left w:val="double" w:sz="4" w:space="0" w:color="auto"/>
              <w:right w:val="double" w:sz="4" w:space="0" w:color="auto"/>
            </w:tcBorders>
            <w:shd w:val="clear" w:color="auto" w:fill="auto"/>
            <w:noWrap/>
            <w:vAlign w:val="center"/>
          </w:tcPr>
          <w:p w14:paraId="14A979F3" w14:textId="77777777" w:rsidR="00F07FF8" w:rsidRPr="00837F9C" w:rsidRDefault="00F07FF8" w:rsidP="00B24C81">
            <w:pPr>
              <w:spacing w:after="0" w:line="240" w:lineRule="auto"/>
              <w:rPr>
                <w:rFonts w:ascii="Times New Roman" w:eastAsia="Times New Roman" w:hAnsi="Times New Roman" w:cs="Times New Roman"/>
                <w:b/>
                <w:bCs/>
                <w:i/>
                <w:iCs/>
                <w:sz w:val="20"/>
                <w:szCs w:val="20"/>
              </w:rPr>
            </w:pPr>
            <w:r w:rsidRPr="00837F9C">
              <w:rPr>
                <w:rFonts w:ascii="Times New Roman" w:eastAsia="Times New Roman" w:hAnsi="Times New Roman" w:cs="Times New Roman"/>
                <w:b/>
                <w:bCs/>
                <w:i/>
                <w:iCs/>
                <w:sz w:val="20"/>
                <w:szCs w:val="20"/>
              </w:rPr>
              <w:t>COVID Threat</w:t>
            </w:r>
          </w:p>
        </w:tc>
        <w:tc>
          <w:tcPr>
            <w:tcW w:w="1081" w:type="dxa"/>
            <w:tcBorders>
              <w:top w:val="nil"/>
              <w:left w:val="double" w:sz="4" w:space="0" w:color="auto"/>
              <w:right w:val="single" w:sz="4" w:space="0" w:color="auto"/>
            </w:tcBorders>
            <w:shd w:val="clear" w:color="auto" w:fill="auto"/>
            <w:noWrap/>
            <w:vAlign w:val="center"/>
          </w:tcPr>
          <w:p w14:paraId="44B81766"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3" w:type="dxa"/>
            <w:tcBorders>
              <w:top w:val="nil"/>
              <w:left w:val="single" w:sz="4" w:space="0" w:color="auto"/>
              <w:right w:val="double" w:sz="4" w:space="0" w:color="auto"/>
            </w:tcBorders>
            <w:shd w:val="clear" w:color="auto" w:fill="auto"/>
            <w:noWrap/>
            <w:vAlign w:val="center"/>
          </w:tcPr>
          <w:p w14:paraId="65667FC4"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right w:val="single" w:sz="4" w:space="0" w:color="auto"/>
            </w:tcBorders>
            <w:shd w:val="clear" w:color="auto" w:fill="auto"/>
            <w:noWrap/>
            <w:vAlign w:val="center"/>
          </w:tcPr>
          <w:p w14:paraId="284068A2"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5" w:type="dxa"/>
            <w:tcBorders>
              <w:top w:val="nil"/>
              <w:left w:val="single" w:sz="4" w:space="0" w:color="auto"/>
              <w:right w:val="double" w:sz="4" w:space="0" w:color="auto"/>
            </w:tcBorders>
            <w:shd w:val="clear" w:color="auto" w:fill="auto"/>
            <w:noWrap/>
            <w:vAlign w:val="center"/>
          </w:tcPr>
          <w:p w14:paraId="49FACDF1"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75A90A81"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vAlign w:val="center"/>
          </w:tcPr>
          <w:p w14:paraId="6956FBC8" w14:textId="4213336F"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583E2217"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single" w:sz="4" w:space="0" w:color="auto"/>
              <w:right w:val="double" w:sz="4" w:space="0" w:color="auto"/>
            </w:tcBorders>
            <w:vAlign w:val="center"/>
          </w:tcPr>
          <w:p w14:paraId="73694F91" w14:textId="495836E1" w:rsidR="00F07FF8" w:rsidRPr="00837F9C" w:rsidRDefault="00F07FF8" w:rsidP="00B24C81">
            <w:pPr>
              <w:spacing w:after="0" w:line="240" w:lineRule="auto"/>
              <w:jc w:val="right"/>
              <w:rPr>
                <w:rFonts w:ascii="Times New Roman" w:eastAsia="Times New Roman" w:hAnsi="Times New Roman" w:cs="Times New Roman"/>
                <w:sz w:val="20"/>
                <w:szCs w:val="20"/>
              </w:rPr>
            </w:pPr>
          </w:p>
        </w:tc>
      </w:tr>
      <w:tr w:rsidR="00B24C81" w:rsidRPr="00837F9C" w14:paraId="1E2389A3" w14:textId="77777777" w:rsidTr="00DA63C4">
        <w:trPr>
          <w:trHeight w:val="288"/>
        </w:trPr>
        <w:tc>
          <w:tcPr>
            <w:tcW w:w="4746" w:type="dxa"/>
            <w:tcBorders>
              <w:top w:val="nil"/>
              <w:left w:val="double" w:sz="4" w:space="0" w:color="auto"/>
              <w:right w:val="double" w:sz="4" w:space="0" w:color="auto"/>
            </w:tcBorders>
            <w:shd w:val="clear" w:color="auto" w:fill="auto"/>
            <w:noWrap/>
            <w:vAlign w:val="center"/>
          </w:tcPr>
          <w:p w14:paraId="7C082848" w14:textId="299C1FA2" w:rsidR="00F07FF8" w:rsidRPr="00837F9C" w:rsidRDefault="00F07FF8" w:rsidP="00B24C81">
            <w:pPr>
              <w:spacing w:after="0" w:line="240" w:lineRule="auto"/>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837F9C">
              <w:rPr>
                <w:rFonts w:ascii="Times New Roman" w:eastAsia="Times New Roman" w:hAnsi="Times New Roman" w:cs="Times New Roman"/>
                <w:sz w:val="20"/>
                <w:szCs w:val="20"/>
              </w:rPr>
              <w:t>mmunocompromised</w:t>
            </w:r>
            <w:r w:rsidRPr="001D0B33">
              <w:rPr>
                <w:rFonts w:ascii="Times New Roman" w:eastAsia="Times New Roman" w:hAnsi="Times New Roman" w:cs="Times New Roman"/>
                <w:bCs/>
                <w:i/>
                <w:sz w:val="20"/>
                <w:szCs w:val="20"/>
              </w:rPr>
              <w:t xml:space="preserve"> COVID SHIFT</w:t>
            </w:r>
            <w:r>
              <w:rPr>
                <w:rFonts w:ascii="Times New Roman" w:eastAsia="Times New Roman" w:hAnsi="Times New Roman" w:cs="Times New Roman"/>
                <w:bCs/>
                <w:i/>
                <w:sz w:val="20"/>
                <w:szCs w:val="20"/>
              </w:rPr>
              <w:t xml:space="preserve"> </w:t>
            </w:r>
            <w:r w:rsidRPr="001D0B33">
              <w:rPr>
                <w:rFonts w:ascii="Times New Roman" w:eastAsia="Times New Roman" w:hAnsi="Times New Roman" w:cs="Times New Roman"/>
                <w:bCs/>
                <w:i/>
                <w:sz w:val="20"/>
                <w:szCs w:val="20"/>
              </w:rPr>
              <w:t>EFFECT</w:t>
            </w:r>
          </w:p>
        </w:tc>
        <w:tc>
          <w:tcPr>
            <w:tcW w:w="1081" w:type="dxa"/>
            <w:tcBorders>
              <w:top w:val="nil"/>
              <w:left w:val="double" w:sz="4" w:space="0" w:color="auto"/>
              <w:right w:val="single" w:sz="4" w:space="0" w:color="auto"/>
            </w:tcBorders>
            <w:shd w:val="clear" w:color="auto" w:fill="auto"/>
            <w:noWrap/>
            <w:vAlign w:val="center"/>
          </w:tcPr>
          <w:p w14:paraId="5FFE5F65"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0.232</w:t>
            </w:r>
          </w:p>
        </w:tc>
        <w:tc>
          <w:tcPr>
            <w:tcW w:w="993" w:type="dxa"/>
            <w:tcBorders>
              <w:top w:val="nil"/>
              <w:left w:val="single" w:sz="4" w:space="0" w:color="auto"/>
              <w:right w:val="double" w:sz="4" w:space="0" w:color="auto"/>
            </w:tcBorders>
            <w:shd w:val="clear" w:color="auto" w:fill="auto"/>
            <w:noWrap/>
            <w:vAlign w:val="center"/>
          </w:tcPr>
          <w:p w14:paraId="3C9E8EAB"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2.78</w:t>
            </w:r>
          </w:p>
        </w:tc>
        <w:tc>
          <w:tcPr>
            <w:tcW w:w="990" w:type="dxa"/>
            <w:tcBorders>
              <w:top w:val="nil"/>
              <w:left w:val="double" w:sz="4" w:space="0" w:color="auto"/>
              <w:right w:val="single" w:sz="4" w:space="0" w:color="auto"/>
            </w:tcBorders>
            <w:shd w:val="clear" w:color="auto" w:fill="auto"/>
            <w:noWrap/>
            <w:vAlign w:val="center"/>
          </w:tcPr>
          <w:p w14:paraId="29D3FBF5" w14:textId="42AF0EEA" w:rsidR="00F07FF8" w:rsidRPr="00837F9C" w:rsidRDefault="00F07FF8" w:rsidP="00B24C81">
            <w:pPr>
              <w:spacing w:after="0" w:line="240" w:lineRule="auto"/>
              <w:jc w:val="right"/>
              <w:rPr>
                <w:rFonts w:ascii="Times New Roman" w:eastAsia="Times New Roman" w:hAnsi="Times New Roman" w:cs="Times New Roman"/>
                <w:sz w:val="20"/>
                <w:szCs w:val="20"/>
              </w:rPr>
            </w:pPr>
            <w:r w:rsidRPr="00E1729F">
              <w:rPr>
                <w:rFonts w:ascii="Times New Roman" w:hAnsi="Times New Roman" w:cs="Times New Roman"/>
                <w:sz w:val="20"/>
                <w:szCs w:val="20"/>
              </w:rPr>
              <w:t>--</w:t>
            </w:r>
          </w:p>
        </w:tc>
        <w:tc>
          <w:tcPr>
            <w:tcW w:w="995" w:type="dxa"/>
            <w:tcBorders>
              <w:top w:val="nil"/>
              <w:left w:val="single" w:sz="4" w:space="0" w:color="auto"/>
              <w:right w:val="double" w:sz="4" w:space="0" w:color="auto"/>
            </w:tcBorders>
            <w:shd w:val="clear" w:color="auto" w:fill="auto"/>
            <w:noWrap/>
            <w:vAlign w:val="center"/>
          </w:tcPr>
          <w:p w14:paraId="4475A492" w14:textId="77777777" w:rsidR="00F07FF8" w:rsidRPr="00837F9C" w:rsidRDefault="00F07FF8"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49EDC7B4" w14:textId="21972DD8"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w:t>
            </w:r>
          </w:p>
        </w:tc>
        <w:tc>
          <w:tcPr>
            <w:tcW w:w="990" w:type="dxa"/>
            <w:tcBorders>
              <w:left w:val="single" w:sz="4" w:space="0" w:color="auto"/>
              <w:right w:val="double" w:sz="4" w:space="0" w:color="auto"/>
            </w:tcBorders>
            <w:vAlign w:val="center"/>
          </w:tcPr>
          <w:p w14:paraId="078C7A3E" w14:textId="19115B71" w:rsidR="00F07FF8" w:rsidRPr="00E1729F" w:rsidRDefault="00F07FF8" w:rsidP="00B24C81">
            <w:pPr>
              <w:spacing w:after="0" w:line="240" w:lineRule="auto"/>
              <w:jc w:val="right"/>
              <w:rPr>
                <w:rFonts w:ascii="Times New Roman" w:hAnsi="Times New Roman" w:cs="Times New Roman"/>
                <w:sz w:val="20"/>
                <w:szCs w:val="20"/>
              </w:rPr>
            </w:pPr>
          </w:p>
        </w:tc>
        <w:tc>
          <w:tcPr>
            <w:tcW w:w="990" w:type="dxa"/>
            <w:tcBorders>
              <w:left w:val="double" w:sz="4" w:space="0" w:color="auto"/>
              <w:right w:val="single" w:sz="4" w:space="0" w:color="auto"/>
            </w:tcBorders>
            <w:vAlign w:val="center"/>
          </w:tcPr>
          <w:p w14:paraId="2099DA4B" w14:textId="3FC67A9B" w:rsidR="00F07FF8" w:rsidRPr="00E1729F" w:rsidRDefault="00F07FF8" w:rsidP="00B24C81">
            <w:pPr>
              <w:spacing w:after="0" w:line="240" w:lineRule="auto"/>
              <w:jc w:val="right"/>
              <w:rPr>
                <w:rFonts w:ascii="Times New Roman" w:hAnsi="Times New Roman" w:cs="Times New Roman"/>
                <w:sz w:val="20"/>
                <w:szCs w:val="20"/>
              </w:rPr>
            </w:pPr>
            <w:r w:rsidRPr="00837F9C">
              <w:rPr>
                <w:rFonts w:ascii="Times New Roman" w:eastAsia="Times New Roman" w:hAnsi="Times New Roman" w:cs="Times New Roman"/>
                <w:sz w:val="20"/>
                <w:szCs w:val="20"/>
              </w:rPr>
              <w:t>--</w:t>
            </w:r>
          </w:p>
        </w:tc>
        <w:tc>
          <w:tcPr>
            <w:tcW w:w="990" w:type="dxa"/>
            <w:tcBorders>
              <w:left w:val="single" w:sz="4" w:space="0" w:color="auto"/>
              <w:right w:val="double" w:sz="4" w:space="0" w:color="auto"/>
            </w:tcBorders>
            <w:vAlign w:val="center"/>
          </w:tcPr>
          <w:p w14:paraId="6A229CA9" w14:textId="235575ED" w:rsidR="00F07FF8" w:rsidRPr="00E1729F" w:rsidRDefault="00F07FF8" w:rsidP="00B24C81">
            <w:pPr>
              <w:spacing w:after="0" w:line="240" w:lineRule="auto"/>
              <w:jc w:val="right"/>
              <w:rPr>
                <w:rFonts w:ascii="Times New Roman" w:hAnsi="Times New Roman" w:cs="Times New Roman"/>
                <w:sz w:val="20"/>
                <w:szCs w:val="20"/>
              </w:rPr>
            </w:pPr>
          </w:p>
        </w:tc>
      </w:tr>
      <w:tr w:rsidR="00B24C81" w:rsidRPr="00837F9C" w14:paraId="4FA2BA52" w14:textId="77777777" w:rsidTr="00DA63C4">
        <w:trPr>
          <w:trHeight w:val="288"/>
        </w:trPr>
        <w:tc>
          <w:tcPr>
            <w:tcW w:w="4746" w:type="dxa"/>
            <w:tcBorders>
              <w:top w:val="nil"/>
              <w:left w:val="double" w:sz="4" w:space="0" w:color="auto"/>
              <w:right w:val="double" w:sz="4" w:space="0" w:color="auto"/>
            </w:tcBorders>
            <w:shd w:val="clear" w:color="auto" w:fill="auto"/>
            <w:noWrap/>
            <w:vAlign w:val="center"/>
          </w:tcPr>
          <w:p w14:paraId="19DC242C" w14:textId="07E86732" w:rsidR="00F07FF8" w:rsidRPr="00837F9C" w:rsidRDefault="00F07FF8" w:rsidP="00B24C81">
            <w:pPr>
              <w:spacing w:after="0" w:line="240" w:lineRule="auto"/>
              <w:rPr>
                <w:rFonts w:ascii="Times New Roman" w:eastAsia="Times New Roman" w:hAnsi="Times New Roman" w:cs="Times New Roman"/>
                <w:sz w:val="20"/>
                <w:szCs w:val="20"/>
              </w:rPr>
            </w:pPr>
            <w:r w:rsidRPr="00837F9C">
              <w:rPr>
                <w:rFonts w:ascii="Times New Roman" w:eastAsia="Times New Roman" w:hAnsi="Times New Roman" w:cs="Times New Roman"/>
                <w:b/>
                <w:bCs/>
                <w:i/>
                <w:iCs/>
                <w:sz w:val="20"/>
                <w:szCs w:val="20"/>
              </w:rPr>
              <w:t>Constant</w:t>
            </w:r>
          </w:p>
        </w:tc>
        <w:tc>
          <w:tcPr>
            <w:tcW w:w="1081" w:type="dxa"/>
            <w:tcBorders>
              <w:top w:val="nil"/>
              <w:left w:val="double" w:sz="4" w:space="0" w:color="auto"/>
              <w:right w:val="single" w:sz="4" w:space="0" w:color="auto"/>
            </w:tcBorders>
            <w:shd w:val="clear" w:color="auto" w:fill="auto"/>
            <w:noWrap/>
            <w:vAlign w:val="center"/>
          </w:tcPr>
          <w:p w14:paraId="2D646C93" w14:textId="79CBA6C0"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-0.638</w:t>
            </w:r>
          </w:p>
        </w:tc>
        <w:tc>
          <w:tcPr>
            <w:tcW w:w="993" w:type="dxa"/>
            <w:tcBorders>
              <w:top w:val="nil"/>
              <w:left w:val="single" w:sz="4" w:space="0" w:color="auto"/>
              <w:right w:val="double" w:sz="4" w:space="0" w:color="auto"/>
            </w:tcBorders>
            <w:shd w:val="clear" w:color="auto" w:fill="auto"/>
            <w:noWrap/>
            <w:vAlign w:val="center"/>
          </w:tcPr>
          <w:p w14:paraId="00A60CE9" w14:textId="14C91FCB"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-4.14</w:t>
            </w:r>
          </w:p>
        </w:tc>
        <w:tc>
          <w:tcPr>
            <w:tcW w:w="990" w:type="dxa"/>
            <w:tcBorders>
              <w:top w:val="nil"/>
              <w:left w:val="double" w:sz="4" w:space="0" w:color="auto"/>
              <w:right w:val="single" w:sz="4" w:space="0" w:color="auto"/>
            </w:tcBorders>
            <w:shd w:val="clear" w:color="auto" w:fill="auto"/>
            <w:noWrap/>
            <w:vAlign w:val="center"/>
          </w:tcPr>
          <w:p w14:paraId="7D4A0163" w14:textId="650156D2" w:rsidR="00F07FF8" w:rsidRPr="00837F9C" w:rsidRDefault="00C06EE0" w:rsidP="00B24C81">
            <w:pPr>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0.209</w:t>
            </w:r>
          </w:p>
        </w:tc>
        <w:tc>
          <w:tcPr>
            <w:tcW w:w="995" w:type="dxa"/>
            <w:tcBorders>
              <w:top w:val="nil"/>
              <w:left w:val="single" w:sz="4" w:space="0" w:color="auto"/>
              <w:right w:val="double" w:sz="4" w:space="0" w:color="auto"/>
            </w:tcBorders>
            <w:shd w:val="clear" w:color="auto" w:fill="auto"/>
            <w:noWrap/>
            <w:vAlign w:val="center"/>
          </w:tcPr>
          <w:p w14:paraId="1B241C65" w14:textId="12373B72" w:rsidR="00F07FF8" w:rsidRPr="00837F9C" w:rsidRDefault="00C06EE0" w:rsidP="00B24C81">
            <w:pPr>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1.43</w:t>
            </w:r>
          </w:p>
        </w:tc>
        <w:tc>
          <w:tcPr>
            <w:tcW w:w="990" w:type="dxa"/>
            <w:tcBorders>
              <w:left w:val="double" w:sz="4" w:space="0" w:color="auto"/>
              <w:right w:val="single" w:sz="4" w:space="0" w:color="auto"/>
            </w:tcBorders>
            <w:vAlign w:val="center"/>
          </w:tcPr>
          <w:p w14:paraId="7EDA558F" w14:textId="3C5A5C8F"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-1.255</w:t>
            </w:r>
          </w:p>
        </w:tc>
        <w:tc>
          <w:tcPr>
            <w:tcW w:w="990" w:type="dxa"/>
            <w:tcBorders>
              <w:left w:val="single" w:sz="4" w:space="0" w:color="auto"/>
              <w:right w:val="double" w:sz="4" w:space="0" w:color="auto"/>
            </w:tcBorders>
            <w:vAlign w:val="center"/>
          </w:tcPr>
          <w:p w14:paraId="5CD73BCB" w14:textId="719DA20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-4.08</w:t>
            </w:r>
          </w:p>
        </w:tc>
        <w:tc>
          <w:tcPr>
            <w:tcW w:w="990" w:type="dxa"/>
            <w:tcBorders>
              <w:left w:val="double" w:sz="4" w:space="0" w:color="auto"/>
              <w:right w:val="single" w:sz="4" w:space="0" w:color="auto"/>
            </w:tcBorders>
            <w:vAlign w:val="center"/>
          </w:tcPr>
          <w:p w14:paraId="62459AEE" w14:textId="475DDCB4"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-0.511</w:t>
            </w:r>
          </w:p>
        </w:tc>
        <w:tc>
          <w:tcPr>
            <w:tcW w:w="990" w:type="dxa"/>
            <w:tcBorders>
              <w:left w:val="single" w:sz="4" w:space="0" w:color="auto"/>
              <w:right w:val="double" w:sz="4" w:space="0" w:color="auto"/>
            </w:tcBorders>
            <w:vAlign w:val="center"/>
          </w:tcPr>
          <w:p w14:paraId="6D8C8FD5" w14:textId="76E8D076"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-0.98</w:t>
            </w:r>
          </w:p>
        </w:tc>
      </w:tr>
      <w:tr w:rsidR="00B24C81" w:rsidRPr="00837F9C" w14:paraId="215BC5B3" w14:textId="77777777" w:rsidTr="00DA63C4">
        <w:trPr>
          <w:trHeight w:val="288"/>
        </w:trPr>
        <w:tc>
          <w:tcPr>
            <w:tcW w:w="4746" w:type="dxa"/>
            <w:tcBorders>
              <w:top w:val="nil"/>
              <w:left w:val="double" w:sz="4" w:space="0" w:color="auto"/>
              <w:right w:val="double" w:sz="4" w:space="0" w:color="auto"/>
            </w:tcBorders>
            <w:shd w:val="clear" w:color="auto" w:fill="auto"/>
            <w:noWrap/>
            <w:vAlign w:val="center"/>
          </w:tcPr>
          <w:p w14:paraId="5463EF81" w14:textId="6EC88ABA" w:rsidR="00F07FF8" w:rsidRPr="00837F9C" w:rsidRDefault="00F07FF8" w:rsidP="00B24C81">
            <w:pPr>
              <w:spacing w:after="0" w:line="240" w:lineRule="auto"/>
              <w:rPr>
                <w:rFonts w:ascii="Times New Roman" w:eastAsia="Times New Roman" w:hAnsi="Times New Roman" w:cs="Times New Roman"/>
                <w:b/>
                <w:i/>
                <w:sz w:val="20"/>
                <w:szCs w:val="20"/>
              </w:rPr>
            </w:pPr>
            <w:r w:rsidRPr="00837F9C">
              <w:rPr>
                <w:rFonts w:ascii="Times New Roman" w:eastAsia="Times New Roman" w:hAnsi="Times New Roman" w:cs="Times New Roman"/>
                <w:b/>
                <w:i/>
                <w:sz w:val="20"/>
                <w:szCs w:val="20"/>
              </w:rPr>
              <w:t xml:space="preserve">Constant </w:t>
            </w:r>
            <w:r>
              <w:rPr>
                <w:rFonts w:ascii="Times New Roman" w:eastAsia="Times New Roman" w:hAnsi="Times New Roman" w:cs="Times New Roman"/>
                <w:b/>
                <w:i/>
                <w:sz w:val="20"/>
                <w:szCs w:val="20"/>
              </w:rPr>
              <w:t xml:space="preserve">Shift </w:t>
            </w:r>
            <w:r w:rsidRPr="00837F9C">
              <w:rPr>
                <w:rFonts w:ascii="Times New Roman" w:eastAsia="Times New Roman" w:hAnsi="Times New Roman" w:cs="Times New Roman"/>
                <w:b/>
                <w:i/>
                <w:sz w:val="20"/>
                <w:szCs w:val="20"/>
              </w:rPr>
              <w:t>Effect of the Pandemic</w:t>
            </w:r>
            <w:r w:rsidR="00727607">
              <w:rPr>
                <w:rFonts w:ascii="Times New Roman" w:eastAsia="Times New Roman" w:hAnsi="Times New Roman" w:cs="Times New Roman"/>
                <w:b/>
                <w:i/>
                <w:sz w:val="20"/>
                <w:szCs w:val="20"/>
              </w:rPr>
              <w:t xml:space="preserve"> </w:t>
            </w:r>
            <w:r w:rsidR="00727607" w:rsidRPr="00837F9C">
              <w:rPr>
                <w:rFonts w:ascii="Times New Roman" w:eastAsia="Times New Roman" w:hAnsi="Times New Roman" w:cs="Times New Roman"/>
                <w:b/>
                <w:bCs/>
                <w:i/>
                <w:iCs/>
                <w:sz w:val="20"/>
                <w:szCs w:val="20"/>
              </w:rPr>
              <w:t>Thresholds</w:t>
            </w:r>
            <w:r w:rsidR="00727607">
              <w:rPr>
                <w:rStyle w:val="FootnoteReference"/>
                <w:rFonts w:ascii="Times New Roman" w:eastAsia="Times New Roman" w:hAnsi="Times New Roman" w:cs="Times New Roman"/>
                <w:b/>
                <w:bCs/>
                <w:i/>
                <w:iCs/>
                <w:sz w:val="20"/>
                <w:szCs w:val="20"/>
              </w:rPr>
              <w:footnoteReference w:id="11"/>
            </w:r>
          </w:p>
        </w:tc>
        <w:tc>
          <w:tcPr>
            <w:tcW w:w="1081" w:type="dxa"/>
            <w:tcBorders>
              <w:top w:val="nil"/>
              <w:left w:val="double" w:sz="4" w:space="0" w:color="auto"/>
              <w:right w:val="single" w:sz="4" w:space="0" w:color="auto"/>
            </w:tcBorders>
            <w:shd w:val="clear" w:color="auto" w:fill="auto"/>
            <w:noWrap/>
            <w:vAlign w:val="center"/>
          </w:tcPr>
          <w:p w14:paraId="18E81809"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0.304</w:t>
            </w:r>
          </w:p>
        </w:tc>
        <w:tc>
          <w:tcPr>
            <w:tcW w:w="993" w:type="dxa"/>
            <w:tcBorders>
              <w:top w:val="nil"/>
              <w:left w:val="single" w:sz="4" w:space="0" w:color="auto"/>
              <w:right w:val="double" w:sz="4" w:space="0" w:color="auto"/>
            </w:tcBorders>
            <w:shd w:val="clear" w:color="auto" w:fill="auto"/>
            <w:noWrap/>
            <w:vAlign w:val="center"/>
          </w:tcPr>
          <w:p w14:paraId="1AEEC187" w14:textId="77777777"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2.21</w:t>
            </w:r>
          </w:p>
        </w:tc>
        <w:tc>
          <w:tcPr>
            <w:tcW w:w="990" w:type="dxa"/>
            <w:tcBorders>
              <w:top w:val="nil"/>
              <w:left w:val="double" w:sz="4" w:space="0" w:color="auto"/>
              <w:right w:val="single" w:sz="4" w:space="0" w:color="auto"/>
            </w:tcBorders>
            <w:shd w:val="clear" w:color="auto" w:fill="auto"/>
            <w:noWrap/>
            <w:vAlign w:val="center"/>
          </w:tcPr>
          <w:p w14:paraId="54830A9E" w14:textId="1D37C79C" w:rsidR="00F07FF8" w:rsidRPr="00E1729F" w:rsidRDefault="00C06EE0" w:rsidP="00B24C8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0.325</w:t>
            </w:r>
          </w:p>
        </w:tc>
        <w:tc>
          <w:tcPr>
            <w:tcW w:w="995" w:type="dxa"/>
            <w:tcBorders>
              <w:top w:val="nil"/>
              <w:left w:val="single" w:sz="4" w:space="0" w:color="auto"/>
              <w:right w:val="double" w:sz="4" w:space="0" w:color="auto"/>
            </w:tcBorders>
            <w:shd w:val="clear" w:color="auto" w:fill="auto"/>
            <w:noWrap/>
            <w:vAlign w:val="center"/>
          </w:tcPr>
          <w:p w14:paraId="423B408A" w14:textId="7DA14C9E" w:rsidR="00F07FF8" w:rsidRPr="00E1729F" w:rsidRDefault="00C06EE0" w:rsidP="00B24C8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r w:rsidR="00F07FF8" w:rsidRPr="00E1729F">
              <w:rPr>
                <w:rFonts w:ascii="Times New Roman" w:hAnsi="Times New Roman" w:cs="Times New Roman"/>
                <w:sz w:val="20"/>
                <w:szCs w:val="20"/>
              </w:rPr>
              <w:t>.</w:t>
            </w:r>
            <w:r>
              <w:rPr>
                <w:rFonts w:ascii="Times New Roman" w:hAnsi="Times New Roman" w:cs="Times New Roman"/>
                <w:sz w:val="20"/>
                <w:szCs w:val="20"/>
              </w:rPr>
              <w:t>57</w:t>
            </w:r>
          </w:p>
        </w:tc>
        <w:tc>
          <w:tcPr>
            <w:tcW w:w="990" w:type="dxa"/>
            <w:tcBorders>
              <w:left w:val="double" w:sz="4" w:space="0" w:color="auto"/>
              <w:right w:val="single" w:sz="4" w:space="0" w:color="auto"/>
            </w:tcBorders>
            <w:vAlign w:val="center"/>
          </w:tcPr>
          <w:p w14:paraId="235F72EF" w14:textId="5C922E5C"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-0.080</w:t>
            </w:r>
          </w:p>
        </w:tc>
        <w:tc>
          <w:tcPr>
            <w:tcW w:w="990" w:type="dxa"/>
            <w:tcBorders>
              <w:left w:val="single" w:sz="4" w:space="0" w:color="auto"/>
              <w:right w:val="double" w:sz="4" w:space="0" w:color="auto"/>
            </w:tcBorders>
            <w:vAlign w:val="center"/>
          </w:tcPr>
          <w:p w14:paraId="3A9982A4" w14:textId="6F09640C"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-0.39</w:t>
            </w:r>
          </w:p>
        </w:tc>
        <w:tc>
          <w:tcPr>
            <w:tcW w:w="990" w:type="dxa"/>
            <w:tcBorders>
              <w:left w:val="double" w:sz="4" w:space="0" w:color="auto"/>
              <w:right w:val="single" w:sz="4" w:space="0" w:color="auto"/>
            </w:tcBorders>
            <w:vAlign w:val="center"/>
          </w:tcPr>
          <w:p w14:paraId="6DD18E07" w14:textId="56501E63"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-0.448</w:t>
            </w:r>
          </w:p>
        </w:tc>
        <w:tc>
          <w:tcPr>
            <w:tcW w:w="990" w:type="dxa"/>
            <w:tcBorders>
              <w:left w:val="single" w:sz="4" w:space="0" w:color="auto"/>
              <w:right w:val="double" w:sz="4" w:space="0" w:color="auto"/>
            </w:tcBorders>
            <w:vAlign w:val="center"/>
          </w:tcPr>
          <w:p w14:paraId="1B0FDC4D" w14:textId="5AAAA9E2" w:rsidR="00F07FF8" w:rsidRPr="00E1729F" w:rsidRDefault="00F07FF8"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-0.95</w:t>
            </w:r>
          </w:p>
        </w:tc>
      </w:tr>
      <w:tr w:rsidR="00B24C81" w:rsidRPr="00837F9C" w14:paraId="1DA22E85"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2477F1D6" w14:textId="55C54462" w:rsidR="0054092B" w:rsidRPr="001D0B33" w:rsidRDefault="0054092B" w:rsidP="00B24C81">
            <w:pPr>
              <w:spacing w:after="0" w:line="240" w:lineRule="auto"/>
              <w:rPr>
                <w:rFonts w:ascii="Times New Roman" w:hAnsi="Times New Roman" w:cs="Times New Roman"/>
                <w:bCs/>
                <w:iCs/>
                <w:sz w:val="20"/>
                <w:szCs w:val="20"/>
              </w:rPr>
            </w:pPr>
            <w:r w:rsidRPr="001D0B33">
              <w:rPr>
                <w:rFonts w:ascii="Times New Roman" w:hAnsi="Times New Roman" w:cs="Times New Roman"/>
                <w:bCs/>
                <w:iCs/>
                <w:sz w:val="20"/>
                <w:szCs w:val="20"/>
              </w:rPr>
              <w:t>Few times per month – Once per week</w:t>
            </w:r>
          </w:p>
        </w:tc>
        <w:tc>
          <w:tcPr>
            <w:tcW w:w="1081" w:type="dxa"/>
            <w:tcBorders>
              <w:top w:val="nil"/>
              <w:left w:val="double" w:sz="4" w:space="0" w:color="auto"/>
              <w:bottom w:val="nil"/>
              <w:right w:val="single" w:sz="4" w:space="0" w:color="auto"/>
            </w:tcBorders>
            <w:shd w:val="clear" w:color="auto" w:fill="auto"/>
            <w:noWrap/>
            <w:vAlign w:val="center"/>
          </w:tcPr>
          <w:p w14:paraId="288551D8" w14:textId="77777777" w:rsidR="0054092B" w:rsidRPr="00837F9C" w:rsidRDefault="0054092B" w:rsidP="00B24C81">
            <w:pPr>
              <w:spacing w:after="0" w:line="240" w:lineRule="auto"/>
              <w:jc w:val="right"/>
              <w:rPr>
                <w:rFonts w:ascii="Times New Roman" w:hAnsi="Times New Roman" w:cs="Times New Roman"/>
                <w:sz w:val="20"/>
                <w:szCs w:val="20"/>
              </w:rPr>
            </w:pPr>
            <w:r w:rsidRPr="00837F9C">
              <w:rPr>
                <w:rFonts w:ascii="Times New Roman" w:hAnsi="Times New Roman" w:cs="Times New Roman"/>
                <w:sz w:val="20"/>
                <w:szCs w:val="20"/>
              </w:rPr>
              <w:t>NA</w:t>
            </w:r>
          </w:p>
        </w:tc>
        <w:tc>
          <w:tcPr>
            <w:tcW w:w="993" w:type="dxa"/>
            <w:tcBorders>
              <w:top w:val="nil"/>
              <w:left w:val="single" w:sz="4" w:space="0" w:color="auto"/>
              <w:bottom w:val="nil"/>
              <w:right w:val="double" w:sz="4" w:space="0" w:color="auto"/>
            </w:tcBorders>
            <w:shd w:val="clear" w:color="auto" w:fill="auto"/>
            <w:noWrap/>
            <w:vAlign w:val="center"/>
          </w:tcPr>
          <w:p w14:paraId="1DA1A0AA" w14:textId="77777777" w:rsidR="0054092B" w:rsidRPr="00837F9C" w:rsidRDefault="0054092B" w:rsidP="00B24C81">
            <w:pPr>
              <w:spacing w:after="0" w:line="240" w:lineRule="auto"/>
              <w:jc w:val="right"/>
              <w:rPr>
                <w:rFonts w:ascii="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C9D6163" w14:textId="1EA85763" w:rsidR="0054092B" w:rsidRPr="00E1729F" w:rsidRDefault="0054092B" w:rsidP="00B24C8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0.000</w:t>
            </w:r>
          </w:p>
        </w:tc>
        <w:tc>
          <w:tcPr>
            <w:tcW w:w="995" w:type="dxa"/>
            <w:tcBorders>
              <w:top w:val="nil"/>
              <w:left w:val="single" w:sz="4" w:space="0" w:color="auto"/>
              <w:bottom w:val="nil"/>
              <w:right w:val="double" w:sz="4" w:space="0" w:color="auto"/>
            </w:tcBorders>
            <w:shd w:val="clear" w:color="auto" w:fill="auto"/>
            <w:noWrap/>
            <w:vAlign w:val="center"/>
          </w:tcPr>
          <w:p w14:paraId="1CAE05AF" w14:textId="4F0C8703" w:rsidR="0054092B" w:rsidRPr="00E1729F" w:rsidRDefault="0054092B"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w:t>
            </w:r>
          </w:p>
        </w:tc>
        <w:tc>
          <w:tcPr>
            <w:tcW w:w="990" w:type="dxa"/>
            <w:tcBorders>
              <w:left w:val="double" w:sz="4" w:space="0" w:color="auto"/>
              <w:right w:val="single" w:sz="4" w:space="0" w:color="auto"/>
            </w:tcBorders>
            <w:vAlign w:val="center"/>
          </w:tcPr>
          <w:p w14:paraId="166F5C45" w14:textId="60442ED9"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right w:val="double" w:sz="4" w:space="0" w:color="auto"/>
            </w:tcBorders>
            <w:vAlign w:val="center"/>
          </w:tcPr>
          <w:p w14:paraId="520A4AF0" w14:textId="4F449E07" w:rsidR="0054092B" w:rsidRPr="00837F9C" w:rsidRDefault="0054092B"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0CA4D318" w14:textId="32C61C51"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right w:val="double" w:sz="4" w:space="0" w:color="auto"/>
            </w:tcBorders>
            <w:vAlign w:val="center"/>
          </w:tcPr>
          <w:p w14:paraId="1B576F09" w14:textId="32A204F4" w:rsidR="0054092B" w:rsidRPr="00837F9C" w:rsidRDefault="0054092B" w:rsidP="00B24C81">
            <w:pPr>
              <w:spacing w:after="0" w:line="240" w:lineRule="auto"/>
              <w:jc w:val="right"/>
              <w:rPr>
                <w:rFonts w:ascii="Times New Roman" w:eastAsia="Times New Roman" w:hAnsi="Times New Roman" w:cs="Times New Roman"/>
                <w:sz w:val="20"/>
                <w:szCs w:val="20"/>
              </w:rPr>
            </w:pPr>
          </w:p>
        </w:tc>
      </w:tr>
      <w:tr w:rsidR="00B24C81" w:rsidRPr="00837F9C" w14:paraId="5EF2D097" w14:textId="77777777" w:rsidTr="00DA63C4">
        <w:trPr>
          <w:trHeight w:val="288"/>
        </w:trPr>
        <w:tc>
          <w:tcPr>
            <w:tcW w:w="4746" w:type="dxa"/>
            <w:tcBorders>
              <w:top w:val="nil"/>
              <w:left w:val="double" w:sz="4" w:space="0" w:color="auto"/>
              <w:bottom w:val="nil"/>
              <w:right w:val="double" w:sz="4" w:space="0" w:color="auto"/>
            </w:tcBorders>
            <w:shd w:val="clear" w:color="auto" w:fill="auto"/>
            <w:noWrap/>
            <w:vAlign w:val="center"/>
          </w:tcPr>
          <w:p w14:paraId="71DF5AA3" w14:textId="1FC099A4" w:rsidR="0054092B" w:rsidRPr="001D0B33" w:rsidRDefault="0054092B" w:rsidP="00B24C81">
            <w:pPr>
              <w:spacing w:after="0" w:line="240" w:lineRule="auto"/>
              <w:rPr>
                <w:rFonts w:ascii="Times New Roman" w:hAnsi="Times New Roman" w:cs="Times New Roman"/>
                <w:bCs/>
                <w:iCs/>
                <w:sz w:val="20"/>
                <w:szCs w:val="20"/>
              </w:rPr>
            </w:pPr>
            <w:r w:rsidRPr="001D0B33">
              <w:rPr>
                <w:rFonts w:ascii="Times New Roman" w:hAnsi="Times New Roman" w:cs="Times New Roman"/>
                <w:bCs/>
                <w:iCs/>
                <w:sz w:val="20"/>
                <w:szCs w:val="20"/>
              </w:rPr>
              <w:t>Once per week – 2-4 days per week</w:t>
            </w:r>
          </w:p>
        </w:tc>
        <w:tc>
          <w:tcPr>
            <w:tcW w:w="1081" w:type="dxa"/>
            <w:tcBorders>
              <w:top w:val="nil"/>
              <w:left w:val="double" w:sz="4" w:space="0" w:color="auto"/>
              <w:bottom w:val="nil"/>
              <w:right w:val="single" w:sz="4" w:space="0" w:color="auto"/>
            </w:tcBorders>
            <w:shd w:val="clear" w:color="auto" w:fill="auto"/>
            <w:noWrap/>
            <w:vAlign w:val="center"/>
          </w:tcPr>
          <w:p w14:paraId="20A51381" w14:textId="77777777"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3" w:type="dxa"/>
            <w:tcBorders>
              <w:top w:val="nil"/>
              <w:left w:val="single" w:sz="4" w:space="0" w:color="auto"/>
              <w:bottom w:val="nil"/>
              <w:right w:val="double" w:sz="4" w:space="0" w:color="auto"/>
            </w:tcBorders>
            <w:shd w:val="clear" w:color="auto" w:fill="auto"/>
            <w:noWrap/>
            <w:vAlign w:val="center"/>
          </w:tcPr>
          <w:p w14:paraId="77EA121A" w14:textId="77777777" w:rsidR="0054092B" w:rsidRPr="00837F9C" w:rsidRDefault="0054092B"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69C57245" w14:textId="75436F4C" w:rsidR="0054092B" w:rsidRPr="00E1729F" w:rsidRDefault="0054092B"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0.</w:t>
            </w:r>
            <w:r>
              <w:rPr>
                <w:rFonts w:ascii="Times New Roman" w:hAnsi="Times New Roman" w:cs="Times New Roman"/>
                <w:sz w:val="20"/>
                <w:szCs w:val="20"/>
              </w:rPr>
              <w:t>357</w:t>
            </w:r>
          </w:p>
        </w:tc>
        <w:tc>
          <w:tcPr>
            <w:tcW w:w="995" w:type="dxa"/>
            <w:tcBorders>
              <w:top w:val="nil"/>
              <w:left w:val="single" w:sz="4" w:space="0" w:color="auto"/>
              <w:bottom w:val="nil"/>
              <w:right w:val="double" w:sz="4" w:space="0" w:color="auto"/>
            </w:tcBorders>
            <w:shd w:val="clear" w:color="auto" w:fill="auto"/>
            <w:noWrap/>
            <w:vAlign w:val="center"/>
          </w:tcPr>
          <w:p w14:paraId="56BDA099" w14:textId="3D0F61C7" w:rsidR="0054092B" w:rsidRPr="00E1729F" w:rsidRDefault="0054092B" w:rsidP="00B24C81">
            <w:pPr>
              <w:spacing w:after="0" w:line="240" w:lineRule="auto"/>
              <w:jc w:val="right"/>
              <w:rPr>
                <w:rFonts w:ascii="Times New Roman" w:hAnsi="Times New Roman" w:cs="Times New Roman"/>
                <w:sz w:val="20"/>
                <w:szCs w:val="20"/>
              </w:rPr>
            </w:pPr>
            <w:r w:rsidRPr="00E1729F">
              <w:rPr>
                <w:rFonts w:ascii="Times New Roman" w:hAnsi="Times New Roman" w:cs="Times New Roman"/>
                <w:sz w:val="20"/>
                <w:szCs w:val="20"/>
              </w:rPr>
              <w:t>1.</w:t>
            </w:r>
            <w:r>
              <w:rPr>
                <w:rFonts w:ascii="Times New Roman" w:hAnsi="Times New Roman" w:cs="Times New Roman"/>
                <w:sz w:val="20"/>
                <w:szCs w:val="20"/>
              </w:rPr>
              <w:t>74</w:t>
            </w:r>
          </w:p>
        </w:tc>
        <w:tc>
          <w:tcPr>
            <w:tcW w:w="990" w:type="dxa"/>
            <w:tcBorders>
              <w:left w:val="double" w:sz="4" w:space="0" w:color="auto"/>
              <w:right w:val="single" w:sz="4" w:space="0" w:color="auto"/>
            </w:tcBorders>
            <w:vAlign w:val="center"/>
          </w:tcPr>
          <w:p w14:paraId="6D2F6BBA" w14:textId="75390EF6"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right w:val="double" w:sz="4" w:space="0" w:color="auto"/>
            </w:tcBorders>
            <w:vAlign w:val="center"/>
          </w:tcPr>
          <w:p w14:paraId="75ADCC62" w14:textId="0AAEC104" w:rsidR="0054092B" w:rsidRPr="00837F9C" w:rsidRDefault="0054092B"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right w:val="single" w:sz="4" w:space="0" w:color="auto"/>
            </w:tcBorders>
            <w:vAlign w:val="center"/>
          </w:tcPr>
          <w:p w14:paraId="7517F1BE" w14:textId="28FFF4C5"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right w:val="double" w:sz="4" w:space="0" w:color="auto"/>
            </w:tcBorders>
            <w:vAlign w:val="center"/>
          </w:tcPr>
          <w:p w14:paraId="59EA1C77" w14:textId="1E3BBEEB" w:rsidR="0054092B" w:rsidRPr="00837F9C" w:rsidRDefault="0054092B" w:rsidP="00B24C81">
            <w:pPr>
              <w:spacing w:after="0" w:line="240" w:lineRule="auto"/>
              <w:jc w:val="right"/>
              <w:rPr>
                <w:rFonts w:ascii="Times New Roman" w:eastAsia="Times New Roman" w:hAnsi="Times New Roman" w:cs="Times New Roman"/>
                <w:sz w:val="20"/>
                <w:szCs w:val="20"/>
              </w:rPr>
            </w:pPr>
          </w:p>
        </w:tc>
      </w:tr>
      <w:tr w:rsidR="00B24C81" w:rsidRPr="00837F9C" w14:paraId="0846061B" w14:textId="77777777" w:rsidTr="00DA63C4">
        <w:trPr>
          <w:trHeight w:val="288"/>
        </w:trPr>
        <w:tc>
          <w:tcPr>
            <w:tcW w:w="4746" w:type="dxa"/>
            <w:tcBorders>
              <w:top w:val="nil"/>
              <w:left w:val="double" w:sz="4" w:space="0" w:color="auto"/>
              <w:bottom w:val="double" w:sz="4" w:space="0" w:color="auto"/>
              <w:right w:val="double" w:sz="4" w:space="0" w:color="auto"/>
            </w:tcBorders>
            <w:shd w:val="clear" w:color="auto" w:fill="auto"/>
            <w:noWrap/>
            <w:vAlign w:val="center"/>
          </w:tcPr>
          <w:p w14:paraId="243928F8" w14:textId="7B35126C" w:rsidR="0054092B" w:rsidRPr="001D0B33" w:rsidRDefault="0054092B" w:rsidP="00B24C81">
            <w:pPr>
              <w:spacing w:after="0" w:line="240" w:lineRule="auto"/>
              <w:rPr>
                <w:rFonts w:ascii="Times New Roman" w:hAnsi="Times New Roman" w:cs="Times New Roman"/>
                <w:bCs/>
                <w:iCs/>
                <w:sz w:val="20"/>
                <w:szCs w:val="20"/>
              </w:rPr>
            </w:pPr>
            <w:r w:rsidRPr="001D0B33">
              <w:rPr>
                <w:rFonts w:ascii="Times New Roman" w:hAnsi="Times New Roman" w:cs="Times New Roman"/>
                <w:bCs/>
                <w:iCs/>
                <w:sz w:val="20"/>
                <w:szCs w:val="20"/>
              </w:rPr>
              <w:t>2-4 days per week – 5 days per week</w:t>
            </w:r>
          </w:p>
        </w:tc>
        <w:tc>
          <w:tcPr>
            <w:tcW w:w="1081" w:type="dxa"/>
            <w:tcBorders>
              <w:top w:val="nil"/>
              <w:left w:val="double" w:sz="4" w:space="0" w:color="auto"/>
              <w:bottom w:val="double" w:sz="4" w:space="0" w:color="auto"/>
              <w:right w:val="single" w:sz="4" w:space="0" w:color="auto"/>
            </w:tcBorders>
            <w:shd w:val="clear" w:color="auto" w:fill="auto"/>
            <w:noWrap/>
            <w:vAlign w:val="center"/>
          </w:tcPr>
          <w:p w14:paraId="3FE56C17" w14:textId="77777777"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3" w:type="dxa"/>
            <w:tcBorders>
              <w:top w:val="nil"/>
              <w:left w:val="single" w:sz="4" w:space="0" w:color="auto"/>
              <w:bottom w:val="double" w:sz="4" w:space="0" w:color="auto"/>
              <w:right w:val="double" w:sz="4" w:space="0" w:color="auto"/>
            </w:tcBorders>
            <w:shd w:val="clear" w:color="auto" w:fill="auto"/>
            <w:noWrap/>
            <w:vAlign w:val="center"/>
          </w:tcPr>
          <w:p w14:paraId="5F707875" w14:textId="77777777" w:rsidR="0054092B" w:rsidRPr="00837F9C" w:rsidRDefault="0054092B" w:rsidP="00B24C81">
            <w:pPr>
              <w:spacing w:after="0" w:line="240" w:lineRule="auto"/>
              <w:jc w:val="right"/>
              <w:rPr>
                <w:rFonts w:ascii="Times New Roman" w:eastAsia="Times New Roman" w:hAnsi="Times New Roman" w:cs="Times New Roman"/>
                <w:sz w:val="20"/>
                <w:szCs w:val="20"/>
              </w:rPr>
            </w:pPr>
          </w:p>
        </w:tc>
        <w:tc>
          <w:tcPr>
            <w:tcW w:w="990" w:type="dxa"/>
            <w:tcBorders>
              <w:top w:val="nil"/>
              <w:left w:val="double" w:sz="4" w:space="0" w:color="auto"/>
              <w:bottom w:val="double" w:sz="4" w:space="0" w:color="auto"/>
              <w:right w:val="single" w:sz="4" w:space="0" w:color="auto"/>
            </w:tcBorders>
            <w:shd w:val="clear" w:color="auto" w:fill="auto"/>
            <w:noWrap/>
            <w:vAlign w:val="center"/>
          </w:tcPr>
          <w:p w14:paraId="78CA12FE" w14:textId="77270D69" w:rsidR="0054092B" w:rsidRPr="00E1729F" w:rsidRDefault="0054092B" w:rsidP="00B24C8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1.134</w:t>
            </w:r>
          </w:p>
        </w:tc>
        <w:tc>
          <w:tcPr>
            <w:tcW w:w="995" w:type="dxa"/>
            <w:tcBorders>
              <w:top w:val="nil"/>
              <w:left w:val="single" w:sz="4" w:space="0" w:color="auto"/>
              <w:bottom w:val="double" w:sz="4" w:space="0" w:color="auto"/>
              <w:right w:val="double" w:sz="4" w:space="0" w:color="auto"/>
            </w:tcBorders>
            <w:shd w:val="clear" w:color="auto" w:fill="auto"/>
            <w:noWrap/>
            <w:vAlign w:val="center"/>
          </w:tcPr>
          <w:p w14:paraId="7B478917" w14:textId="4F0AB9C3" w:rsidR="0054092B" w:rsidRPr="00E1729F" w:rsidRDefault="0054092B" w:rsidP="00B24C8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2.67</w:t>
            </w:r>
          </w:p>
        </w:tc>
        <w:tc>
          <w:tcPr>
            <w:tcW w:w="990" w:type="dxa"/>
            <w:tcBorders>
              <w:left w:val="double" w:sz="4" w:space="0" w:color="auto"/>
              <w:bottom w:val="double" w:sz="4" w:space="0" w:color="auto"/>
              <w:right w:val="single" w:sz="4" w:space="0" w:color="auto"/>
            </w:tcBorders>
            <w:vAlign w:val="center"/>
          </w:tcPr>
          <w:p w14:paraId="50F96544" w14:textId="7E5DF7B7"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bottom w:val="double" w:sz="4" w:space="0" w:color="auto"/>
              <w:right w:val="double" w:sz="4" w:space="0" w:color="auto"/>
            </w:tcBorders>
            <w:vAlign w:val="center"/>
          </w:tcPr>
          <w:p w14:paraId="75A2197B" w14:textId="315CD237" w:rsidR="0054092B" w:rsidRPr="00837F9C" w:rsidRDefault="0054092B" w:rsidP="00B24C81">
            <w:pPr>
              <w:spacing w:after="0" w:line="240" w:lineRule="auto"/>
              <w:jc w:val="right"/>
              <w:rPr>
                <w:rFonts w:ascii="Times New Roman" w:eastAsia="Times New Roman" w:hAnsi="Times New Roman" w:cs="Times New Roman"/>
                <w:sz w:val="20"/>
                <w:szCs w:val="20"/>
              </w:rPr>
            </w:pPr>
          </w:p>
        </w:tc>
        <w:tc>
          <w:tcPr>
            <w:tcW w:w="990" w:type="dxa"/>
            <w:tcBorders>
              <w:left w:val="double" w:sz="4" w:space="0" w:color="auto"/>
              <w:bottom w:val="double" w:sz="4" w:space="0" w:color="auto"/>
              <w:right w:val="single" w:sz="4" w:space="0" w:color="auto"/>
            </w:tcBorders>
            <w:vAlign w:val="center"/>
          </w:tcPr>
          <w:p w14:paraId="25288324" w14:textId="75F512A0" w:rsidR="0054092B" w:rsidRPr="00837F9C" w:rsidRDefault="0054092B" w:rsidP="00B24C81">
            <w:pPr>
              <w:spacing w:after="0" w:line="240" w:lineRule="auto"/>
              <w:jc w:val="right"/>
              <w:rPr>
                <w:rFonts w:ascii="Times New Roman" w:eastAsia="Times New Roman" w:hAnsi="Times New Roman" w:cs="Times New Roman"/>
                <w:sz w:val="20"/>
                <w:szCs w:val="20"/>
              </w:rPr>
            </w:pPr>
            <w:r w:rsidRPr="00837F9C">
              <w:rPr>
                <w:rFonts w:ascii="Times New Roman" w:eastAsia="Times New Roman" w:hAnsi="Times New Roman" w:cs="Times New Roman"/>
                <w:sz w:val="20"/>
                <w:szCs w:val="20"/>
              </w:rPr>
              <w:t>NA</w:t>
            </w:r>
          </w:p>
        </w:tc>
        <w:tc>
          <w:tcPr>
            <w:tcW w:w="990" w:type="dxa"/>
            <w:tcBorders>
              <w:left w:val="single" w:sz="4" w:space="0" w:color="auto"/>
              <w:bottom w:val="double" w:sz="4" w:space="0" w:color="auto"/>
              <w:right w:val="double" w:sz="4" w:space="0" w:color="auto"/>
            </w:tcBorders>
            <w:vAlign w:val="center"/>
          </w:tcPr>
          <w:p w14:paraId="567FF526" w14:textId="1EDD26DC" w:rsidR="0054092B" w:rsidRPr="00837F9C" w:rsidRDefault="0054092B" w:rsidP="00B24C81">
            <w:pPr>
              <w:spacing w:after="0" w:line="240" w:lineRule="auto"/>
              <w:jc w:val="right"/>
              <w:rPr>
                <w:rFonts w:ascii="Times New Roman" w:eastAsia="Times New Roman" w:hAnsi="Times New Roman" w:cs="Times New Roman"/>
                <w:sz w:val="20"/>
                <w:szCs w:val="20"/>
              </w:rPr>
            </w:pPr>
          </w:p>
        </w:tc>
      </w:tr>
    </w:tbl>
    <w:p w14:paraId="7BD2C08C" w14:textId="168DA8FA" w:rsidR="00D3630D" w:rsidRPr="00837F9C" w:rsidRDefault="00D3630D" w:rsidP="00E1729F">
      <w:pPr>
        <w:spacing w:after="0" w:line="276" w:lineRule="auto"/>
        <w:rPr>
          <w:rFonts w:ascii="Times New Roman" w:hAnsi="Times New Roman" w:cs="Times New Roman"/>
          <w:bCs/>
          <w:sz w:val="24"/>
          <w:szCs w:val="24"/>
        </w:rPr>
      </w:pPr>
    </w:p>
    <w:p w14:paraId="2F798D9E" w14:textId="77777777" w:rsidR="00813096" w:rsidRDefault="00813096" w:rsidP="00E1729F">
      <w:pPr>
        <w:spacing w:after="0" w:line="276" w:lineRule="auto"/>
        <w:rPr>
          <w:rFonts w:ascii="Times New Roman" w:hAnsi="Times New Roman" w:cs="Times New Roman"/>
          <w:bCs/>
          <w:sz w:val="24"/>
          <w:szCs w:val="24"/>
        </w:rPr>
        <w:sectPr w:rsidR="00813096" w:rsidSect="00E46C39">
          <w:pgSz w:w="15840" w:h="12240" w:orient="landscape" w:code="1"/>
          <w:pgMar w:top="1440" w:right="1440" w:bottom="1440" w:left="1440" w:header="720" w:footer="720" w:gutter="0"/>
          <w:cols w:space="720"/>
          <w:docGrid w:linePitch="360"/>
        </w:sectPr>
      </w:pPr>
    </w:p>
    <w:p w14:paraId="539835EE" w14:textId="41BBCC81" w:rsidR="00D3630D" w:rsidRPr="00837F9C" w:rsidRDefault="0056736F"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lastRenderedPageBreak/>
        <w:tab/>
        <w:t>As expected</w:t>
      </w:r>
      <w:r w:rsidR="00C27D67">
        <w:rPr>
          <w:rFonts w:ascii="Times New Roman" w:hAnsi="Times New Roman" w:cs="Times New Roman"/>
          <w:bCs/>
          <w:sz w:val="24"/>
          <w:szCs w:val="24"/>
        </w:rPr>
        <w:t xml:space="preserve"> (see, for example,</w:t>
      </w:r>
      <w:r w:rsidR="004F78F3">
        <w:rPr>
          <w:rFonts w:ascii="Times New Roman" w:hAnsi="Times New Roman" w:cs="Times New Roman"/>
          <w:bCs/>
          <w:sz w:val="24"/>
          <w:szCs w:val="24"/>
        </w:rPr>
        <w:t xml:space="preserve"> </w:t>
      </w:r>
      <w:r w:rsidR="00A717B2" w:rsidRPr="00B42E2E">
        <w:rPr>
          <w:rFonts w:ascii="Times New Roman" w:hAnsi="Times New Roman" w:cs="Times New Roman"/>
          <w:sz w:val="24"/>
          <w:szCs w:val="24"/>
        </w:rPr>
        <w:t>Tahlyan et al.</w:t>
      </w:r>
      <w:r w:rsidR="00A717B2">
        <w:rPr>
          <w:rFonts w:ascii="Times New Roman" w:hAnsi="Times New Roman" w:cs="Times New Roman"/>
          <w:sz w:val="24"/>
          <w:szCs w:val="24"/>
        </w:rPr>
        <w:t xml:space="preserve">, </w:t>
      </w:r>
      <w:r w:rsidR="00A717B2" w:rsidRPr="00B42E2E">
        <w:rPr>
          <w:rFonts w:ascii="Times New Roman" w:hAnsi="Times New Roman" w:cs="Times New Roman"/>
          <w:sz w:val="24"/>
          <w:szCs w:val="24"/>
        </w:rPr>
        <w:t>2022</w:t>
      </w:r>
      <w:r w:rsidR="00A717B2" w:rsidRPr="00B42E2E">
        <w:rPr>
          <w:rFonts w:ascii="Times New Roman" w:hAnsi="Times New Roman" w:cs="Times New Roman"/>
          <w:bCs/>
          <w:sz w:val="24"/>
          <w:szCs w:val="24"/>
        </w:rPr>
        <w:t>),</w:t>
      </w:r>
      <w:r w:rsidR="00A717B2">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workers in the higher income groups </w:t>
      </w:r>
      <w:r w:rsidR="004F78F3">
        <w:rPr>
          <w:rFonts w:ascii="Times New Roman" w:hAnsi="Times New Roman" w:cs="Times New Roman"/>
          <w:bCs/>
          <w:sz w:val="24"/>
          <w:szCs w:val="24"/>
        </w:rPr>
        <w:t xml:space="preserve">($100K or higher) </w:t>
      </w:r>
      <w:r w:rsidRPr="00837F9C">
        <w:rPr>
          <w:rFonts w:ascii="Times New Roman" w:hAnsi="Times New Roman" w:cs="Times New Roman"/>
          <w:bCs/>
          <w:sz w:val="24"/>
          <w:szCs w:val="24"/>
        </w:rPr>
        <w:t>are more likely to tele</w:t>
      </w:r>
      <w:r w:rsidR="004F78F3">
        <w:rPr>
          <w:rFonts w:ascii="Times New Roman" w:hAnsi="Times New Roman" w:cs="Times New Roman"/>
          <w:bCs/>
          <w:sz w:val="24"/>
          <w:szCs w:val="24"/>
        </w:rPr>
        <w:t>work than their lower income (&lt;$100K) peers</w:t>
      </w:r>
      <w:r w:rsidRPr="00837F9C">
        <w:rPr>
          <w:rFonts w:ascii="Times New Roman" w:hAnsi="Times New Roman" w:cs="Times New Roman"/>
          <w:bCs/>
          <w:sz w:val="24"/>
          <w:szCs w:val="24"/>
        </w:rPr>
        <w:t>; however, there is no COVID shift effect</w:t>
      </w:r>
      <w:r w:rsidR="008C058A" w:rsidRPr="00837F9C">
        <w:rPr>
          <w:rFonts w:ascii="Times New Roman" w:hAnsi="Times New Roman" w:cs="Times New Roman"/>
          <w:bCs/>
          <w:sz w:val="24"/>
          <w:szCs w:val="24"/>
        </w:rPr>
        <w:t xml:space="preserve"> for this variable</w:t>
      </w:r>
      <w:r w:rsidRPr="00837F9C">
        <w:rPr>
          <w:rFonts w:ascii="Times New Roman" w:hAnsi="Times New Roman" w:cs="Times New Roman"/>
          <w:bCs/>
          <w:sz w:val="24"/>
          <w:szCs w:val="24"/>
        </w:rPr>
        <w:t xml:space="preserve">, suggesting that </w:t>
      </w:r>
      <w:r w:rsidR="00C27D67">
        <w:rPr>
          <w:rFonts w:ascii="Times New Roman" w:hAnsi="Times New Roman" w:cs="Times New Roman"/>
          <w:bCs/>
          <w:sz w:val="24"/>
          <w:szCs w:val="24"/>
        </w:rPr>
        <w:t xml:space="preserve">the relative </w:t>
      </w:r>
      <w:r w:rsidR="004F78F3">
        <w:rPr>
          <w:rFonts w:ascii="Times New Roman" w:hAnsi="Times New Roman" w:cs="Times New Roman"/>
          <w:bCs/>
          <w:sz w:val="24"/>
          <w:szCs w:val="24"/>
        </w:rPr>
        <w:t xml:space="preserve">propensities across income groups for </w:t>
      </w:r>
      <w:r w:rsidR="00C27D67">
        <w:rPr>
          <w:rFonts w:ascii="Times New Roman" w:hAnsi="Times New Roman" w:cs="Times New Roman"/>
          <w:bCs/>
          <w:sz w:val="24"/>
          <w:szCs w:val="24"/>
        </w:rPr>
        <w:t xml:space="preserve">telework adoption have not changed from earlier. </w:t>
      </w:r>
      <w:r w:rsidR="009C6903" w:rsidRPr="00837F9C">
        <w:rPr>
          <w:rFonts w:ascii="Times New Roman" w:hAnsi="Times New Roman" w:cs="Times New Roman"/>
          <w:bCs/>
          <w:sz w:val="24"/>
          <w:szCs w:val="24"/>
        </w:rPr>
        <w:t xml:space="preserve">Self-employed individuals, who presumably have greater flexibility in their work arrangements, </w:t>
      </w:r>
      <w:r w:rsidR="00C27D67">
        <w:rPr>
          <w:rFonts w:ascii="Times New Roman" w:hAnsi="Times New Roman" w:cs="Times New Roman"/>
          <w:bCs/>
          <w:sz w:val="24"/>
          <w:szCs w:val="24"/>
        </w:rPr>
        <w:t xml:space="preserve">in general </w:t>
      </w:r>
      <w:r w:rsidR="009C6903" w:rsidRPr="00837F9C">
        <w:rPr>
          <w:rFonts w:ascii="Times New Roman" w:hAnsi="Times New Roman" w:cs="Times New Roman"/>
          <w:bCs/>
          <w:sz w:val="24"/>
          <w:szCs w:val="24"/>
        </w:rPr>
        <w:t>tele</w:t>
      </w:r>
      <w:r w:rsidR="004F78F3">
        <w:rPr>
          <w:rFonts w:ascii="Times New Roman" w:hAnsi="Times New Roman" w:cs="Times New Roman"/>
          <w:bCs/>
          <w:sz w:val="24"/>
          <w:szCs w:val="24"/>
        </w:rPr>
        <w:t>worked</w:t>
      </w:r>
      <w:r w:rsidR="009C6903" w:rsidRPr="00837F9C">
        <w:rPr>
          <w:rFonts w:ascii="Times New Roman" w:hAnsi="Times New Roman" w:cs="Times New Roman"/>
          <w:bCs/>
          <w:sz w:val="24"/>
          <w:szCs w:val="24"/>
        </w:rPr>
        <w:t xml:space="preserve"> more than others </w:t>
      </w:r>
      <w:r w:rsidR="00C27D67">
        <w:rPr>
          <w:rFonts w:ascii="Times New Roman" w:hAnsi="Times New Roman" w:cs="Times New Roman"/>
          <w:bCs/>
          <w:sz w:val="24"/>
          <w:szCs w:val="24"/>
        </w:rPr>
        <w:t>before the pandemic</w:t>
      </w:r>
      <w:r w:rsidR="009C6903" w:rsidRPr="00837F9C">
        <w:rPr>
          <w:rFonts w:ascii="Times New Roman" w:hAnsi="Times New Roman" w:cs="Times New Roman"/>
          <w:bCs/>
          <w:sz w:val="24"/>
          <w:szCs w:val="24"/>
        </w:rPr>
        <w:t xml:space="preserve">; however, </w:t>
      </w:r>
      <w:r w:rsidR="00C27D67">
        <w:rPr>
          <w:rFonts w:ascii="Times New Roman" w:hAnsi="Times New Roman" w:cs="Times New Roman"/>
          <w:bCs/>
          <w:sz w:val="24"/>
          <w:szCs w:val="24"/>
        </w:rPr>
        <w:t xml:space="preserve">in the </w:t>
      </w:r>
      <w:r w:rsidR="00C27D67" w:rsidRPr="00EF49C0">
        <w:rPr>
          <w:rFonts w:ascii="Times New Roman" w:hAnsi="Times New Roman" w:cs="Times New Roman"/>
          <w:bCs/>
          <w:i/>
          <w:sz w:val="24"/>
          <w:szCs w:val="24"/>
        </w:rPr>
        <w:t>After</w:t>
      </w:r>
      <w:r w:rsidR="00C27D67">
        <w:rPr>
          <w:rFonts w:ascii="Times New Roman" w:hAnsi="Times New Roman" w:cs="Times New Roman"/>
          <w:bCs/>
          <w:sz w:val="24"/>
          <w:szCs w:val="24"/>
        </w:rPr>
        <w:t xml:space="preserve"> COVID period, the reverse seems to have taken hold, </w:t>
      </w:r>
      <w:r w:rsidR="009C6903" w:rsidRPr="00837F9C">
        <w:rPr>
          <w:rFonts w:ascii="Times New Roman" w:hAnsi="Times New Roman" w:cs="Times New Roman"/>
          <w:bCs/>
          <w:sz w:val="24"/>
          <w:szCs w:val="24"/>
        </w:rPr>
        <w:t xml:space="preserve">presumably because of </w:t>
      </w:r>
      <w:r w:rsidR="00C27D67">
        <w:rPr>
          <w:rFonts w:ascii="Times New Roman" w:hAnsi="Times New Roman" w:cs="Times New Roman"/>
          <w:bCs/>
          <w:sz w:val="24"/>
          <w:szCs w:val="24"/>
        </w:rPr>
        <w:t xml:space="preserve">a higher perceived </w:t>
      </w:r>
      <w:r w:rsidR="009C6903" w:rsidRPr="00837F9C">
        <w:rPr>
          <w:rFonts w:ascii="Times New Roman" w:hAnsi="Times New Roman" w:cs="Times New Roman"/>
          <w:bCs/>
          <w:sz w:val="24"/>
          <w:szCs w:val="24"/>
        </w:rPr>
        <w:t xml:space="preserve">need </w:t>
      </w:r>
      <w:r w:rsidR="00C27D67">
        <w:rPr>
          <w:rFonts w:ascii="Times New Roman" w:hAnsi="Times New Roman" w:cs="Times New Roman"/>
          <w:bCs/>
          <w:sz w:val="24"/>
          <w:szCs w:val="24"/>
        </w:rPr>
        <w:t xml:space="preserve">among those self-employed </w:t>
      </w:r>
      <w:r w:rsidR="009C6903" w:rsidRPr="00837F9C">
        <w:rPr>
          <w:rFonts w:ascii="Times New Roman" w:hAnsi="Times New Roman" w:cs="Times New Roman"/>
          <w:bCs/>
          <w:sz w:val="24"/>
          <w:szCs w:val="24"/>
        </w:rPr>
        <w:t>to resume face-to-face interactions with clients (</w:t>
      </w:r>
      <w:r w:rsidR="00560549" w:rsidRPr="00837F9C">
        <w:rPr>
          <w:rFonts w:ascii="Times New Roman" w:hAnsi="Times New Roman" w:cs="Times New Roman"/>
          <w:bCs/>
          <w:sz w:val="24"/>
          <w:szCs w:val="24"/>
        </w:rPr>
        <w:t>Ono and Mori, 2021</w:t>
      </w:r>
      <w:r w:rsidR="009C6903" w:rsidRPr="00837F9C">
        <w:rPr>
          <w:rFonts w:ascii="Times New Roman" w:hAnsi="Times New Roman" w:cs="Times New Roman"/>
          <w:bCs/>
          <w:sz w:val="24"/>
          <w:szCs w:val="24"/>
        </w:rPr>
        <w:t xml:space="preserve">). Part-time workers </w:t>
      </w:r>
      <w:r w:rsidR="00D10503">
        <w:rPr>
          <w:rFonts w:ascii="Times New Roman" w:hAnsi="Times New Roman" w:cs="Times New Roman"/>
          <w:bCs/>
          <w:sz w:val="24"/>
          <w:szCs w:val="24"/>
        </w:rPr>
        <w:t xml:space="preserve">(in terms of the number of days of work per month) </w:t>
      </w:r>
      <w:r w:rsidR="009C6903" w:rsidRPr="00837F9C">
        <w:rPr>
          <w:rFonts w:ascii="Times New Roman" w:hAnsi="Times New Roman" w:cs="Times New Roman"/>
          <w:bCs/>
          <w:sz w:val="24"/>
          <w:szCs w:val="24"/>
        </w:rPr>
        <w:t xml:space="preserve">are more likely to </w:t>
      </w:r>
      <w:r w:rsidR="00504125">
        <w:rPr>
          <w:rFonts w:ascii="Times New Roman" w:hAnsi="Times New Roman" w:cs="Times New Roman"/>
          <w:bCs/>
          <w:sz w:val="24"/>
          <w:szCs w:val="24"/>
        </w:rPr>
        <w:t xml:space="preserve">adopt </w:t>
      </w:r>
      <w:r w:rsidR="009C6903" w:rsidRPr="00837F9C">
        <w:rPr>
          <w:rFonts w:ascii="Times New Roman" w:hAnsi="Times New Roman" w:cs="Times New Roman"/>
          <w:bCs/>
          <w:sz w:val="24"/>
          <w:szCs w:val="24"/>
        </w:rPr>
        <w:t>tele</w:t>
      </w:r>
      <w:r w:rsidR="004F78F3">
        <w:rPr>
          <w:rFonts w:ascii="Times New Roman" w:hAnsi="Times New Roman" w:cs="Times New Roman"/>
          <w:bCs/>
          <w:sz w:val="24"/>
          <w:szCs w:val="24"/>
        </w:rPr>
        <w:t>work</w:t>
      </w:r>
      <w:r w:rsidR="00504125">
        <w:rPr>
          <w:rFonts w:ascii="Times New Roman" w:hAnsi="Times New Roman" w:cs="Times New Roman"/>
          <w:bCs/>
          <w:sz w:val="24"/>
          <w:szCs w:val="24"/>
        </w:rPr>
        <w:t xml:space="preserve"> </w:t>
      </w:r>
      <w:r w:rsidR="009C6903" w:rsidRPr="00837F9C">
        <w:rPr>
          <w:rFonts w:ascii="Times New Roman" w:hAnsi="Times New Roman" w:cs="Times New Roman"/>
          <w:bCs/>
          <w:sz w:val="24"/>
          <w:szCs w:val="24"/>
        </w:rPr>
        <w:t>due to the part-time flexible nature of their work. The occupation effects are all consistent with expectations</w:t>
      </w:r>
      <w:r w:rsidR="00C27D67">
        <w:rPr>
          <w:rFonts w:ascii="Times New Roman" w:hAnsi="Times New Roman" w:cs="Times New Roman"/>
          <w:bCs/>
          <w:sz w:val="24"/>
          <w:szCs w:val="24"/>
        </w:rPr>
        <w:t>,</w:t>
      </w:r>
      <w:r w:rsidR="009C6903" w:rsidRPr="00837F9C">
        <w:rPr>
          <w:rFonts w:ascii="Times New Roman" w:hAnsi="Times New Roman" w:cs="Times New Roman"/>
          <w:bCs/>
          <w:sz w:val="24"/>
          <w:szCs w:val="24"/>
        </w:rPr>
        <w:t xml:space="preserve"> with frontline occupations such as healthcare and education </w:t>
      </w:r>
      <w:r w:rsidR="00C27D67">
        <w:rPr>
          <w:rFonts w:ascii="Times New Roman" w:hAnsi="Times New Roman" w:cs="Times New Roman"/>
          <w:bCs/>
          <w:sz w:val="24"/>
          <w:szCs w:val="24"/>
        </w:rPr>
        <w:t>exhibiting</w:t>
      </w:r>
      <w:r w:rsidR="009C6903" w:rsidRPr="00837F9C">
        <w:rPr>
          <w:rFonts w:ascii="Times New Roman" w:hAnsi="Times New Roman" w:cs="Times New Roman"/>
          <w:bCs/>
          <w:sz w:val="24"/>
          <w:szCs w:val="24"/>
        </w:rPr>
        <w:t xml:space="preserve"> a lower likelihood of teleworking, while those in the information/finance occupation category more likely to tele</w:t>
      </w:r>
      <w:r w:rsidR="00FC5545">
        <w:rPr>
          <w:rFonts w:ascii="Times New Roman" w:hAnsi="Times New Roman" w:cs="Times New Roman"/>
          <w:bCs/>
          <w:sz w:val="24"/>
          <w:szCs w:val="24"/>
        </w:rPr>
        <w:t>work</w:t>
      </w:r>
      <w:r w:rsidR="009C6903" w:rsidRPr="00837F9C">
        <w:rPr>
          <w:rFonts w:ascii="Times New Roman" w:hAnsi="Times New Roman" w:cs="Times New Roman"/>
          <w:bCs/>
          <w:sz w:val="24"/>
          <w:szCs w:val="24"/>
        </w:rPr>
        <w:t xml:space="preserve"> (</w:t>
      </w:r>
      <w:r w:rsidR="00560549" w:rsidRPr="00E1729F">
        <w:rPr>
          <w:rFonts w:ascii="Times New Roman" w:hAnsi="Times New Roman" w:cs="Times New Roman"/>
          <w:sz w:val="24"/>
          <w:szCs w:val="24"/>
        </w:rPr>
        <w:t>Astroza et al., 2020</w:t>
      </w:r>
      <w:r w:rsidR="009C6903" w:rsidRPr="00837F9C">
        <w:rPr>
          <w:rFonts w:ascii="Times New Roman" w:hAnsi="Times New Roman" w:cs="Times New Roman"/>
          <w:bCs/>
          <w:sz w:val="24"/>
          <w:szCs w:val="24"/>
        </w:rPr>
        <w:t xml:space="preserve">). What is interesting to note is that a positive COVID shift effect is observed for the healthcare occupation; the higher telework propensity in the </w:t>
      </w:r>
      <w:r w:rsidR="00700FD4" w:rsidRPr="00700FD4">
        <w:rPr>
          <w:rFonts w:ascii="Times New Roman" w:hAnsi="Times New Roman" w:cs="Times New Roman"/>
          <w:bCs/>
          <w:i/>
          <w:sz w:val="24"/>
          <w:szCs w:val="24"/>
        </w:rPr>
        <w:t>A</w:t>
      </w:r>
      <w:r w:rsidR="009C6903" w:rsidRPr="00700FD4">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009C6903" w:rsidRPr="00DD5EAC">
        <w:rPr>
          <w:rFonts w:ascii="Times New Roman" w:hAnsi="Times New Roman" w:cs="Times New Roman"/>
          <w:bCs/>
          <w:sz w:val="24"/>
          <w:szCs w:val="24"/>
        </w:rPr>
        <w:t xml:space="preserve">COVID </w:t>
      </w:r>
      <w:r w:rsidR="009C6903" w:rsidRPr="00837F9C">
        <w:rPr>
          <w:rFonts w:ascii="Times New Roman" w:hAnsi="Times New Roman" w:cs="Times New Roman"/>
          <w:bCs/>
          <w:sz w:val="24"/>
          <w:szCs w:val="24"/>
        </w:rPr>
        <w:t>period is enabled by the uptake of telemedicine during COVID (</w:t>
      </w:r>
      <w:r w:rsidR="00560549" w:rsidRPr="00E1729F">
        <w:rPr>
          <w:rFonts w:ascii="Times New Roman" w:hAnsi="Times New Roman" w:cs="Times New Roman"/>
          <w:sz w:val="24"/>
          <w:szCs w:val="24"/>
        </w:rPr>
        <w:t>Wosik et al., 2020</w:t>
      </w:r>
      <w:r w:rsidR="009C6903" w:rsidRPr="00837F9C">
        <w:rPr>
          <w:rFonts w:ascii="Times New Roman" w:hAnsi="Times New Roman" w:cs="Times New Roman"/>
          <w:bCs/>
          <w:sz w:val="24"/>
          <w:szCs w:val="24"/>
        </w:rPr>
        <w:t xml:space="preserve">). </w:t>
      </w:r>
      <w:r w:rsidR="00643F95" w:rsidRPr="00837F9C">
        <w:rPr>
          <w:rFonts w:ascii="Times New Roman" w:hAnsi="Times New Roman" w:cs="Times New Roman"/>
          <w:bCs/>
          <w:sz w:val="24"/>
          <w:szCs w:val="24"/>
        </w:rPr>
        <w:t>However, the net effect (-0.735 + 0.512) remains negative, suggesting that – even after COVID – healthcare workers are less likely to telework than other occupations</w:t>
      </w:r>
      <w:r w:rsidR="00C06EE0">
        <w:rPr>
          <w:rFonts w:ascii="Times New Roman" w:hAnsi="Times New Roman" w:cs="Times New Roman"/>
          <w:bCs/>
          <w:sz w:val="24"/>
          <w:szCs w:val="24"/>
        </w:rPr>
        <w:t>, except those in education/social service (who are the least likely to telework in the “</w:t>
      </w:r>
      <w:r w:rsidR="00C06EE0" w:rsidRPr="000940B6">
        <w:rPr>
          <w:rFonts w:ascii="Times New Roman" w:hAnsi="Times New Roman" w:cs="Times New Roman"/>
          <w:bCs/>
          <w:i/>
          <w:sz w:val="24"/>
          <w:szCs w:val="24"/>
        </w:rPr>
        <w:t>After</w:t>
      </w:r>
      <w:r w:rsidR="00C06EE0">
        <w:rPr>
          <w:rFonts w:ascii="Times New Roman" w:hAnsi="Times New Roman" w:cs="Times New Roman"/>
          <w:bCs/>
          <w:sz w:val="24"/>
          <w:szCs w:val="24"/>
        </w:rPr>
        <w:t xml:space="preserve"> COVID” period</w:t>
      </w:r>
      <w:r w:rsidR="00643F95" w:rsidRPr="00837F9C">
        <w:rPr>
          <w:rFonts w:ascii="Times New Roman" w:hAnsi="Times New Roman" w:cs="Times New Roman"/>
          <w:bCs/>
          <w:sz w:val="24"/>
          <w:szCs w:val="24"/>
        </w:rPr>
        <w:t xml:space="preserve">. </w:t>
      </w:r>
      <w:r w:rsidR="009C6903" w:rsidRPr="00837F9C">
        <w:rPr>
          <w:rFonts w:ascii="Times New Roman" w:hAnsi="Times New Roman" w:cs="Times New Roman"/>
          <w:bCs/>
          <w:sz w:val="24"/>
          <w:szCs w:val="24"/>
        </w:rPr>
        <w:t xml:space="preserve"> </w:t>
      </w:r>
    </w:p>
    <w:p w14:paraId="0F2427B3" w14:textId="5B8D8574" w:rsidR="009C6903" w:rsidRPr="00837F9C" w:rsidRDefault="009C6903"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t>Those with longer commute times are more likely to telework, a finding reported extensively in the literature (</w:t>
      </w:r>
      <w:r w:rsidR="00560549" w:rsidRPr="00837F9C">
        <w:rPr>
          <w:rFonts w:ascii="Times New Roman" w:hAnsi="Times New Roman" w:cs="Times New Roman"/>
          <w:bCs/>
          <w:sz w:val="24"/>
          <w:szCs w:val="24"/>
        </w:rPr>
        <w:t xml:space="preserve">see, for example, </w:t>
      </w:r>
      <w:r w:rsidR="00560549" w:rsidRPr="00E1729F">
        <w:rPr>
          <w:rFonts w:ascii="Times New Roman" w:hAnsi="Times New Roman" w:cs="Times New Roman"/>
          <w:sz w:val="24"/>
          <w:szCs w:val="24"/>
        </w:rPr>
        <w:t>Danalet et al., 2021</w:t>
      </w:r>
      <w:r w:rsidR="004F78F3">
        <w:rPr>
          <w:rFonts w:ascii="Times New Roman" w:hAnsi="Times New Roman" w:cs="Times New Roman"/>
          <w:sz w:val="24"/>
          <w:szCs w:val="24"/>
        </w:rPr>
        <w:t xml:space="preserve"> and </w:t>
      </w:r>
      <w:r w:rsidR="00560549" w:rsidRPr="00E1729F">
        <w:rPr>
          <w:rFonts w:ascii="Times New Roman" w:hAnsi="Times New Roman" w:cs="Times New Roman"/>
          <w:sz w:val="24"/>
          <w:szCs w:val="24"/>
        </w:rPr>
        <w:t>Nguyen, 2021</w:t>
      </w:r>
      <w:r w:rsidRPr="00837F9C">
        <w:rPr>
          <w:rFonts w:ascii="Times New Roman" w:hAnsi="Times New Roman" w:cs="Times New Roman"/>
          <w:bCs/>
          <w:sz w:val="24"/>
          <w:szCs w:val="24"/>
        </w:rPr>
        <w:t>)</w:t>
      </w:r>
      <w:r w:rsidR="007A1696">
        <w:rPr>
          <w:rFonts w:ascii="Times New Roman" w:hAnsi="Times New Roman" w:cs="Times New Roman"/>
          <w:bCs/>
          <w:sz w:val="24"/>
          <w:szCs w:val="24"/>
        </w:rPr>
        <w:t>, and there is no shift in this effect between the two time periods</w:t>
      </w:r>
      <w:r w:rsidRPr="00837F9C">
        <w:rPr>
          <w:rFonts w:ascii="Times New Roman" w:hAnsi="Times New Roman" w:cs="Times New Roman"/>
          <w:bCs/>
          <w:sz w:val="24"/>
          <w:szCs w:val="24"/>
        </w:rPr>
        <w:t xml:space="preserve">. Those who work </w:t>
      </w:r>
      <w:r w:rsidR="004F78F3">
        <w:rPr>
          <w:rFonts w:ascii="Times New Roman" w:hAnsi="Times New Roman" w:cs="Times New Roman"/>
          <w:bCs/>
          <w:sz w:val="24"/>
          <w:szCs w:val="24"/>
        </w:rPr>
        <w:t>less than six</w:t>
      </w:r>
      <w:r w:rsidRPr="00837F9C">
        <w:rPr>
          <w:rFonts w:ascii="Times New Roman" w:hAnsi="Times New Roman" w:cs="Times New Roman"/>
          <w:bCs/>
          <w:sz w:val="24"/>
          <w:szCs w:val="24"/>
        </w:rPr>
        <w:t xml:space="preserve"> hours per day </w:t>
      </w:r>
      <w:r w:rsidR="00643F95" w:rsidRPr="00837F9C">
        <w:rPr>
          <w:rFonts w:ascii="Times New Roman" w:hAnsi="Times New Roman" w:cs="Times New Roman"/>
          <w:bCs/>
          <w:sz w:val="24"/>
          <w:szCs w:val="24"/>
        </w:rPr>
        <w:t>are more likely to tele</w:t>
      </w:r>
      <w:r w:rsidR="00D10503">
        <w:rPr>
          <w:rFonts w:ascii="Times New Roman" w:hAnsi="Times New Roman" w:cs="Times New Roman"/>
          <w:bCs/>
          <w:sz w:val="24"/>
          <w:szCs w:val="24"/>
        </w:rPr>
        <w:t>work</w:t>
      </w:r>
      <w:r w:rsidR="00643F95" w:rsidRPr="00837F9C">
        <w:rPr>
          <w:rFonts w:ascii="Times New Roman" w:hAnsi="Times New Roman" w:cs="Times New Roman"/>
          <w:bCs/>
          <w:sz w:val="24"/>
          <w:szCs w:val="24"/>
        </w:rPr>
        <w:t xml:space="preserve"> after COVID.</w:t>
      </w:r>
      <w:r w:rsidR="00BC498F">
        <w:rPr>
          <w:rFonts w:ascii="Times New Roman" w:hAnsi="Times New Roman" w:cs="Times New Roman"/>
          <w:bCs/>
          <w:sz w:val="24"/>
          <w:szCs w:val="24"/>
        </w:rPr>
        <w:t xml:space="preserve"> </w:t>
      </w:r>
      <w:r w:rsidR="00D10503">
        <w:rPr>
          <w:rFonts w:ascii="Times New Roman" w:hAnsi="Times New Roman" w:cs="Times New Roman"/>
          <w:bCs/>
          <w:sz w:val="24"/>
          <w:szCs w:val="24"/>
        </w:rPr>
        <w:t xml:space="preserve">This suggests that part-time workers, both in terms of having 15 days or less of days of work in the month and/or in terms of having less than six hours of work per day, have a higher telework adoption tendency than their peers. </w:t>
      </w:r>
      <w:r w:rsidR="00643F95" w:rsidRPr="00837F9C">
        <w:rPr>
          <w:rFonts w:ascii="Times New Roman" w:hAnsi="Times New Roman" w:cs="Times New Roman"/>
          <w:bCs/>
          <w:sz w:val="24"/>
          <w:szCs w:val="24"/>
        </w:rPr>
        <w:t>As reported previously in the literature, workers in higher density urban areas are more likely to telework as are those in the suburban locations (when compared to workers in rural low</w:t>
      </w:r>
      <w:r w:rsidR="00F106B0">
        <w:rPr>
          <w:rFonts w:ascii="Times New Roman" w:hAnsi="Times New Roman" w:cs="Times New Roman"/>
          <w:bCs/>
          <w:sz w:val="24"/>
          <w:szCs w:val="24"/>
        </w:rPr>
        <w:t xml:space="preserve"> </w:t>
      </w:r>
      <w:r w:rsidR="00643F95" w:rsidRPr="00837F9C">
        <w:rPr>
          <w:rFonts w:ascii="Times New Roman" w:hAnsi="Times New Roman" w:cs="Times New Roman"/>
          <w:bCs/>
          <w:sz w:val="24"/>
          <w:szCs w:val="24"/>
        </w:rPr>
        <w:t>density areas).</w:t>
      </w:r>
      <w:r w:rsidR="00BC498F">
        <w:rPr>
          <w:rFonts w:ascii="Times New Roman" w:hAnsi="Times New Roman" w:cs="Times New Roman"/>
          <w:bCs/>
          <w:sz w:val="24"/>
          <w:szCs w:val="24"/>
        </w:rPr>
        <w:t xml:space="preserve"> </w:t>
      </w:r>
      <w:r w:rsidR="00643F95" w:rsidRPr="00837F9C">
        <w:rPr>
          <w:rFonts w:ascii="Times New Roman" w:hAnsi="Times New Roman" w:cs="Times New Roman"/>
          <w:bCs/>
          <w:sz w:val="24"/>
          <w:szCs w:val="24"/>
        </w:rPr>
        <w:t>Generally, urban and suburban locations have the necessary infrastructure to facilitate teleworking</w:t>
      </w:r>
      <w:r w:rsidR="007A1696">
        <w:rPr>
          <w:rFonts w:ascii="Times New Roman" w:hAnsi="Times New Roman" w:cs="Times New Roman"/>
          <w:bCs/>
          <w:sz w:val="24"/>
          <w:szCs w:val="24"/>
        </w:rPr>
        <w:t xml:space="preserve">, </w:t>
      </w:r>
      <w:r w:rsidR="00643F95" w:rsidRPr="00837F9C">
        <w:rPr>
          <w:rFonts w:ascii="Times New Roman" w:hAnsi="Times New Roman" w:cs="Times New Roman"/>
          <w:bCs/>
          <w:sz w:val="24"/>
          <w:szCs w:val="24"/>
        </w:rPr>
        <w:t>and office workers in high density urban locales have greater work flexibility (</w:t>
      </w:r>
      <w:r w:rsidR="00560549" w:rsidRPr="00837F9C">
        <w:rPr>
          <w:rFonts w:ascii="Times New Roman" w:hAnsi="Times New Roman" w:cs="Times New Roman"/>
          <w:bCs/>
          <w:sz w:val="24"/>
          <w:szCs w:val="24"/>
        </w:rPr>
        <w:t>Lopez-Igual and Rodreiguew-Modrono, 2020</w:t>
      </w:r>
      <w:r w:rsidR="00643F95" w:rsidRPr="00837F9C">
        <w:rPr>
          <w:rFonts w:ascii="Times New Roman" w:hAnsi="Times New Roman" w:cs="Times New Roman"/>
          <w:bCs/>
          <w:sz w:val="24"/>
          <w:szCs w:val="24"/>
        </w:rPr>
        <w:t>). However, there is no COVID shift effect in tele</w:t>
      </w:r>
      <w:r w:rsidR="00E84401">
        <w:rPr>
          <w:rFonts w:ascii="Times New Roman" w:hAnsi="Times New Roman" w:cs="Times New Roman"/>
          <w:bCs/>
          <w:sz w:val="24"/>
          <w:szCs w:val="24"/>
        </w:rPr>
        <w:t>working</w:t>
      </w:r>
      <w:r w:rsidR="00643F95" w:rsidRPr="00837F9C">
        <w:rPr>
          <w:rFonts w:ascii="Times New Roman" w:hAnsi="Times New Roman" w:cs="Times New Roman"/>
          <w:bCs/>
          <w:sz w:val="24"/>
          <w:szCs w:val="24"/>
        </w:rPr>
        <w:t xml:space="preserve"> adoption for density or land use type. As expected, the availability of a private study in the home facilitates a greater level of teleworking. Individuals who are immunocompromised do not necessarily telework at a higher rate </w:t>
      </w:r>
      <w:r w:rsidR="004F78F3">
        <w:rPr>
          <w:rFonts w:ascii="Times New Roman" w:hAnsi="Times New Roman" w:cs="Times New Roman"/>
          <w:bCs/>
          <w:sz w:val="24"/>
          <w:szCs w:val="24"/>
        </w:rPr>
        <w:t xml:space="preserve">relative to other individuals </w:t>
      </w:r>
      <w:r w:rsidR="00643F95" w:rsidRPr="00837F9C">
        <w:rPr>
          <w:rFonts w:ascii="Times New Roman" w:hAnsi="Times New Roman" w:cs="Times New Roman"/>
          <w:bCs/>
          <w:sz w:val="24"/>
          <w:szCs w:val="24"/>
        </w:rPr>
        <w:t xml:space="preserve">before COVID, but they do </w:t>
      </w:r>
      <w:r w:rsidR="004F78F3">
        <w:rPr>
          <w:rFonts w:ascii="Times New Roman" w:hAnsi="Times New Roman" w:cs="Times New Roman"/>
          <w:bCs/>
          <w:sz w:val="24"/>
          <w:szCs w:val="24"/>
        </w:rPr>
        <w:t xml:space="preserve">so </w:t>
      </w:r>
      <w:r w:rsidR="00643F95" w:rsidRPr="00837F9C">
        <w:rPr>
          <w:rFonts w:ascii="Times New Roman" w:hAnsi="Times New Roman" w:cs="Times New Roman"/>
          <w:bCs/>
          <w:sz w:val="24"/>
          <w:szCs w:val="24"/>
        </w:rPr>
        <w:t xml:space="preserve">after COVID (consistent with expectations), a finding also reported by Irawan et al. </w:t>
      </w:r>
      <w:r w:rsidR="00560549" w:rsidRPr="00E1729F">
        <w:rPr>
          <w:rFonts w:ascii="Times New Roman" w:hAnsi="Times New Roman" w:cs="Times New Roman"/>
          <w:bCs/>
          <w:iCs/>
          <w:sz w:val="24"/>
          <w:szCs w:val="24"/>
        </w:rPr>
        <w:t>(2021</w:t>
      </w:r>
      <w:r w:rsidR="00643F95" w:rsidRPr="00837F9C">
        <w:rPr>
          <w:rFonts w:ascii="Times New Roman" w:hAnsi="Times New Roman" w:cs="Times New Roman"/>
          <w:bCs/>
          <w:sz w:val="24"/>
          <w:szCs w:val="24"/>
        </w:rPr>
        <w:t xml:space="preserve">). </w:t>
      </w:r>
    </w:p>
    <w:p w14:paraId="75DEAD35" w14:textId="4C54A3F7" w:rsidR="00643F95" w:rsidRPr="00837F9C" w:rsidRDefault="00643F95"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t>A review of the two constants shows that the pandemic has a positive effect overall on the propensity to telework</w:t>
      </w:r>
      <w:r w:rsidR="00671FE4" w:rsidRPr="00837F9C">
        <w:rPr>
          <w:rFonts w:ascii="Times New Roman" w:hAnsi="Times New Roman" w:cs="Times New Roman"/>
          <w:bCs/>
          <w:sz w:val="24"/>
          <w:szCs w:val="24"/>
        </w:rPr>
        <w:t>.</w:t>
      </w:r>
      <w:r w:rsidRPr="00837F9C">
        <w:rPr>
          <w:rFonts w:ascii="Times New Roman" w:hAnsi="Times New Roman" w:cs="Times New Roman"/>
          <w:bCs/>
          <w:sz w:val="24"/>
          <w:szCs w:val="24"/>
        </w:rPr>
        <w:t xml:space="preserve"> </w:t>
      </w:r>
    </w:p>
    <w:bookmarkEnd w:id="11"/>
    <w:bookmarkEnd w:id="12"/>
    <w:p w14:paraId="1E9369FB" w14:textId="77777777" w:rsidR="00D61BEB" w:rsidRPr="00837F9C" w:rsidRDefault="00D61BEB" w:rsidP="00E1729F">
      <w:pPr>
        <w:spacing w:after="0" w:line="276" w:lineRule="auto"/>
        <w:rPr>
          <w:rFonts w:ascii="Times New Roman" w:hAnsi="Times New Roman" w:cs="Times New Roman"/>
          <w:bCs/>
          <w:sz w:val="24"/>
          <w:szCs w:val="24"/>
        </w:rPr>
      </w:pPr>
    </w:p>
    <w:p w14:paraId="7E0BE1D8" w14:textId="00141F3D" w:rsidR="00056FB1" w:rsidRPr="00837F9C" w:rsidRDefault="00A03376" w:rsidP="00E1729F">
      <w:pPr>
        <w:spacing w:after="0" w:line="276" w:lineRule="auto"/>
        <w:rPr>
          <w:rFonts w:ascii="Times New Roman" w:hAnsi="Times New Roman" w:cs="Times New Roman"/>
          <w:b/>
          <w:sz w:val="24"/>
          <w:szCs w:val="24"/>
        </w:rPr>
      </w:pPr>
      <w:r>
        <w:rPr>
          <w:rFonts w:ascii="Times New Roman" w:hAnsi="Times New Roman" w:cs="Times New Roman"/>
          <w:b/>
          <w:sz w:val="24"/>
          <w:szCs w:val="24"/>
        </w:rPr>
        <w:t>5</w:t>
      </w:r>
      <w:r w:rsidR="00056FB1" w:rsidRPr="00837F9C">
        <w:rPr>
          <w:rFonts w:ascii="Times New Roman" w:hAnsi="Times New Roman" w:cs="Times New Roman"/>
          <w:b/>
          <w:sz w:val="24"/>
          <w:szCs w:val="24"/>
        </w:rPr>
        <w:t>.</w:t>
      </w:r>
      <w:r w:rsidR="00B92EB1" w:rsidRPr="00837F9C">
        <w:rPr>
          <w:rFonts w:ascii="Times New Roman" w:hAnsi="Times New Roman" w:cs="Times New Roman"/>
          <w:b/>
          <w:sz w:val="24"/>
          <w:szCs w:val="24"/>
        </w:rPr>
        <w:t>2</w:t>
      </w:r>
      <w:r w:rsidR="00056FB1" w:rsidRPr="00837F9C">
        <w:rPr>
          <w:rFonts w:ascii="Times New Roman" w:hAnsi="Times New Roman" w:cs="Times New Roman"/>
          <w:b/>
          <w:sz w:val="24"/>
          <w:szCs w:val="24"/>
        </w:rPr>
        <w:t xml:space="preserve"> </w:t>
      </w:r>
      <w:r w:rsidR="00A658F5" w:rsidRPr="00837F9C">
        <w:rPr>
          <w:rFonts w:ascii="Times New Roman" w:hAnsi="Times New Roman" w:cs="Times New Roman"/>
          <w:b/>
          <w:sz w:val="24"/>
          <w:szCs w:val="24"/>
        </w:rPr>
        <w:t>Telework Frequency (Ordered Choice)</w:t>
      </w:r>
    </w:p>
    <w:p w14:paraId="54FE353D" w14:textId="01F40656" w:rsidR="001B0945" w:rsidRPr="00837F9C" w:rsidRDefault="003D17AC"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Telework frequency is modeled as an ordered choice</w:t>
      </w:r>
      <w:r w:rsidR="00404076" w:rsidRPr="00837F9C">
        <w:rPr>
          <w:rFonts w:ascii="Times New Roman" w:hAnsi="Times New Roman" w:cs="Times New Roman"/>
          <w:bCs/>
          <w:sz w:val="24"/>
          <w:szCs w:val="24"/>
        </w:rPr>
        <w:t xml:space="preserve">, with choice categories of few times per month, once per week, 2-4 days per week, and 5 days per week (equivalent to everyday). </w:t>
      </w:r>
      <w:r w:rsidR="001B0945" w:rsidRPr="00837F9C">
        <w:rPr>
          <w:rFonts w:ascii="Times New Roman" w:hAnsi="Times New Roman" w:cs="Times New Roman"/>
          <w:bCs/>
          <w:sz w:val="24"/>
          <w:szCs w:val="24"/>
        </w:rPr>
        <w:t xml:space="preserve">The coefficients may be interpreted similar to what has been presented earlier for the telework adoption </w:t>
      </w:r>
      <w:r w:rsidR="001B0945" w:rsidRPr="00837F9C">
        <w:rPr>
          <w:rFonts w:ascii="Times New Roman" w:hAnsi="Times New Roman" w:cs="Times New Roman"/>
          <w:bCs/>
          <w:sz w:val="24"/>
          <w:szCs w:val="24"/>
        </w:rPr>
        <w:lastRenderedPageBreak/>
        <w:t xml:space="preserve">model.  As such, in the interest of brevity, only a few key findings are highlighted in this subsection. </w:t>
      </w:r>
    </w:p>
    <w:p w14:paraId="409D33BF" w14:textId="4ABD9151" w:rsidR="001B0945" w:rsidRPr="00837F9C" w:rsidRDefault="001B0945"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r>
      <w:r w:rsidR="00E040E9">
        <w:rPr>
          <w:rFonts w:ascii="Times New Roman" w:hAnsi="Times New Roman" w:cs="Times New Roman"/>
          <w:bCs/>
          <w:sz w:val="24"/>
          <w:szCs w:val="24"/>
        </w:rPr>
        <w:t xml:space="preserve">The results show that individuals in </w:t>
      </w:r>
      <w:r w:rsidRPr="00837F9C">
        <w:rPr>
          <w:rFonts w:ascii="Times New Roman" w:hAnsi="Times New Roman" w:cs="Times New Roman"/>
          <w:bCs/>
          <w:sz w:val="24"/>
          <w:szCs w:val="24"/>
        </w:rPr>
        <w:t xml:space="preserve">the 30-64 year old age group </w:t>
      </w:r>
      <w:r w:rsidR="00E040E9">
        <w:rPr>
          <w:rFonts w:ascii="Times New Roman" w:hAnsi="Times New Roman" w:cs="Times New Roman"/>
          <w:bCs/>
          <w:sz w:val="24"/>
          <w:szCs w:val="24"/>
        </w:rPr>
        <w:t xml:space="preserve">not only are more likely to adopt teleworking in the </w:t>
      </w:r>
      <w:r w:rsidR="00E040E9" w:rsidRPr="00EF49C0">
        <w:rPr>
          <w:rFonts w:ascii="Times New Roman" w:hAnsi="Times New Roman" w:cs="Times New Roman"/>
          <w:bCs/>
          <w:i/>
          <w:sz w:val="24"/>
          <w:szCs w:val="24"/>
        </w:rPr>
        <w:t>After</w:t>
      </w:r>
      <w:r w:rsidR="00E040E9">
        <w:rPr>
          <w:rFonts w:ascii="Times New Roman" w:hAnsi="Times New Roman" w:cs="Times New Roman"/>
          <w:bCs/>
          <w:sz w:val="24"/>
          <w:szCs w:val="24"/>
        </w:rPr>
        <w:t xml:space="preserve"> COVID period (relative to the Before COVID period), but also </w:t>
      </w:r>
      <w:r w:rsidRPr="00837F9C">
        <w:rPr>
          <w:rFonts w:ascii="Times New Roman" w:hAnsi="Times New Roman" w:cs="Times New Roman"/>
          <w:bCs/>
          <w:sz w:val="24"/>
          <w:szCs w:val="24"/>
        </w:rPr>
        <w:t>show a greater propensity to telework frequently</w:t>
      </w:r>
      <w:r w:rsidR="00E040E9">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in the </w:t>
      </w:r>
      <w:r w:rsidR="00700FD4" w:rsidRPr="00700FD4">
        <w:rPr>
          <w:rFonts w:ascii="Times New Roman" w:hAnsi="Times New Roman" w:cs="Times New Roman"/>
          <w:bCs/>
          <w:i/>
          <w:sz w:val="24"/>
          <w:szCs w:val="24"/>
        </w:rPr>
        <w:t>A</w:t>
      </w:r>
      <w:r w:rsidRPr="00700FD4">
        <w:rPr>
          <w:rFonts w:ascii="Times New Roman" w:hAnsi="Times New Roman" w:cs="Times New Roman"/>
          <w:bCs/>
          <w:i/>
          <w:sz w:val="24"/>
          <w:szCs w:val="24"/>
        </w:rPr>
        <w:t>fter</w:t>
      </w:r>
      <w:r w:rsidR="00EF49C0">
        <w:rPr>
          <w:rFonts w:ascii="Times New Roman" w:hAnsi="Times New Roman" w:cs="Times New Roman"/>
          <w:bCs/>
          <w:i/>
          <w:sz w:val="24"/>
          <w:szCs w:val="24"/>
        </w:rPr>
        <w:t xml:space="preserve"> </w:t>
      </w:r>
      <w:r w:rsidRPr="00B44AB6">
        <w:rPr>
          <w:rFonts w:ascii="Times New Roman" w:hAnsi="Times New Roman" w:cs="Times New Roman"/>
          <w:bCs/>
          <w:sz w:val="24"/>
          <w:szCs w:val="24"/>
        </w:rPr>
        <w:t xml:space="preserve">COVID </w:t>
      </w:r>
      <w:r w:rsidRPr="00837F9C">
        <w:rPr>
          <w:rFonts w:ascii="Times New Roman" w:hAnsi="Times New Roman" w:cs="Times New Roman"/>
          <w:bCs/>
          <w:sz w:val="24"/>
          <w:szCs w:val="24"/>
        </w:rPr>
        <w:t>period</w:t>
      </w:r>
      <w:r w:rsidR="00E040E9">
        <w:rPr>
          <w:rFonts w:ascii="Times New Roman" w:hAnsi="Times New Roman" w:cs="Times New Roman"/>
          <w:bCs/>
          <w:sz w:val="24"/>
          <w:szCs w:val="24"/>
        </w:rPr>
        <w:t xml:space="preserve"> (relative to the </w:t>
      </w:r>
      <w:r w:rsidR="00E040E9" w:rsidRPr="00B44AB6">
        <w:rPr>
          <w:rFonts w:ascii="Times New Roman" w:hAnsi="Times New Roman" w:cs="Times New Roman"/>
          <w:bCs/>
          <w:i/>
          <w:sz w:val="24"/>
          <w:szCs w:val="24"/>
        </w:rPr>
        <w:t>Before</w:t>
      </w:r>
      <w:r w:rsidR="00E040E9">
        <w:rPr>
          <w:rFonts w:ascii="Times New Roman" w:hAnsi="Times New Roman" w:cs="Times New Roman"/>
          <w:bCs/>
          <w:sz w:val="24"/>
          <w:szCs w:val="24"/>
        </w:rPr>
        <w:t xml:space="preserve"> COVID period)</w:t>
      </w:r>
      <w:r w:rsidRPr="00837F9C">
        <w:rPr>
          <w:rFonts w:ascii="Times New Roman" w:hAnsi="Times New Roman" w:cs="Times New Roman"/>
          <w:bCs/>
          <w:sz w:val="24"/>
          <w:szCs w:val="24"/>
        </w:rPr>
        <w:t xml:space="preserve">; this is </w:t>
      </w:r>
      <w:r w:rsidR="00E040E9">
        <w:rPr>
          <w:rFonts w:ascii="Times New Roman" w:hAnsi="Times New Roman" w:cs="Times New Roman"/>
          <w:bCs/>
          <w:sz w:val="24"/>
          <w:szCs w:val="24"/>
        </w:rPr>
        <w:t xml:space="preserve">presumably </w:t>
      </w:r>
      <w:r w:rsidRPr="00837F9C">
        <w:rPr>
          <w:rFonts w:ascii="Times New Roman" w:hAnsi="Times New Roman" w:cs="Times New Roman"/>
          <w:bCs/>
          <w:sz w:val="24"/>
          <w:szCs w:val="24"/>
        </w:rPr>
        <w:t>because they have household obligations (greater presence of children) and the flexibility and seniority in the workplace to do so (</w:t>
      </w:r>
      <w:r w:rsidR="008348B8" w:rsidRPr="004972CF">
        <w:rPr>
          <w:rFonts w:ascii="Times New Roman" w:hAnsi="Times New Roman" w:cs="Times New Roman"/>
          <w:sz w:val="24"/>
          <w:szCs w:val="24"/>
          <w:shd w:val="clear" w:color="auto" w:fill="FFFFFF"/>
        </w:rPr>
        <w:t>Ahmadi</w:t>
      </w:r>
      <w:r w:rsidR="00560549" w:rsidRPr="00837F9C">
        <w:rPr>
          <w:rFonts w:ascii="Times New Roman" w:hAnsi="Times New Roman" w:cs="Times New Roman"/>
          <w:bCs/>
          <w:sz w:val="24"/>
          <w:szCs w:val="24"/>
        </w:rPr>
        <w:t xml:space="preserve"> et al., 2022</w:t>
      </w:r>
      <w:r w:rsidRPr="00837F9C">
        <w:rPr>
          <w:rFonts w:ascii="Times New Roman" w:hAnsi="Times New Roman" w:cs="Times New Roman"/>
          <w:bCs/>
          <w:sz w:val="24"/>
          <w:szCs w:val="24"/>
        </w:rPr>
        <w:t xml:space="preserve">).  </w:t>
      </w:r>
      <w:r w:rsidR="00E040E9">
        <w:rPr>
          <w:rFonts w:ascii="Times New Roman" w:hAnsi="Times New Roman" w:cs="Times New Roman"/>
          <w:bCs/>
          <w:sz w:val="24"/>
          <w:szCs w:val="24"/>
        </w:rPr>
        <w:t xml:space="preserve">Interestingly, individuals in this age group have the highest </w:t>
      </w:r>
      <w:r w:rsidR="00D672D1">
        <w:rPr>
          <w:rFonts w:ascii="Times New Roman" w:hAnsi="Times New Roman" w:cs="Times New Roman"/>
          <w:bCs/>
          <w:sz w:val="24"/>
          <w:szCs w:val="24"/>
        </w:rPr>
        <w:t xml:space="preserve">propensity associated with the </w:t>
      </w:r>
      <w:r w:rsidR="00E040E9">
        <w:rPr>
          <w:rFonts w:ascii="Times New Roman" w:hAnsi="Times New Roman" w:cs="Times New Roman"/>
          <w:bCs/>
          <w:sz w:val="24"/>
          <w:szCs w:val="24"/>
        </w:rPr>
        <w:t xml:space="preserve">frequency of teleworking (conditional on teleworking at all) in the </w:t>
      </w:r>
      <w:r w:rsidR="00E040E9" w:rsidRPr="00B44AB6">
        <w:rPr>
          <w:rFonts w:ascii="Times New Roman" w:hAnsi="Times New Roman" w:cs="Times New Roman"/>
          <w:bCs/>
          <w:i/>
          <w:sz w:val="24"/>
          <w:szCs w:val="24"/>
        </w:rPr>
        <w:t>A</w:t>
      </w:r>
      <w:r w:rsidR="00D672D1" w:rsidRPr="00B44AB6">
        <w:rPr>
          <w:rFonts w:ascii="Times New Roman" w:hAnsi="Times New Roman" w:cs="Times New Roman"/>
          <w:bCs/>
          <w:i/>
          <w:sz w:val="24"/>
          <w:szCs w:val="24"/>
        </w:rPr>
        <w:t>fter</w:t>
      </w:r>
      <w:r w:rsidR="00E040E9">
        <w:rPr>
          <w:rFonts w:ascii="Times New Roman" w:hAnsi="Times New Roman" w:cs="Times New Roman"/>
          <w:bCs/>
          <w:sz w:val="24"/>
          <w:szCs w:val="24"/>
        </w:rPr>
        <w:t xml:space="preserve"> COVID period, even more so than the youngest age group (though the youngest age group are the most likely to adopt teleworking in the </w:t>
      </w:r>
      <w:r w:rsidR="00D672D1">
        <w:rPr>
          <w:rFonts w:ascii="Times New Roman" w:hAnsi="Times New Roman" w:cs="Times New Roman"/>
          <w:bCs/>
          <w:sz w:val="24"/>
          <w:szCs w:val="24"/>
        </w:rPr>
        <w:t xml:space="preserve">first place in the </w:t>
      </w:r>
      <w:r w:rsidR="00E040E9" w:rsidRPr="00B44AB6">
        <w:rPr>
          <w:rFonts w:ascii="Times New Roman" w:hAnsi="Times New Roman" w:cs="Times New Roman"/>
          <w:bCs/>
          <w:i/>
          <w:sz w:val="24"/>
          <w:szCs w:val="24"/>
        </w:rPr>
        <w:t>A</w:t>
      </w:r>
      <w:r w:rsidR="00D672D1" w:rsidRPr="00B44AB6">
        <w:rPr>
          <w:rFonts w:ascii="Times New Roman" w:hAnsi="Times New Roman" w:cs="Times New Roman"/>
          <w:bCs/>
          <w:i/>
          <w:sz w:val="24"/>
          <w:szCs w:val="24"/>
        </w:rPr>
        <w:t>fter</w:t>
      </w:r>
      <w:r w:rsidR="00E040E9">
        <w:rPr>
          <w:rFonts w:ascii="Times New Roman" w:hAnsi="Times New Roman" w:cs="Times New Roman"/>
          <w:bCs/>
          <w:sz w:val="24"/>
          <w:szCs w:val="24"/>
        </w:rPr>
        <w:t xml:space="preserve"> COVID period). </w:t>
      </w:r>
      <w:r w:rsidR="004F78F3">
        <w:rPr>
          <w:rFonts w:ascii="Times New Roman" w:hAnsi="Times New Roman" w:cs="Times New Roman"/>
          <w:bCs/>
          <w:sz w:val="24"/>
          <w:szCs w:val="24"/>
        </w:rPr>
        <w:t xml:space="preserve">Also, as in the case of telework adoption, the results reveal that older teleworkers (65 years of older) do so more frequently than their younger teleworker peers. </w:t>
      </w:r>
      <w:r w:rsidR="00D672D1">
        <w:rPr>
          <w:rFonts w:ascii="Times New Roman" w:hAnsi="Times New Roman" w:cs="Times New Roman"/>
          <w:bCs/>
          <w:sz w:val="24"/>
          <w:szCs w:val="24"/>
        </w:rPr>
        <w:t>S</w:t>
      </w:r>
      <w:r w:rsidRPr="00837F9C">
        <w:rPr>
          <w:rFonts w:ascii="Times New Roman" w:hAnsi="Times New Roman" w:cs="Times New Roman"/>
          <w:bCs/>
          <w:sz w:val="24"/>
          <w:szCs w:val="24"/>
        </w:rPr>
        <w:t>elf-employed workers depict a COVID shift effect</w:t>
      </w:r>
      <w:r w:rsidR="00D672D1">
        <w:rPr>
          <w:rFonts w:ascii="Times New Roman" w:hAnsi="Times New Roman" w:cs="Times New Roman"/>
          <w:bCs/>
          <w:sz w:val="24"/>
          <w:szCs w:val="24"/>
        </w:rPr>
        <w:t xml:space="preserve"> in the propensity related with frequency. The combination of the </w:t>
      </w:r>
      <w:r w:rsidR="00F227D3">
        <w:rPr>
          <w:rFonts w:ascii="Times New Roman" w:hAnsi="Times New Roman" w:cs="Times New Roman"/>
          <w:bCs/>
          <w:sz w:val="24"/>
          <w:szCs w:val="24"/>
        </w:rPr>
        <w:t xml:space="preserve">negative </w:t>
      </w:r>
      <w:r w:rsidR="00D672D1">
        <w:rPr>
          <w:rFonts w:ascii="Times New Roman" w:hAnsi="Times New Roman" w:cs="Times New Roman"/>
          <w:bCs/>
          <w:sz w:val="24"/>
          <w:szCs w:val="24"/>
        </w:rPr>
        <w:t>shift effect on this variable in the binary adoption model as well as the ordinal frequency model indicates that</w:t>
      </w:r>
      <w:r w:rsidR="00F227D3">
        <w:rPr>
          <w:rFonts w:ascii="Times New Roman" w:hAnsi="Times New Roman" w:cs="Times New Roman"/>
          <w:bCs/>
          <w:sz w:val="24"/>
          <w:szCs w:val="24"/>
        </w:rPr>
        <w:t xml:space="preserve"> </w:t>
      </w:r>
      <w:r w:rsidR="00D672D1">
        <w:rPr>
          <w:rFonts w:ascii="Times New Roman" w:hAnsi="Times New Roman" w:cs="Times New Roman"/>
          <w:bCs/>
          <w:sz w:val="24"/>
          <w:szCs w:val="24"/>
        </w:rPr>
        <w:t xml:space="preserve">there is a substantial tempering of the difference in teleworking tendency between self-employed and not-self-employed workers in the </w:t>
      </w:r>
      <w:r w:rsidR="00D672D1" w:rsidRPr="00B44AB6">
        <w:rPr>
          <w:rFonts w:ascii="Times New Roman" w:hAnsi="Times New Roman" w:cs="Times New Roman"/>
          <w:bCs/>
          <w:i/>
          <w:sz w:val="24"/>
          <w:szCs w:val="24"/>
        </w:rPr>
        <w:t>After</w:t>
      </w:r>
      <w:r w:rsidR="00D672D1">
        <w:rPr>
          <w:rFonts w:ascii="Times New Roman" w:hAnsi="Times New Roman" w:cs="Times New Roman"/>
          <w:bCs/>
          <w:sz w:val="24"/>
          <w:szCs w:val="24"/>
        </w:rPr>
        <w:t xml:space="preserve"> COVID period</w:t>
      </w:r>
      <w:r w:rsidR="00504125">
        <w:rPr>
          <w:rFonts w:ascii="Times New Roman" w:hAnsi="Times New Roman" w:cs="Times New Roman"/>
          <w:color w:val="000000" w:themeColor="text1"/>
          <w:sz w:val="24"/>
          <w:szCs w:val="24"/>
        </w:rPr>
        <w:t>. However, there is no such shift effect in the propensity to telework frequently for part-time workers</w:t>
      </w:r>
      <w:r w:rsidR="004F78F3">
        <w:rPr>
          <w:rFonts w:ascii="Times New Roman" w:hAnsi="Times New Roman" w:cs="Times New Roman"/>
          <w:color w:val="000000" w:themeColor="text1"/>
          <w:sz w:val="24"/>
          <w:szCs w:val="24"/>
        </w:rPr>
        <w:t xml:space="preserve"> (in terms of number of days of work per month)</w:t>
      </w:r>
      <w:r w:rsidR="00504125">
        <w:rPr>
          <w:rFonts w:ascii="Times New Roman" w:hAnsi="Times New Roman" w:cs="Times New Roman"/>
          <w:color w:val="000000" w:themeColor="text1"/>
          <w:sz w:val="24"/>
          <w:szCs w:val="24"/>
        </w:rPr>
        <w:t>; part-time workers, while adopting telework at a higher rate than full time workers, actually have a lower frequency propensity compared to</w:t>
      </w:r>
      <w:r w:rsidR="00C06EE0">
        <w:rPr>
          <w:rFonts w:ascii="Times New Roman" w:hAnsi="Times New Roman" w:cs="Times New Roman"/>
          <w:color w:val="000000" w:themeColor="text1"/>
          <w:sz w:val="24"/>
          <w:szCs w:val="24"/>
        </w:rPr>
        <w:t xml:space="preserve"> </w:t>
      </w:r>
      <w:r w:rsidR="00504125">
        <w:rPr>
          <w:rFonts w:ascii="Times New Roman" w:hAnsi="Times New Roman" w:cs="Times New Roman"/>
          <w:color w:val="000000" w:themeColor="text1"/>
          <w:sz w:val="24"/>
          <w:szCs w:val="24"/>
        </w:rPr>
        <w:t>full time worker</w:t>
      </w:r>
      <w:r w:rsidR="00C06EE0">
        <w:rPr>
          <w:rFonts w:ascii="Times New Roman" w:hAnsi="Times New Roman" w:cs="Times New Roman"/>
          <w:color w:val="000000" w:themeColor="text1"/>
          <w:sz w:val="24"/>
          <w:szCs w:val="24"/>
        </w:rPr>
        <w:t>s</w:t>
      </w:r>
      <w:r w:rsidR="00504125">
        <w:rPr>
          <w:rFonts w:ascii="Times New Roman" w:hAnsi="Times New Roman" w:cs="Times New Roman"/>
          <w:color w:val="000000" w:themeColor="text1"/>
          <w:sz w:val="24"/>
          <w:szCs w:val="24"/>
        </w:rPr>
        <w:t xml:space="preserve"> who adopt teleworking. That is, full-time workers, if they telework, </w:t>
      </w:r>
      <w:r w:rsidR="00C06EE0">
        <w:rPr>
          <w:rFonts w:ascii="Times New Roman" w:hAnsi="Times New Roman" w:cs="Times New Roman"/>
          <w:color w:val="000000" w:themeColor="text1"/>
          <w:sz w:val="24"/>
          <w:szCs w:val="24"/>
        </w:rPr>
        <w:t xml:space="preserve">tend to </w:t>
      </w:r>
      <w:r w:rsidR="00504125">
        <w:rPr>
          <w:rFonts w:ascii="Times New Roman" w:hAnsi="Times New Roman" w:cs="Times New Roman"/>
          <w:color w:val="000000" w:themeColor="text1"/>
          <w:sz w:val="24"/>
          <w:szCs w:val="24"/>
        </w:rPr>
        <w:t xml:space="preserve">do so </w:t>
      </w:r>
      <w:r w:rsidR="00C06EE0">
        <w:rPr>
          <w:rFonts w:ascii="Times New Roman" w:hAnsi="Times New Roman" w:cs="Times New Roman"/>
          <w:color w:val="000000" w:themeColor="text1"/>
          <w:sz w:val="24"/>
          <w:szCs w:val="24"/>
        </w:rPr>
        <w:t xml:space="preserve">with more intensity </w:t>
      </w:r>
      <w:r w:rsidR="00504125">
        <w:rPr>
          <w:rFonts w:ascii="Times New Roman" w:hAnsi="Times New Roman" w:cs="Times New Roman"/>
          <w:color w:val="000000" w:themeColor="text1"/>
          <w:sz w:val="24"/>
          <w:szCs w:val="24"/>
        </w:rPr>
        <w:t xml:space="preserve">compared to a teleworking part-time worker. And this situation is the same between the </w:t>
      </w:r>
      <w:r w:rsidR="00504125" w:rsidRPr="00B44AB6">
        <w:rPr>
          <w:rFonts w:ascii="Times New Roman" w:hAnsi="Times New Roman" w:cs="Times New Roman"/>
          <w:i/>
          <w:color w:val="000000" w:themeColor="text1"/>
          <w:sz w:val="24"/>
          <w:szCs w:val="24"/>
        </w:rPr>
        <w:t>Before</w:t>
      </w:r>
      <w:r w:rsidR="00504125">
        <w:rPr>
          <w:rFonts w:ascii="Times New Roman" w:hAnsi="Times New Roman" w:cs="Times New Roman"/>
          <w:color w:val="000000" w:themeColor="text1"/>
          <w:sz w:val="24"/>
          <w:szCs w:val="24"/>
        </w:rPr>
        <w:t xml:space="preserve"> COVID and </w:t>
      </w:r>
      <w:r w:rsidR="00504125" w:rsidRPr="00B44AB6">
        <w:rPr>
          <w:rFonts w:ascii="Times New Roman" w:hAnsi="Times New Roman" w:cs="Times New Roman"/>
          <w:i/>
          <w:color w:val="000000" w:themeColor="text1"/>
          <w:sz w:val="24"/>
          <w:szCs w:val="24"/>
        </w:rPr>
        <w:t>After</w:t>
      </w:r>
      <w:r w:rsidR="00504125">
        <w:rPr>
          <w:rFonts w:ascii="Times New Roman" w:hAnsi="Times New Roman" w:cs="Times New Roman"/>
          <w:color w:val="000000" w:themeColor="text1"/>
          <w:sz w:val="24"/>
          <w:szCs w:val="24"/>
        </w:rPr>
        <w:t xml:space="preserve"> COVID periods. </w:t>
      </w:r>
      <w:r w:rsidR="00D10503">
        <w:rPr>
          <w:rFonts w:ascii="Times New Roman" w:hAnsi="Times New Roman" w:cs="Times New Roman"/>
          <w:color w:val="000000" w:themeColor="text1"/>
          <w:sz w:val="24"/>
          <w:szCs w:val="24"/>
        </w:rPr>
        <w:t>This suggests some pressure (either employer-imposed or employee-imposed)</w:t>
      </w:r>
      <w:r w:rsidR="00F227D3">
        <w:rPr>
          <w:rFonts w:ascii="Times New Roman" w:hAnsi="Times New Roman" w:cs="Times New Roman"/>
          <w:color w:val="000000" w:themeColor="text1"/>
          <w:sz w:val="24"/>
          <w:szCs w:val="24"/>
        </w:rPr>
        <w:t>,</w:t>
      </w:r>
      <w:r w:rsidR="00D10503">
        <w:rPr>
          <w:rFonts w:ascii="Times New Roman" w:hAnsi="Times New Roman" w:cs="Times New Roman"/>
          <w:color w:val="000000" w:themeColor="text1"/>
          <w:sz w:val="24"/>
          <w:szCs w:val="24"/>
        </w:rPr>
        <w:t xml:space="preserve"> </w:t>
      </w:r>
      <w:r w:rsidR="00F227D3">
        <w:rPr>
          <w:rFonts w:ascii="Times New Roman" w:hAnsi="Times New Roman" w:cs="Times New Roman"/>
          <w:color w:val="000000" w:themeColor="text1"/>
          <w:sz w:val="24"/>
          <w:szCs w:val="24"/>
        </w:rPr>
        <w:t xml:space="preserve">or even a general desire, among part-time employees to show up more frequently at the workplace, even if they are more likely than full-time workers to telework at all. </w:t>
      </w:r>
      <w:r w:rsidRPr="00837F9C">
        <w:rPr>
          <w:rFonts w:ascii="Times New Roman" w:hAnsi="Times New Roman" w:cs="Times New Roman"/>
          <w:bCs/>
          <w:sz w:val="24"/>
          <w:szCs w:val="24"/>
        </w:rPr>
        <w:t>These findings are aligned with those reported by Ono and Mori (2021)</w:t>
      </w:r>
      <w:r w:rsidR="00855655" w:rsidRPr="00837F9C">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With respect to occupation category, white collar office worker occupations are more likely to increase the </w:t>
      </w:r>
      <w:r w:rsidR="00394F28">
        <w:rPr>
          <w:rFonts w:ascii="Times New Roman" w:hAnsi="Times New Roman" w:cs="Times New Roman"/>
          <w:bCs/>
          <w:sz w:val="24"/>
          <w:szCs w:val="24"/>
        </w:rPr>
        <w:t>intensity</w:t>
      </w:r>
      <w:r w:rsidRPr="00837F9C">
        <w:rPr>
          <w:rFonts w:ascii="Times New Roman" w:hAnsi="Times New Roman" w:cs="Times New Roman"/>
          <w:bCs/>
          <w:sz w:val="24"/>
          <w:szCs w:val="24"/>
        </w:rPr>
        <w:t xml:space="preserve"> of teleworking after COVID (public </w:t>
      </w:r>
      <w:r w:rsidR="00D613C6">
        <w:rPr>
          <w:rFonts w:ascii="Times New Roman" w:hAnsi="Times New Roman" w:cs="Times New Roman"/>
          <w:bCs/>
          <w:sz w:val="24"/>
          <w:szCs w:val="24"/>
        </w:rPr>
        <w:t>services</w:t>
      </w:r>
      <w:r w:rsidRPr="00837F9C">
        <w:rPr>
          <w:rFonts w:ascii="Times New Roman" w:hAnsi="Times New Roman" w:cs="Times New Roman"/>
          <w:bCs/>
          <w:sz w:val="24"/>
          <w:szCs w:val="24"/>
        </w:rPr>
        <w:t xml:space="preserve">, professional services, and information/finance), suggesting the presence of significant COVID shift effects for these workers as </w:t>
      </w:r>
      <w:r w:rsidR="004F78F3">
        <w:rPr>
          <w:rFonts w:ascii="Times New Roman" w:hAnsi="Times New Roman" w:cs="Times New Roman"/>
          <w:bCs/>
          <w:sz w:val="24"/>
          <w:szCs w:val="24"/>
        </w:rPr>
        <w:t xml:space="preserve">also </w:t>
      </w:r>
      <w:r w:rsidRPr="00837F9C">
        <w:rPr>
          <w:rFonts w:ascii="Times New Roman" w:hAnsi="Times New Roman" w:cs="Times New Roman"/>
          <w:bCs/>
          <w:sz w:val="24"/>
          <w:szCs w:val="24"/>
        </w:rPr>
        <w:t xml:space="preserve">reported </w:t>
      </w:r>
      <w:r w:rsidR="004F78F3">
        <w:rPr>
          <w:rFonts w:ascii="Times New Roman" w:hAnsi="Times New Roman" w:cs="Times New Roman"/>
          <w:bCs/>
          <w:sz w:val="24"/>
          <w:szCs w:val="24"/>
        </w:rPr>
        <w:t xml:space="preserve">elsewhere </w:t>
      </w:r>
      <w:r w:rsidRPr="00837F9C">
        <w:rPr>
          <w:rFonts w:ascii="Times New Roman" w:hAnsi="Times New Roman" w:cs="Times New Roman"/>
          <w:bCs/>
          <w:sz w:val="24"/>
          <w:szCs w:val="24"/>
        </w:rPr>
        <w:t>in the literature (</w:t>
      </w:r>
      <w:r w:rsidR="00560549" w:rsidRPr="00837F9C">
        <w:rPr>
          <w:rFonts w:ascii="Times New Roman" w:hAnsi="Times New Roman" w:cs="Times New Roman"/>
          <w:bCs/>
          <w:sz w:val="24"/>
          <w:szCs w:val="24"/>
        </w:rPr>
        <w:t>Galasso and Foucalt, 2020</w:t>
      </w:r>
      <w:r w:rsidRPr="00837F9C">
        <w:rPr>
          <w:rFonts w:ascii="Times New Roman" w:hAnsi="Times New Roman" w:cs="Times New Roman"/>
          <w:bCs/>
          <w:sz w:val="24"/>
          <w:szCs w:val="24"/>
        </w:rPr>
        <w:t xml:space="preserve">). Significant </w:t>
      </w:r>
      <w:r w:rsidR="00D613C6">
        <w:rPr>
          <w:rFonts w:ascii="Times New Roman" w:hAnsi="Times New Roman" w:cs="Times New Roman"/>
          <w:bCs/>
          <w:sz w:val="24"/>
          <w:szCs w:val="24"/>
        </w:rPr>
        <w:t>shift</w:t>
      </w:r>
      <w:r w:rsidRPr="00837F9C">
        <w:rPr>
          <w:rFonts w:ascii="Times New Roman" w:hAnsi="Times New Roman" w:cs="Times New Roman"/>
          <w:bCs/>
          <w:sz w:val="24"/>
          <w:szCs w:val="24"/>
        </w:rPr>
        <w:t xml:space="preserve"> effects are </w:t>
      </w:r>
      <w:r w:rsidR="00D613C6">
        <w:rPr>
          <w:rFonts w:ascii="Times New Roman" w:hAnsi="Times New Roman" w:cs="Times New Roman"/>
          <w:bCs/>
          <w:sz w:val="24"/>
          <w:szCs w:val="24"/>
        </w:rPr>
        <w:t xml:space="preserve">also observed </w:t>
      </w:r>
      <w:r w:rsidRPr="00837F9C">
        <w:rPr>
          <w:rFonts w:ascii="Times New Roman" w:hAnsi="Times New Roman" w:cs="Times New Roman"/>
          <w:bCs/>
          <w:sz w:val="24"/>
          <w:szCs w:val="24"/>
        </w:rPr>
        <w:t>for the propensity to engage in higher levels of teleworking for workers in high density urban areas and suburban areas</w:t>
      </w:r>
      <w:r w:rsidR="007C440B" w:rsidRPr="00837F9C">
        <w:rPr>
          <w:rFonts w:ascii="Times New Roman" w:hAnsi="Times New Roman" w:cs="Times New Roman"/>
          <w:bCs/>
          <w:sz w:val="24"/>
          <w:szCs w:val="24"/>
        </w:rPr>
        <w:t>. Individuals working in such areas have the infrastructure, occupational flexibility, and home setup that is conducive to higher levels of teleworking frequency (</w:t>
      </w:r>
      <w:r w:rsidR="00560549" w:rsidRPr="00837F9C">
        <w:rPr>
          <w:rFonts w:ascii="Times New Roman" w:hAnsi="Times New Roman" w:cs="Times New Roman"/>
          <w:bCs/>
          <w:sz w:val="24"/>
          <w:szCs w:val="24"/>
        </w:rPr>
        <w:t>Lopez-Igual and Rodreiguew-Modrono, 2020</w:t>
      </w:r>
      <w:r w:rsidR="007C440B" w:rsidRPr="00837F9C">
        <w:rPr>
          <w:rFonts w:ascii="Times New Roman" w:hAnsi="Times New Roman" w:cs="Times New Roman"/>
          <w:bCs/>
          <w:sz w:val="24"/>
          <w:szCs w:val="24"/>
        </w:rPr>
        <w:t xml:space="preserve">). The pandemic </w:t>
      </w:r>
      <w:r w:rsidR="00D613C6">
        <w:rPr>
          <w:rFonts w:ascii="Times New Roman" w:hAnsi="Times New Roman" w:cs="Times New Roman"/>
          <w:bCs/>
          <w:sz w:val="24"/>
          <w:szCs w:val="24"/>
        </w:rPr>
        <w:t xml:space="preserve">shift </w:t>
      </w:r>
      <w:r w:rsidR="007C440B" w:rsidRPr="00837F9C">
        <w:rPr>
          <w:rFonts w:ascii="Times New Roman" w:hAnsi="Times New Roman" w:cs="Times New Roman"/>
          <w:bCs/>
          <w:sz w:val="24"/>
          <w:szCs w:val="24"/>
        </w:rPr>
        <w:t xml:space="preserve">effect constant shows that the overall </w:t>
      </w:r>
      <w:r w:rsidR="00D613C6">
        <w:rPr>
          <w:rFonts w:ascii="Times New Roman" w:hAnsi="Times New Roman" w:cs="Times New Roman"/>
          <w:bCs/>
          <w:sz w:val="24"/>
          <w:szCs w:val="24"/>
        </w:rPr>
        <w:t xml:space="preserve">propensity </w:t>
      </w:r>
      <w:r w:rsidR="007C440B" w:rsidRPr="00837F9C">
        <w:rPr>
          <w:rFonts w:ascii="Times New Roman" w:hAnsi="Times New Roman" w:cs="Times New Roman"/>
          <w:bCs/>
          <w:sz w:val="24"/>
          <w:szCs w:val="24"/>
        </w:rPr>
        <w:t>tendency</w:t>
      </w:r>
      <w:r w:rsidR="00D613C6">
        <w:rPr>
          <w:rFonts w:ascii="Times New Roman" w:hAnsi="Times New Roman" w:cs="Times New Roman"/>
          <w:bCs/>
          <w:sz w:val="24"/>
          <w:szCs w:val="24"/>
        </w:rPr>
        <w:t xml:space="preserve"> </w:t>
      </w:r>
      <w:r w:rsidR="007C440B" w:rsidRPr="00837F9C">
        <w:rPr>
          <w:rFonts w:ascii="Times New Roman" w:hAnsi="Times New Roman" w:cs="Times New Roman"/>
          <w:bCs/>
          <w:sz w:val="24"/>
          <w:szCs w:val="24"/>
        </w:rPr>
        <w:t>to engage in</w:t>
      </w:r>
      <w:r w:rsidR="00D613C6">
        <w:rPr>
          <w:rFonts w:ascii="Times New Roman" w:hAnsi="Times New Roman" w:cs="Times New Roman"/>
          <w:bCs/>
          <w:sz w:val="24"/>
          <w:szCs w:val="24"/>
        </w:rPr>
        <w:t xml:space="preserve"> </w:t>
      </w:r>
      <w:r w:rsidR="007C440B" w:rsidRPr="00837F9C">
        <w:rPr>
          <w:rFonts w:ascii="Times New Roman" w:hAnsi="Times New Roman" w:cs="Times New Roman"/>
          <w:bCs/>
          <w:sz w:val="24"/>
          <w:szCs w:val="24"/>
        </w:rPr>
        <w:t xml:space="preserve">teleworking in the </w:t>
      </w:r>
      <w:r w:rsidR="00700FD4" w:rsidRPr="00700FD4">
        <w:rPr>
          <w:rFonts w:ascii="Times New Roman" w:hAnsi="Times New Roman" w:cs="Times New Roman"/>
          <w:bCs/>
          <w:i/>
          <w:sz w:val="24"/>
          <w:szCs w:val="24"/>
        </w:rPr>
        <w:t>A</w:t>
      </w:r>
      <w:r w:rsidR="007C440B" w:rsidRPr="00700FD4">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007C440B" w:rsidRPr="00A15909">
        <w:rPr>
          <w:rFonts w:ascii="Times New Roman" w:hAnsi="Times New Roman" w:cs="Times New Roman"/>
          <w:bCs/>
          <w:sz w:val="24"/>
          <w:szCs w:val="24"/>
        </w:rPr>
        <w:t>COVID</w:t>
      </w:r>
      <w:r w:rsidR="007C440B" w:rsidRPr="00837F9C">
        <w:rPr>
          <w:rFonts w:ascii="Times New Roman" w:hAnsi="Times New Roman" w:cs="Times New Roman"/>
          <w:bCs/>
          <w:sz w:val="24"/>
          <w:szCs w:val="24"/>
        </w:rPr>
        <w:t xml:space="preserve"> period, which is entirely consistent with real world evidence (</w:t>
      </w:r>
      <w:r w:rsidR="00560549" w:rsidRPr="00837F9C">
        <w:rPr>
          <w:rFonts w:ascii="Times New Roman" w:hAnsi="Times New Roman" w:cs="Times New Roman"/>
          <w:bCs/>
          <w:sz w:val="24"/>
          <w:szCs w:val="24"/>
        </w:rPr>
        <w:t>Gallup, 2020; Parker et al., 2022</w:t>
      </w:r>
      <w:r w:rsidR="007C440B" w:rsidRPr="00837F9C">
        <w:rPr>
          <w:rFonts w:ascii="Times New Roman" w:hAnsi="Times New Roman" w:cs="Times New Roman"/>
          <w:bCs/>
          <w:sz w:val="24"/>
          <w:szCs w:val="24"/>
        </w:rPr>
        <w:t xml:space="preserve">).  </w:t>
      </w:r>
    </w:p>
    <w:p w14:paraId="22085B99" w14:textId="3ADEC315" w:rsidR="00C06EE0" w:rsidRDefault="004F78F3" w:rsidP="00E1729F">
      <w:pPr>
        <w:spacing w:after="0" w:line="276" w:lineRule="auto"/>
        <w:rPr>
          <w:rFonts w:ascii="Times New Roman" w:hAnsi="Times New Roman" w:cs="Times New Roman"/>
          <w:bCs/>
          <w:sz w:val="24"/>
          <w:szCs w:val="24"/>
        </w:rPr>
      </w:pPr>
      <w:r>
        <w:rPr>
          <w:rFonts w:ascii="Times New Roman" w:hAnsi="Times New Roman" w:cs="Times New Roman"/>
          <w:bCs/>
          <w:sz w:val="24"/>
          <w:szCs w:val="24"/>
        </w:rPr>
        <w:tab/>
        <w:t xml:space="preserve">The thresholds at the bottom of the “Frequency Propensity” column of Table 3 do not have any substantive interpretation, but serve the role of mapping the underlying frequency propensity to the observed ordinal frequency category. </w:t>
      </w:r>
    </w:p>
    <w:p w14:paraId="313434EA" w14:textId="7D33396A" w:rsidR="006F1665" w:rsidRPr="00837F9C" w:rsidRDefault="00C06EE0" w:rsidP="000940B6">
      <w:pPr>
        <w:jc w:val="left"/>
        <w:rPr>
          <w:rFonts w:ascii="Times New Roman" w:hAnsi="Times New Roman" w:cs="Times New Roman"/>
          <w:bCs/>
          <w:sz w:val="24"/>
          <w:szCs w:val="24"/>
        </w:rPr>
      </w:pPr>
      <w:r>
        <w:rPr>
          <w:rFonts w:ascii="Times New Roman" w:hAnsi="Times New Roman" w:cs="Times New Roman"/>
          <w:bCs/>
          <w:sz w:val="24"/>
          <w:szCs w:val="24"/>
        </w:rPr>
        <w:br w:type="page"/>
      </w:r>
    </w:p>
    <w:p w14:paraId="27056A50" w14:textId="4AA61460" w:rsidR="00A658F5" w:rsidRPr="00837F9C" w:rsidRDefault="00A03376" w:rsidP="00E1729F">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A658F5" w:rsidRPr="00837F9C">
        <w:rPr>
          <w:rFonts w:ascii="Times New Roman" w:hAnsi="Times New Roman" w:cs="Times New Roman"/>
          <w:b/>
          <w:sz w:val="24"/>
          <w:szCs w:val="24"/>
        </w:rPr>
        <w:t>.3 Telework Location (Multinomial Choice)</w:t>
      </w:r>
    </w:p>
    <w:p w14:paraId="15CC4918" w14:textId="523CFA69" w:rsidR="00A658F5" w:rsidRPr="00837F9C" w:rsidRDefault="006F1665" w:rsidP="00E1729F">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Table 3 indicates that, in general, </w:t>
      </w:r>
      <w:r w:rsidR="00B86898" w:rsidRPr="00837F9C">
        <w:rPr>
          <w:rFonts w:ascii="Times New Roman" w:hAnsi="Times New Roman" w:cs="Times New Roman"/>
          <w:bCs/>
          <w:sz w:val="24"/>
          <w:szCs w:val="24"/>
        </w:rPr>
        <w:t xml:space="preserve">the older age groups of 30-64 years and 65-plus years are less likely to telework in a hybrid </w:t>
      </w:r>
      <w:r w:rsidR="00C06EE0">
        <w:rPr>
          <w:rFonts w:ascii="Times New Roman" w:hAnsi="Times New Roman" w:cs="Times New Roman"/>
          <w:bCs/>
          <w:sz w:val="24"/>
          <w:szCs w:val="24"/>
        </w:rPr>
        <w:t xml:space="preserve">“both </w:t>
      </w:r>
      <w:r w:rsidR="00B86898" w:rsidRPr="00837F9C">
        <w:rPr>
          <w:rFonts w:ascii="Times New Roman" w:hAnsi="Times New Roman" w:cs="Times New Roman"/>
          <w:bCs/>
          <w:sz w:val="24"/>
          <w:szCs w:val="24"/>
        </w:rPr>
        <w:t xml:space="preserve">home and third </w:t>
      </w:r>
      <w:r w:rsidR="00A717B2">
        <w:rPr>
          <w:rFonts w:ascii="Times New Roman" w:hAnsi="Times New Roman" w:cs="Times New Roman"/>
          <w:bCs/>
          <w:sz w:val="24"/>
          <w:szCs w:val="24"/>
        </w:rPr>
        <w:t>location</w:t>
      </w:r>
      <w:r w:rsidR="00C06EE0">
        <w:rPr>
          <w:rFonts w:ascii="Times New Roman" w:hAnsi="Times New Roman" w:cs="Times New Roman"/>
          <w:bCs/>
          <w:sz w:val="24"/>
          <w:szCs w:val="24"/>
        </w:rPr>
        <w:t>”</w:t>
      </w:r>
      <w:r w:rsidR="00A717B2">
        <w:rPr>
          <w:rFonts w:ascii="Times New Roman" w:hAnsi="Times New Roman" w:cs="Times New Roman"/>
          <w:bCs/>
          <w:sz w:val="24"/>
          <w:szCs w:val="24"/>
        </w:rPr>
        <w:t xml:space="preserve"> </w:t>
      </w:r>
      <w:r w:rsidR="00D613C6">
        <w:rPr>
          <w:rFonts w:ascii="Times New Roman" w:hAnsi="Times New Roman" w:cs="Times New Roman"/>
          <w:bCs/>
          <w:sz w:val="24"/>
          <w:szCs w:val="24"/>
        </w:rPr>
        <w:t>relative to those in the youngest age group of 18-29 years</w:t>
      </w:r>
      <w:r w:rsidR="00833777">
        <w:rPr>
          <w:rFonts w:ascii="Times New Roman" w:hAnsi="Times New Roman" w:cs="Times New Roman"/>
          <w:bCs/>
          <w:sz w:val="24"/>
          <w:szCs w:val="24"/>
        </w:rPr>
        <w:t>, and this relative age preference variation for work location  holds stable over time</w:t>
      </w:r>
      <w:r w:rsidR="00B86898" w:rsidRPr="00837F9C">
        <w:rPr>
          <w:rFonts w:ascii="Times New Roman" w:hAnsi="Times New Roman" w:cs="Times New Roman"/>
          <w:bCs/>
          <w:sz w:val="24"/>
          <w:szCs w:val="24"/>
        </w:rPr>
        <w:t>; individuals in th</w:t>
      </w:r>
      <w:r>
        <w:rPr>
          <w:rFonts w:ascii="Times New Roman" w:hAnsi="Times New Roman" w:cs="Times New Roman"/>
          <w:bCs/>
          <w:sz w:val="24"/>
          <w:szCs w:val="24"/>
        </w:rPr>
        <w:t xml:space="preserve">e older </w:t>
      </w:r>
      <w:r w:rsidR="00B86898" w:rsidRPr="00837F9C">
        <w:rPr>
          <w:rFonts w:ascii="Times New Roman" w:hAnsi="Times New Roman" w:cs="Times New Roman"/>
          <w:bCs/>
          <w:sz w:val="24"/>
          <w:szCs w:val="24"/>
        </w:rPr>
        <w:t>age group</w:t>
      </w:r>
      <w:r>
        <w:rPr>
          <w:rFonts w:ascii="Times New Roman" w:hAnsi="Times New Roman" w:cs="Times New Roman"/>
          <w:bCs/>
          <w:sz w:val="24"/>
          <w:szCs w:val="24"/>
        </w:rPr>
        <w:t>s</w:t>
      </w:r>
      <w:r w:rsidR="00B86898" w:rsidRPr="00837F9C">
        <w:rPr>
          <w:rFonts w:ascii="Times New Roman" w:hAnsi="Times New Roman" w:cs="Times New Roman"/>
          <w:bCs/>
          <w:sz w:val="24"/>
          <w:szCs w:val="24"/>
        </w:rPr>
        <w:t xml:space="preserve"> are likely to have </w:t>
      </w:r>
      <w:r w:rsidR="00C06EE0">
        <w:rPr>
          <w:rFonts w:ascii="Times New Roman" w:hAnsi="Times New Roman" w:cs="Times New Roman"/>
          <w:bCs/>
          <w:sz w:val="24"/>
          <w:szCs w:val="24"/>
        </w:rPr>
        <w:t xml:space="preserve">the </w:t>
      </w:r>
      <w:r w:rsidR="00B86898" w:rsidRPr="00837F9C">
        <w:rPr>
          <w:rFonts w:ascii="Times New Roman" w:hAnsi="Times New Roman" w:cs="Times New Roman"/>
          <w:bCs/>
          <w:sz w:val="24"/>
          <w:szCs w:val="24"/>
        </w:rPr>
        <w:t xml:space="preserve">flexibility </w:t>
      </w:r>
      <w:r w:rsidR="00C06EE0">
        <w:rPr>
          <w:rFonts w:ascii="Times New Roman" w:hAnsi="Times New Roman" w:cs="Times New Roman"/>
          <w:bCs/>
          <w:sz w:val="24"/>
          <w:szCs w:val="24"/>
        </w:rPr>
        <w:t xml:space="preserve">“muscle” </w:t>
      </w:r>
      <w:r w:rsidR="00B86898" w:rsidRPr="00837F9C">
        <w:rPr>
          <w:rFonts w:ascii="Times New Roman" w:hAnsi="Times New Roman" w:cs="Times New Roman"/>
          <w:bCs/>
          <w:sz w:val="24"/>
          <w:szCs w:val="24"/>
        </w:rPr>
        <w:t>to telework at a single location consistently (</w:t>
      </w:r>
      <w:r w:rsidR="008348B8" w:rsidRPr="004972CF">
        <w:rPr>
          <w:rFonts w:ascii="Times New Roman" w:hAnsi="Times New Roman" w:cs="Times New Roman"/>
          <w:sz w:val="24"/>
          <w:szCs w:val="24"/>
          <w:shd w:val="clear" w:color="auto" w:fill="FFFFFF"/>
        </w:rPr>
        <w:t>Ahmadi</w:t>
      </w:r>
      <w:r w:rsidR="00560549" w:rsidRPr="00837F9C">
        <w:rPr>
          <w:rFonts w:ascii="Times New Roman" w:hAnsi="Times New Roman" w:cs="Times New Roman"/>
          <w:bCs/>
          <w:sz w:val="24"/>
          <w:szCs w:val="24"/>
        </w:rPr>
        <w:t xml:space="preserve"> et al., 2022; </w:t>
      </w:r>
      <w:r w:rsidR="00560549" w:rsidRPr="00E1729F">
        <w:rPr>
          <w:rFonts w:ascii="Times New Roman" w:hAnsi="Times New Roman" w:cs="Times New Roman"/>
          <w:sz w:val="24"/>
          <w:szCs w:val="24"/>
        </w:rPr>
        <w:t>Cheng et al., 2022</w:t>
      </w:r>
      <w:r w:rsidR="00B86898" w:rsidRPr="00837F9C">
        <w:rPr>
          <w:rFonts w:ascii="Times New Roman" w:hAnsi="Times New Roman" w:cs="Times New Roman"/>
          <w:bCs/>
          <w:sz w:val="24"/>
          <w:szCs w:val="24"/>
        </w:rPr>
        <w:t xml:space="preserve">). Similarly, very high income individuals are less likely to adopt a </w:t>
      </w:r>
      <w:r w:rsidR="00837F9C">
        <w:rPr>
          <w:rFonts w:ascii="Times New Roman" w:hAnsi="Times New Roman" w:cs="Times New Roman"/>
          <w:bCs/>
          <w:sz w:val="24"/>
          <w:szCs w:val="24"/>
        </w:rPr>
        <w:t>remote-</w:t>
      </w:r>
      <w:r w:rsidR="00B86898" w:rsidRPr="00837F9C">
        <w:rPr>
          <w:rFonts w:ascii="Times New Roman" w:hAnsi="Times New Roman" w:cs="Times New Roman"/>
          <w:bCs/>
          <w:sz w:val="24"/>
          <w:szCs w:val="24"/>
        </w:rPr>
        <w:t>hybrid workplace.</w:t>
      </w:r>
      <w:r>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Those who work part-time </w:t>
      </w:r>
      <w:r w:rsidR="00833777">
        <w:rPr>
          <w:rFonts w:ascii="Times New Roman" w:hAnsi="Times New Roman" w:cs="Times New Roman"/>
          <w:bCs/>
          <w:sz w:val="24"/>
          <w:szCs w:val="24"/>
        </w:rPr>
        <w:t xml:space="preserve">(in terms of number of days per month of work) </w:t>
      </w:r>
      <w:r w:rsidRPr="00837F9C">
        <w:rPr>
          <w:rFonts w:ascii="Times New Roman" w:hAnsi="Times New Roman" w:cs="Times New Roman"/>
          <w:bCs/>
          <w:sz w:val="24"/>
          <w:szCs w:val="24"/>
        </w:rPr>
        <w:t xml:space="preserve">show a greater propensity to adopt a </w:t>
      </w:r>
      <w:r>
        <w:rPr>
          <w:rFonts w:ascii="Times New Roman" w:hAnsi="Times New Roman" w:cs="Times New Roman"/>
          <w:bCs/>
          <w:sz w:val="24"/>
          <w:szCs w:val="24"/>
        </w:rPr>
        <w:t>remote-</w:t>
      </w:r>
      <w:r w:rsidRPr="00837F9C">
        <w:rPr>
          <w:rFonts w:ascii="Times New Roman" w:hAnsi="Times New Roman" w:cs="Times New Roman"/>
          <w:bCs/>
          <w:sz w:val="24"/>
          <w:szCs w:val="24"/>
        </w:rPr>
        <w:t>hybrid workplace model</w:t>
      </w:r>
      <w:r>
        <w:rPr>
          <w:rFonts w:ascii="Times New Roman" w:hAnsi="Times New Roman" w:cs="Times New Roman"/>
          <w:bCs/>
          <w:sz w:val="24"/>
          <w:szCs w:val="24"/>
        </w:rPr>
        <w:t xml:space="preserve"> in the </w:t>
      </w:r>
      <w:r w:rsidRPr="00357313">
        <w:rPr>
          <w:rFonts w:ascii="Times New Roman" w:hAnsi="Times New Roman" w:cs="Times New Roman"/>
          <w:bCs/>
          <w:i/>
          <w:sz w:val="24"/>
          <w:szCs w:val="24"/>
        </w:rPr>
        <w:t xml:space="preserve">After </w:t>
      </w:r>
      <w:r>
        <w:rPr>
          <w:rFonts w:ascii="Times New Roman" w:hAnsi="Times New Roman" w:cs="Times New Roman"/>
          <w:bCs/>
          <w:sz w:val="24"/>
          <w:szCs w:val="24"/>
        </w:rPr>
        <w:t>COVID period</w:t>
      </w:r>
      <w:r w:rsidRPr="00837F9C">
        <w:rPr>
          <w:rFonts w:ascii="Times New Roman" w:hAnsi="Times New Roman" w:cs="Times New Roman"/>
          <w:bCs/>
          <w:sz w:val="24"/>
          <w:szCs w:val="24"/>
        </w:rPr>
        <w:t>,</w:t>
      </w:r>
      <w:r>
        <w:rPr>
          <w:rFonts w:ascii="Times New Roman" w:hAnsi="Times New Roman" w:cs="Times New Roman"/>
          <w:bCs/>
          <w:sz w:val="24"/>
          <w:szCs w:val="24"/>
        </w:rPr>
        <w:t xml:space="preserve"> </w:t>
      </w:r>
      <w:r w:rsidRPr="00837F9C">
        <w:rPr>
          <w:rFonts w:ascii="Times New Roman" w:hAnsi="Times New Roman" w:cs="Times New Roman"/>
          <w:bCs/>
          <w:sz w:val="24"/>
          <w:szCs w:val="24"/>
        </w:rPr>
        <w:t>presumably because of the need to engage in</w:t>
      </w:r>
      <w:r w:rsidR="00C06EE0">
        <w:rPr>
          <w:rFonts w:ascii="Times New Roman" w:hAnsi="Times New Roman" w:cs="Times New Roman"/>
          <w:bCs/>
          <w:sz w:val="24"/>
          <w:szCs w:val="24"/>
        </w:rPr>
        <w:t xml:space="preserve"> more </w:t>
      </w:r>
      <w:r w:rsidRPr="00837F9C">
        <w:rPr>
          <w:rFonts w:ascii="Times New Roman" w:hAnsi="Times New Roman" w:cs="Times New Roman"/>
          <w:bCs/>
          <w:sz w:val="24"/>
          <w:szCs w:val="24"/>
        </w:rPr>
        <w:t xml:space="preserve">face-to-face interactions in the </w:t>
      </w:r>
      <w:r w:rsidRPr="00700FD4">
        <w:rPr>
          <w:rFonts w:ascii="Times New Roman" w:hAnsi="Times New Roman" w:cs="Times New Roman"/>
          <w:bCs/>
          <w:i/>
          <w:sz w:val="24"/>
          <w:szCs w:val="24"/>
        </w:rPr>
        <w:t>After</w:t>
      </w:r>
      <w:r w:rsidR="00B44AB6">
        <w:rPr>
          <w:rFonts w:ascii="Times New Roman" w:hAnsi="Times New Roman" w:cs="Times New Roman"/>
          <w:bCs/>
          <w:i/>
          <w:sz w:val="24"/>
          <w:szCs w:val="24"/>
        </w:rPr>
        <w:t xml:space="preserve"> </w:t>
      </w:r>
      <w:r w:rsidRPr="00B44AB6">
        <w:rPr>
          <w:rFonts w:ascii="Times New Roman" w:hAnsi="Times New Roman" w:cs="Times New Roman"/>
          <w:bCs/>
          <w:sz w:val="24"/>
          <w:szCs w:val="24"/>
        </w:rPr>
        <w:t xml:space="preserve">COVID </w:t>
      </w:r>
      <w:r w:rsidRPr="00837F9C">
        <w:rPr>
          <w:rFonts w:ascii="Times New Roman" w:hAnsi="Times New Roman" w:cs="Times New Roman"/>
          <w:bCs/>
          <w:sz w:val="24"/>
          <w:szCs w:val="24"/>
        </w:rPr>
        <w:t xml:space="preserve">period after a prolonged period of isolation during the height of COVID. </w:t>
      </w:r>
      <w:r>
        <w:rPr>
          <w:rFonts w:ascii="Times New Roman" w:hAnsi="Times New Roman" w:cs="Times New Roman"/>
          <w:bCs/>
          <w:sz w:val="24"/>
          <w:szCs w:val="24"/>
        </w:rPr>
        <w:t>On the other hand, t</w:t>
      </w:r>
      <w:r w:rsidRPr="00837F9C">
        <w:rPr>
          <w:rFonts w:ascii="Times New Roman" w:hAnsi="Times New Roman" w:cs="Times New Roman"/>
          <w:bCs/>
          <w:sz w:val="24"/>
          <w:szCs w:val="24"/>
        </w:rPr>
        <w:t xml:space="preserve">hose in the education/social service occupation are more likely to choose </w:t>
      </w:r>
      <w:r w:rsidR="00833777">
        <w:rPr>
          <w:rFonts w:ascii="Times New Roman" w:hAnsi="Times New Roman" w:cs="Times New Roman"/>
          <w:bCs/>
          <w:sz w:val="24"/>
          <w:szCs w:val="24"/>
        </w:rPr>
        <w:t>the</w:t>
      </w:r>
      <w:r w:rsidRPr="00837F9C">
        <w:rPr>
          <w:rFonts w:ascii="Times New Roman" w:hAnsi="Times New Roman" w:cs="Times New Roman"/>
          <w:bCs/>
          <w:sz w:val="24"/>
          <w:szCs w:val="24"/>
        </w:rPr>
        <w:t xml:space="preserve"> </w:t>
      </w:r>
      <w:r w:rsidR="00833777">
        <w:rPr>
          <w:rFonts w:ascii="Times New Roman" w:hAnsi="Times New Roman" w:cs="Times New Roman"/>
          <w:bCs/>
          <w:sz w:val="24"/>
          <w:szCs w:val="24"/>
        </w:rPr>
        <w:t>“</w:t>
      </w:r>
      <w:r w:rsidRPr="00837F9C">
        <w:rPr>
          <w:rFonts w:ascii="Times New Roman" w:hAnsi="Times New Roman" w:cs="Times New Roman"/>
          <w:bCs/>
          <w:sz w:val="24"/>
          <w:szCs w:val="24"/>
        </w:rPr>
        <w:t xml:space="preserve">third </w:t>
      </w:r>
      <w:r>
        <w:rPr>
          <w:rFonts w:ascii="Times New Roman" w:hAnsi="Times New Roman" w:cs="Times New Roman"/>
          <w:bCs/>
          <w:sz w:val="24"/>
          <w:szCs w:val="24"/>
        </w:rPr>
        <w:t>location only</w:t>
      </w:r>
      <w:r w:rsidR="00833777">
        <w:rPr>
          <w:rFonts w:ascii="Times New Roman" w:hAnsi="Times New Roman" w:cs="Times New Roman"/>
          <w:bCs/>
          <w:sz w:val="24"/>
          <w:szCs w:val="24"/>
        </w:rPr>
        <w:t xml:space="preserve">” option </w:t>
      </w:r>
      <w:r w:rsidRPr="00837F9C">
        <w:rPr>
          <w:rFonts w:ascii="Times New Roman" w:hAnsi="Times New Roman" w:cs="Times New Roman"/>
          <w:bCs/>
          <w:sz w:val="24"/>
          <w:szCs w:val="24"/>
        </w:rPr>
        <w:t>for teleworking</w:t>
      </w:r>
      <w:r>
        <w:rPr>
          <w:rFonts w:ascii="Times New Roman" w:hAnsi="Times New Roman" w:cs="Times New Roman"/>
          <w:bCs/>
          <w:sz w:val="24"/>
          <w:szCs w:val="24"/>
        </w:rPr>
        <w:t xml:space="preserve"> in the </w:t>
      </w:r>
      <w:r w:rsidRPr="00B44AB6">
        <w:rPr>
          <w:rFonts w:ascii="Times New Roman" w:hAnsi="Times New Roman" w:cs="Times New Roman"/>
          <w:bCs/>
          <w:i/>
          <w:sz w:val="24"/>
          <w:szCs w:val="24"/>
        </w:rPr>
        <w:t xml:space="preserve">After </w:t>
      </w:r>
      <w:r>
        <w:rPr>
          <w:rFonts w:ascii="Times New Roman" w:hAnsi="Times New Roman" w:cs="Times New Roman"/>
          <w:bCs/>
          <w:sz w:val="24"/>
          <w:szCs w:val="24"/>
        </w:rPr>
        <w:t xml:space="preserve">COVID period relative the </w:t>
      </w:r>
      <w:r w:rsidRPr="00B44AB6">
        <w:rPr>
          <w:rFonts w:ascii="Times New Roman" w:hAnsi="Times New Roman" w:cs="Times New Roman"/>
          <w:bCs/>
          <w:i/>
          <w:sz w:val="24"/>
          <w:szCs w:val="24"/>
        </w:rPr>
        <w:t>Before</w:t>
      </w:r>
      <w:r>
        <w:rPr>
          <w:rFonts w:ascii="Times New Roman" w:hAnsi="Times New Roman" w:cs="Times New Roman"/>
          <w:bCs/>
          <w:sz w:val="24"/>
          <w:szCs w:val="24"/>
        </w:rPr>
        <w:t xml:space="preserve"> COVID period</w:t>
      </w:r>
      <w:r w:rsidRPr="00837F9C">
        <w:rPr>
          <w:rFonts w:ascii="Times New Roman" w:hAnsi="Times New Roman" w:cs="Times New Roman"/>
          <w:bCs/>
          <w:sz w:val="24"/>
          <w:szCs w:val="24"/>
        </w:rPr>
        <w:t>, presumably because a third location offers the space and safety necessary to meet with students/clients needing support</w:t>
      </w:r>
      <w:r>
        <w:rPr>
          <w:rFonts w:ascii="Times New Roman" w:hAnsi="Times New Roman" w:cs="Times New Roman"/>
          <w:bCs/>
          <w:sz w:val="24"/>
          <w:szCs w:val="24"/>
        </w:rPr>
        <w:t xml:space="preserve"> after a period of no face-to-face time</w:t>
      </w:r>
      <w:r w:rsidRPr="00837F9C">
        <w:rPr>
          <w:rFonts w:ascii="Times New Roman" w:hAnsi="Times New Roman" w:cs="Times New Roman"/>
          <w:bCs/>
          <w:sz w:val="24"/>
          <w:szCs w:val="24"/>
        </w:rPr>
        <w:t>.</w:t>
      </w:r>
      <w:r>
        <w:rPr>
          <w:rFonts w:ascii="Times New Roman" w:hAnsi="Times New Roman" w:cs="Times New Roman"/>
          <w:bCs/>
          <w:sz w:val="24"/>
          <w:szCs w:val="24"/>
        </w:rPr>
        <w:t xml:space="preserve"> </w:t>
      </w:r>
      <w:r w:rsidR="00833777">
        <w:rPr>
          <w:rFonts w:ascii="Times New Roman" w:hAnsi="Times New Roman" w:cs="Times New Roman"/>
          <w:bCs/>
          <w:sz w:val="24"/>
          <w:szCs w:val="24"/>
        </w:rPr>
        <w:t>T</w:t>
      </w:r>
      <w:r w:rsidR="00FE33B8" w:rsidRPr="00837F9C">
        <w:rPr>
          <w:rFonts w:ascii="Times New Roman" w:hAnsi="Times New Roman" w:cs="Times New Roman"/>
          <w:bCs/>
          <w:sz w:val="24"/>
          <w:szCs w:val="24"/>
        </w:rPr>
        <w:t>hose</w:t>
      </w:r>
      <w:r w:rsidR="00833777">
        <w:rPr>
          <w:rFonts w:ascii="Times New Roman" w:hAnsi="Times New Roman" w:cs="Times New Roman"/>
          <w:bCs/>
          <w:sz w:val="24"/>
          <w:szCs w:val="24"/>
        </w:rPr>
        <w:t xml:space="preserve"> </w:t>
      </w:r>
      <w:r w:rsidR="00FE33B8" w:rsidRPr="00837F9C">
        <w:rPr>
          <w:rFonts w:ascii="Times New Roman" w:hAnsi="Times New Roman" w:cs="Times New Roman"/>
          <w:bCs/>
          <w:sz w:val="24"/>
          <w:szCs w:val="24"/>
        </w:rPr>
        <w:t>resid</w:t>
      </w:r>
      <w:r w:rsidR="00833777">
        <w:rPr>
          <w:rFonts w:ascii="Times New Roman" w:hAnsi="Times New Roman" w:cs="Times New Roman"/>
          <w:bCs/>
          <w:sz w:val="24"/>
          <w:szCs w:val="24"/>
        </w:rPr>
        <w:t xml:space="preserve">ing </w:t>
      </w:r>
      <w:r w:rsidR="00FE33B8" w:rsidRPr="00837F9C">
        <w:rPr>
          <w:rFonts w:ascii="Times New Roman" w:hAnsi="Times New Roman" w:cs="Times New Roman"/>
          <w:bCs/>
          <w:sz w:val="24"/>
          <w:szCs w:val="24"/>
        </w:rPr>
        <w:t xml:space="preserve">in urban environments are </w:t>
      </w:r>
      <w:r w:rsidR="000E51E9">
        <w:rPr>
          <w:rFonts w:ascii="Times New Roman" w:hAnsi="Times New Roman" w:cs="Times New Roman"/>
          <w:bCs/>
          <w:sz w:val="24"/>
          <w:szCs w:val="24"/>
        </w:rPr>
        <w:t xml:space="preserve">more </w:t>
      </w:r>
      <w:r w:rsidR="00FE33B8" w:rsidRPr="00837F9C">
        <w:rPr>
          <w:rFonts w:ascii="Times New Roman" w:hAnsi="Times New Roman" w:cs="Times New Roman"/>
          <w:bCs/>
          <w:sz w:val="24"/>
          <w:szCs w:val="24"/>
        </w:rPr>
        <w:t xml:space="preserve">likely </w:t>
      </w:r>
      <w:r w:rsidR="000E51E9">
        <w:rPr>
          <w:rFonts w:ascii="Times New Roman" w:hAnsi="Times New Roman" w:cs="Times New Roman"/>
          <w:bCs/>
          <w:sz w:val="24"/>
          <w:szCs w:val="24"/>
        </w:rPr>
        <w:t xml:space="preserve">(relative to those living in other environments) </w:t>
      </w:r>
      <w:r w:rsidR="00FE33B8" w:rsidRPr="00837F9C">
        <w:rPr>
          <w:rFonts w:ascii="Times New Roman" w:hAnsi="Times New Roman" w:cs="Times New Roman"/>
          <w:bCs/>
          <w:sz w:val="24"/>
          <w:szCs w:val="24"/>
        </w:rPr>
        <w:t>to adopt a hybrid telework location arrangement</w:t>
      </w:r>
      <w:r w:rsidR="000E51E9">
        <w:rPr>
          <w:rFonts w:ascii="Times New Roman" w:hAnsi="Times New Roman" w:cs="Times New Roman"/>
          <w:bCs/>
          <w:sz w:val="24"/>
          <w:szCs w:val="24"/>
        </w:rPr>
        <w:t xml:space="preserve"> during both the before and after periods</w:t>
      </w:r>
      <w:r w:rsidR="00FE33B8" w:rsidRPr="00837F9C">
        <w:rPr>
          <w:rFonts w:ascii="Times New Roman" w:hAnsi="Times New Roman" w:cs="Times New Roman"/>
          <w:bCs/>
          <w:sz w:val="24"/>
          <w:szCs w:val="24"/>
        </w:rPr>
        <w:t>, p</w:t>
      </w:r>
      <w:r w:rsidR="00833777">
        <w:rPr>
          <w:rFonts w:ascii="Times New Roman" w:hAnsi="Times New Roman" w:cs="Times New Roman"/>
          <w:bCs/>
          <w:sz w:val="24"/>
          <w:szCs w:val="24"/>
        </w:rPr>
        <w:t>ossibly</w:t>
      </w:r>
      <w:r w:rsidR="00FE33B8" w:rsidRPr="00837F9C">
        <w:rPr>
          <w:rFonts w:ascii="Times New Roman" w:hAnsi="Times New Roman" w:cs="Times New Roman"/>
          <w:bCs/>
          <w:sz w:val="24"/>
          <w:szCs w:val="24"/>
        </w:rPr>
        <w:t xml:space="preserve"> because urban environments offer such locational opportunities within</w:t>
      </w:r>
      <w:r w:rsidR="00833777">
        <w:rPr>
          <w:rFonts w:ascii="Times New Roman" w:hAnsi="Times New Roman" w:cs="Times New Roman"/>
          <w:bCs/>
          <w:sz w:val="24"/>
          <w:szCs w:val="24"/>
        </w:rPr>
        <w:t xml:space="preserve"> </w:t>
      </w:r>
      <w:r w:rsidR="00FE33B8" w:rsidRPr="00837F9C">
        <w:rPr>
          <w:rFonts w:ascii="Times New Roman" w:hAnsi="Times New Roman" w:cs="Times New Roman"/>
          <w:bCs/>
          <w:sz w:val="24"/>
          <w:szCs w:val="24"/>
        </w:rPr>
        <w:t>close proximity of home</w:t>
      </w:r>
      <w:r w:rsidR="00E50E4B" w:rsidRPr="00837F9C">
        <w:rPr>
          <w:rFonts w:ascii="Times New Roman" w:hAnsi="Times New Roman" w:cs="Times New Roman"/>
          <w:bCs/>
          <w:sz w:val="24"/>
          <w:szCs w:val="24"/>
        </w:rPr>
        <w:t>.</w:t>
      </w:r>
      <w:r w:rsidR="000E51E9">
        <w:rPr>
          <w:rFonts w:ascii="Times New Roman" w:hAnsi="Times New Roman" w:cs="Times New Roman"/>
          <w:bCs/>
          <w:sz w:val="24"/>
          <w:szCs w:val="24"/>
        </w:rPr>
        <w:t xml:space="preserve"> Finally, and not surprisingly, individuals who have a private study in their homes and have a stand-alone home are much more likely than their peers to choose “home only” as their teleworking location. </w:t>
      </w:r>
    </w:p>
    <w:p w14:paraId="3E7DCDE1" w14:textId="6F4DCAA1" w:rsidR="008F57AA" w:rsidRDefault="00FE33B8">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r>
      <w:r w:rsidR="00420252" w:rsidRPr="00837F9C">
        <w:rPr>
          <w:rFonts w:ascii="Times New Roman" w:hAnsi="Times New Roman" w:cs="Times New Roman"/>
          <w:bCs/>
          <w:sz w:val="24"/>
          <w:szCs w:val="24"/>
        </w:rPr>
        <w:t xml:space="preserve">The constants (both the overall constant and the pandemic-specific </w:t>
      </w:r>
      <w:r w:rsidR="000E51E9">
        <w:rPr>
          <w:rFonts w:ascii="Times New Roman" w:hAnsi="Times New Roman" w:cs="Times New Roman"/>
          <w:bCs/>
          <w:sz w:val="24"/>
          <w:szCs w:val="24"/>
        </w:rPr>
        <w:t xml:space="preserve">shift </w:t>
      </w:r>
      <w:r w:rsidR="00420252" w:rsidRPr="00837F9C">
        <w:rPr>
          <w:rFonts w:ascii="Times New Roman" w:hAnsi="Times New Roman" w:cs="Times New Roman"/>
          <w:bCs/>
          <w:sz w:val="24"/>
          <w:szCs w:val="24"/>
        </w:rPr>
        <w:t xml:space="preserve">constant) are negative for the third </w:t>
      </w:r>
      <w:r w:rsidR="000E51E9">
        <w:rPr>
          <w:rFonts w:ascii="Times New Roman" w:hAnsi="Times New Roman" w:cs="Times New Roman"/>
          <w:bCs/>
          <w:sz w:val="24"/>
          <w:szCs w:val="24"/>
        </w:rPr>
        <w:t xml:space="preserve">location only </w:t>
      </w:r>
      <w:r w:rsidR="00420252" w:rsidRPr="00837F9C">
        <w:rPr>
          <w:rFonts w:ascii="Times New Roman" w:hAnsi="Times New Roman" w:cs="Times New Roman"/>
          <w:bCs/>
          <w:sz w:val="24"/>
          <w:szCs w:val="24"/>
        </w:rPr>
        <w:t>option</w:t>
      </w:r>
      <w:r w:rsidR="000E51E9">
        <w:rPr>
          <w:rFonts w:ascii="Times New Roman" w:hAnsi="Times New Roman" w:cs="Times New Roman"/>
          <w:bCs/>
          <w:sz w:val="24"/>
          <w:szCs w:val="24"/>
        </w:rPr>
        <w:t xml:space="preserve">, as well as for the “both home and third location” alternative, </w:t>
      </w:r>
      <w:r w:rsidR="00420252" w:rsidRPr="00837F9C">
        <w:rPr>
          <w:rFonts w:ascii="Times New Roman" w:hAnsi="Times New Roman" w:cs="Times New Roman"/>
          <w:bCs/>
          <w:sz w:val="24"/>
          <w:szCs w:val="24"/>
        </w:rPr>
        <w:t>suggest</w:t>
      </w:r>
      <w:r w:rsidR="000E51E9">
        <w:rPr>
          <w:rFonts w:ascii="Times New Roman" w:hAnsi="Times New Roman" w:cs="Times New Roman"/>
          <w:bCs/>
          <w:sz w:val="24"/>
          <w:szCs w:val="24"/>
        </w:rPr>
        <w:t xml:space="preserve">ing </w:t>
      </w:r>
      <w:r w:rsidR="00420252" w:rsidRPr="00837F9C">
        <w:rPr>
          <w:rFonts w:ascii="Times New Roman" w:hAnsi="Times New Roman" w:cs="Times New Roman"/>
          <w:bCs/>
          <w:sz w:val="24"/>
          <w:szCs w:val="24"/>
        </w:rPr>
        <w:t xml:space="preserve">that teleworkers are more prone to working from home only as opposed to choosing a third </w:t>
      </w:r>
      <w:r w:rsidR="00A717B2">
        <w:rPr>
          <w:rFonts w:ascii="Times New Roman" w:hAnsi="Times New Roman" w:cs="Times New Roman"/>
          <w:bCs/>
          <w:sz w:val="24"/>
          <w:szCs w:val="24"/>
        </w:rPr>
        <w:t>location</w:t>
      </w:r>
      <w:r w:rsidR="00A717B2" w:rsidRPr="00837F9C">
        <w:rPr>
          <w:rFonts w:ascii="Times New Roman" w:hAnsi="Times New Roman" w:cs="Times New Roman"/>
          <w:bCs/>
          <w:sz w:val="24"/>
          <w:szCs w:val="24"/>
        </w:rPr>
        <w:t xml:space="preserve"> </w:t>
      </w:r>
      <w:r w:rsidR="00420252" w:rsidRPr="00837F9C">
        <w:rPr>
          <w:rFonts w:ascii="Times New Roman" w:hAnsi="Times New Roman" w:cs="Times New Roman"/>
          <w:bCs/>
          <w:sz w:val="24"/>
          <w:szCs w:val="24"/>
        </w:rPr>
        <w:t xml:space="preserve">or a </w:t>
      </w:r>
      <w:r w:rsidR="00837F9C">
        <w:rPr>
          <w:rFonts w:ascii="Times New Roman" w:hAnsi="Times New Roman" w:cs="Times New Roman"/>
          <w:bCs/>
          <w:sz w:val="24"/>
          <w:szCs w:val="24"/>
        </w:rPr>
        <w:t>remote-</w:t>
      </w:r>
      <w:r w:rsidR="00420252" w:rsidRPr="00837F9C">
        <w:rPr>
          <w:rFonts w:ascii="Times New Roman" w:hAnsi="Times New Roman" w:cs="Times New Roman"/>
          <w:bCs/>
          <w:sz w:val="24"/>
          <w:szCs w:val="24"/>
        </w:rPr>
        <w:t>hybrid workplace</w:t>
      </w:r>
      <w:r w:rsidR="00A717B2">
        <w:rPr>
          <w:rFonts w:ascii="Times New Roman" w:hAnsi="Times New Roman" w:cs="Times New Roman"/>
          <w:bCs/>
          <w:sz w:val="24"/>
          <w:szCs w:val="24"/>
        </w:rPr>
        <w:t xml:space="preserve"> location</w:t>
      </w:r>
      <w:r w:rsidR="00420252" w:rsidRPr="00837F9C">
        <w:rPr>
          <w:rFonts w:ascii="Times New Roman" w:hAnsi="Times New Roman" w:cs="Times New Roman"/>
          <w:bCs/>
          <w:sz w:val="24"/>
          <w:szCs w:val="24"/>
        </w:rPr>
        <w:t xml:space="preserve"> option. These findings are entirely consistent with real world evidence (</w:t>
      </w:r>
      <w:r w:rsidR="00F821CD" w:rsidRPr="00E1729F">
        <w:rPr>
          <w:rFonts w:ascii="Times New Roman" w:hAnsi="Times New Roman" w:cs="Times New Roman"/>
          <w:bCs/>
          <w:iCs/>
          <w:sz w:val="24"/>
          <w:szCs w:val="24"/>
        </w:rPr>
        <w:t>Stiles and Smart, 2021</w:t>
      </w:r>
      <w:r w:rsidR="00420252" w:rsidRPr="00837F9C">
        <w:rPr>
          <w:rFonts w:ascii="Times New Roman" w:hAnsi="Times New Roman" w:cs="Times New Roman"/>
          <w:bCs/>
          <w:sz w:val="24"/>
          <w:szCs w:val="24"/>
        </w:rPr>
        <w:t>).</w:t>
      </w:r>
    </w:p>
    <w:p w14:paraId="4E9CBB01" w14:textId="77777777" w:rsidR="00F05B36" w:rsidRDefault="00F05B36" w:rsidP="00E1729F">
      <w:pPr>
        <w:spacing w:after="0" w:line="276" w:lineRule="auto"/>
        <w:rPr>
          <w:rFonts w:ascii="Times New Roman" w:hAnsi="Times New Roman" w:cs="Times New Roman"/>
          <w:bCs/>
          <w:sz w:val="24"/>
          <w:szCs w:val="24"/>
        </w:rPr>
      </w:pPr>
    </w:p>
    <w:p w14:paraId="6DBF04DB" w14:textId="04E9F9C9" w:rsidR="00F05B36" w:rsidRPr="00E1729F" w:rsidRDefault="00A03376" w:rsidP="00F05B3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5</w:t>
      </w:r>
      <w:r w:rsidR="00F05B36" w:rsidRPr="00E1729F">
        <w:rPr>
          <w:rFonts w:ascii="Times New Roman" w:hAnsi="Times New Roman" w:cs="Times New Roman"/>
          <w:b/>
          <w:bCs/>
          <w:sz w:val="24"/>
          <w:szCs w:val="24"/>
        </w:rPr>
        <w:t xml:space="preserve">.4 Correlations </w:t>
      </w:r>
      <w:r w:rsidR="00F05B36">
        <w:rPr>
          <w:rFonts w:ascii="Times New Roman" w:hAnsi="Times New Roman" w:cs="Times New Roman"/>
          <w:b/>
          <w:bCs/>
          <w:sz w:val="24"/>
          <w:szCs w:val="24"/>
        </w:rPr>
        <w:t>A</w:t>
      </w:r>
      <w:r w:rsidR="00F05B36" w:rsidRPr="00E1729F">
        <w:rPr>
          <w:rFonts w:ascii="Times New Roman" w:hAnsi="Times New Roman" w:cs="Times New Roman"/>
          <w:b/>
          <w:bCs/>
          <w:sz w:val="24"/>
          <w:szCs w:val="24"/>
        </w:rPr>
        <w:t xml:space="preserve">mong the </w:t>
      </w:r>
      <w:r w:rsidR="00F05B36">
        <w:rPr>
          <w:rFonts w:ascii="Times New Roman" w:hAnsi="Times New Roman" w:cs="Times New Roman"/>
          <w:b/>
          <w:bCs/>
          <w:sz w:val="24"/>
          <w:szCs w:val="24"/>
        </w:rPr>
        <w:t>D</w:t>
      </w:r>
      <w:r w:rsidR="00F05B36" w:rsidRPr="00E1729F">
        <w:rPr>
          <w:rFonts w:ascii="Times New Roman" w:hAnsi="Times New Roman" w:cs="Times New Roman"/>
          <w:b/>
          <w:bCs/>
          <w:sz w:val="24"/>
          <w:szCs w:val="24"/>
        </w:rPr>
        <w:t xml:space="preserve">ependent </w:t>
      </w:r>
      <w:r w:rsidR="00F05B36">
        <w:rPr>
          <w:rFonts w:ascii="Times New Roman" w:hAnsi="Times New Roman" w:cs="Times New Roman"/>
          <w:b/>
          <w:bCs/>
          <w:sz w:val="24"/>
          <w:szCs w:val="24"/>
        </w:rPr>
        <w:t>O</w:t>
      </w:r>
      <w:r w:rsidR="00F05B36" w:rsidRPr="00E1729F">
        <w:rPr>
          <w:rFonts w:ascii="Times New Roman" w:hAnsi="Times New Roman" w:cs="Times New Roman"/>
          <w:b/>
          <w:bCs/>
          <w:sz w:val="24"/>
          <w:szCs w:val="24"/>
        </w:rPr>
        <w:t xml:space="preserve">utcomes </w:t>
      </w:r>
    </w:p>
    <w:p w14:paraId="520CADBC" w14:textId="4FC8167F" w:rsidR="00D66D94" w:rsidRDefault="00D66D94" w:rsidP="00B24C81">
      <w:pPr>
        <w:spacing w:after="0" w:line="276" w:lineRule="auto"/>
        <w:rPr>
          <w:rFonts w:ascii="Times New Roman" w:hAnsi="Times New Roman" w:cs="Times New Roman"/>
          <w:bCs/>
          <w:sz w:val="24"/>
          <w:szCs w:val="24"/>
        </w:rPr>
      </w:pPr>
      <w:r w:rsidRPr="00D66D94">
        <w:rPr>
          <w:rFonts w:ascii="Times New Roman" w:hAnsi="Times New Roman" w:cs="Times New Roman"/>
          <w:bCs/>
          <w:sz w:val="24"/>
          <w:szCs w:val="24"/>
        </w:rPr>
        <w:t xml:space="preserve">An examination of the error correlation matrix presented in Table 4 provides credence to the use of a joint modeling framework to jointly model the adoption, frequency, and location of teleworking. Theoretically speaking, it is not possible to meaningfully interpret the correlation elements involving the nominal alternatives without imposing certain assumptions on the original structural matrix of the error terms. Therefore, to facilitate interpretability (especially because our results indicate a negative correlation, in differenced form from the first “home alternative”, between the “third work place only” and “third home and third work place” alternatives for the After-COVID period), we assume away the error term for the home alternative (see Bunch, 1991). Then, the estimated correlations may be interpreted in a straightforward manner as those corresponding to the “third work place only” and “third home and third work place” structural error terms (between themselves and with the adoption/frequency error terms in each period; see also discussion toward the end of Section </w:t>
      </w:r>
      <w:r w:rsidR="00A03376">
        <w:rPr>
          <w:rFonts w:ascii="Times New Roman" w:hAnsi="Times New Roman" w:cs="Times New Roman"/>
          <w:bCs/>
          <w:sz w:val="24"/>
          <w:szCs w:val="24"/>
        </w:rPr>
        <w:t>4</w:t>
      </w:r>
      <w:r w:rsidRPr="00D66D94">
        <w:rPr>
          <w:rFonts w:ascii="Times New Roman" w:hAnsi="Times New Roman" w:cs="Times New Roman"/>
          <w:bCs/>
          <w:sz w:val="24"/>
          <w:szCs w:val="24"/>
        </w:rPr>
        <w:t xml:space="preserve">.2.1). This seems quite reasonable, as we would expect much of the unobserved individual-specific factors to be associated with the non-home location </w:t>
      </w:r>
      <w:r w:rsidRPr="00D66D94">
        <w:rPr>
          <w:rFonts w:ascii="Times New Roman" w:hAnsi="Times New Roman" w:cs="Times New Roman"/>
          <w:bCs/>
          <w:sz w:val="24"/>
          <w:szCs w:val="24"/>
        </w:rPr>
        <w:lastRenderedPageBreak/>
        <w:t>utilities. Also, because there would be little reason to expect cross-correlations between the many dimensions across the two time periods, and also for estimation parsimony and stability, we only consider the correlations between the same outcomes across the two time periods. That is, the off-diagonal entries in the off-diagonal block of Table 4 are all restricted to zero, and only the diagonal entries of the off-diagonal block are estimated.</w:t>
      </w:r>
      <w:r>
        <w:rPr>
          <w:rFonts w:ascii="Times New Roman" w:hAnsi="Times New Roman" w:cs="Times New Roman"/>
          <w:bCs/>
          <w:sz w:val="24"/>
          <w:szCs w:val="24"/>
        </w:rPr>
        <w:t xml:space="preserve"> </w:t>
      </w:r>
    </w:p>
    <w:p w14:paraId="70A14B2D" w14:textId="14245CE6" w:rsidR="00F05B36" w:rsidRDefault="00D66D94" w:rsidP="00D66D94">
      <w:pPr>
        <w:spacing w:after="0" w:line="276" w:lineRule="auto"/>
        <w:ind w:firstLine="720"/>
        <w:rPr>
          <w:rFonts w:ascii="Times New Roman" w:hAnsi="Times New Roman" w:cs="Times New Roman"/>
          <w:bCs/>
          <w:sz w:val="24"/>
          <w:szCs w:val="24"/>
        </w:rPr>
      </w:pPr>
      <w:r w:rsidRPr="00837F9C">
        <w:rPr>
          <w:rFonts w:ascii="Times New Roman" w:hAnsi="Times New Roman" w:cs="Times New Roman"/>
          <w:bCs/>
          <w:sz w:val="24"/>
          <w:szCs w:val="24"/>
        </w:rPr>
        <w:t>Th</w:t>
      </w:r>
      <w:r w:rsidR="00F05B36" w:rsidRPr="00837F9C">
        <w:rPr>
          <w:rFonts w:ascii="Times New Roman" w:hAnsi="Times New Roman" w:cs="Times New Roman"/>
          <w:bCs/>
          <w:sz w:val="24"/>
          <w:szCs w:val="24"/>
        </w:rPr>
        <w:t xml:space="preserve">e matrix in Table 4 </w:t>
      </w:r>
      <w:r w:rsidR="00F05B36">
        <w:rPr>
          <w:rFonts w:ascii="Times New Roman" w:hAnsi="Times New Roman" w:cs="Times New Roman"/>
          <w:bCs/>
          <w:sz w:val="24"/>
          <w:szCs w:val="24"/>
        </w:rPr>
        <w:t>reveals</w:t>
      </w:r>
      <w:r w:rsidR="00F05B36" w:rsidRPr="00837F9C">
        <w:rPr>
          <w:rFonts w:ascii="Times New Roman" w:hAnsi="Times New Roman" w:cs="Times New Roman"/>
          <w:bCs/>
          <w:sz w:val="24"/>
          <w:szCs w:val="24"/>
        </w:rPr>
        <w:t xml:space="preserve"> several statistically significant correlations. Th</w:t>
      </w:r>
      <w:r w:rsidR="00F05B36">
        <w:rPr>
          <w:rFonts w:ascii="Times New Roman" w:hAnsi="Times New Roman" w:cs="Times New Roman"/>
          <w:bCs/>
          <w:sz w:val="24"/>
          <w:szCs w:val="24"/>
        </w:rPr>
        <w:t>is</w:t>
      </w:r>
      <w:r w:rsidR="00F05B36" w:rsidRPr="00837F9C">
        <w:rPr>
          <w:rFonts w:ascii="Times New Roman" w:hAnsi="Times New Roman" w:cs="Times New Roman"/>
          <w:bCs/>
          <w:sz w:val="24"/>
          <w:szCs w:val="24"/>
        </w:rPr>
        <w:t xml:space="preserve"> include</w:t>
      </w:r>
      <w:r w:rsidR="00F05B36">
        <w:rPr>
          <w:rFonts w:ascii="Times New Roman" w:hAnsi="Times New Roman" w:cs="Times New Roman"/>
          <w:bCs/>
          <w:sz w:val="24"/>
          <w:szCs w:val="24"/>
        </w:rPr>
        <w:t>s</w:t>
      </w:r>
      <w:r w:rsidR="00F05B36" w:rsidRPr="00837F9C">
        <w:rPr>
          <w:rFonts w:ascii="Times New Roman" w:hAnsi="Times New Roman" w:cs="Times New Roman"/>
          <w:bCs/>
          <w:sz w:val="24"/>
          <w:szCs w:val="24"/>
        </w:rPr>
        <w:t xml:space="preserve"> a negative correlation between telework adoption and telework frequency </w:t>
      </w:r>
      <w:r w:rsidR="00F05B36">
        <w:rPr>
          <w:rFonts w:ascii="Times New Roman" w:hAnsi="Times New Roman" w:cs="Times New Roman"/>
          <w:bCs/>
          <w:sz w:val="24"/>
          <w:szCs w:val="24"/>
        </w:rPr>
        <w:t xml:space="preserve">in the </w:t>
      </w:r>
      <w:r w:rsidR="00F05B36">
        <w:rPr>
          <w:rFonts w:ascii="Times New Roman" w:hAnsi="Times New Roman" w:cs="Times New Roman"/>
          <w:bCs/>
          <w:i/>
          <w:sz w:val="24"/>
          <w:szCs w:val="24"/>
        </w:rPr>
        <w:t>B</w:t>
      </w:r>
      <w:r w:rsidR="00F05B36" w:rsidRPr="00961062">
        <w:rPr>
          <w:rFonts w:ascii="Times New Roman" w:hAnsi="Times New Roman" w:cs="Times New Roman"/>
          <w:bCs/>
          <w:i/>
          <w:sz w:val="24"/>
          <w:szCs w:val="24"/>
        </w:rPr>
        <w:t>efore</w:t>
      </w:r>
      <w:r w:rsidR="00DD5EAC">
        <w:rPr>
          <w:rFonts w:ascii="Times New Roman" w:hAnsi="Times New Roman" w:cs="Times New Roman"/>
          <w:bCs/>
          <w:i/>
          <w:sz w:val="24"/>
          <w:szCs w:val="24"/>
        </w:rPr>
        <w:t xml:space="preserve"> </w:t>
      </w:r>
      <w:r w:rsidR="00F05B36" w:rsidRPr="00A15909">
        <w:rPr>
          <w:rFonts w:ascii="Times New Roman" w:hAnsi="Times New Roman" w:cs="Times New Roman"/>
          <w:bCs/>
          <w:sz w:val="24"/>
          <w:szCs w:val="24"/>
        </w:rPr>
        <w:t>COVID</w:t>
      </w:r>
      <w:r w:rsidR="00F05B36" w:rsidRPr="004D5DF9">
        <w:rPr>
          <w:rFonts w:ascii="Times New Roman" w:hAnsi="Times New Roman" w:cs="Times New Roman"/>
          <w:bCs/>
          <w:sz w:val="24"/>
          <w:szCs w:val="24"/>
        </w:rPr>
        <w:t xml:space="preserve"> </w:t>
      </w:r>
      <w:r w:rsidR="00F05B36">
        <w:rPr>
          <w:rFonts w:ascii="Times New Roman" w:hAnsi="Times New Roman" w:cs="Times New Roman"/>
          <w:bCs/>
          <w:sz w:val="24"/>
          <w:szCs w:val="24"/>
        </w:rPr>
        <w:t>period</w:t>
      </w:r>
      <w:r w:rsidR="00F05B36" w:rsidRPr="00837F9C">
        <w:rPr>
          <w:rFonts w:ascii="Times New Roman" w:hAnsi="Times New Roman" w:cs="Times New Roman"/>
          <w:bCs/>
          <w:sz w:val="24"/>
          <w:szCs w:val="24"/>
        </w:rPr>
        <w:t>, but</w:t>
      </w:r>
      <w:r w:rsidR="00F05B36">
        <w:rPr>
          <w:rFonts w:ascii="Times New Roman" w:hAnsi="Times New Roman" w:cs="Times New Roman"/>
          <w:bCs/>
          <w:sz w:val="24"/>
          <w:szCs w:val="24"/>
        </w:rPr>
        <w:t xml:space="preserve"> a positive correlation in the </w:t>
      </w:r>
      <w:r w:rsidR="00F05B36" w:rsidRPr="00F05B36">
        <w:rPr>
          <w:rFonts w:ascii="Times New Roman" w:hAnsi="Times New Roman" w:cs="Times New Roman"/>
          <w:bCs/>
          <w:i/>
          <w:sz w:val="24"/>
          <w:szCs w:val="24"/>
        </w:rPr>
        <w:t>A</w:t>
      </w:r>
      <w:r w:rsidR="00F05B36" w:rsidRPr="00961062">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00F05B36" w:rsidRPr="00A15909">
        <w:rPr>
          <w:rFonts w:ascii="Times New Roman" w:hAnsi="Times New Roman" w:cs="Times New Roman"/>
          <w:bCs/>
          <w:sz w:val="24"/>
          <w:szCs w:val="24"/>
        </w:rPr>
        <w:t>COVID</w:t>
      </w:r>
      <w:r w:rsidR="00F05B36" w:rsidRPr="004D5DF9">
        <w:rPr>
          <w:rFonts w:ascii="Times New Roman" w:hAnsi="Times New Roman" w:cs="Times New Roman"/>
          <w:bCs/>
          <w:sz w:val="24"/>
          <w:szCs w:val="24"/>
        </w:rPr>
        <w:t xml:space="preserve"> </w:t>
      </w:r>
      <w:r w:rsidR="00F05B36">
        <w:rPr>
          <w:rFonts w:ascii="Times New Roman" w:hAnsi="Times New Roman" w:cs="Times New Roman"/>
          <w:bCs/>
          <w:sz w:val="24"/>
          <w:szCs w:val="24"/>
        </w:rPr>
        <w:t xml:space="preserve">period. The negative correlation </w:t>
      </w:r>
      <w:r w:rsidR="0064226B">
        <w:rPr>
          <w:rFonts w:ascii="Times New Roman" w:hAnsi="Times New Roman" w:cs="Times New Roman"/>
          <w:bCs/>
          <w:sz w:val="24"/>
          <w:szCs w:val="24"/>
        </w:rPr>
        <w:t xml:space="preserve">(of -0.340) </w:t>
      </w:r>
      <w:r w:rsidR="00F05B36" w:rsidRPr="004E52A4">
        <w:rPr>
          <w:rFonts w:ascii="Times New Roman" w:hAnsi="Times New Roman" w:cs="Times New Roman"/>
          <w:bCs/>
          <w:sz w:val="24"/>
          <w:szCs w:val="24"/>
        </w:rPr>
        <w:t xml:space="preserve">before COVID </w:t>
      </w:r>
      <w:r w:rsidR="00F05B36">
        <w:rPr>
          <w:rFonts w:ascii="Times New Roman" w:hAnsi="Times New Roman" w:cs="Times New Roman"/>
          <w:bCs/>
          <w:sz w:val="24"/>
          <w:szCs w:val="24"/>
        </w:rPr>
        <w:t xml:space="preserve">may be an indication of employers’ general reluctance to see employees telework (even if officially sanctioned), which then translates to employees with an elevated telework tendency also feeling pressure to report to the office. But, in the </w:t>
      </w:r>
      <w:r w:rsidR="00F05B36">
        <w:rPr>
          <w:rFonts w:ascii="Times New Roman" w:hAnsi="Times New Roman" w:cs="Times New Roman"/>
          <w:bCs/>
          <w:i/>
          <w:sz w:val="24"/>
          <w:szCs w:val="24"/>
        </w:rPr>
        <w:t>A</w:t>
      </w:r>
      <w:r w:rsidR="00F05B36" w:rsidRPr="00961062">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00F05B36" w:rsidRPr="00A15909">
        <w:rPr>
          <w:rFonts w:ascii="Times New Roman" w:hAnsi="Times New Roman" w:cs="Times New Roman"/>
          <w:bCs/>
          <w:sz w:val="24"/>
          <w:szCs w:val="24"/>
        </w:rPr>
        <w:t>COVID</w:t>
      </w:r>
      <w:r w:rsidR="00F05B36" w:rsidRPr="004D5DF9">
        <w:rPr>
          <w:rFonts w:ascii="Times New Roman" w:hAnsi="Times New Roman" w:cs="Times New Roman"/>
          <w:bCs/>
          <w:sz w:val="24"/>
          <w:szCs w:val="24"/>
        </w:rPr>
        <w:t xml:space="preserve"> </w:t>
      </w:r>
      <w:r w:rsidR="00F05B36">
        <w:rPr>
          <w:rFonts w:ascii="Times New Roman" w:hAnsi="Times New Roman" w:cs="Times New Roman"/>
          <w:bCs/>
          <w:sz w:val="24"/>
          <w:szCs w:val="24"/>
        </w:rPr>
        <w:t xml:space="preserve">period, with less such pressure from employers, </w:t>
      </w:r>
      <w:bookmarkStart w:id="13" w:name="_Hlk132549511"/>
      <w:r w:rsidR="00F05B36" w:rsidRPr="00FC4E63">
        <w:rPr>
          <w:rFonts w:ascii="Times New Roman" w:hAnsi="Times New Roman" w:cs="Times New Roman"/>
          <w:bCs/>
          <w:sz w:val="24"/>
          <w:szCs w:val="24"/>
        </w:rPr>
        <w:t xml:space="preserve">unobserved factors </w:t>
      </w:r>
      <w:r w:rsidR="003B04BD">
        <w:rPr>
          <w:rFonts w:ascii="Times New Roman" w:hAnsi="Times New Roman" w:cs="Times New Roman"/>
          <w:bCs/>
          <w:sz w:val="24"/>
          <w:szCs w:val="24"/>
        </w:rPr>
        <w:t xml:space="preserve">(such as say being technology-savvy or being introverted) </w:t>
      </w:r>
      <w:r w:rsidR="00F05B36" w:rsidRPr="00FC4E63">
        <w:rPr>
          <w:rFonts w:ascii="Times New Roman" w:hAnsi="Times New Roman" w:cs="Times New Roman"/>
          <w:bCs/>
          <w:sz w:val="24"/>
          <w:szCs w:val="24"/>
        </w:rPr>
        <w:t>that contribute to telework adoption also contribute positively to a higher frequency of teleworking</w:t>
      </w:r>
      <w:bookmarkEnd w:id="13"/>
      <w:r w:rsidR="0064226B">
        <w:rPr>
          <w:rFonts w:ascii="Times New Roman" w:hAnsi="Times New Roman" w:cs="Times New Roman"/>
          <w:bCs/>
          <w:sz w:val="24"/>
          <w:szCs w:val="24"/>
        </w:rPr>
        <w:t xml:space="preserve"> (see the correlation value of 0.261 in the </w:t>
      </w:r>
      <w:r w:rsidR="00833777">
        <w:rPr>
          <w:rFonts w:ascii="Times New Roman" w:hAnsi="Times New Roman" w:cs="Times New Roman"/>
          <w:bCs/>
          <w:sz w:val="24"/>
          <w:szCs w:val="24"/>
        </w:rPr>
        <w:t xml:space="preserve">first row of the </w:t>
      </w:r>
      <w:r w:rsidR="0064226B">
        <w:rPr>
          <w:rFonts w:ascii="Times New Roman" w:hAnsi="Times New Roman" w:cs="Times New Roman"/>
          <w:bCs/>
          <w:sz w:val="24"/>
          <w:szCs w:val="24"/>
        </w:rPr>
        <w:t>lower diagonal block)</w:t>
      </w:r>
      <w:r w:rsidR="00F05B36" w:rsidRPr="00FC4E63">
        <w:rPr>
          <w:rFonts w:ascii="Times New Roman" w:hAnsi="Times New Roman" w:cs="Times New Roman"/>
          <w:bCs/>
          <w:sz w:val="24"/>
          <w:szCs w:val="24"/>
        </w:rPr>
        <w:t xml:space="preserve">. </w:t>
      </w:r>
      <w:r w:rsidR="00F05B36">
        <w:rPr>
          <w:rFonts w:ascii="Times New Roman" w:hAnsi="Times New Roman" w:cs="Times New Roman"/>
          <w:bCs/>
          <w:sz w:val="24"/>
          <w:szCs w:val="24"/>
        </w:rPr>
        <w:t xml:space="preserve">The table also indicates relatively small and statistically insignificant correlations of the telework frequency error term with the work location outcomes, both in the </w:t>
      </w:r>
      <w:bookmarkStart w:id="14" w:name="_Hlk128561992"/>
      <w:r w:rsidR="00F05B36">
        <w:rPr>
          <w:rFonts w:ascii="Times New Roman" w:hAnsi="Times New Roman" w:cs="Times New Roman"/>
          <w:bCs/>
          <w:i/>
          <w:sz w:val="24"/>
          <w:szCs w:val="24"/>
        </w:rPr>
        <w:t>B</w:t>
      </w:r>
      <w:r w:rsidR="00F05B36" w:rsidRPr="00961062">
        <w:rPr>
          <w:rFonts w:ascii="Times New Roman" w:hAnsi="Times New Roman" w:cs="Times New Roman"/>
          <w:bCs/>
          <w:i/>
          <w:sz w:val="24"/>
          <w:szCs w:val="24"/>
        </w:rPr>
        <w:t>efore</w:t>
      </w:r>
      <w:r w:rsidR="00DD5EAC">
        <w:rPr>
          <w:rFonts w:ascii="Times New Roman" w:hAnsi="Times New Roman" w:cs="Times New Roman"/>
          <w:bCs/>
          <w:i/>
          <w:sz w:val="24"/>
          <w:szCs w:val="24"/>
        </w:rPr>
        <w:t xml:space="preserve"> </w:t>
      </w:r>
      <w:r w:rsidR="00F05B36" w:rsidRPr="00A15909">
        <w:rPr>
          <w:rFonts w:ascii="Times New Roman" w:hAnsi="Times New Roman" w:cs="Times New Roman"/>
          <w:bCs/>
          <w:sz w:val="24"/>
          <w:szCs w:val="24"/>
        </w:rPr>
        <w:t>COVID</w:t>
      </w:r>
      <w:r w:rsidR="00F05B36" w:rsidRPr="004D5DF9">
        <w:rPr>
          <w:rFonts w:ascii="Times New Roman" w:hAnsi="Times New Roman" w:cs="Times New Roman"/>
          <w:bCs/>
          <w:sz w:val="24"/>
          <w:szCs w:val="24"/>
        </w:rPr>
        <w:t xml:space="preserve"> </w:t>
      </w:r>
      <w:r w:rsidR="00F05B36">
        <w:rPr>
          <w:rFonts w:ascii="Times New Roman" w:hAnsi="Times New Roman" w:cs="Times New Roman"/>
          <w:bCs/>
          <w:sz w:val="24"/>
          <w:szCs w:val="24"/>
        </w:rPr>
        <w:t xml:space="preserve">and </w:t>
      </w:r>
      <w:r w:rsidR="00F05B36">
        <w:rPr>
          <w:rFonts w:ascii="Times New Roman" w:hAnsi="Times New Roman" w:cs="Times New Roman"/>
          <w:bCs/>
          <w:i/>
          <w:sz w:val="24"/>
          <w:szCs w:val="24"/>
        </w:rPr>
        <w:t>A</w:t>
      </w:r>
      <w:r w:rsidR="00F05B36" w:rsidRPr="00961062">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00F05B36" w:rsidRPr="00A15909">
        <w:rPr>
          <w:rFonts w:ascii="Times New Roman" w:hAnsi="Times New Roman" w:cs="Times New Roman"/>
          <w:bCs/>
          <w:sz w:val="24"/>
          <w:szCs w:val="24"/>
        </w:rPr>
        <w:t>COVID</w:t>
      </w:r>
      <w:r w:rsidR="00F05B36" w:rsidRPr="004D5DF9">
        <w:rPr>
          <w:rFonts w:ascii="Times New Roman" w:hAnsi="Times New Roman" w:cs="Times New Roman"/>
          <w:bCs/>
          <w:sz w:val="24"/>
          <w:szCs w:val="24"/>
        </w:rPr>
        <w:t xml:space="preserve"> </w:t>
      </w:r>
      <w:r w:rsidR="00F05B36">
        <w:rPr>
          <w:rFonts w:ascii="Times New Roman" w:hAnsi="Times New Roman" w:cs="Times New Roman"/>
          <w:bCs/>
          <w:sz w:val="24"/>
          <w:szCs w:val="24"/>
        </w:rPr>
        <w:t>periods</w:t>
      </w:r>
      <w:bookmarkEnd w:id="14"/>
      <w:r w:rsidR="00F05B36">
        <w:rPr>
          <w:rFonts w:ascii="Times New Roman" w:hAnsi="Times New Roman" w:cs="Times New Roman"/>
          <w:bCs/>
          <w:sz w:val="24"/>
          <w:szCs w:val="24"/>
        </w:rPr>
        <w:t xml:space="preserve">. </w:t>
      </w:r>
    </w:p>
    <w:p w14:paraId="76CDF215" w14:textId="6BC188D9" w:rsidR="00F05B36" w:rsidRDefault="00F05B36" w:rsidP="00F05B36">
      <w:pPr>
        <w:spacing w:after="0" w:line="276" w:lineRule="auto"/>
        <w:ind w:firstLine="720"/>
        <w:rPr>
          <w:rFonts w:ascii="Times New Roman" w:hAnsi="Times New Roman" w:cs="Times New Roman"/>
          <w:bCs/>
          <w:sz w:val="24"/>
          <w:szCs w:val="24"/>
        </w:rPr>
      </w:pPr>
      <w:r>
        <w:rPr>
          <w:rFonts w:ascii="Times New Roman" w:hAnsi="Times New Roman" w:cs="Times New Roman"/>
          <w:bCs/>
          <w:sz w:val="24"/>
          <w:szCs w:val="24"/>
        </w:rPr>
        <w:t>Table 4 also presents</w:t>
      </w:r>
      <w:r w:rsidRPr="00837F9C">
        <w:rPr>
          <w:rFonts w:ascii="Times New Roman" w:hAnsi="Times New Roman" w:cs="Times New Roman"/>
          <w:bCs/>
          <w:sz w:val="24"/>
          <w:szCs w:val="24"/>
        </w:rPr>
        <w:t xml:space="preserve"> a positive </w:t>
      </w:r>
      <w:r w:rsidR="0064226B">
        <w:rPr>
          <w:rFonts w:ascii="Times New Roman" w:hAnsi="Times New Roman" w:cs="Times New Roman"/>
          <w:bCs/>
          <w:sz w:val="24"/>
          <w:szCs w:val="24"/>
        </w:rPr>
        <w:t xml:space="preserve">and significant </w:t>
      </w:r>
      <w:r w:rsidRPr="00837F9C">
        <w:rPr>
          <w:rFonts w:ascii="Times New Roman" w:hAnsi="Times New Roman" w:cs="Times New Roman"/>
          <w:bCs/>
          <w:sz w:val="24"/>
          <w:szCs w:val="24"/>
        </w:rPr>
        <w:t xml:space="preserve">correlation </w:t>
      </w:r>
      <w:r w:rsidR="0064226B">
        <w:rPr>
          <w:rFonts w:ascii="Times New Roman" w:hAnsi="Times New Roman" w:cs="Times New Roman"/>
          <w:bCs/>
          <w:sz w:val="24"/>
          <w:szCs w:val="24"/>
        </w:rPr>
        <w:t xml:space="preserve">of 0.191 </w:t>
      </w:r>
      <w:r w:rsidRPr="00837F9C">
        <w:rPr>
          <w:rFonts w:ascii="Times New Roman" w:hAnsi="Times New Roman" w:cs="Times New Roman"/>
          <w:bCs/>
          <w:sz w:val="24"/>
          <w:szCs w:val="24"/>
        </w:rPr>
        <w:t xml:space="preserve">between telework adoption before COVID and working from only a third location before COVID, </w:t>
      </w:r>
      <w:r>
        <w:rPr>
          <w:rFonts w:ascii="Times New Roman" w:hAnsi="Times New Roman" w:cs="Times New Roman"/>
          <w:bCs/>
          <w:sz w:val="24"/>
          <w:szCs w:val="24"/>
        </w:rPr>
        <w:t xml:space="preserve">suggesting that, after controlling for other observed exogenous factors, teleworkers before COVID had a preference to work from outside home. However, after COVID, based on the negative correlations of the telework adoption error terms with the third </w:t>
      </w:r>
      <w:r w:rsidR="003B04BD">
        <w:rPr>
          <w:rFonts w:ascii="Times New Roman" w:hAnsi="Times New Roman" w:cs="Times New Roman"/>
          <w:bCs/>
          <w:sz w:val="24"/>
          <w:szCs w:val="24"/>
        </w:rPr>
        <w:t>location</w:t>
      </w:r>
      <w:r>
        <w:rPr>
          <w:rFonts w:ascii="Times New Roman" w:hAnsi="Times New Roman" w:cs="Times New Roman"/>
          <w:bCs/>
          <w:sz w:val="24"/>
          <w:szCs w:val="24"/>
        </w:rPr>
        <w:t xml:space="preserve"> only and third </w:t>
      </w:r>
      <w:r w:rsidR="0064226B">
        <w:rPr>
          <w:rFonts w:ascii="Times New Roman" w:hAnsi="Times New Roman" w:cs="Times New Roman"/>
          <w:bCs/>
          <w:sz w:val="24"/>
          <w:szCs w:val="24"/>
        </w:rPr>
        <w:t>location</w:t>
      </w:r>
      <w:r>
        <w:rPr>
          <w:rFonts w:ascii="Times New Roman" w:hAnsi="Times New Roman" w:cs="Times New Roman"/>
          <w:bCs/>
          <w:sz w:val="24"/>
          <w:szCs w:val="24"/>
        </w:rPr>
        <w:t>/home combination</w:t>
      </w:r>
      <w:r w:rsidR="0064226B">
        <w:rPr>
          <w:rFonts w:ascii="Times New Roman" w:hAnsi="Times New Roman" w:cs="Times New Roman"/>
          <w:bCs/>
          <w:sz w:val="24"/>
          <w:szCs w:val="24"/>
        </w:rPr>
        <w:t xml:space="preserve"> (see the values of -0.028 and -0.079 in the first row of the lower diagonal block of the matrix)</w:t>
      </w:r>
      <w:r>
        <w:rPr>
          <w:rFonts w:ascii="Times New Roman" w:hAnsi="Times New Roman" w:cs="Times New Roman"/>
          <w:bCs/>
          <w:sz w:val="24"/>
          <w:szCs w:val="24"/>
        </w:rPr>
        <w:t>, the indication is that teleworkers shifted to work primarily from home. These interpretations are also consistent with the positive</w:t>
      </w:r>
      <w:r w:rsidR="0064226B">
        <w:rPr>
          <w:rFonts w:ascii="Times New Roman" w:hAnsi="Times New Roman" w:cs="Times New Roman"/>
          <w:bCs/>
          <w:sz w:val="24"/>
          <w:szCs w:val="24"/>
        </w:rPr>
        <w:t>, albeit statistically insignificant</w:t>
      </w:r>
      <w:r>
        <w:rPr>
          <w:rFonts w:ascii="Times New Roman" w:hAnsi="Times New Roman" w:cs="Times New Roman"/>
          <w:bCs/>
          <w:sz w:val="24"/>
          <w:szCs w:val="24"/>
        </w:rPr>
        <w:t xml:space="preserve"> correlation </w:t>
      </w:r>
      <w:r w:rsidR="0064226B">
        <w:rPr>
          <w:rFonts w:ascii="Times New Roman" w:hAnsi="Times New Roman" w:cs="Times New Roman"/>
          <w:bCs/>
          <w:sz w:val="24"/>
          <w:szCs w:val="24"/>
        </w:rPr>
        <w:t xml:space="preserve">of 0.055 </w:t>
      </w:r>
      <w:r>
        <w:rPr>
          <w:rFonts w:ascii="Times New Roman" w:hAnsi="Times New Roman" w:cs="Times New Roman"/>
          <w:bCs/>
          <w:sz w:val="24"/>
          <w:szCs w:val="24"/>
        </w:rPr>
        <w:t xml:space="preserve">between the “third </w:t>
      </w:r>
      <w:r w:rsidR="0064226B">
        <w:rPr>
          <w:rFonts w:ascii="Times New Roman" w:hAnsi="Times New Roman" w:cs="Times New Roman"/>
          <w:bCs/>
          <w:sz w:val="24"/>
          <w:szCs w:val="24"/>
        </w:rPr>
        <w:t>location</w:t>
      </w:r>
      <w:r>
        <w:rPr>
          <w:rFonts w:ascii="Times New Roman" w:hAnsi="Times New Roman" w:cs="Times New Roman"/>
          <w:bCs/>
          <w:sz w:val="24"/>
          <w:szCs w:val="24"/>
        </w:rPr>
        <w:t>” and “</w:t>
      </w:r>
      <w:r w:rsidR="0064226B">
        <w:rPr>
          <w:rFonts w:ascii="Times New Roman" w:hAnsi="Times New Roman" w:cs="Times New Roman"/>
          <w:bCs/>
          <w:sz w:val="24"/>
          <w:szCs w:val="24"/>
        </w:rPr>
        <w:t xml:space="preserve">both </w:t>
      </w:r>
      <w:r>
        <w:rPr>
          <w:rFonts w:ascii="Times New Roman" w:hAnsi="Times New Roman" w:cs="Times New Roman"/>
          <w:bCs/>
          <w:sz w:val="24"/>
          <w:szCs w:val="24"/>
        </w:rPr>
        <w:t xml:space="preserve">home and third </w:t>
      </w:r>
      <w:r w:rsidR="0064226B">
        <w:rPr>
          <w:rFonts w:ascii="Times New Roman" w:hAnsi="Times New Roman" w:cs="Times New Roman"/>
          <w:bCs/>
          <w:sz w:val="24"/>
          <w:szCs w:val="24"/>
        </w:rPr>
        <w:t>location</w:t>
      </w:r>
      <w:r>
        <w:rPr>
          <w:rFonts w:ascii="Times New Roman" w:hAnsi="Times New Roman" w:cs="Times New Roman"/>
          <w:bCs/>
          <w:sz w:val="24"/>
          <w:szCs w:val="24"/>
        </w:rPr>
        <w:t xml:space="preserve">” alternatives in the </w:t>
      </w:r>
      <w:r>
        <w:rPr>
          <w:rFonts w:ascii="Times New Roman" w:hAnsi="Times New Roman" w:cs="Times New Roman"/>
          <w:bCs/>
          <w:i/>
          <w:sz w:val="24"/>
          <w:szCs w:val="24"/>
        </w:rPr>
        <w:t>Before</w:t>
      </w:r>
      <w:r w:rsidR="00DD5EAC">
        <w:rPr>
          <w:rFonts w:ascii="Times New Roman" w:hAnsi="Times New Roman" w:cs="Times New Roman"/>
          <w:bCs/>
          <w:i/>
          <w:sz w:val="24"/>
          <w:szCs w:val="24"/>
        </w:rPr>
        <w:t xml:space="preserve"> </w:t>
      </w:r>
      <w:r w:rsidRPr="00A15909">
        <w:rPr>
          <w:rFonts w:ascii="Times New Roman" w:hAnsi="Times New Roman" w:cs="Times New Roman"/>
          <w:bCs/>
          <w:sz w:val="24"/>
          <w:szCs w:val="24"/>
        </w:rPr>
        <w:t>COVID</w:t>
      </w:r>
      <w:r w:rsidRPr="004D5DF9">
        <w:rPr>
          <w:rFonts w:ascii="Times New Roman" w:hAnsi="Times New Roman" w:cs="Times New Roman"/>
          <w:bCs/>
          <w:sz w:val="24"/>
          <w:szCs w:val="24"/>
        </w:rPr>
        <w:t xml:space="preserve"> </w:t>
      </w:r>
      <w:r>
        <w:rPr>
          <w:rFonts w:ascii="Times New Roman" w:hAnsi="Times New Roman" w:cs="Times New Roman"/>
          <w:bCs/>
          <w:sz w:val="24"/>
          <w:szCs w:val="24"/>
        </w:rPr>
        <w:t xml:space="preserve">period, but a reversed negative </w:t>
      </w:r>
      <w:r w:rsidR="0064226B">
        <w:rPr>
          <w:rFonts w:ascii="Times New Roman" w:hAnsi="Times New Roman" w:cs="Times New Roman"/>
          <w:bCs/>
          <w:sz w:val="24"/>
          <w:szCs w:val="24"/>
        </w:rPr>
        <w:t xml:space="preserve">and statistically significant </w:t>
      </w:r>
      <w:r>
        <w:rPr>
          <w:rFonts w:ascii="Times New Roman" w:hAnsi="Times New Roman" w:cs="Times New Roman"/>
          <w:bCs/>
          <w:sz w:val="24"/>
          <w:szCs w:val="24"/>
        </w:rPr>
        <w:t xml:space="preserve">correlation </w:t>
      </w:r>
      <w:r w:rsidR="0064226B">
        <w:rPr>
          <w:rFonts w:ascii="Times New Roman" w:hAnsi="Times New Roman" w:cs="Times New Roman"/>
          <w:bCs/>
          <w:sz w:val="24"/>
          <w:szCs w:val="24"/>
        </w:rPr>
        <w:t xml:space="preserve">of -0.513 </w:t>
      </w:r>
      <w:r>
        <w:rPr>
          <w:rFonts w:ascii="Times New Roman" w:hAnsi="Times New Roman" w:cs="Times New Roman"/>
          <w:bCs/>
          <w:sz w:val="24"/>
          <w:szCs w:val="24"/>
        </w:rPr>
        <w:t xml:space="preserve">between these two location alternatives in the </w:t>
      </w:r>
      <w:r>
        <w:rPr>
          <w:rFonts w:ascii="Times New Roman" w:hAnsi="Times New Roman" w:cs="Times New Roman"/>
          <w:bCs/>
          <w:i/>
          <w:sz w:val="24"/>
          <w:szCs w:val="24"/>
        </w:rPr>
        <w:t>After</w:t>
      </w:r>
      <w:r w:rsidR="00DD5EAC">
        <w:rPr>
          <w:rFonts w:ascii="Times New Roman" w:hAnsi="Times New Roman" w:cs="Times New Roman"/>
          <w:bCs/>
          <w:i/>
          <w:sz w:val="24"/>
          <w:szCs w:val="24"/>
        </w:rPr>
        <w:t xml:space="preserve"> </w:t>
      </w:r>
      <w:r w:rsidRPr="00A15909">
        <w:rPr>
          <w:rFonts w:ascii="Times New Roman" w:hAnsi="Times New Roman" w:cs="Times New Roman"/>
          <w:bCs/>
          <w:sz w:val="24"/>
          <w:szCs w:val="24"/>
        </w:rPr>
        <w:t>COVID</w:t>
      </w:r>
      <w:r w:rsidRPr="004D5DF9">
        <w:rPr>
          <w:rFonts w:ascii="Times New Roman" w:hAnsi="Times New Roman" w:cs="Times New Roman"/>
          <w:bCs/>
          <w:sz w:val="24"/>
          <w:szCs w:val="24"/>
        </w:rPr>
        <w:t xml:space="preserve"> </w:t>
      </w:r>
      <w:r>
        <w:rPr>
          <w:rFonts w:ascii="Times New Roman" w:hAnsi="Times New Roman" w:cs="Times New Roman"/>
          <w:bCs/>
          <w:sz w:val="24"/>
          <w:szCs w:val="24"/>
        </w:rPr>
        <w:t xml:space="preserve">period. </w:t>
      </w:r>
    </w:p>
    <w:p w14:paraId="55CD0FD5" w14:textId="2C2DB802" w:rsidR="00F05B36" w:rsidRPr="00837F9C" w:rsidRDefault="00F05B36" w:rsidP="00F05B36">
      <w:pPr>
        <w:spacing w:after="0" w:line="276"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diagonal </w:t>
      </w:r>
      <w:r w:rsidR="007F6262">
        <w:rPr>
          <w:rFonts w:ascii="Times New Roman" w:hAnsi="Times New Roman" w:cs="Times New Roman"/>
          <w:bCs/>
          <w:sz w:val="24"/>
          <w:szCs w:val="24"/>
        </w:rPr>
        <w:t xml:space="preserve">entries </w:t>
      </w:r>
      <w:r>
        <w:rPr>
          <w:rFonts w:ascii="Times New Roman" w:hAnsi="Times New Roman" w:cs="Times New Roman"/>
          <w:bCs/>
          <w:sz w:val="24"/>
          <w:szCs w:val="24"/>
        </w:rPr>
        <w:t xml:space="preserve">on the </w:t>
      </w:r>
      <w:r w:rsidR="0064226B">
        <w:rPr>
          <w:rFonts w:ascii="Times New Roman" w:hAnsi="Times New Roman" w:cs="Times New Roman"/>
          <w:bCs/>
          <w:sz w:val="24"/>
          <w:szCs w:val="24"/>
        </w:rPr>
        <w:t>off-</w:t>
      </w:r>
      <w:r>
        <w:rPr>
          <w:rFonts w:ascii="Times New Roman" w:hAnsi="Times New Roman" w:cs="Times New Roman"/>
          <w:bCs/>
          <w:sz w:val="24"/>
          <w:szCs w:val="24"/>
        </w:rPr>
        <w:t xml:space="preserve">diagonal block of the correlation matrix are all positive and statistically significant, which is intuitive. Unobserved factors that increase the propensity of any outcome in the </w:t>
      </w:r>
      <w:r>
        <w:rPr>
          <w:rFonts w:ascii="Times New Roman" w:hAnsi="Times New Roman" w:cs="Times New Roman"/>
          <w:bCs/>
          <w:i/>
          <w:sz w:val="24"/>
          <w:szCs w:val="24"/>
        </w:rPr>
        <w:t>B</w:t>
      </w:r>
      <w:r w:rsidRPr="00961062">
        <w:rPr>
          <w:rFonts w:ascii="Times New Roman" w:hAnsi="Times New Roman" w:cs="Times New Roman"/>
          <w:bCs/>
          <w:i/>
          <w:sz w:val="24"/>
          <w:szCs w:val="24"/>
        </w:rPr>
        <w:t>efore</w:t>
      </w:r>
      <w:r w:rsidR="00DD5EAC" w:rsidRPr="00A15909">
        <w:rPr>
          <w:rFonts w:ascii="Times New Roman" w:hAnsi="Times New Roman" w:cs="Times New Roman"/>
          <w:bCs/>
          <w:sz w:val="24"/>
          <w:szCs w:val="24"/>
        </w:rPr>
        <w:t xml:space="preserve"> </w:t>
      </w:r>
      <w:r w:rsidRPr="00A15909">
        <w:rPr>
          <w:rFonts w:ascii="Times New Roman" w:hAnsi="Times New Roman" w:cs="Times New Roman"/>
          <w:bCs/>
          <w:sz w:val="24"/>
          <w:szCs w:val="24"/>
        </w:rPr>
        <w:t>COVID</w:t>
      </w:r>
      <w:r>
        <w:rPr>
          <w:rFonts w:ascii="Times New Roman" w:hAnsi="Times New Roman" w:cs="Times New Roman"/>
          <w:bCs/>
          <w:sz w:val="24"/>
          <w:szCs w:val="24"/>
        </w:rPr>
        <w:t xml:space="preserve"> period also increase the propensity of that same outcome in the </w:t>
      </w:r>
      <w:r>
        <w:rPr>
          <w:rFonts w:ascii="Times New Roman" w:hAnsi="Times New Roman" w:cs="Times New Roman"/>
          <w:bCs/>
          <w:i/>
          <w:sz w:val="24"/>
          <w:szCs w:val="24"/>
        </w:rPr>
        <w:t>A</w:t>
      </w:r>
      <w:r w:rsidRPr="00961062">
        <w:rPr>
          <w:rFonts w:ascii="Times New Roman" w:hAnsi="Times New Roman" w:cs="Times New Roman"/>
          <w:bCs/>
          <w:i/>
          <w:sz w:val="24"/>
          <w:szCs w:val="24"/>
        </w:rPr>
        <w:t>fte</w:t>
      </w:r>
      <w:r w:rsidR="00DD5EAC">
        <w:rPr>
          <w:rFonts w:ascii="Times New Roman" w:hAnsi="Times New Roman" w:cs="Times New Roman"/>
          <w:bCs/>
          <w:i/>
          <w:sz w:val="24"/>
          <w:szCs w:val="24"/>
        </w:rPr>
        <w:t xml:space="preserve">r </w:t>
      </w:r>
      <w:r w:rsidRPr="00A15909">
        <w:rPr>
          <w:rFonts w:ascii="Times New Roman" w:hAnsi="Times New Roman" w:cs="Times New Roman"/>
          <w:bCs/>
          <w:sz w:val="24"/>
          <w:szCs w:val="24"/>
        </w:rPr>
        <w:t>COVID</w:t>
      </w:r>
      <w:r w:rsidRPr="004D5DF9">
        <w:rPr>
          <w:rFonts w:ascii="Times New Roman" w:hAnsi="Times New Roman" w:cs="Times New Roman"/>
          <w:bCs/>
          <w:sz w:val="24"/>
          <w:szCs w:val="24"/>
        </w:rPr>
        <w:t xml:space="preserve"> period</w:t>
      </w:r>
      <w:r>
        <w:rPr>
          <w:rFonts w:ascii="Times New Roman" w:hAnsi="Times New Roman" w:cs="Times New Roman"/>
          <w:bCs/>
          <w:sz w:val="24"/>
          <w:szCs w:val="24"/>
        </w:rPr>
        <w:t xml:space="preserve">. </w:t>
      </w:r>
    </w:p>
    <w:p w14:paraId="2E625CA7" w14:textId="77777777" w:rsidR="00F05B36" w:rsidRDefault="00F05B36" w:rsidP="00E1729F">
      <w:pPr>
        <w:spacing w:after="0" w:line="276" w:lineRule="auto"/>
        <w:rPr>
          <w:rFonts w:ascii="Times New Roman" w:hAnsi="Times New Roman" w:cs="Times New Roman"/>
          <w:bCs/>
          <w:sz w:val="24"/>
          <w:szCs w:val="24"/>
        </w:rPr>
      </w:pPr>
    </w:p>
    <w:p w14:paraId="1D73D152" w14:textId="11741BFC" w:rsidR="00F05B36" w:rsidRPr="00837F9C" w:rsidRDefault="00F05B36" w:rsidP="00E1729F">
      <w:pPr>
        <w:spacing w:after="0" w:line="276" w:lineRule="auto"/>
        <w:rPr>
          <w:rFonts w:ascii="Times New Roman" w:hAnsi="Times New Roman" w:cs="Times New Roman"/>
          <w:bCs/>
          <w:sz w:val="24"/>
          <w:szCs w:val="24"/>
        </w:rPr>
        <w:sectPr w:rsidR="00F05B36" w:rsidRPr="00837F9C" w:rsidSect="00E1729F">
          <w:pgSz w:w="12240" w:h="15840" w:code="1"/>
          <w:pgMar w:top="1440" w:right="1440" w:bottom="1440" w:left="1440" w:header="720" w:footer="720" w:gutter="0"/>
          <w:cols w:space="720"/>
          <w:docGrid w:linePitch="360"/>
        </w:sectPr>
      </w:pPr>
    </w:p>
    <w:tbl>
      <w:tblPr>
        <w:tblStyle w:val="TableGrid"/>
        <w:tblpPr w:leftFromText="180" w:rightFromText="180" w:vertAnchor="page" w:horzAnchor="margin" w:tblpY="1813"/>
        <w:tblW w:w="12855" w:type="dxa"/>
        <w:tblInd w:w="0" w:type="dxa"/>
        <w:tblLayout w:type="fixed"/>
        <w:tblLook w:val="04A0" w:firstRow="1" w:lastRow="0" w:firstColumn="1" w:lastColumn="0" w:noHBand="0" w:noVBand="1"/>
      </w:tblPr>
      <w:tblGrid>
        <w:gridCol w:w="864"/>
        <w:gridCol w:w="1551"/>
        <w:gridCol w:w="1260"/>
        <w:gridCol w:w="1260"/>
        <w:gridCol w:w="1350"/>
        <w:gridCol w:w="1350"/>
        <w:gridCol w:w="1260"/>
        <w:gridCol w:w="1260"/>
        <w:gridCol w:w="1350"/>
        <w:gridCol w:w="1350"/>
      </w:tblGrid>
      <w:tr w:rsidR="00D21A7C" w:rsidRPr="00536DAC" w14:paraId="2758CB2B" w14:textId="77777777" w:rsidTr="00536DAC">
        <w:trPr>
          <w:trHeight w:val="288"/>
        </w:trPr>
        <w:tc>
          <w:tcPr>
            <w:tcW w:w="2415" w:type="dxa"/>
            <w:gridSpan w:val="2"/>
            <w:vMerge w:val="restart"/>
            <w:tcBorders>
              <w:top w:val="double" w:sz="4" w:space="0" w:color="auto"/>
              <w:left w:val="double" w:sz="4" w:space="0" w:color="auto"/>
              <w:right w:val="single" w:sz="12" w:space="0" w:color="auto"/>
            </w:tcBorders>
            <w:tcMar>
              <w:left w:w="58" w:type="dxa"/>
              <w:right w:w="58" w:type="dxa"/>
            </w:tcMar>
            <w:vAlign w:val="center"/>
          </w:tcPr>
          <w:p w14:paraId="70751400" w14:textId="77777777" w:rsidR="00D21A7C" w:rsidRPr="00536DAC" w:rsidRDefault="00AE2CD6" w:rsidP="00AE2CD6">
            <w:pPr>
              <w:spacing w:line="276" w:lineRule="auto"/>
              <w:jc w:val="center"/>
              <w:rPr>
                <w:rFonts w:ascii="Times New Roman" w:hAnsi="Times New Roman" w:cs="Times New Roman"/>
                <w:b/>
                <w:i/>
                <w:sz w:val="20"/>
                <w:szCs w:val="20"/>
              </w:rPr>
            </w:pPr>
            <w:r w:rsidRPr="00536DAC">
              <w:rPr>
                <w:rFonts w:ascii="Times New Roman" w:hAnsi="Times New Roman" w:cs="Times New Roman"/>
                <w:b/>
                <w:i/>
                <w:sz w:val="20"/>
                <w:szCs w:val="20"/>
              </w:rPr>
              <w:lastRenderedPageBreak/>
              <w:t>Time Period</w:t>
            </w:r>
          </w:p>
          <w:p w14:paraId="3B6C38B6" w14:textId="5ACC5425" w:rsidR="00AE2CD6" w:rsidRPr="00536DAC" w:rsidRDefault="00AE2CD6" w:rsidP="00AE2CD6">
            <w:pPr>
              <w:spacing w:line="276" w:lineRule="auto"/>
              <w:jc w:val="center"/>
              <w:rPr>
                <w:rFonts w:ascii="Times New Roman" w:hAnsi="Times New Roman" w:cs="Times New Roman"/>
                <w:sz w:val="20"/>
                <w:szCs w:val="20"/>
              </w:rPr>
            </w:pPr>
            <w:r w:rsidRPr="00536DAC">
              <w:rPr>
                <w:rFonts w:ascii="Times New Roman" w:hAnsi="Times New Roman" w:cs="Times New Roman"/>
                <w:b/>
                <w:sz w:val="20"/>
                <w:szCs w:val="20"/>
              </w:rPr>
              <w:t>Outcome Variable</w:t>
            </w:r>
          </w:p>
        </w:tc>
        <w:tc>
          <w:tcPr>
            <w:tcW w:w="5220" w:type="dxa"/>
            <w:gridSpan w:val="4"/>
            <w:tcBorders>
              <w:top w:val="double" w:sz="4" w:space="0" w:color="auto"/>
              <w:left w:val="single" w:sz="12" w:space="0" w:color="auto"/>
              <w:right w:val="single" w:sz="12" w:space="0" w:color="auto"/>
            </w:tcBorders>
            <w:tcMar>
              <w:left w:w="58" w:type="dxa"/>
              <w:right w:w="58" w:type="dxa"/>
            </w:tcMar>
            <w:vAlign w:val="bottom"/>
          </w:tcPr>
          <w:p w14:paraId="3B6535B5" w14:textId="70F8E5D6" w:rsidR="00D21A7C" w:rsidRPr="00536DAC" w:rsidRDefault="00D21A7C" w:rsidP="00837F9C">
            <w:pPr>
              <w:spacing w:line="276" w:lineRule="auto"/>
              <w:jc w:val="center"/>
              <w:rPr>
                <w:rFonts w:ascii="Times New Roman" w:hAnsi="Times New Roman" w:cs="Times New Roman"/>
                <w:b/>
                <w:i/>
                <w:sz w:val="20"/>
                <w:szCs w:val="20"/>
              </w:rPr>
            </w:pPr>
            <w:r w:rsidRPr="00536DAC">
              <w:rPr>
                <w:rFonts w:ascii="Times New Roman" w:hAnsi="Times New Roman" w:cs="Times New Roman"/>
                <w:b/>
                <w:i/>
                <w:sz w:val="20"/>
                <w:szCs w:val="20"/>
              </w:rPr>
              <w:t>Before</w:t>
            </w:r>
            <w:r w:rsidR="00DD5EAC">
              <w:rPr>
                <w:rFonts w:ascii="Times New Roman" w:hAnsi="Times New Roman" w:cs="Times New Roman"/>
                <w:b/>
                <w:i/>
                <w:sz w:val="20"/>
                <w:szCs w:val="20"/>
              </w:rPr>
              <w:t xml:space="preserve"> </w:t>
            </w:r>
            <w:r w:rsidRPr="00A15909">
              <w:rPr>
                <w:rFonts w:ascii="Times New Roman" w:hAnsi="Times New Roman" w:cs="Times New Roman"/>
                <w:b/>
                <w:sz w:val="20"/>
                <w:szCs w:val="20"/>
              </w:rPr>
              <w:t>COVID</w:t>
            </w:r>
          </w:p>
        </w:tc>
        <w:tc>
          <w:tcPr>
            <w:tcW w:w="5220" w:type="dxa"/>
            <w:gridSpan w:val="4"/>
            <w:tcBorders>
              <w:top w:val="double" w:sz="4" w:space="0" w:color="auto"/>
              <w:left w:val="single" w:sz="12" w:space="0" w:color="auto"/>
              <w:right w:val="double" w:sz="4" w:space="0" w:color="auto"/>
            </w:tcBorders>
            <w:tcMar>
              <w:left w:w="58" w:type="dxa"/>
              <w:right w:w="58" w:type="dxa"/>
            </w:tcMar>
            <w:vAlign w:val="bottom"/>
          </w:tcPr>
          <w:p w14:paraId="1E2FB5A9" w14:textId="17963D07" w:rsidR="00D21A7C" w:rsidRPr="00536DAC" w:rsidRDefault="00D21A7C" w:rsidP="00837F9C">
            <w:pPr>
              <w:spacing w:line="276" w:lineRule="auto"/>
              <w:jc w:val="center"/>
              <w:rPr>
                <w:rFonts w:ascii="Times New Roman" w:hAnsi="Times New Roman" w:cs="Times New Roman"/>
                <w:b/>
                <w:i/>
                <w:sz w:val="20"/>
                <w:szCs w:val="20"/>
              </w:rPr>
            </w:pPr>
            <w:r w:rsidRPr="00536DAC">
              <w:rPr>
                <w:rFonts w:ascii="Times New Roman" w:hAnsi="Times New Roman" w:cs="Times New Roman"/>
                <w:b/>
                <w:i/>
                <w:sz w:val="20"/>
                <w:szCs w:val="20"/>
              </w:rPr>
              <w:t>After</w:t>
            </w:r>
            <w:r w:rsidR="00DD5EAC" w:rsidRPr="00A15909">
              <w:rPr>
                <w:rFonts w:ascii="Times New Roman" w:hAnsi="Times New Roman" w:cs="Times New Roman"/>
                <w:b/>
                <w:sz w:val="20"/>
                <w:szCs w:val="20"/>
              </w:rPr>
              <w:t xml:space="preserve"> </w:t>
            </w:r>
            <w:r w:rsidRPr="00A15909">
              <w:rPr>
                <w:rFonts w:ascii="Times New Roman" w:hAnsi="Times New Roman" w:cs="Times New Roman"/>
                <w:b/>
                <w:sz w:val="20"/>
                <w:szCs w:val="20"/>
              </w:rPr>
              <w:t>COVID</w:t>
            </w:r>
          </w:p>
        </w:tc>
      </w:tr>
      <w:tr w:rsidR="00D21A7C" w:rsidRPr="00536DAC" w14:paraId="6AE09537" w14:textId="77777777" w:rsidTr="00536DAC">
        <w:trPr>
          <w:trHeight w:val="288"/>
        </w:trPr>
        <w:tc>
          <w:tcPr>
            <w:tcW w:w="2415" w:type="dxa"/>
            <w:gridSpan w:val="2"/>
            <w:vMerge/>
            <w:tcBorders>
              <w:left w:val="double" w:sz="4" w:space="0" w:color="auto"/>
              <w:bottom w:val="single" w:sz="12" w:space="0" w:color="auto"/>
              <w:right w:val="single" w:sz="12" w:space="0" w:color="auto"/>
            </w:tcBorders>
            <w:tcMar>
              <w:left w:w="58" w:type="dxa"/>
              <w:right w:w="58" w:type="dxa"/>
            </w:tcMar>
          </w:tcPr>
          <w:p w14:paraId="0BD67A15" w14:textId="4FE6DEB2" w:rsidR="00D21A7C" w:rsidRPr="00536DAC" w:rsidRDefault="00D21A7C" w:rsidP="00837F9C">
            <w:pPr>
              <w:spacing w:line="276" w:lineRule="auto"/>
              <w:rPr>
                <w:rFonts w:ascii="Times New Roman" w:hAnsi="Times New Roman" w:cs="Times New Roman"/>
                <w:sz w:val="20"/>
                <w:szCs w:val="20"/>
              </w:rPr>
            </w:pPr>
          </w:p>
        </w:tc>
        <w:tc>
          <w:tcPr>
            <w:tcW w:w="1260" w:type="dxa"/>
            <w:tcBorders>
              <w:top w:val="double" w:sz="4" w:space="0" w:color="auto"/>
              <w:left w:val="single" w:sz="12" w:space="0" w:color="auto"/>
              <w:bottom w:val="single" w:sz="12" w:space="0" w:color="auto"/>
            </w:tcBorders>
            <w:tcMar>
              <w:left w:w="58" w:type="dxa"/>
              <w:right w:w="58" w:type="dxa"/>
            </w:tcMar>
            <w:vAlign w:val="bottom"/>
          </w:tcPr>
          <w:p w14:paraId="3E163C30" w14:textId="17EAD062"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Telework Adoption </w:t>
            </w:r>
            <w:r w:rsidR="00833777">
              <w:rPr>
                <w:rFonts w:ascii="Times New Roman" w:hAnsi="Times New Roman" w:cs="Times New Roman"/>
                <w:b/>
                <w:sz w:val="20"/>
                <w:szCs w:val="20"/>
              </w:rPr>
              <w:t xml:space="preserve"> Propensity</w:t>
            </w:r>
          </w:p>
        </w:tc>
        <w:tc>
          <w:tcPr>
            <w:tcW w:w="1260" w:type="dxa"/>
            <w:tcBorders>
              <w:top w:val="double" w:sz="4" w:space="0" w:color="auto"/>
              <w:bottom w:val="single" w:sz="12" w:space="0" w:color="auto"/>
            </w:tcBorders>
            <w:tcMar>
              <w:left w:w="58" w:type="dxa"/>
              <w:right w:w="58" w:type="dxa"/>
            </w:tcMar>
            <w:vAlign w:val="bottom"/>
          </w:tcPr>
          <w:p w14:paraId="760FDEFE" w14:textId="29A5BCDC"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Frequency</w:t>
            </w:r>
            <w:r w:rsidR="00833777">
              <w:rPr>
                <w:rFonts w:ascii="Times New Roman" w:hAnsi="Times New Roman" w:cs="Times New Roman"/>
                <w:b/>
                <w:sz w:val="20"/>
                <w:szCs w:val="20"/>
              </w:rPr>
              <w:t xml:space="preserve"> Propensity</w:t>
            </w:r>
          </w:p>
        </w:tc>
        <w:tc>
          <w:tcPr>
            <w:tcW w:w="1350" w:type="dxa"/>
            <w:tcBorders>
              <w:top w:val="double" w:sz="4" w:space="0" w:color="auto"/>
              <w:bottom w:val="single" w:sz="12" w:space="0" w:color="auto"/>
            </w:tcBorders>
            <w:tcMar>
              <w:left w:w="58" w:type="dxa"/>
              <w:right w:w="58" w:type="dxa"/>
            </w:tcMar>
            <w:vAlign w:val="bottom"/>
          </w:tcPr>
          <w:p w14:paraId="59EAA325" w14:textId="0E3F0E9E"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Third </w:t>
            </w:r>
            <w:r w:rsidR="0064226B">
              <w:rPr>
                <w:rFonts w:ascii="Times New Roman" w:hAnsi="Times New Roman" w:cs="Times New Roman"/>
                <w:b/>
                <w:sz w:val="20"/>
                <w:szCs w:val="20"/>
              </w:rPr>
              <w:t>Location Only</w:t>
            </w:r>
            <w:r w:rsidR="00833777">
              <w:rPr>
                <w:rFonts w:ascii="Times New Roman" w:hAnsi="Times New Roman" w:cs="Times New Roman"/>
                <w:b/>
                <w:sz w:val="20"/>
                <w:szCs w:val="20"/>
              </w:rPr>
              <w:t xml:space="preserve"> Utility</w:t>
            </w:r>
            <w:r w:rsidRPr="00536DAC">
              <w:rPr>
                <w:rFonts w:ascii="Times New Roman" w:hAnsi="Times New Roman" w:cs="Times New Roman"/>
                <w:sz w:val="20"/>
                <w:szCs w:val="20"/>
              </w:rPr>
              <w:t>**</w:t>
            </w:r>
          </w:p>
        </w:tc>
        <w:tc>
          <w:tcPr>
            <w:tcW w:w="1350" w:type="dxa"/>
            <w:tcBorders>
              <w:top w:val="double" w:sz="4" w:space="0" w:color="auto"/>
              <w:bottom w:val="single" w:sz="12" w:space="0" w:color="auto"/>
              <w:right w:val="single" w:sz="12" w:space="0" w:color="auto"/>
            </w:tcBorders>
            <w:tcMar>
              <w:left w:w="58" w:type="dxa"/>
              <w:right w:w="58" w:type="dxa"/>
            </w:tcMar>
            <w:vAlign w:val="bottom"/>
          </w:tcPr>
          <w:p w14:paraId="19819970" w14:textId="074A454E"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w:t>
            </w:r>
            <w:r w:rsidR="0064226B">
              <w:rPr>
                <w:rFonts w:ascii="Times New Roman" w:hAnsi="Times New Roman" w:cs="Times New Roman"/>
                <w:b/>
                <w:sz w:val="20"/>
                <w:szCs w:val="20"/>
              </w:rPr>
              <w:t xml:space="preserve">Both </w:t>
            </w:r>
            <w:r w:rsidRPr="00536DAC">
              <w:rPr>
                <w:rFonts w:ascii="Times New Roman" w:hAnsi="Times New Roman" w:cs="Times New Roman"/>
                <w:b/>
                <w:sz w:val="20"/>
                <w:szCs w:val="20"/>
              </w:rPr>
              <w:t xml:space="preserve">Home and Third </w:t>
            </w:r>
            <w:r w:rsidR="0064226B">
              <w:rPr>
                <w:rFonts w:ascii="Times New Roman" w:hAnsi="Times New Roman" w:cs="Times New Roman"/>
                <w:b/>
                <w:sz w:val="20"/>
                <w:szCs w:val="20"/>
              </w:rPr>
              <w:t>Location</w:t>
            </w:r>
            <w:r w:rsidR="00833777">
              <w:rPr>
                <w:rFonts w:ascii="Times New Roman" w:hAnsi="Times New Roman" w:cs="Times New Roman"/>
                <w:b/>
                <w:sz w:val="20"/>
                <w:szCs w:val="20"/>
              </w:rPr>
              <w:t xml:space="preserve"> Utility</w:t>
            </w:r>
            <w:r w:rsidRPr="00536DAC">
              <w:rPr>
                <w:rFonts w:ascii="Times New Roman" w:hAnsi="Times New Roman" w:cs="Times New Roman"/>
                <w:sz w:val="20"/>
                <w:szCs w:val="20"/>
              </w:rPr>
              <w:t>**</w:t>
            </w:r>
          </w:p>
        </w:tc>
        <w:tc>
          <w:tcPr>
            <w:tcW w:w="1260" w:type="dxa"/>
            <w:tcBorders>
              <w:top w:val="double" w:sz="4" w:space="0" w:color="auto"/>
              <w:left w:val="single" w:sz="12" w:space="0" w:color="auto"/>
              <w:bottom w:val="single" w:sz="12" w:space="0" w:color="auto"/>
            </w:tcBorders>
            <w:tcMar>
              <w:left w:w="58" w:type="dxa"/>
              <w:right w:w="58" w:type="dxa"/>
            </w:tcMar>
            <w:vAlign w:val="bottom"/>
          </w:tcPr>
          <w:p w14:paraId="1BE80CBF" w14:textId="06B3ACCE"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Adoption</w:t>
            </w:r>
            <w:r w:rsidR="00833777">
              <w:rPr>
                <w:rFonts w:ascii="Times New Roman" w:hAnsi="Times New Roman" w:cs="Times New Roman"/>
                <w:b/>
                <w:sz w:val="20"/>
                <w:szCs w:val="20"/>
              </w:rPr>
              <w:t xml:space="preserve"> Propensity</w:t>
            </w:r>
          </w:p>
        </w:tc>
        <w:tc>
          <w:tcPr>
            <w:tcW w:w="1260" w:type="dxa"/>
            <w:tcBorders>
              <w:top w:val="double" w:sz="4" w:space="0" w:color="auto"/>
              <w:bottom w:val="single" w:sz="12" w:space="0" w:color="auto"/>
            </w:tcBorders>
            <w:tcMar>
              <w:left w:w="58" w:type="dxa"/>
              <w:right w:w="58" w:type="dxa"/>
            </w:tcMar>
            <w:vAlign w:val="bottom"/>
          </w:tcPr>
          <w:p w14:paraId="303DB190" w14:textId="28CD7B87"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Frequency</w:t>
            </w:r>
            <w:r w:rsidR="00833777">
              <w:rPr>
                <w:rFonts w:ascii="Times New Roman" w:hAnsi="Times New Roman" w:cs="Times New Roman"/>
                <w:b/>
                <w:sz w:val="20"/>
                <w:szCs w:val="20"/>
              </w:rPr>
              <w:t xml:space="preserve"> Propensity</w:t>
            </w:r>
          </w:p>
        </w:tc>
        <w:tc>
          <w:tcPr>
            <w:tcW w:w="1350" w:type="dxa"/>
            <w:tcBorders>
              <w:top w:val="double" w:sz="4" w:space="0" w:color="auto"/>
              <w:bottom w:val="single" w:sz="12" w:space="0" w:color="auto"/>
            </w:tcBorders>
            <w:tcMar>
              <w:left w:w="58" w:type="dxa"/>
              <w:right w:w="58" w:type="dxa"/>
            </w:tcMar>
            <w:vAlign w:val="bottom"/>
          </w:tcPr>
          <w:p w14:paraId="49D1A14D" w14:textId="32A2E7C0"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Third </w:t>
            </w:r>
            <w:r w:rsidR="0064226B">
              <w:rPr>
                <w:rFonts w:ascii="Times New Roman" w:hAnsi="Times New Roman" w:cs="Times New Roman"/>
                <w:b/>
                <w:sz w:val="20"/>
                <w:szCs w:val="20"/>
              </w:rPr>
              <w:t>Location Only</w:t>
            </w:r>
            <w:r w:rsidR="00833777">
              <w:rPr>
                <w:rFonts w:ascii="Times New Roman" w:hAnsi="Times New Roman" w:cs="Times New Roman"/>
                <w:b/>
                <w:sz w:val="20"/>
                <w:szCs w:val="20"/>
              </w:rPr>
              <w:t xml:space="preserve"> Utility</w:t>
            </w:r>
            <w:r w:rsidRPr="00536DAC">
              <w:rPr>
                <w:rFonts w:ascii="Times New Roman" w:hAnsi="Times New Roman" w:cs="Times New Roman"/>
                <w:sz w:val="20"/>
                <w:szCs w:val="20"/>
              </w:rPr>
              <w:t>**</w:t>
            </w:r>
          </w:p>
        </w:tc>
        <w:tc>
          <w:tcPr>
            <w:tcW w:w="1350" w:type="dxa"/>
            <w:tcBorders>
              <w:top w:val="double" w:sz="4" w:space="0" w:color="auto"/>
              <w:bottom w:val="single" w:sz="12" w:space="0" w:color="auto"/>
              <w:right w:val="double" w:sz="4" w:space="0" w:color="auto"/>
            </w:tcBorders>
            <w:tcMar>
              <w:left w:w="58" w:type="dxa"/>
              <w:right w:w="58" w:type="dxa"/>
            </w:tcMar>
            <w:vAlign w:val="bottom"/>
          </w:tcPr>
          <w:p w14:paraId="0A25E576" w14:textId="046E15D4"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w:t>
            </w:r>
            <w:r w:rsidR="0064226B">
              <w:rPr>
                <w:rFonts w:ascii="Times New Roman" w:hAnsi="Times New Roman" w:cs="Times New Roman"/>
                <w:b/>
                <w:sz w:val="20"/>
                <w:szCs w:val="20"/>
              </w:rPr>
              <w:t xml:space="preserve">Both </w:t>
            </w:r>
            <w:r w:rsidRPr="00536DAC">
              <w:rPr>
                <w:rFonts w:ascii="Times New Roman" w:hAnsi="Times New Roman" w:cs="Times New Roman"/>
                <w:b/>
                <w:sz w:val="20"/>
                <w:szCs w:val="20"/>
              </w:rPr>
              <w:t xml:space="preserve">Home and Third </w:t>
            </w:r>
            <w:r w:rsidR="0064226B">
              <w:rPr>
                <w:rFonts w:ascii="Times New Roman" w:hAnsi="Times New Roman" w:cs="Times New Roman"/>
                <w:b/>
                <w:sz w:val="20"/>
                <w:szCs w:val="20"/>
              </w:rPr>
              <w:t>Location</w:t>
            </w:r>
            <w:r w:rsidR="00833777">
              <w:rPr>
                <w:rFonts w:ascii="Times New Roman" w:hAnsi="Times New Roman" w:cs="Times New Roman"/>
                <w:b/>
                <w:sz w:val="20"/>
                <w:szCs w:val="20"/>
              </w:rPr>
              <w:t xml:space="preserve"> Utility</w:t>
            </w:r>
            <w:r w:rsidRPr="00536DAC">
              <w:rPr>
                <w:rFonts w:ascii="Times New Roman" w:hAnsi="Times New Roman" w:cs="Times New Roman"/>
                <w:sz w:val="20"/>
                <w:szCs w:val="20"/>
              </w:rPr>
              <w:t>**</w:t>
            </w:r>
          </w:p>
        </w:tc>
      </w:tr>
      <w:tr w:rsidR="00D21A7C" w:rsidRPr="00536DAC" w14:paraId="25665958" w14:textId="77777777" w:rsidTr="00194389">
        <w:trPr>
          <w:trHeight w:val="288"/>
        </w:trPr>
        <w:tc>
          <w:tcPr>
            <w:tcW w:w="864" w:type="dxa"/>
            <w:vMerge w:val="restart"/>
            <w:tcBorders>
              <w:top w:val="single" w:sz="12" w:space="0" w:color="auto"/>
              <w:left w:val="double" w:sz="4" w:space="0" w:color="auto"/>
            </w:tcBorders>
            <w:tcMar>
              <w:left w:w="58" w:type="dxa"/>
              <w:right w:w="58" w:type="dxa"/>
            </w:tcMar>
            <w:vAlign w:val="center"/>
          </w:tcPr>
          <w:p w14:paraId="362D55F4" w14:textId="79AFF9CD" w:rsidR="00D21A7C" w:rsidRPr="00536DAC" w:rsidRDefault="00D21A7C" w:rsidP="00AE2CD6">
            <w:pPr>
              <w:spacing w:line="276" w:lineRule="auto"/>
              <w:jc w:val="center"/>
              <w:rPr>
                <w:rFonts w:ascii="Times New Roman" w:hAnsi="Times New Roman" w:cs="Times New Roman"/>
                <w:b/>
                <w:sz w:val="20"/>
                <w:szCs w:val="20"/>
              </w:rPr>
            </w:pPr>
            <w:r w:rsidRPr="00536DAC">
              <w:rPr>
                <w:rFonts w:ascii="Times New Roman" w:hAnsi="Times New Roman" w:cs="Times New Roman"/>
                <w:b/>
                <w:i/>
                <w:sz w:val="20"/>
                <w:szCs w:val="20"/>
              </w:rPr>
              <w:t>Before</w:t>
            </w:r>
            <w:r w:rsidR="00DD5EAC">
              <w:rPr>
                <w:rFonts w:ascii="Times New Roman" w:hAnsi="Times New Roman" w:cs="Times New Roman"/>
                <w:b/>
                <w:i/>
                <w:sz w:val="20"/>
                <w:szCs w:val="20"/>
              </w:rPr>
              <w:t xml:space="preserve"> </w:t>
            </w:r>
            <w:r w:rsidRPr="00A15909">
              <w:rPr>
                <w:rFonts w:ascii="Times New Roman" w:hAnsi="Times New Roman" w:cs="Times New Roman"/>
                <w:b/>
                <w:sz w:val="20"/>
                <w:szCs w:val="20"/>
              </w:rPr>
              <w:t>COVID</w:t>
            </w:r>
          </w:p>
        </w:tc>
        <w:tc>
          <w:tcPr>
            <w:tcW w:w="1551" w:type="dxa"/>
            <w:tcBorders>
              <w:top w:val="single" w:sz="12" w:space="0" w:color="auto"/>
              <w:left w:val="double" w:sz="4" w:space="0" w:color="auto"/>
              <w:right w:val="single" w:sz="12" w:space="0" w:color="auto"/>
            </w:tcBorders>
            <w:tcMar>
              <w:left w:w="58" w:type="dxa"/>
              <w:right w:w="58" w:type="dxa"/>
            </w:tcMar>
            <w:vAlign w:val="bottom"/>
          </w:tcPr>
          <w:p w14:paraId="44C94568" w14:textId="63C01787"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Adoption</w:t>
            </w:r>
          </w:p>
        </w:tc>
        <w:tc>
          <w:tcPr>
            <w:tcW w:w="1260" w:type="dxa"/>
            <w:tcBorders>
              <w:top w:val="single" w:sz="12" w:space="0" w:color="auto"/>
              <w:left w:val="single" w:sz="12" w:space="0" w:color="auto"/>
            </w:tcBorders>
            <w:tcMar>
              <w:left w:w="58" w:type="dxa"/>
              <w:right w:w="58" w:type="dxa"/>
            </w:tcMar>
            <w:vAlign w:val="center"/>
          </w:tcPr>
          <w:p w14:paraId="78788C4E"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260" w:type="dxa"/>
            <w:tcBorders>
              <w:top w:val="single" w:sz="12" w:space="0" w:color="auto"/>
            </w:tcBorders>
            <w:tcMar>
              <w:left w:w="58" w:type="dxa"/>
              <w:right w:w="58" w:type="dxa"/>
            </w:tcMar>
            <w:vAlign w:val="center"/>
          </w:tcPr>
          <w:p w14:paraId="43AB9142" w14:textId="1BEFAD1D"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-0.</w:t>
            </w:r>
            <w:r w:rsidR="00277A3C" w:rsidRPr="00536DAC">
              <w:rPr>
                <w:rFonts w:ascii="Times New Roman" w:hAnsi="Times New Roman" w:cs="Times New Roman"/>
                <w:sz w:val="20"/>
                <w:szCs w:val="20"/>
              </w:rPr>
              <w:t>3</w:t>
            </w:r>
            <w:r w:rsidR="00277A3C">
              <w:rPr>
                <w:rFonts w:ascii="Times New Roman" w:hAnsi="Times New Roman" w:cs="Times New Roman"/>
                <w:sz w:val="20"/>
                <w:szCs w:val="20"/>
              </w:rPr>
              <w:t>4</w:t>
            </w:r>
            <w:r w:rsidR="00277A3C" w:rsidRPr="00536DAC">
              <w:rPr>
                <w:rFonts w:ascii="Times New Roman" w:hAnsi="Times New Roman" w:cs="Times New Roman"/>
                <w:sz w:val="20"/>
                <w:szCs w:val="20"/>
              </w:rPr>
              <w:t>0</w:t>
            </w:r>
            <w:r w:rsidRPr="00536DAC">
              <w:rPr>
                <w:rFonts w:ascii="Times New Roman" w:hAnsi="Times New Roman" w:cs="Times New Roman"/>
                <w:sz w:val="20"/>
                <w:szCs w:val="20"/>
              </w:rPr>
              <w:t>*</w:t>
            </w:r>
          </w:p>
        </w:tc>
        <w:tc>
          <w:tcPr>
            <w:tcW w:w="1350" w:type="dxa"/>
            <w:tcBorders>
              <w:top w:val="single" w:sz="12" w:space="0" w:color="auto"/>
            </w:tcBorders>
            <w:tcMar>
              <w:left w:w="58" w:type="dxa"/>
              <w:right w:w="58" w:type="dxa"/>
            </w:tcMar>
            <w:vAlign w:val="center"/>
          </w:tcPr>
          <w:p w14:paraId="27F073CF" w14:textId="54D0F20C"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 xml:space="preserve">   0.</w:t>
            </w:r>
            <w:r w:rsidR="002B26B4" w:rsidRPr="00536DAC">
              <w:rPr>
                <w:rFonts w:ascii="Times New Roman" w:hAnsi="Times New Roman" w:cs="Times New Roman"/>
                <w:bCs/>
                <w:sz w:val="20"/>
                <w:szCs w:val="20"/>
              </w:rPr>
              <w:t>1</w:t>
            </w:r>
            <w:r w:rsidR="002B26B4">
              <w:rPr>
                <w:rFonts w:ascii="Times New Roman" w:hAnsi="Times New Roman" w:cs="Times New Roman"/>
                <w:bCs/>
                <w:sz w:val="20"/>
                <w:szCs w:val="20"/>
              </w:rPr>
              <w:t>91</w:t>
            </w:r>
            <w:r w:rsidRPr="00536DAC">
              <w:rPr>
                <w:rFonts w:ascii="Times New Roman" w:hAnsi="Times New Roman" w:cs="Times New Roman"/>
                <w:bCs/>
                <w:sz w:val="20"/>
                <w:szCs w:val="20"/>
              </w:rPr>
              <w:t>*</w:t>
            </w:r>
          </w:p>
        </w:tc>
        <w:tc>
          <w:tcPr>
            <w:tcW w:w="1350" w:type="dxa"/>
            <w:tcBorders>
              <w:top w:val="single" w:sz="12" w:space="0" w:color="auto"/>
              <w:right w:val="single" w:sz="12" w:space="0" w:color="auto"/>
            </w:tcBorders>
            <w:tcMar>
              <w:left w:w="58" w:type="dxa"/>
              <w:right w:w="58" w:type="dxa"/>
            </w:tcMar>
            <w:vAlign w:val="center"/>
          </w:tcPr>
          <w:p w14:paraId="4E979614" w14:textId="6EE29F42"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sidRPr="00536DAC">
              <w:rPr>
                <w:rFonts w:ascii="Times New Roman" w:hAnsi="Times New Roman" w:cs="Times New Roman"/>
                <w:bCs/>
                <w:sz w:val="20"/>
                <w:szCs w:val="20"/>
              </w:rPr>
              <w:t>0</w:t>
            </w:r>
            <w:r w:rsidR="002B26B4">
              <w:rPr>
                <w:rFonts w:ascii="Times New Roman" w:hAnsi="Times New Roman" w:cs="Times New Roman"/>
                <w:bCs/>
                <w:sz w:val="20"/>
                <w:szCs w:val="20"/>
              </w:rPr>
              <w:t>12</w:t>
            </w:r>
          </w:p>
        </w:tc>
        <w:tc>
          <w:tcPr>
            <w:tcW w:w="1260" w:type="dxa"/>
            <w:tcBorders>
              <w:top w:val="single" w:sz="12" w:space="0" w:color="auto"/>
              <w:left w:val="single" w:sz="12" w:space="0" w:color="auto"/>
            </w:tcBorders>
            <w:tcMar>
              <w:left w:w="58" w:type="dxa"/>
              <w:right w:w="58" w:type="dxa"/>
            </w:tcMar>
            <w:vAlign w:val="center"/>
          </w:tcPr>
          <w:p w14:paraId="28655ADA" w14:textId="7E08D11A" w:rsidR="00D21A7C" w:rsidRPr="00536DAC" w:rsidRDefault="00496428" w:rsidP="00496428">
            <w:pPr>
              <w:spacing w:line="276" w:lineRule="auto"/>
              <w:jc w:val="center"/>
              <w:rPr>
                <w:rFonts w:ascii="Times New Roman" w:hAnsi="Times New Roman" w:cs="Times New Roman"/>
                <w:bCs/>
                <w:i/>
                <w:sz w:val="20"/>
                <w:szCs w:val="20"/>
              </w:rPr>
            </w:pPr>
            <w:r>
              <w:rPr>
                <w:rFonts w:ascii="Times New Roman" w:hAnsi="Times New Roman" w:cs="Times New Roman"/>
                <w:bCs/>
                <w:i/>
                <w:sz w:val="20"/>
                <w:szCs w:val="20"/>
              </w:rPr>
              <w:t xml:space="preserve">  </w:t>
            </w:r>
            <w:r w:rsidR="00D21A7C" w:rsidRPr="00536DAC">
              <w:rPr>
                <w:rFonts w:ascii="Times New Roman" w:hAnsi="Times New Roman" w:cs="Times New Roman"/>
                <w:bCs/>
                <w:i/>
                <w:sz w:val="20"/>
                <w:szCs w:val="20"/>
              </w:rPr>
              <w:t>0.892</w:t>
            </w:r>
            <w:r w:rsidR="00D21A7C" w:rsidRPr="00536DAC">
              <w:rPr>
                <w:rFonts w:ascii="Times New Roman" w:hAnsi="Times New Roman" w:cs="Times New Roman"/>
                <w:bCs/>
                <w:sz w:val="20"/>
                <w:szCs w:val="20"/>
              </w:rPr>
              <w:t>*</w:t>
            </w:r>
          </w:p>
        </w:tc>
        <w:tc>
          <w:tcPr>
            <w:tcW w:w="1260" w:type="dxa"/>
            <w:tcBorders>
              <w:top w:val="single" w:sz="12" w:space="0" w:color="auto"/>
            </w:tcBorders>
            <w:tcMar>
              <w:left w:w="58" w:type="dxa"/>
              <w:right w:w="58" w:type="dxa"/>
            </w:tcMar>
            <w:vAlign w:val="center"/>
          </w:tcPr>
          <w:p w14:paraId="535B3203" w14:textId="21B91B37"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350" w:type="dxa"/>
            <w:tcBorders>
              <w:top w:val="single" w:sz="12" w:space="0" w:color="auto"/>
            </w:tcBorders>
            <w:tcMar>
              <w:left w:w="58" w:type="dxa"/>
              <w:right w:w="58" w:type="dxa"/>
            </w:tcMar>
            <w:vAlign w:val="center"/>
          </w:tcPr>
          <w:p w14:paraId="6C9A8E9B" w14:textId="5BD755B7"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350" w:type="dxa"/>
            <w:tcBorders>
              <w:top w:val="single" w:sz="12" w:space="0" w:color="auto"/>
              <w:right w:val="double" w:sz="4" w:space="0" w:color="auto"/>
            </w:tcBorders>
            <w:tcMar>
              <w:left w:w="58" w:type="dxa"/>
              <w:right w:w="58" w:type="dxa"/>
            </w:tcMar>
            <w:vAlign w:val="center"/>
          </w:tcPr>
          <w:p w14:paraId="005DB145" w14:textId="01146A26" w:rsidR="00D21A7C" w:rsidRPr="00536DAC" w:rsidRDefault="00496428" w:rsidP="00194389">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2B26B4">
              <w:rPr>
                <w:rFonts w:ascii="Times New Roman" w:hAnsi="Times New Roman" w:cs="Times New Roman"/>
                <w:bCs/>
                <w:sz w:val="20"/>
                <w:szCs w:val="20"/>
              </w:rPr>
              <w:t>0.000</w:t>
            </w:r>
            <w:r w:rsidR="007C2476">
              <w:rPr>
                <w:rFonts w:ascii="Times New Roman" w:hAnsi="Times New Roman" w:cs="Times New Roman"/>
                <w:sz w:val="20"/>
                <w:szCs w:val="20"/>
              </w:rPr>
              <w:t>***</w:t>
            </w:r>
          </w:p>
        </w:tc>
      </w:tr>
      <w:tr w:rsidR="00D21A7C" w:rsidRPr="00536DAC" w14:paraId="159D1B77" w14:textId="77777777" w:rsidTr="00194389">
        <w:trPr>
          <w:trHeight w:val="288"/>
        </w:trPr>
        <w:tc>
          <w:tcPr>
            <w:tcW w:w="864" w:type="dxa"/>
            <w:vMerge/>
            <w:tcBorders>
              <w:left w:val="double" w:sz="4" w:space="0" w:color="auto"/>
            </w:tcBorders>
            <w:tcMar>
              <w:left w:w="58" w:type="dxa"/>
              <w:right w:w="58" w:type="dxa"/>
            </w:tcMar>
            <w:vAlign w:val="center"/>
          </w:tcPr>
          <w:p w14:paraId="3B981CD8" w14:textId="77777777" w:rsidR="00D21A7C" w:rsidRPr="00536DAC" w:rsidRDefault="00D21A7C" w:rsidP="00AE2CD6">
            <w:pPr>
              <w:spacing w:line="276" w:lineRule="auto"/>
              <w:jc w:val="center"/>
              <w:rPr>
                <w:rFonts w:ascii="Times New Roman" w:hAnsi="Times New Roman" w:cs="Times New Roman"/>
                <w:b/>
                <w:sz w:val="20"/>
                <w:szCs w:val="20"/>
              </w:rPr>
            </w:pPr>
          </w:p>
        </w:tc>
        <w:tc>
          <w:tcPr>
            <w:tcW w:w="1551" w:type="dxa"/>
            <w:tcBorders>
              <w:left w:val="double" w:sz="4" w:space="0" w:color="auto"/>
              <w:right w:val="single" w:sz="12" w:space="0" w:color="auto"/>
            </w:tcBorders>
            <w:tcMar>
              <w:left w:w="58" w:type="dxa"/>
              <w:right w:w="58" w:type="dxa"/>
            </w:tcMar>
            <w:vAlign w:val="bottom"/>
          </w:tcPr>
          <w:p w14:paraId="627E3E10" w14:textId="2EBAF773"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Frequency</w:t>
            </w:r>
          </w:p>
        </w:tc>
        <w:tc>
          <w:tcPr>
            <w:tcW w:w="1260" w:type="dxa"/>
            <w:tcBorders>
              <w:left w:val="single" w:sz="12" w:space="0" w:color="auto"/>
            </w:tcBorders>
            <w:tcMar>
              <w:left w:w="58" w:type="dxa"/>
              <w:right w:w="58" w:type="dxa"/>
            </w:tcMar>
            <w:vAlign w:val="center"/>
          </w:tcPr>
          <w:p w14:paraId="201FE3C6"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0271F55B"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350" w:type="dxa"/>
            <w:tcMar>
              <w:left w:w="58" w:type="dxa"/>
              <w:right w:w="58" w:type="dxa"/>
            </w:tcMar>
            <w:vAlign w:val="center"/>
          </w:tcPr>
          <w:p w14:paraId="68DE500A" w14:textId="54839004"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Pr>
                <w:rFonts w:ascii="Times New Roman" w:hAnsi="Times New Roman" w:cs="Times New Roman"/>
                <w:bCs/>
                <w:sz w:val="20"/>
                <w:szCs w:val="20"/>
              </w:rPr>
              <w:t>261</w:t>
            </w:r>
          </w:p>
        </w:tc>
        <w:tc>
          <w:tcPr>
            <w:tcW w:w="1350" w:type="dxa"/>
            <w:tcBorders>
              <w:right w:val="single" w:sz="12" w:space="0" w:color="auto"/>
            </w:tcBorders>
            <w:tcMar>
              <w:left w:w="58" w:type="dxa"/>
              <w:right w:w="58" w:type="dxa"/>
            </w:tcMar>
            <w:vAlign w:val="center"/>
          </w:tcPr>
          <w:p w14:paraId="33B18161" w14:textId="5638BD39"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Pr>
                <w:rFonts w:ascii="Times New Roman" w:hAnsi="Times New Roman" w:cs="Times New Roman"/>
                <w:bCs/>
                <w:sz w:val="20"/>
                <w:szCs w:val="20"/>
              </w:rPr>
              <w:t>108</w:t>
            </w:r>
          </w:p>
        </w:tc>
        <w:tc>
          <w:tcPr>
            <w:tcW w:w="1260" w:type="dxa"/>
            <w:tcBorders>
              <w:left w:val="single" w:sz="12" w:space="0" w:color="auto"/>
            </w:tcBorders>
            <w:tcMar>
              <w:left w:w="58" w:type="dxa"/>
              <w:right w:w="58" w:type="dxa"/>
            </w:tcMar>
            <w:vAlign w:val="center"/>
          </w:tcPr>
          <w:p w14:paraId="3BBD2661" w14:textId="31C330E6" w:rsidR="00D21A7C" w:rsidRPr="00536DAC" w:rsidRDefault="00496428" w:rsidP="00496428">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260" w:type="dxa"/>
            <w:tcMar>
              <w:left w:w="58" w:type="dxa"/>
              <w:right w:w="58" w:type="dxa"/>
            </w:tcMar>
            <w:vAlign w:val="center"/>
          </w:tcPr>
          <w:p w14:paraId="62761D4B" w14:textId="6D42B0AF" w:rsidR="00D21A7C" w:rsidRPr="00536DAC" w:rsidRDefault="00D21A7C" w:rsidP="00194389">
            <w:pPr>
              <w:spacing w:line="276" w:lineRule="auto"/>
              <w:jc w:val="center"/>
              <w:rPr>
                <w:rFonts w:ascii="Times New Roman" w:hAnsi="Times New Roman" w:cs="Times New Roman"/>
                <w:bCs/>
                <w:i/>
                <w:sz w:val="20"/>
                <w:szCs w:val="20"/>
              </w:rPr>
            </w:pPr>
            <w:r w:rsidRPr="00536DAC">
              <w:rPr>
                <w:rFonts w:ascii="Times New Roman" w:hAnsi="Times New Roman" w:cs="Times New Roman"/>
                <w:bCs/>
                <w:i/>
                <w:sz w:val="20"/>
                <w:szCs w:val="20"/>
              </w:rPr>
              <w:t>0.</w:t>
            </w:r>
            <w:r w:rsidR="002B26B4">
              <w:rPr>
                <w:rFonts w:ascii="Times New Roman" w:hAnsi="Times New Roman" w:cs="Times New Roman"/>
                <w:bCs/>
                <w:i/>
                <w:sz w:val="20"/>
                <w:szCs w:val="20"/>
              </w:rPr>
              <w:t>656</w:t>
            </w:r>
            <w:r w:rsidRPr="00536DAC">
              <w:rPr>
                <w:rFonts w:ascii="Times New Roman" w:hAnsi="Times New Roman" w:cs="Times New Roman"/>
                <w:bCs/>
                <w:sz w:val="20"/>
                <w:szCs w:val="20"/>
              </w:rPr>
              <w:t>*</w:t>
            </w:r>
          </w:p>
        </w:tc>
        <w:tc>
          <w:tcPr>
            <w:tcW w:w="1350" w:type="dxa"/>
            <w:tcMar>
              <w:left w:w="58" w:type="dxa"/>
              <w:right w:w="58" w:type="dxa"/>
            </w:tcMar>
            <w:vAlign w:val="center"/>
          </w:tcPr>
          <w:p w14:paraId="684EC014" w14:textId="3C3F1A0E"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350" w:type="dxa"/>
            <w:tcBorders>
              <w:right w:val="double" w:sz="4" w:space="0" w:color="auto"/>
            </w:tcBorders>
            <w:tcMar>
              <w:left w:w="58" w:type="dxa"/>
              <w:right w:w="58" w:type="dxa"/>
            </w:tcMar>
            <w:vAlign w:val="center"/>
          </w:tcPr>
          <w:p w14:paraId="302BA671" w14:textId="5BE62D86" w:rsidR="00D21A7C" w:rsidRPr="00536DAC" w:rsidRDefault="00496428" w:rsidP="00194389">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2B26B4">
              <w:rPr>
                <w:rFonts w:ascii="Times New Roman" w:hAnsi="Times New Roman" w:cs="Times New Roman"/>
                <w:bCs/>
                <w:sz w:val="20"/>
                <w:szCs w:val="20"/>
              </w:rPr>
              <w:t>0.000</w:t>
            </w:r>
            <w:r w:rsidR="007C2476">
              <w:rPr>
                <w:rFonts w:ascii="Times New Roman" w:hAnsi="Times New Roman" w:cs="Times New Roman"/>
                <w:sz w:val="20"/>
                <w:szCs w:val="20"/>
              </w:rPr>
              <w:t>***</w:t>
            </w:r>
          </w:p>
        </w:tc>
      </w:tr>
      <w:tr w:rsidR="00D21A7C" w:rsidRPr="00536DAC" w14:paraId="4806AFF3" w14:textId="77777777" w:rsidTr="00194389">
        <w:trPr>
          <w:trHeight w:val="288"/>
        </w:trPr>
        <w:tc>
          <w:tcPr>
            <w:tcW w:w="864" w:type="dxa"/>
            <w:vMerge/>
            <w:tcBorders>
              <w:left w:val="double" w:sz="4" w:space="0" w:color="auto"/>
            </w:tcBorders>
            <w:tcMar>
              <w:left w:w="58" w:type="dxa"/>
              <w:right w:w="58" w:type="dxa"/>
            </w:tcMar>
            <w:vAlign w:val="center"/>
          </w:tcPr>
          <w:p w14:paraId="28F35EC6" w14:textId="77777777" w:rsidR="00D21A7C" w:rsidRPr="00536DAC" w:rsidRDefault="00D21A7C" w:rsidP="00AE2CD6">
            <w:pPr>
              <w:spacing w:line="276" w:lineRule="auto"/>
              <w:jc w:val="center"/>
              <w:rPr>
                <w:rFonts w:ascii="Times New Roman" w:hAnsi="Times New Roman" w:cs="Times New Roman"/>
                <w:b/>
                <w:sz w:val="20"/>
                <w:szCs w:val="20"/>
              </w:rPr>
            </w:pPr>
          </w:p>
        </w:tc>
        <w:tc>
          <w:tcPr>
            <w:tcW w:w="1551" w:type="dxa"/>
            <w:tcBorders>
              <w:left w:val="double" w:sz="4" w:space="0" w:color="auto"/>
              <w:right w:val="single" w:sz="12" w:space="0" w:color="auto"/>
            </w:tcBorders>
            <w:tcMar>
              <w:left w:w="58" w:type="dxa"/>
              <w:right w:w="58" w:type="dxa"/>
            </w:tcMar>
            <w:vAlign w:val="bottom"/>
          </w:tcPr>
          <w:p w14:paraId="4733529C" w14:textId="4AB3B8A8"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Third </w:t>
            </w:r>
            <w:r w:rsidR="0064226B">
              <w:rPr>
                <w:rFonts w:ascii="Times New Roman" w:hAnsi="Times New Roman" w:cs="Times New Roman"/>
                <w:b/>
                <w:sz w:val="20"/>
                <w:szCs w:val="20"/>
              </w:rPr>
              <w:t>Location Only</w:t>
            </w:r>
            <w:r w:rsidRPr="00536DAC">
              <w:rPr>
                <w:rFonts w:ascii="Times New Roman" w:hAnsi="Times New Roman" w:cs="Times New Roman"/>
                <w:sz w:val="20"/>
                <w:szCs w:val="20"/>
              </w:rPr>
              <w:t>**</w:t>
            </w:r>
          </w:p>
        </w:tc>
        <w:tc>
          <w:tcPr>
            <w:tcW w:w="1260" w:type="dxa"/>
            <w:tcBorders>
              <w:left w:val="single" w:sz="12" w:space="0" w:color="auto"/>
            </w:tcBorders>
            <w:tcMar>
              <w:left w:w="58" w:type="dxa"/>
              <w:right w:w="58" w:type="dxa"/>
            </w:tcMar>
            <w:vAlign w:val="center"/>
          </w:tcPr>
          <w:p w14:paraId="16F51539"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533BEA6C"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Mar>
              <w:left w:w="58" w:type="dxa"/>
              <w:right w:w="58" w:type="dxa"/>
            </w:tcMar>
            <w:vAlign w:val="center"/>
          </w:tcPr>
          <w:p w14:paraId="3C9D0C59"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350" w:type="dxa"/>
            <w:tcBorders>
              <w:right w:val="single" w:sz="12" w:space="0" w:color="auto"/>
            </w:tcBorders>
            <w:tcMar>
              <w:left w:w="58" w:type="dxa"/>
              <w:right w:w="58" w:type="dxa"/>
            </w:tcMar>
            <w:vAlign w:val="center"/>
          </w:tcPr>
          <w:p w14:paraId="6FEF875F" w14:textId="4D8743A4"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sidRPr="00536DAC">
              <w:rPr>
                <w:rFonts w:ascii="Times New Roman" w:hAnsi="Times New Roman" w:cs="Times New Roman"/>
                <w:bCs/>
                <w:sz w:val="20"/>
                <w:szCs w:val="20"/>
              </w:rPr>
              <w:t>0</w:t>
            </w:r>
            <w:r w:rsidR="002B26B4">
              <w:rPr>
                <w:rFonts w:ascii="Times New Roman" w:hAnsi="Times New Roman" w:cs="Times New Roman"/>
                <w:bCs/>
                <w:sz w:val="20"/>
                <w:szCs w:val="20"/>
              </w:rPr>
              <w:t>55</w:t>
            </w:r>
          </w:p>
        </w:tc>
        <w:tc>
          <w:tcPr>
            <w:tcW w:w="1260" w:type="dxa"/>
            <w:tcBorders>
              <w:left w:val="single" w:sz="12" w:space="0" w:color="auto"/>
            </w:tcBorders>
            <w:tcMar>
              <w:left w:w="58" w:type="dxa"/>
              <w:right w:w="58" w:type="dxa"/>
            </w:tcMar>
            <w:vAlign w:val="center"/>
          </w:tcPr>
          <w:p w14:paraId="53294DEF" w14:textId="3AAAD059" w:rsidR="00D21A7C" w:rsidRPr="00536DAC" w:rsidRDefault="00496428" w:rsidP="00496428">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260" w:type="dxa"/>
            <w:tcMar>
              <w:left w:w="58" w:type="dxa"/>
              <w:right w:w="58" w:type="dxa"/>
            </w:tcMar>
            <w:vAlign w:val="center"/>
          </w:tcPr>
          <w:p w14:paraId="729F9E91" w14:textId="77777777" w:rsidR="00D21A7C" w:rsidRPr="00536DAC" w:rsidRDefault="00D21A7C" w:rsidP="00194389">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0.000</w:t>
            </w:r>
          </w:p>
        </w:tc>
        <w:tc>
          <w:tcPr>
            <w:tcW w:w="1350" w:type="dxa"/>
            <w:tcMar>
              <w:left w:w="58" w:type="dxa"/>
              <w:right w:w="58" w:type="dxa"/>
            </w:tcMar>
            <w:vAlign w:val="center"/>
          </w:tcPr>
          <w:p w14:paraId="70930B39" w14:textId="00C240ED" w:rsidR="00D21A7C" w:rsidRPr="00536DAC" w:rsidRDefault="00D21A7C" w:rsidP="00194389">
            <w:pPr>
              <w:spacing w:line="276" w:lineRule="auto"/>
              <w:jc w:val="center"/>
              <w:rPr>
                <w:rFonts w:ascii="Times New Roman" w:hAnsi="Times New Roman" w:cs="Times New Roman"/>
                <w:bCs/>
                <w:i/>
                <w:sz w:val="20"/>
                <w:szCs w:val="20"/>
              </w:rPr>
            </w:pPr>
            <w:r w:rsidRPr="00536DAC">
              <w:rPr>
                <w:rFonts w:ascii="Times New Roman" w:hAnsi="Times New Roman" w:cs="Times New Roman"/>
                <w:bCs/>
                <w:i/>
                <w:sz w:val="20"/>
                <w:szCs w:val="20"/>
              </w:rPr>
              <w:t>0.70</w:t>
            </w:r>
            <w:r w:rsidR="002B26B4">
              <w:rPr>
                <w:rFonts w:ascii="Times New Roman" w:hAnsi="Times New Roman" w:cs="Times New Roman"/>
                <w:bCs/>
                <w:i/>
                <w:sz w:val="20"/>
                <w:szCs w:val="20"/>
              </w:rPr>
              <w:t>8</w:t>
            </w:r>
            <w:r w:rsidRPr="00536DAC">
              <w:rPr>
                <w:rFonts w:ascii="Times New Roman" w:hAnsi="Times New Roman" w:cs="Times New Roman"/>
                <w:bCs/>
                <w:sz w:val="20"/>
                <w:szCs w:val="20"/>
              </w:rPr>
              <w:t>*</w:t>
            </w:r>
          </w:p>
        </w:tc>
        <w:tc>
          <w:tcPr>
            <w:tcW w:w="1350" w:type="dxa"/>
            <w:tcBorders>
              <w:right w:val="double" w:sz="4" w:space="0" w:color="auto"/>
            </w:tcBorders>
            <w:tcMar>
              <w:left w:w="58" w:type="dxa"/>
              <w:right w:w="58" w:type="dxa"/>
            </w:tcMar>
            <w:vAlign w:val="center"/>
          </w:tcPr>
          <w:p w14:paraId="54226EEF" w14:textId="28E344CF"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2B26B4">
              <w:rPr>
                <w:rFonts w:ascii="Times New Roman" w:hAnsi="Times New Roman" w:cs="Times New Roman"/>
                <w:sz w:val="20"/>
                <w:szCs w:val="20"/>
              </w:rPr>
              <w:t>0.000</w:t>
            </w:r>
            <w:r w:rsidR="007C2476">
              <w:rPr>
                <w:rFonts w:ascii="Times New Roman" w:hAnsi="Times New Roman" w:cs="Times New Roman"/>
                <w:sz w:val="20"/>
                <w:szCs w:val="20"/>
              </w:rPr>
              <w:t>***</w:t>
            </w:r>
          </w:p>
        </w:tc>
      </w:tr>
      <w:tr w:rsidR="00D21A7C" w:rsidRPr="00536DAC" w14:paraId="28B65F21" w14:textId="77777777" w:rsidTr="00194389">
        <w:trPr>
          <w:trHeight w:val="288"/>
        </w:trPr>
        <w:tc>
          <w:tcPr>
            <w:tcW w:w="864" w:type="dxa"/>
            <w:vMerge/>
            <w:tcBorders>
              <w:left w:val="double" w:sz="4" w:space="0" w:color="auto"/>
              <w:bottom w:val="single" w:sz="12" w:space="0" w:color="auto"/>
            </w:tcBorders>
            <w:tcMar>
              <w:left w:w="58" w:type="dxa"/>
              <w:right w:w="58" w:type="dxa"/>
            </w:tcMar>
            <w:vAlign w:val="center"/>
          </w:tcPr>
          <w:p w14:paraId="3C519335" w14:textId="77777777" w:rsidR="00D21A7C" w:rsidRPr="00536DAC" w:rsidRDefault="00D21A7C" w:rsidP="00AE2CD6">
            <w:pPr>
              <w:spacing w:line="276" w:lineRule="auto"/>
              <w:jc w:val="center"/>
              <w:rPr>
                <w:rFonts w:ascii="Times New Roman" w:hAnsi="Times New Roman" w:cs="Times New Roman"/>
                <w:b/>
                <w:sz w:val="20"/>
                <w:szCs w:val="20"/>
              </w:rPr>
            </w:pPr>
          </w:p>
        </w:tc>
        <w:tc>
          <w:tcPr>
            <w:tcW w:w="1551" w:type="dxa"/>
            <w:tcBorders>
              <w:left w:val="double" w:sz="4" w:space="0" w:color="auto"/>
              <w:bottom w:val="single" w:sz="12" w:space="0" w:color="auto"/>
              <w:right w:val="single" w:sz="12" w:space="0" w:color="auto"/>
            </w:tcBorders>
            <w:tcMar>
              <w:left w:w="58" w:type="dxa"/>
              <w:right w:w="58" w:type="dxa"/>
            </w:tcMar>
            <w:vAlign w:val="bottom"/>
          </w:tcPr>
          <w:p w14:paraId="4398D10C" w14:textId="12C6782F"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w:t>
            </w:r>
            <w:r w:rsidR="0064226B">
              <w:rPr>
                <w:rFonts w:ascii="Times New Roman" w:hAnsi="Times New Roman" w:cs="Times New Roman"/>
                <w:b/>
                <w:sz w:val="20"/>
                <w:szCs w:val="20"/>
              </w:rPr>
              <w:t xml:space="preserve">Both </w:t>
            </w:r>
            <w:r w:rsidRPr="00536DAC">
              <w:rPr>
                <w:rFonts w:ascii="Times New Roman" w:hAnsi="Times New Roman" w:cs="Times New Roman"/>
                <w:b/>
                <w:sz w:val="20"/>
                <w:szCs w:val="20"/>
              </w:rPr>
              <w:t xml:space="preserve">Home and Third </w:t>
            </w:r>
            <w:r w:rsidR="0064226B">
              <w:rPr>
                <w:rFonts w:ascii="Times New Roman" w:hAnsi="Times New Roman" w:cs="Times New Roman"/>
                <w:b/>
                <w:sz w:val="20"/>
                <w:szCs w:val="20"/>
              </w:rPr>
              <w:t>Location</w:t>
            </w:r>
            <w:r w:rsidRPr="00536DAC">
              <w:rPr>
                <w:rFonts w:ascii="Times New Roman" w:hAnsi="Times New Roman" w:cs="Times New Roman"/>
                <w:sz w:val="20"/>
                <w:szCs w:val="20"/>
              </w:rPr>
              <w:t>**</w:t>
            </w:r>
          </w:p>
        </w:tc>
        <w:tc>
          <w:tcPr>
            <w:tcW w:w="1260" w:type="dxa"/>
            <w:tcBorders>
              <w:left w:val="single" w:sz="12" w:space="0" w:color="auto"/>
              <w:bottom w:val="single" w:sz="12" w:space="0" w:color="auto"/>
            </w:tcBorders>
            <w:tcMar>
              <w:left w:w="58" w:type="dxa"/>
              <w:right w:w="58" w:type="dxa"/>
            </w:tcMar>
            <w:vAlign w:val="center"/>
          </w:tcPr>
          <w:p w14:paraId="5898960B"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bottom w:val="single" w:sz="12" w:space="0" w:color="auto"/>
            </w:tcBorders>
            <w:tcMar>
              <w:left w:w="58" w:type="dxa"/>
              <w:right w:w="58" w:type="dxa"/>
            </w:tcMar>
            <w:vAlign w:val="center"/>
          </w:tcPr>
          <w:p w14:paraId="70C11848"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bottom w:val="single" w:sz="12" w:space="0" w:color="auto"/>
            </w:tcBorders>
            <w:tcMar>
              <w:left w:w="58" w:type="dxa"/>
              <w:right w:w="58" w:type="dxa"/>
            </w:tcMar>
            <w:vAlign w:val="center"/>
          </w:tcPr>
          <w:p w14:paraId="3ACD7EC3"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bottom w:val="single" w:sz="12" w:space="0" w:color="auto"/>
              <w:right w:val="single" w:sz="12" w:space="0" w:color="auto"/>
            </w:tcBorders>
            <w:tcMar>
              <w:left w:w="58" w:type="dxa"/>
              <w:right w:w="58" w:type="dxa"/>
            </w:tcMar>
            <w:vAlign w:val="center"/>
          </w:tcPr>
          <w:p w14:paraId="7884DB60"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260" w:type="dxa"/>
            <w:tcBorders>
              <w:left w:val="single" w:sz="12" w:space="0" w:color="auto"/>
              <w:bottom w:val="single" w:sz="12" w:space="0" w:color="auto"/>
            </w:tcBorders>
            <w:tcMar>
              <w:left w:w="58" w:type="dxa"/>
              <w:right w:w="58" w:type="dxa"/>
            </w:tcMar>
            <w:vAlign w:val="center"/>
          </w:tcPr>
          <w:p w14:paraId="1BE0D83B" w14:textId="074324EB" w:rsidR="00D21A7C" w:rsidRPr="00536DAC" w:rsidRDefault="00496428" w:rsidP="00496428">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260" w:type="dxa"/>
            <w:tcBorders>
              <w:bottom w:val="single" w:sz="12" w:space="0" w:color="auto"/>
            </w:tcBorders>
            <w:tcMar>
              <w:left w:w="58" w:type="dxa"/>
              <w:right w:w="58" w:type="dxa"/>
            </w:tcMar>
            <w:vAlign w:val="center"/>
          </w:tcPr>
          <w:p w14:paraId="1BD407B5" w14:textId="6882DB32"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350" w:type="dxa"/>
            <w:tcBorders>
              <w:bottom w:val="single" w:sz="12" w:space="0" w:color="auto"/>
            </w:tcBorders>
            <w:tcMar>
              <w:left w:w="58" w:type="dxa"/>
              <w:right w:w="58" w:type="dxa"/>
            </w:tcMar>
            <w:vAlign w:val="center"/>
          </w:tcPr>
          <w:p w14:paraId="30386E0A" w14:textId="43E5557A" w:rsidR="00D21A7C" w:rsidRPr="00536DAC" w:rsidRDefault="00496428" w:rsidP="0019438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0.000</w:t>
            </w:r>
            <w:r w:rsidR="007C2476">
              <w:rPr>
                <w:rFonts w:ascii="Times New Roman" w:hAnsi="Times New Roman" w:cs="Times New Roman"/>
                <w:sz w:val="20"/>
                <w:szCs w:val="20"/>
              </w:rPr>
              <w:t>***</w:t>
            </w:r>
          </w:p>
        </w:tc>
        <w:tc>
          <w:tcPr>
            <w:tcW w:w="1350" w:type="dxa"/>
            <w:tcBorders>
              <w:bottom w:val="single" w:sz="12" w:space="0" w:color="auto"/>
              <w:right w:val="double" w:sz="4" w:space="0" w:color="auto"/>
            </w:tcBorders>
            <w:tcMar>
              <w:left w:w="58" w:type="dxa"/>
              <w:right w:w="58" w:type="dxa"/>
            </w:tcMar>
            <w:vAlign w:val="center"/>
          </w:tcPr>
          <w:p w14:paraId="7FE253D0" w14:textId="0738E99B" w:rsidR="00D21A7C" w:rsidRPr="00536DAC" w:rsidRDefault="00496428" w:rsidP="00194389">
            <w:pPr>
              <w:spacing w:line="276" w:lineRule="auto"/>
              <w:jc w:val="center"/>
              <w:rPr>
                <w:rFonts w:ascii="Times New Roman" w:hAnsi="Times New Roman" w:cs="Times New Roman"/>
                <w:i/>
                <w:sz w:val="20"/>
                <w:szCs w:val="20"/>
              </w:rPr>
            </w:pPr>
            <w:r>
              <w:rPr>
                <w:rFonts w:ascii="Times New Roman" w:hAnsi="Times New Roman" w:cs="Times New Roman"/>
                <w:i/>
                <w:sz w:val="20"/>
                <w:szCs w:val="20"/>
              </w:rPr>
              <w:t xml:space="preserve"> </w:t>
            </w:r>
            <w:r w:rsidR="00D21A7C" w:rsidRPr="00536DAC">
              <w:rPr>
                <w:rFonts w:ascii="Times New Roman" w:hAnsi="Times New Roman" w:cs="Times New Roman"/>
                <w:i/>
                <w:sz w:val="20"/>
                <w:szCs w:val="20"/>
              </w:rPr>
              <w:t>0.</w:t>
            </w:r>
            <w:r w:rsidR="002B26B4">
              <w:rPr>
                <w:rFonts w:ascii="Times New Roman" w:hAnsi="Times New Roman" w:cs="Times New Roman"/>
                <w:i/>
                <w:sz w:val="20"/>
                <w:szCs w:val="20"/>
              </w:rPr>
              <w:t>621</w:t>
            </w:r>
            <w:r w:rsidR="00D21A7C" w:rsidRPr="00536DAC">
              <w:rPr>
                <w:rFonts w:ascii="Times New Roman" w:hAnsi="Times New Roman" w:cs="Times New Roman"/>
                <w:sz w:val="20"/>
                <w:szCs w:val="20"/>
              </w:rPr>
              <w:t>*</w:t>
            </w:r>
          </w:p>
        </w:tc>
      </w:tr>
      <w:tr w:rsidR="00D21A7C" w:rsidRPr="00536DAC" w14:paraId="3A930116" w14:textId="77777777" w:rsidTr="00536DAC">
        <w:trPr>
          <w:trHeight w:val="288"/>
        </w:trPr>
        <w:tc>
          <w:tcPr>
            <w:tcW w:w="864" w:type="dxa"/>
            <w:vMerge w:val="restart"/>
            <w:tcBorders>
              <w:top w:val="single" w:sz="12" w:space="0" w:color="auto"/>
              <w:left w:val="double" w:sz="4" w:space="0" w:color="auto"/>
            </w:tcBorders>
            <w:tcMar>
              <w:left w:w="58" w:type="dxa"/>
              <w:right w:w="58" w:type="dxa"/>
            </w:tcMar>
            <w:vAlign w:val="center"/>
          </w:tcPr>
          <w:p w14:paraId="4A9E5107" w14:textId="6F0F1984" w:rsidR="00D21A7C" w:rsidRPr="00536DAC" w:rsidRDefault="00D21A7C" w:rsidP="00AE2CD6">
            <w:pPr>
              <w:spacing w:line="276" w:lineRule="auto"/>
              <w:jc w:val="center"/>
              <w:rPr>
                <w:rFonts w:ascii="Times New Roman" w:hAnsi="Times New Roman" w:cs="Times New Roman"/>
                <w:b/>
                <w:sz w:val="20"/>
                <w:szCs w:val="20"/>
              </w:rPr>
            </w:pPr>
            <w:r w:rsidRPr="00536DAC">
              <w:rPr>
                <w:rFonts w:ascii="Times New Roman" w:hAnsi="Times New Roman" w:cs="Times New Roman"/>
                <w:b/>
                <w:i/>
                <w:sz w:val="20"/>
                <w:szCs w:val="20"/>
              </w:rPr>
              <w:t>After</w:t>
            </w:r>
            <w:r w:rsidR="00DD5EAC">
              <w:rPr>
                <w:rFonts w:ascii="Times New Roman" w:hAnsi="Times New Roman" w:cs="Times New Roman"/>
                <w:b/>
                <w:i/>
                <w:sz w:val="20"/>
                <w:szCs w:val="20"/>
              </w:rPr>
              <w:t xml:space="preserve"> </w:t>
            </w:r>
            <w:r w:rsidRPr="00A15909">
              <w:rPr>
                <w:rFonts w:ascii="Times New Roman" w:hAnsi="Times New Roman" w:cs="Times New Roman"/>
                <w:b/>
                <w:sz w:val="20"/>
                <w:szCs w:val="20"/>
              </w:rPr>
              <w:t>COVID</w:t>
            </w:r>
          </w:p>
        </w:tc>
        <w:tc>
          <w:tcPr>
            <w:tcW w:w="1551" w:type="dxa"/>
            <w:tcBorders>
              <w:top w:val="single" w:sz="12" w:space="0" w:color="auto"/>
              <w:left w:val="double" w:sz="4" w:space="0" w:color="auto"/>
              <w:right w:val="single" w:sz="12" w:space="0" w:color="auto"/>
            </w:tcBorders>
            <w:tcMar>
              <w:left w:w="58" w:type="dxa"/>
              <w:right w:w="58" w:type="dxa"/>
            </w:tcMar>
            <w:vAlign w:val="bottom"/>
          </w:tcPr>
          <w:p w14:paraId="776C4588" w14:textId="505F35F7"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Adoption</w:t>
            </w:r>
          </w:p>
        </w:tc>
        <w:tc>
          <w:tcPr>
            <w:tcW w:w="1260" w:type="dxa"/>
            <w:tcBorders>
              <w:top w:val="single" w:sz="12" w:space="0" w:color="auto"/>
              <w:left w:val="single" w:sz="12" w:space="0" w:color="auto"/>
            </w:tcBorders>
            <w:tcMar>
              <w:left w:w="58" w:type="dxa"/>
              <w:right w:w="58" w:type="dxa"/>
            </w:tcMar>
            <w:vAlign w:val="center"/>
          </w:tcPr>
          <w:p w14:paraId="0FB47CBA"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top w:val="single" w:sz="12" w:space="0" w:color="auto"/>
            </w:tcBorders>
            <w:tcMar>
              <w:left w:w="58" w:type="dxa"/>
              <w:right w:w="58" w:type="dxa"/>
            </w:tcMar>
            <w:vAlign w:val="center"/>
          </w:tcPr>
          <w:p w14:paraId="1A21AB0A"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top w:val="single" w:sz="12" w:space="0" w:color="auto"/>
            </w:tcBorders>
            <w:tcMar>
              <w:left w:w="58" w:type="dxa"/>
              <w:right w:w="58" w:type="dxa"/>
            </w:tcMar>
            <w:vAlign w:val="center"/>
          </w:tcPr>
          <w:p w14:paraId="18AB4C58"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top w:val="single" w:sz="12" w:space="0" w:color="auto"/>
              <w:right w:val="single" w:sz="12" w:space="0" w:color="auto"/>
            </w:tcBorders>
            <w:tcMar>
              <w:left w:w="58" w:type="dxa"/>
              <w:right w:w="58" w:type="dxa"/>
            </w:tcMar>
            <w:vAlign w:val="center"/>
          </w:tcPr>
          <w:p w14:paraId="7E9C77CC"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top w:val="single" w:sz="12" w:space="0" w:color="auto"/>
              <w:left w:val="single" w:sz="12" w:space="0" w:color="auto"/>
            </w:tcBorders>
            <w:tcMar>
              <w:left w:w="58" w:type="dxa"/>
              <w:right w:w="58" w:type="dxa"/>
            </w:tcMar>
            <w:vAlign w:val="center"/>
          </w:tcPr>
          <w:p w14:paraId="53ACD747"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260" w:type="dxa"/>
            <w:tcBorders>
              <w:top w:val="single" w:sz="12" w:space="0" w:color="auto"/>
            </w:tcBorders>
            <w:tcMar>
              <w:left w:w="58" w:type="dxa"/>
              <w:right w:w="58" w:type="dxa"/>
            </w:tcMar>
            <w:vAlign w:val="center"/>
          </w:tcPr>
          <w:p w14:paraId="28CB9689" w14:textId="0E3EA068"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 xml:space="preserve">  0.261*</w:t>
            </w:r>
          </w:p>
        </w:tc>
        <w:tc>
          <w:tcPr>
            <w:tcW w:w="1350" w:type="dxa"/>
            <w:tcBorders>
              <w:top w:val="single" w:sz="12" w:space="0" w:color="auto"/>
            </w:tcBorders>
            <w:tcMar>
              <w:left w:w="58" w:type="dxa"/>
              <w:right w:w="58" w:type="dxa"/>
            </w:tcMar>
            <w:vAlign w:val="center"/>
          </w:tcPr>
          <w:p w14:paraId="255AD425" w14:textId="5966A0C9"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sidRPr="00536DAC">
              <w:rPr>
                <w:rFonts w:ascii="Times New Roman" w:hAnsi="Times New Roman" w:cs="Times New Roman"/>
                <w:bCs/>
                <w:sz w:val="20"/>
                <w:szCs w:val="20"/>
              </w:rPr>
              <w:t>0</w:t>
            </w:r>
            <w:r w:rsidR="002B26B4">
              <w:rPr>
                <w:rFonts w:ascii="Times New Roman" w:hAnsi="Times New Roman" w:cs="Times New Roman"/>
                <w:bCs/>
                <w:sz w:val="20"/>
                <w:szCs w:val="20"/>
              </w:rPr>
              <w:t>28</w:t>
            </w:r>
          </w:p>
        </w:tc>
        <w:tc>
          <w:tcPr>
            <w:tcW w:w="1350" w:type="dxa"/>
            <w:tcBorders>
              <w:top w:val="single" w:sz="12" w:space="0" w:color="auto"/>
              <w:right w:val="double" w:sz="4" w:space="0" w:color="auto"/>
            </w:tcBorders>
            <w:tcMar>
              <w:left w:w="58" w:type="dxa"/>
              <w:right w:w="58" w:type="dxa"/>
            </w:tcMar>
            <w:vAlign w:val="center"/>
          </w:tcPr>
          <w:p w14:paraId="28896922"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-0.079</w:t>
            </w:r>
          </w:p>
        </w:tc>
      </w:tr>
      <w:tr w:rsidR="00D21A7C" w:rsidRPr="00536DAC" w14:paraId="59B2C98C" w14:textId="77777777" w:rsidTr="00536DAC">
        <w:trPr>
          <w:trHeight w:val="288"/>
        </w:trPr>
        <w:tc>
          <w:tcPr>
            <w:tcW w:w="864" w:type="dxa"/>
            <w:vMerge/>
            <w:tcBorders>
              <w:left w:val="double" w:sz="4" w:space="0" w:color="auto"/>
            </w:tcBorders>
            <w:tcMar>
              <w:left w:w="58" w:type="dxa"/>
              <w:right w:w="58" w:type="dxa"/>
            </w:tcMar>
          </w:tcPr>
          <w:p w14:paraId="67861B57" w14:textId="77777777" w:rsidR="00D21A7C" w:rsidRPr="00536DAC" w:rsidRDefault="00D21A7C" w:rsidP="00837F9C">
            <w:pPr>
              <w:spacing w:line="276" w:lineRule="auto"/>
              <w:jc w:val="center"/>
              <w:rPr>
                <w:rFonts w:ascii="Times New Roman" w:hAnsi="Times New Roman" w:cs="Times New Roman"/>
                <w:b/>
                <w:sz w:val="20"/>
                <w:szCs w:val="20"/>
              </w:rPr>
            </w:pPr>
          </w:p>
        </w:tc>
        <w:tc>
          <w:tcPr>
            <w:tcW w:w="1551" w:type="dxa"/>
            <w:tcBorders>
              <w:left w:val="double" w:sz="4" w:space="0" w:color="auto"/>
              <w:right w:val="single" w:sz="12" w:space="0" w:color="auto"/>
            </w:tcBorders>
            <w:tcMar>
              <w:left w:w="58" w:type="dxa"/>
              <w:right w:w="58" w:type="dxa"/>
            </w:tcMar>
            <w:vAlign w:val="bottom"/>
          </w:tcPr>
          <w:p w14:paraId="349D8AA0" w14:textId="6FA6283C"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Telework Frequency</w:t>
            </w:r>
          </w:p>
        </w:tc>
        <w:tc>
          <w:tcPr>
            <w:tcW w:w="1260" w:type="dxa"/>
            <w:tcBorders>
              <w:left w:val="single" w:sz="12" w:space="0" w:color="auto"/>
            </w:tcBorders>
            <w:tcMar>
              <w:left w:w="58" w:type="dxa"/>
              <w:right w:w="58" w:type="dxa"/>
            </w:tcMar>
            <w:vAlign w:val="center"/>
          </w:tcPr>
          <w:p w14:paraId="1ADBE99A"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019D8BBF"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Mar>
              <w:left w:w="58" w:type="dxa"/>
              <w:right w:w="58" w:type="dxa"/>
            </w:tcMar>
            <w:vAlign w:val="center"/>
          </w:tcPr>
          <w:p w14:paraId="1406C6DA"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right w:val="single" w:sz="12" w:space="0" w:color="auto"/>
            </w:tcBorders>
            <w:tcMar>
              <w:left w:w="58" w:type="dxa"/>
              <w:right w:w="58" w:type="dxa"/>
            </w:tcMar>
            <w:vAlign w:val="center"/>
          </w:tcPr>
          <w:p w14:paraId="63074FF8"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left w:val="single" w:sz="12" w:space="0" w:color="auto"/>
            </w:tcBorders>
            <w:tcMar>
              <w:left w:w="58" w:type="dxa"/>
              <w:right w:w="58" w:type="dxa"/>
            </w:tcMar>
            <w:vAlign w:val="center"/>
          </w:tcPr>
          <w:p w14:paraId="2A93B9F8"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00522B3A"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350" w:type="dxa"/>
            <w:tcMar>
              <w:left w:w="58" w:type="dxa"/>
              <w:right w:w="58" w:type="dxa"/>
            </w:tcMar>
            <w:vAlign w:val="center"/>
          </w:tcPr>
          <w:p w14:paraId="6B50F229" w14:textId="5133290B"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-0.</w:t>
            </w:r>
            <w:r w:rsidR="002B26B4" w:rsidRPr="00536DAC">
              <w:rPr>
                <w:rFonts w:ascii="Times New Roman" w:hAnsi="Times New Roman" w:cs="Times New Roman"/>
                <w:bCs/>
                <w:sz w:val="20"/>
                <w:szCs w:val="20"/>
              </w:rPr>
              <w:t>1</w:t>
            </w:r>
            <w:r w:rsidR="002B26B4">
              <w:rPr>
                <w:rFonts w:ascii="Times New Roman" w:hAnsi="Times New Roman" w:cs="Times New Roman"/>
                <w:bCs/>
                <w:sz w:val="20"/>
                <w:szCs w:val="20"/>
              </w:rPr>
              <w:t>18</w:t>
            </w:r>
          </w:p>
        </w:tc>
        <w:tc>
          <w:tcPr>
            <w:tcW w:w="1350" w:type="dxa"/>
            <w:tcBorders>
              <w:right w:val="double" w:sz="4" w:space="0" w:color="auto"/>
            </w:tcBorders>
            <w:tcMar>
              <w:left w:w="58" w:type="dxa"/>
              <w:right w:w="58" w:type="dxa"/>
            </w:tcMar>
            <w:vAlign w:val="center"/>
          </w:tcPr>
          <w:p w14:paraId="1B67018A" w14:textId="4F36BFE8" w:rsidR="00D21A7C" w:rsidRPr="00536DAC" w:rsidRDefault="00410063" w:rsidP="00837F9C">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w:t>
            </w:r>
            <w:r w:rsidR="002B26B4" w:rsidRPr="00536DAC">
              <w:rPr>
                <w:rFonts w:ascii="Times New Roman" w:hAnsi="Times New Roman" w:cs="Times New Roman"/>
                <w:sz w:val="20"/>
                <w:szCs w:val="20"/>
              </w:rPr>
              <w:t>0</w:t>
            </w:r>
            <w:r w:rsidR="002B26B4">
              <w:rPr>
                <w:rFonts w:ascii="Times New Roman" w:hAnsi="Times New Roman" w:cs="Times New Roman"/>
                <w:sz w:val="20"/>
                <w:szCs w:val="20"/>
              </w:rPr>
              <w:t>51</w:t>
            </w:r>
          </w:p>
        </w:tc>
      </w:tr>
      <w:tr w:rsidR="00D21A7C" w:rsidRPr="00536DAC" w14:paraId="5DCD2F96" w14:textId="77777777" w:rsidTr="00536DAC">
        <w:trPr>
          <w:trHeight w:val="288"/>
        </w:trPr>
        <w:tc>
          <w:tcPr>
            <w:tcW w:w="864" w:type="dxa"/>
            <w:vMerge/>
            <w:tcBorders>
              <w:left w:val="double" w:sz="4" w:space="0" w:color="auto"/>
            </w:tcBorders>
            <w:tcMar>
              <w:left w:w="58" w:type="dxa"/>
              <w:right w:w="58" w:type="dxa"/>
            </w:tcMar>
          </w:tcPr>
          <w:p w14:paraId="3BDBC0CB" w14:textId="77777777" w:rsidR="00D21A7C" w:rsidRPr="00536DAC" w:rsidRDefault="00D21A7C" w:rsidP="00837F9C">
            <w:pPr>
              <w:spacing w:line="276" w:lineRule="auto"/>
              <w:jc w:val="center"/>
              <w:rPr>
                <w:rFonts w:ascii="Times New Roman" w:hAnsi="Times New Roman" w:cs="Times New Roman"/>
                <w:b/>
                <w:sz w:val="20"/>
                <w:szCs w:val="20"/>
              </w:rPr>
            </w:pPr>
          </w:p>
        </w:tc>
        <w:tc>
          <w:tcPr>
            <w:tcW w:w="1551" w:type="dxa"/>
            <w:tcBorders>
              <w:left w:val="double" w:sz="4" w:space="0" w:color="auto"/>
              <w:right w:val="single" w:sz="12" w:space="0" w:color="auto"/>
            </w:tcBorders>
            <w:tcMar>
              <w:left w:w="58" w:type="dxa"/>
              <w:right w:w="58" w:type="dxa"/>
            </w:tcMar>
            <w:vAlign w:val="bottom"/>
          </w:tcPr>
          <w:p w14:paraId="3AEAE576" w14:textId="05DA7149"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Third </w:t>
            </w:r>
            <w:r w:rsidR="0064226B">
              <w:rPr>
                <w:rFonts w:ascii="Times New Roman" w:hAnsi="Times New Roman" w:cs="Times New Roman"/>
                <w:b/>
                <w:sz w:val="20"/>
                <w:szCs w:val="20"/>
              </w:rPr>
              <w:t>Location Only</w:t>
            </w:r>
            <w:r w:rsidRPr="00536DAC">
              <w:rPr>
                <w:rFonts w:ascii="Times New Roman" w:hAnsi="Times New Roman" w:cs="Times New Roman"/>
                <w:sz w:val="20"/>
                <w:szCs w:val="20"/>
              </w:rPr>
              <w:t>**</w:t>
            </w:r>
          </w:p>
        </w:tc>
        <w:tc>
          <w:tcPr>
            <w:tcW w:w="1260" w:type="dxa"/>
            <w:tcBorders>
              <w:left w:val="single" w:sz="12" w:space="0" w:color="auto"/>
            </w:tcBorders>
            <w:tcMar>
              <w:left w:w="58" w:type="dxa"/>
              <w:right w:w="58" w:type="dxa"/>
            </w:tcMar>
            <w:vAlign w:val="center"/>
          </w:tcPr>
          <w:p w14:paraId="6071C565"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07AE9241"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Mar>
              <w:left w:w="58" w:type="dxa"/>
              <w:right w:w="58" w:type="dxa"/>
            </w:tcMar>
            <w:vAlign w:val="center"/>
          </w:tcPr>
          <w:p w14:paraId="4F2D83EE"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right w:val="single" w:sz="12" w:space="0" w:color="auto"/>
            </w:tcBorders>
            <w:tcMar>
              <w:left w:w="58" w:type="dxa"/>
              <w:right w:w="58" w:type="dxa"/>
            </w:tcMar>
            <w:vAlign w:val="center"/>
          </w:tcPr>
          <w:p w14:paraId="202B23C5"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left w:val="single" w:sz="12" w:space="0" w:color="auto"/>
            </w:tcBorders>
            <w:tcMar>
              <w:left w:w="58" w:type="dxa"/>
              <w:right w:w="58" w:type="dxa"/>
            </w:tcMar>
            <w:vAlign w:val="center"/>
          </w:tcPr>
          <w:p w14:paraId="3207FC08"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Mar>
              <w:left w:w="58" w:type="dxa"/>
              <w:right w:w="58" w:type="dxa"/>
            </w:tcMar>
            <w:vAlign w:val="center"/>
          </w:tcPr>
          <w:p w14:paraId="775C92F9"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Mar>
              <w:left w:w="58" w:type="dxa"/>
              <w:right w:w="58" w:type="dxa"/>
            </w:tcMar>
            <w:vAlign w:val="center"/>
          </w:tcPr>
          <w:p w14:paraId="357F5305"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c>
          <w:tcPr>
            <w:tcW w:w="1350" w:type="dxa"/>
            <w:tcBorders>
              <w:right w:val="double" w:sz="4" w:space="0" w:color="auto"/>
            </w:tcBorders>
            <w:tcMar>
              <w:left w:w="58" w:type="dxa"/>
              <w:right w:w="58" w:type="dxa"/>
            </w:tcMar>
            <w:vAlign w:val="center"/>
          </w:tcPr>
          <w:p w14:paraId="70A0A454" w14:textId="46B06862" w:rsidR="00D21A7C" w:rsidRPr="00536DAC" w:rsidRDefault="00410063" w:rsidP="00837F9C">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21A7C" w:rsidRPr="00536DAC">
              <w:rPr>
                <w:rFonts w:ascii="Times New Roman" w:hAnsi="Times New Roman" w:cs="Times New Roman"/>
                <w:sz w:val="20"/>
                <w:szCs w:val="20"/>
              </w:rPr>
              <w:t>-0.</w:t>
            </w:r>
            <w:r w:rsidR="002B26B4" w:rsidRPr="00536DAC">
              <w:rPr>
                <w:rFonts w:ascii="Times New Roman" w:hAnsi="Times New Roman" w:cs="Times New Roman"/>
                <w:sz w:val="20"/>
                <w:szCs w:val="20"/>
              </w:rPr>
              <w:t>5</w:t>
            </w:r>
            <w:r w:rsidR="002B26B4">
              <w:rPr>
                <w:rFonts w:ascii="Times New Roman" w:hAnsi="Times New Roman" w:cs="Times New Roman"/>
                <w:sz w:val="20"/>
                <w:szCs w:val="20"/>
              </w:rPr>
              <w:t>13</w:t>
            </w:r>
            <w:r w:rsidR="00D21A7C" w:rsidRPr="00536DAC">
              <w:rPr>
                <w:rFonts w:ascii="Times New Roman" w:hAnsi="Times New Roman" w:cs="Times New Roman"/>
                <w:sz w:val="20"/>
                <w:szCs w:val="20"/>
              </w:rPr>
              <w:t>*</w:t>
            </w:r>
          </w:p>
        </w:tc>
      </w:tr>
      <w:tr w:rsidR="00D21A7C" w:rsidRPr="00536DAC" w14:paraId="1A5BED1B" w14:textId="77777777" w:rsidTr="00536DAC">
        <w:trPr>
          <w:trHeight w:val="288"/>
        </w:trPr>
        <w:tc>
          <w:tcPr>
            <w:tcW w:w="864" w:type="dxa"/>
            <w:vMerge/>
            <w:tcBorders>
              <w:left w:val="double" w:sz="4" w:space="0" w:color="auto"/>
              <w:bottom w:val="double" w:sz="4" w:space="0" w:color="auto"/>
            </w:tcBorders>
            <w:tcMar>
              <w:left w:w="58" w:type="dxa"/>
              <w:right w:w="58" w:type="dxa"/>
            </w:tcMar>
          </w:tcPr>
          <w:p w14:paraId="5F3E4160" w14:textId="77777777" w:rsidR="00D21A7C" w:rsidRPr="00536DAC" w:rsidRDefault="00D21A7C" w:rsidP="00837F9C">
            <w:pPr>
              <w:spacing w:line="276" w:lineRule="auto"/>
              <w:jc w:val="center"/>
              <w:rPr>
                <w:rFonts w:ascii="Times New Roman" w:hAnsi="Times New Roman" w:cs="Times New Roman"/>
                <w:b/>
                <w:sz w:val="20"/>
                <w:szCs w:val="20"/>
              </w:rPr>
            </w:pPr>
          </w:p>
        </w:tc>
        <w:tc>
          <w:tcPr>
            <w:tcW w:w="1551" w:type="dxa"/>
            <w:tcBorders>
              <w:left w:val="double" w:sz="4" w:space="0" w:color="auto"/>
              <w:bottom w:val="double" w:sz="4" w:space="0" w:color="auto"/>
              <w:right w:val="single" w:sz="12" w:space="0" w:color="auto"/>
            </w:tcBorders>
            <w:tcMar>
              <w:left w:w="58" w:type="dxa"/>
              <w:right w:w="58" w:type="dxa"/>
            </w:tcMar>
            <w:vAlign w:val="bottom"/>
          </w:tcPr>
          <w:p w14:paraId="23A77E1D" w14:textId="76ED2753" w:rsidR="00D21A7C" w:rsidRPr="00536DAC" w:rsidRDefault="00D21A7C" w:rsidP="00837F9C">
            <w:pPr>
              <w:spacing w:line="276" w:lineRule="auto"/>
              <w:jc w:val="center"/>
              <w:rPr>
                <w:rFonts w:ascii="Times New Roman" w:hAnsi="Times New Roman" w:cs="Times New Roman"/>
                <w:b/>
                <w:sz w:val="20"/>
                <w:szCs w:val="20"/>
              </w:rPr>
            </w:pPr>
            <w:r w:rsidRPr="00536DAC">
              <w:rPr>
                <w:rFonts w:ascii="Times New Roman" w:hAnsi="Times New Roman" w:cs="Times New Roman"/>
                <w:b/>
                <w:sz w:val="20"/>
                <w:szCs w:val="20"/>
              </w:rPr>
              <w:t xml:space="preserve">Location: </w:t>
            </w:r>
            <w:r w:rsidR="0064226B">
              <w:rPr>
                <w:rFonts w:ascii="Times New Roman" w:hAnsi="Times New Roman" w:cs="Times New Roman"/>
                <w:b/>
                <w:sz w:val="20"/>
                <w:szCs w:val="20"/>
              </w:rPr>
              <w:t xml:space="preserve">Both </w:t>
            </w:r>
            <w:r w:rsidRPr="00536DAC">
              <w:rPr>
                <w:rFonts w:ascii="Times New Roman" w:hAnsi="Times New Roman" w:cs="Times New Roman"/>
                <w:b/>
                <w:sz w:val="20"/>
                <w:szCs w:val="20"/>
              </w:rPr>
              <w:t xml:space="preserve">Home and Third </w:t>
            </w:r>
            <w:r w:rsidR="0064226B">
              <w:rPr>
                <w:rFonts w:ascii="Times New Roman" w:hAnsi="Times New Roman" w:cs="Times New Roman"/>
                <w:b/>
                <w:sz w:val="20"/>
                <w:szCs w:val="20"/>
              </w:rPr>
              <w:t>Location</w:t>
            </w:r>
            <w:r w:rsidRPr="00536DAC">
              <w:rPr>
                <w:rFonts w:ascii="Times New Roman" w:hAnsi="Times New Roman" w:cs="Times New Roman"/>
                <w:sz w:val="20"/>
                <w:szCs w:val="20"/>
              </w:rPr>
              <w:t>**</w:t>
            </w:r>
          </w:p>
        </w:tc>
        <w:tc>
          <w:tcPr>
            <w:tcW w:w="1260" w:type="dxa"/>
            <w:tcBorders>
              <w:left w:val="single" w:sz="12" w:space="0" w:color="auto"/>
              <w:bottom w:val="double" w:sz="4" w:space="0" w:color="auto"/>
            </w:tcBorders>
            <w:tcMar>
              <w:left w:w="58" w:type="dxa"/>
              <w:right w:w="58" w:type="dxa"/>
            </w:tcMar>
            <w:vAlign w:val="center"/>
          </w:tcPr>
          <w:p w14:paraId="6B9DD23C"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260" w:type="dxa"/>
            <w:tcBorders>
              <w:bottom w:val="double" w:sz="4" w:space="0" w:color="auto"/>
            </w:tcBorders>
            <w:tcMar>
              <w:left w:w="58" w:type="dxa"/>
              <w:right w:w="58" w:type="dxa"/>
            </w:tcMar>
            <w:vAlign w:val="center"/>
          </w:tcPr>
          <w:p w14:paraId="20972E60"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bottom w:val="double" w:sz="4" w:space="0" w:color="auto"/>
            </w:tcBorders>
            <w:tcMar>
              <w:left w:w="58" w:type="dxa"/>
              <w:right w:w="58" w:type="dxa"/>
            </w:tcMar>
            <w:vAlign w:val="center"/>
          </w:tcPr>
          <w:p w14:paraId="62DAE5F9"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bottom w:val="double" w:sz="4" w:space="0" w:color="auto"/>
              <w:right w:val="single" w:sz="12" w:space="0" w:color="auto"/>
            </w:tcBorders>
            <w:tcMar>
              <w:left w:w="58" w:type="dxa"/>
              <w:right w:w="58" w:type="dxa"/>
            </w:tcMar>
            <w:vAlign w:val="center"/>
          </w:tcPr>
          <w:p w14:paraId="02B57E24" w14:textId="77777777"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w:t>
            </w:r>
          </w:p>
        </w:tc>
        <w:tc>
          <w:tcPr>
            <w:tcW w:w="1260" w:type="dxa"/>
            <w:tcBorders>
              <w:left w:val="single" w:sz="12" w:space="0" w:color="auto"/>
              <w:bottom w:val="double" w:sz="4" w:space="0" w:color="auto"/>
            </w:tcBorders>
            <w:tcMar>
              <w:left w:w="58" w:type="dxa"/>
              <w:right w:w="58" w:type="dxa"/>
            </w:tcMar>
            <w:vAlign w:val="center"/>
          </w:tcPr>
          <w:p w14:paraId="07B4E826" w14:textId="77777777"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w:t>
            </w:r>
          </w:p>
        </w:tc>
        <w:tc>
          <w:tcPr>
            <w:tcW w:w="1260" w:type="dxa"/>
            <w:tcBorders>
              <w:bottom w:val="double" w:sz="4" w:space="0" w:color="auto"/>
            </w:tcBorders>
            <w:tcMar>
              <w:left w:w="58" w:type="dxa"/>
              <w:right w:w="58" w:type="dxa"/>
            </w:tcMar>
            <w:vAlign w:val="center"/>
          </w:tcPr>
          <w:p w14:paraId="423AAEB5" w14:textId="77777777" w:rsidR="00D21A7C" w:rsidRPr="00536DAC" w:rsidRDefault="00D21A7C" w:rsidP="00837F9C">
            <w:pPr>
              <w:spacing w:line="276" w:lineRule="auto"/>
              <w:jc w:val="center"/>
              <w:rPr>
                <w:rFonts w:ascii="Times New Roman" w:hAnsi="Times New Roman" w:cs="Times New Roman"/>
                <w:bCs/>
                <w:sz w:val="20"/>
                <w:szCs w:val="20"/>
              </w:rPr>
            </w:pPr>
            <w:r w:rsidRPr="00536DAC">
              <w:rPr>
                <w:rFonts w:ascii="Times New Roman" w:hAnsi="Times New Roman" w:cs="Times New Roman"/>
                <w:bCs/>
                <w:sz w:val="20"/>
                <w:szCs w:val="20"/>
              </w:rPr>
              <w:t>-</w:t>
            </w:r>
          </w:p>
        </w:tc>
        <w:tc>
          <w:tcPr>
            <w:tcW w:w="1350" w:type="dxa"/>
            <w:tcBorders>
              <w:bottom w:val="double" w:sz="4" w:space="0" w:color="auto"/>
            </w:tcBorders>
            <w:tcMar>
              <w:left w:w="58" w:type="dxa"/>
              <w:right w:w="58" w:type="dxa"/>
            </w:tcMar>
            <w:vAlign w:val="center"/>
          </w:tcPr>
          <w:p w14:paraId="604D295D" w14:textId="77777777"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w:t>
            </w:r>
          </w:p>
        </w:tc>
        <w:tc>
          <w:tcPr>
            <w:tcW w:w="1350" w:type="dxa"/>
            <w:tcBorders>
              <w:bottom w:val="double" w:sz="4" w:space="0" w:color="auto"/>
              <w:right w:val="double" w:sz="4" w:space="0" w:color="auto"/>
            </w:tcBorders>
            <w:tcMar>
              <w:left w:w="58" w:type="dxa"/>
              <w:right w:w="58" w:type="dxa"/>
            </w:tcMar>
            <w:vAlign w:val="center"/>
          </w:tcPr>
          <w:p w14:paraId="0B38BA9E" w14:textId="1E0EEC26" w:rsidR="00D21A7C" w:rsidRPr="00536DAC" w:rsidRDefault="00D21A7C" w:rsidP="00837F9C">
            <w:pPr>
              <w:spacing w:line="276" w:lineRule="auto"/>
              <w:jc w:val="center"/>
              <w:rPr>
                <w:rFonts w:ascii="Times New Roman" w:hAnsi="Times New Roman" w:cs="Times New Roman"/>
                <w:sz w:val="20"/>
                <w:szCs w:val="20"/>
              </w:rPr>
            </w:pPr>
            <w:r w:rsidRPr="00536DAC">
              <w:rPr>
                <w:rFonts w:ascii="Times New Roman" w:hAnsi="Times New Roman" w:cs="Times New Roman"/>
                <w:sz w:val="20"/>
                <w:szCs w:val="20"/>
              </w:rPr>
              <w:t>1.000</w:t>
            </w:r>
          </w:p>
        </w:tc>
      </w:tr>
    </w:tbl>
    <w:p w14:paraId="6DAE1EBF" w14:textId="6BA20C1E" w:rsidR="00EB1CAC" w:rsidRPr="00536DAC" w:rsidRDefault="00EB1CAC" w:rsidP="00E1729F">
      <w:pPr>
        <w:spacing w:line="276" w:lineRule="auto"/>
        <w:jc w:val="left"/>
        <w:rPr>
          <w:rFonts w:ascii="Times New Roman" w:hAnsi="Times New Roman" w:cs="Times New Roman"/>
          <w:b/>
          <w:sz w:val="24"/>
        </w:rPr>
      </w:pPr>
      <w:r w:rsidRPr="00536DAC">
        <w:rPr>
          <w:rFonts w:ascii="Times New Roman" w:hAnsi="Times New Roman" w:cs="Times New Roman"/>
          <w:b/>
          <w:sz w:val="24"/>
          <w:szCs w:val="20"/>
        </w:rPr>
        <w:t xml:space="preserve">Table 4: </w:t>
      </w:r>
      <w:r w:rsidR="003A4001" w:rsidRPr="00536DAC">
        <w:rPr>
          <w:rFonts w:ascii="Times New Roman" w:hAnsi="Times New Roman" w:cs="Times New Roman"/>
          <w:b/>
          <w:sz w:val="24"/>
          <w:szCs w:val="20"/>
        </w:rPr>
        <w:t xml:space="preserve">Error </w:t>
      </w:r>
      <w:r w:rsidRPr="00536DAC">
        <w:rPr>
          <w:rFonts w:ascii="Times New Roman" w:hAnsi="Times New Roman" w:cs="Times New Roman"/>
          <w:b/>
          <w:sz w:val="24"/>
          <w:szCs w:val="20"/>
        </w:rPr>
        <w:t>Correlation</w:t>
      </w:r>
      <w:r w:rsidR="005B2790" w:rsidRPr="00536DAC">
        <w:rPr>
          <w:rFonts w:ascii="Times New Roman" w:hAnsi="Times New Roman" w:cs="Times New Roman"/>
          <w:b/>
          <w:sz w:val="24"/>
          <w:szCs w:val="20"/>
        </w:rPr>
        <w:t xml:space="preserve"> </w:t>
      </w:r>
      <w:r w:rsidR="005B2790" w:rsidRPr="00536DAC">
        <w:rPr>
          <w:rFonts w:ascii="Times New Roman" w:hAnsi="Times New Roman" w:cs="Times New Roman"/>
          <w:b/>
          <w:sz w:val="24"/>
        </w:rPr>
        <w:t>Matrix of Dimensions</w:t>
      </w:r>
    </w:p>
    <w:p w14:paraId="5AFF28E7" w14:textId="7A4C9A3A" w:rsidR="000F0533" w:rsidRPr="00167EAB" w:rsidRDefault="00E84666" w:rsidP="00536DAC">
      <w:pPr>
        <w:spacing w:before="120" w:after="0" w:line="276" w:lineRule="auto"/>
        <w:jc w:val="left"/>
        <w:rPr>
          <w:rFonts w:ascii="Times New Roman" w:hAnsi="Times New Roman" w:cs="Times New Roman"/>
          <w:b/>
          <w:sz w:val="20"/>
          <w:szCs w:val="24"/>
        </w:rPr>
      </w:pPr>
      <w:r w:rsidRPr="00536DAC">
        <w:rPr>
          <w:rFonts w:ascii="Times New Roman" w:hAnsi="Times New Roman" w:cs="Times New Roman"/>
          <w:sz w:val="20"/>
          <w:szCs w:val="24"/>
        </w:rPr>
        <w:t>*</w:t>
      </w:r>
      <w:r w:rsidR="00AE2CD6" w:rsidRPr="00536DAC">
        <w:rPr>
          <w:rFonts w:ascii="Times New Roman" w:hAnsi="Times New Roman" w:cs="Times New Roman"/>
          <w:sz w:val="20"/>
          <w:szCs w:val="24"/>
        </w:rPr>
        <w:t>Significant at 85% confidence level</w:t>
      </w:r>
      <w:r w:rsidR="008A2A0F" w:rsidRPr="008A2A0F">
        <w:rPr>
          <w:rFonts w:ascii="Times New Roman" w:hAnsi="Times New Roman" w:cs="Times New Roman"/>
          <w:sz w:val="20"/>
          <w:szCs w:val="24"/>
        </w:rPr>
        <w:t xml:space="preserve">; </w:t>
      </w:r>
      <w:r w:rsidR="008A2A0F" w:rsidRPr="00167EAB">
        <w:rPr>
          <w:rFonts w:ascii="Times New Roman" w:hAnsi="Times New Roman" w:cs="Times New Roman"/>
          <w:sz w:val="20"/>
          <w:szCs w:val="24"/>
        </w:rPr>
        <w:t xml:space="preserve">other non-zero correlation terms without an asterisk are </w:t>
      </w:r>
      <w:r w:rsidR="008A2A0F">
        <w:rPr>
          <w:rFonts w:ascii="Times New Roman" w:hAnsi="Times New Roman" w:cs="Times New Roman"/>
          <w:sz w:val="20"/>
          <w:szCs w:val="24"/>
        </w:rPr>
        <w:t xml:space="preserve">statistically </w:t>
      </w:r>
      <w:r w:rsidR="008A2A0F" w:rsidRPr="00167EAB">
        <w:rPr>
          <w:rFonts w:ascii="Times New Roman" w:hAnsi="Times New Roman" w:cs="Times New Roman"/>
          <w:sz w:val="20"/>
          <w:szCs w:val="24"/>
        </w:rPr>
        <w:t>significant at the 68% confidence level.</w:t>
      </w:r>
      <w:r w:rsidR="008A2A0F" w:rsidRPr="00357313">
        <w:rPr>
          <w:rFonts w:ascii="Times New Roman" w:hAnsi="Times New Roman" w:cs="Times New Roman"/>
          <w:b/>
          <w:sz w:val="20"/>
          <w:szCs w:val="24"/>
        </w:rPr>
        <w:t xml:space="preserve"> </w:t>
      </w:r>
    </w:p>
    <w:p w14:paraId="7CFC046D" w14:textId="77777777" w:rsidR="00AE2CD6" w:rsidRDefault="00AE2CD6" w:rsidP="00194389">
      <w:pPr>
        <w:spacing w:after="0" w:line="276" w:lineRule="auto"/>
        <w:jc w:val="left"/>
        <w:rPr>
          <w:rFonts w:ascii="Times New Roman" w:hAnsi="Times New Roman" w:cs="Times New Roman"/>
          <w:bCs/>
          <w:sz w:val="20"/>
          <w:szCs w:val="24"/>
        </w:rPr>
      </w:pPr>
      <w:r w:rsidRPr="00536DAC">
        <w:rPr>
          <w:rFonts w:ascii="Times New Roman" w:hAnsi="Times New Roman" w:cs="Times New Roman"/>
          <w:bCs/>
          <w:sz w:val="20"/>
          <w:szCs w:val="24"/>
        </w:rPr>
        <w:t>*</w:t>
      </w:r>
      <w:r w:rsidR="00E84666" w:rsidRPr="00536DAC">
        <w:rPr>
          <w:rFonts w:ascii="Times New Roman" w:hAnsi="Times New Roman" w:cs="Times New Roman"/>
          <w:bCs/>
          <w:sz w:val="20"/>
          <w:szCs w:val="24"/>
        </w:rPr>
        <w:t>*</w:t>
      </w:r>
      <w:r w:rsidRPr="00536DAC">
        <w:rPr>
          <w:rFonts w:ascii="Times New Roman" w:hAnsi="Times New Roman" w:cs="Times New Roman"/>
          <w:bCs/>
          <w:sz w:val="20"/>
          <w:szCs w:val="24"/>
        </w:rPr>
        <w:t>With respect to the base category “Location: Home”</w:t>
      </w:r>
    </w:p>
    <w:p w14:paraId="3C369EDF" w14:textId="2213226E" w:rsidR="007C2476" w:rsidRPr="00194389" w:rsidRDefault="007C2476" w:rsidP="00AE2CD6">
      <w:pPr>
        <w:spacing w:line="276" w:lineRule="auto"/>
        <w:jc w:val="left"/>
        <w:rPr>
          <w:rFonts w:ascii="Times New Roman" w:hAnsi="Times New Roman" w:cs="Times New Roman"/>
          <w:bCs/>
          <w:sz w:val="20"/>
          <w:szCs w:val="24"/>
        </w:rPr>
        <w:sectPr w:rsidR="007C2476" w:rsidRPr="00194389" w:rsidSect="00E1729F">
          <w:pgSz w:w="15840" w:h="12240" w:orient="landscape" w:code="1"/>
          <w:pgMar w:top="1440" w:right="1440" w:bottom="1440" w:left="1440" w:header="720" w:footer="720" w:gutter="0"/>
          <w:cols w:space="720"/>
          <w:docGrid w:linePitch="360"/>
        </w:sectPr>
      </w:pPr>
      <w:r>
        <w:rPr>
          <w:rFonts w:ascii="Times New Roman" w:hAnsi="Times New Roman" w:cs="Times New Roman"/>
          <w:b/>
          <w:sz w:val="20"/>
          <w:szCs w:val="24"/>
        </w:rPr>
        <w:t>***</w:t>
      </w:r>
      <w:r>
        <w:rPr>
          <w:rFonts w:ascii="Times New Roman" w:hAnsi="Times New Roman" w:cs="Times New Roman"/>
          <w:bCs/>
          <w:sz w:val="20"/>
          <w:szCs w:val="24"/>
        </w:rPr>
        <w:t>Fixed/Not Estimated</w:t>
      </w:r>
    </w:p>
    <w:p w14:paraId="10CDE0F3" w14:textId="2556BF75" w:rsidR="00731E2C" w:rsidRDefault="00A03376" w:rsidP="00731E2C">
      <w:pPr>
        <w:pStyle w:val="Heading1"/>
        <w:numPr>
          <w:ilvl w:val="0"/>
          <w:numId w:val="0"/>
        </w:numPr>
        <w:ind w:left="360" w:hanging="360"/>
      </w:pPr>
      <w:r>
        <w:lastRenderedPageBreak/>
        <w:t>5</w:t>
      </w:r>
      <w:r w:rsidR="00731E2C">
        <w:t xml:space="preserve">.5 </w:t>
      </w:r>
      <w:r w:rsidR="00731E2C" w:rsidRPr="00731E2C">
        <w:t>Model Goodness of Fit</w:t>
      </w:r>
    </w:p>
    <w:p w14:paraId="5F02F5F3" w14:textId="686855E1" w:rsidR="00833777" w:rsidRDefault="00697DE3" w:rsidP="00A15909">
      <w:pPr>
        <w:spacing w:after="0" w:line="276" w:lineRule="auto"/>
        <w:rPr>
          <w:rFonts w:ascii="Times New Roman" w:hAnsi="Times New Roman" w:cs="Times New Roman"/>
          <w:sz w:val="24"/>
          <w:szCs w:val="24"/>
        </w:rPr>
      </w:pPr>
      <w:r w:rsidRPr="000D4FD3">
        <w:rPr>
          <w:rFonts w:ascii="Times New Roman" w:hAnsi="Times New Roman" w:cs="Times New Roman"/>
          <w:sz w:val="24"/>
          <w:szCs w:val="24"/>
        </w:rPr>
        <w:t xml:space="preserve">The joint model used in modeling the </w:t>
      </w:r>
      <w:r>
        <w:rPr>
          <w:rFonts w:ascii="Times New Roman" w:hAnsi="Times New Roman" w:cs="Times New Roman"/>
          <w:sz w:val="24"/>
          <w:szCs w:val="24"/>
        </w:rPr>
        <w:t>adoption, frequency and workplace location of teleworking</w:t>
      </w:r>
      <w:r w:rsidRPr="000D4FD3">
        <w:rPr>
          <w:rFonts w:ascii="Times New Roman" w:hAnsi="Times New Roman" w:cs="Times New Roman"/>
          <w:sz w:val="24"/>
          <w:szCs w:val="24"/>
        </w:rPr>
        <w:t xml:space="preserve"> provides important insights on the different factors influencing individuals</w:t>
      </w:r>
      <w:r>
        <w:rPr>
          <w:rFonts w:ascii="Times New Roman" w:hAnsi="Times New Roman" w:cs="Times New Roman"/>
          <w:sz w:val="24"/>
          <w:szCs w:val="24"/>
        </w:rPr>
        <w:t>’ telework</w:t>
      </w:r>
      <w:r w:rsidRPr="000D4FD3">
        <w:rPr>
          <w:rFonts w:ascii="Times New Roman" w:hAnsi="Times New Roman" w:cs="Times New Roman"/>
          <w:sz w:val="24"/>
          <w:szCs w:val="24"/>
        </w:rPr>
        <w:t xml:space="preserve"> preferences. But it is also important to consider the data fit provided by such a model relative to a naïve independent model </w:t>
      </w:r>
      <w:bookmarkStart w:id="15" w:name="_Hlk142500121"/>
      <w:r w:rsidRPr="000D4FD3">
        <w:rPr>
          <w:rFonts w:ascii="Times New Roman" w:hAnsi="Times New Roman" w:cs="Times New Roman"/>
          <w:sz w:val="24"/>
          <w:szCs w:val="24"/>
        </w:rPr>
        <w:t>that ignores jointness (</w:t>
      </w:r>
      <w:r w:rsidR="00867869">
        <w:rPr>
          <w:rFonts w:ascii="Times New Roman" w:hAnsi="Times New Roman" w:cs="Times New Roman"/>
          <w:sz w:val="24"/>
          <w:szCs w:val="24"/>
        </w:rPr>
        <w:t xml:space="preserve">or, </w:t>
      </w:r>
      <w:r w:rsidRPr="000D4FD3">
        <w:rPr>
          <w:rFonts w:ascii="Times New Roman" w:hAnsi="Times New Roman" w:cs="Times New Roman"/>
          <w:sz w:val="24"/>
          <w:szCs w:val="24"/>
        </w:rPr>
        <w:t>the correlations) among the three dimensions</w:t>
      </w:r>
      <w:r w:rsidR="00867869">
        <w:rPr>
          <w:rFonts w:ascii="Times New Roman" w:hAnsi="Times New Roman" w:cs="Times New Roman"/>
          <w:sz w:val="24"/>
          <w:szCs w:val="24"/>
        </w:rPr>
        <w:t>, i.e., the</w:t>
      </w:r>
      <w:r w:rsidR="00867869" w:rsidRPr="00D719D6">
        <w:rPr>
          <w:rFonts w:ascii="Times New Roman" w:hAnsi="Times New Roman" w:cs="Times New Roman"/>
          <w:position w:val="-4"/>
          <w:sz w:val="24"/>
          <w:szCs w:val="24"/>
        </w:rPr>
        <w:object w:dxaOrig="240" w:dyaOrig="260" w14:anchorId="02727176">
          <v:shape id="_x0000_i1137" type="#_x0000_t75" style="width:11.85pt;height:12.8pt" o:ole="">
            <v:imagedata r:id="rId156" o:title=""/>
          </v:shape>
          <o:OLEObject Type="Embed" ProgID="Equation.DSMT4" ShapeID="_x0000_i1137" DrawAspect="Content" ObjectID="_1764157452" r:id="rId222"/>
        </w:object>
      </w:r>
      <w:r w:rsidR="00867869">
        <w:rPr>
          <w:rFonts w:ascii="Times New Roman" w:hAnsi="Times New Roman" w:cs="Times New Roman"/>
          <w:sz w:val="24"/>
          <w:szCs w:val="24"/>
        </w:rPr>
        <w:t xml:space="preserve"> correlation matrix is assumed to be an identity matrix</w:t>
      </w:r>
      <w:bookmarkEnd w:id="15"/>
      <w:r w:rsidR="00C66B84">
        <w:rPr>
          <w:rStyle w:val="FootnoteReference"/>
          <w:rFonts w:ascii="Times New Roman" w:hAnsi="Times New Roman" w:cs="Times New Roman"/>
          <w:sz w:val="24"/>
          <w:szCs w:val="24"/>
        </w:rPr>
        <w:footnoteReference w:id="12"/>
      </w:r>
      <w:r w:rsidRPr="000D4FD3">
        <w:rPr>
          <w:rFonts w:ascii="Times New Roman" w:hAnsi="Times New Roman" w:cs="Times New Roman"/>
          <w:sz w:val="24"/>
          <w:szCs w:val="24"/>
        </w:rPr>
        <w:t xml:space="preserve">. The two models can be compared using a simple nested likelihood ratio test because the independent model is a nested (and restricted) version of our proposed joint model. We also evaluate the data fit of the joint and the independent models intuitively and informally at both the disaggregate and aggregate levels. At the disaggregate level, for the joint model, we compute an average (across individuals) probability of correct prediction of the </w:t>
      </w:r>
      <w:r w:rsidR="009321D3">
        <w:rPr>
          <w:rFonts w:ascii="Times New Roman" w:hAnsi="Times New Roman" w:cs="Times New Roman"/>
          <w:sz w:val="24"/>
          <w:szCs w:val="24"/>
        </w:rPr>
        <w:t>observed adoption, frequency and workplace location choice combination</w:t>
      </w:r>
      <w:r w:rsidRPr="000D4FD3">
        <w:rPr>
          <w:rFonts w:ascii="Times New Roman" w:hAnsi="Times New Roman" w:cs="Times New Roman"/>
          <w:sz w:val="24"/>
          <w:szCs w:val="24"/>
        </w:rPr>
        <w:t xml:space="preserve">. A similar disaggregate measure is computed for the independent model. At the aggregate level, </w:t>
      </w:r>
      <w:r w:rsidR="007F6262">
        <w:rPr>
          <w:rFonts w:ascii="Times New Roman" w:hAnsi="Times New Roman" w:cs="Times New Roman"/>
          <w:sz w:val="24"/>
          <w:szCs w:val="24"/>
        </w:rPr>
        <w:t>w</w:t>
      </w:r>
      <w:r w:rsidR="00C50D80">
        <w:rPr>
          <w:rFonts w:ascii="Times New Roman" w:hAnsi="Times New Roman" w:cs="Times New Roman"/>
          <w:sz w:val="24"/>
          <w:szCs w:val="24"/>
        </w:rPr>
        <w:t xml:space="preserve">e </w:t>
      </w:r>
      <w:r w:rsidRPr="000D4FD3">
        <w:rPr>
          <w:rFonts w:ascii="Times New Roman" w:hAnsi="Times New Roman" w:cs="Times New Roman"/>
          <w:sz w:val="24"/>
          <w:szCs w:val="24"/>
        </w:rPr>
        <w:t xml:space="preserve">first compute, at the individual level, the multivariate probability prediction </w:t>
      </w:r>
      <w:r w:rsidR="007F6262">
        <w:rPr>
          <w:rFonts w:ascii="Times New Roman" w:hAnsi="Times New Roman" w:cs="Times New Roman"/>
          <w:sz w:val="24"/>
          <w:szCs w:val="24"/>
        </w:rPr>
        <w:t xml:space="preserve">at each time period </w:t>
      </w:r>
      <w:r w:rsidRPr="000D4FD3">
        <w:rPr>
          <w:rFonts w:ascii="Times New Roman" w:hAnsi="Times New Roman" w:cs="Times New Roman"/>
          <w:sz w:val="24"/>
          <w:szCs w:val="24"/>
        </w:rPr>
        <w:t xml:space="preserve">for each of the </w:t>
      </w:r>
      <w:r w:rsidR="00C50D80">
        <w:rPr>
          <w:rFonts w:ascii="Times New Roman" w:hAnsi="Times New Roman" w:cs="Times New Roman"/>
          <w:sz w:val="24"/>
          <w:szCs w:val="24"/>
        </w:rPr>
        <w:t>13</w:t>
      </w:r>
      <w:r w:rsidRPr="000D4FD3">
        <w:rPr>
          <w:rFonts w:ascii="Times New Roman" w:hAnsi="Times New Roman" w:cs="Times New Roman"/>
          <w:sz w:val="24"/>
          <w:szCs w:val="24"/>
        </w:rPr>
        <w:t xml:space="preserve"> multivariate combination outcomes of the three </w:t>
      </w:r>
      <w:r w:rsidR="00C50D80">
        <w:rPr>
          <w:rFonts w:ascii="Times New Roman" w:hAnsi="Times New Roman" w:cs="Times New Roman"/>
          <w:sz w:val="24"/>
          <w:szCs w:val="24"/>
        </w:rPr>
        <w:t>dimensions</w:t>
      </w:r>
      <w:r w:rsidRPr="000D4FD3">
        <w:rPr>
          <w:rFonts w:ascii="Times New Roman" w:hAnsi="Times New Roman" w:cs="Times New Roman"/>
          <w:sz w:val="24"/>
          <w:szCs w:val="24"/>
        </w:rPr>
        <w:t xml:space="preserve"> of </w:t>
      </w:r>
      <w:r w:rsidR="00C50D80">
        <w:rPr>
          <w:rFonts w:ascii="Times New Roman" w:hAnsi="Times New Roman" w:cs="Times New Roman"/>
          <w:sz w:val="24"/>
          <w:szCs w:val="24"/>
        </w:rPr>
        <w:t xml:space="preserve">adoption, frequency, and </w:t>
      </w:r>
      <w:r w:rsidR="005D7357">
        <w:rPr>
          <w:rFonts w:ascii="Times New Roman" w:hAnsi="Times New Roman" w:cs="Times New Roman"/>
          <w:sz w:val="24"/>
          <w:szCs w:val="24"/>
        </w:rPr>
        <w:t>telework</w:t>
      </w:r>
      <w:r w:rsidR="00C50D80">
        <w:rPr>
          <w:rFonts w:ascii="Times New Roman" w:hAnsi="Times New Roman" w:cs="Times New Roman"/>
          <w:sz w:val="24"/>
          <w:szCs w:val="24"/>
        </w:rPr>
        <w:t xml:space="preserve"> location choice (see Table 6 for the combination list);</w:t>
      </w:r>
      <w:r w:rsidRPr="000D4FD3">
        <w:rPr>
          <w:rFonts w:ascii="Times New Roman" w:hAnsi="Times New Roman" w:cs="Times New Roman"/>
          <w:sz w:val="24"/>
          <w:szCs w:val="24"/>
        </w:rPr>
        <w:t xml:space="preserve"> </w:t>
      </w:r>
      <w:r w:rsidR="00C50D80">
        <w:rPr>
          <w:rFonts w:ascii="Times New Roman" w:hAnsi="Times New Roman" w:cs="Times New Roman"/>
          <w:sz w:val="24"/>
          <w:szCs w:val="24"/>
        </w:rPr>
        <w:t>t</w:t>
      </w:r>
      <w:r w:rsidRPr="000D4FD3">
        <w:rPr>
          <w:rFonts w:ascii="Times New Roman" w:hAnsi="Times New Roman" w:cs="Times New Roman"/>
          <w:sz w:val="24"/>
          <w:szCs w:val="24"/>
        </w:rPr>
        <w:t xml:space="preserve">hen, we can aggregate these </w:t>
      </w:r>
      <w:r w:rsidR="00C50D80">
        <w:rPr>
          <w:rFonts w:ascii="Times New Roman" w:hAnsi="Times New Roman" w:cs="Times New Roman"/>
          <w:sz w:val="24"/>
          <w:szCs w:val="24"/>
        </w:rPr>
        <w:t xml:space="preserve">probability predictions </w:t>
      </w:r>
      <w:r w:rsidRPr="000D4FD3">
        <w:rPr>
          <w:rFonts w:ascii="Times New Roman" w:hAnsi="Times New Roman" w:cs="Times New Roman"/>
          <w:sz w:val="24"/>
          <w:szCs w:val="24"/>
        </w:rPr>
        <w:t xml:space="preserve">across individuals for each of the </w:t>
      </w:r>
      <w:r w:rsidR="00C50D80">
        <w:rPr>
          <w:rFonts w:ascii="Times New Roman" w:hAnsi="Times New Roman" w:cs="Times New Roman"/>
          <w:sz w:val="24"/>
          <w:szCs w:val="24"/>
        </w:rPr>
        <w:t>13</w:t>
      </w:r>
      <w:r w:rsidRPr="000D4FD3">
        <w:rPr>
          <w:rFonts w:ascii="Times New Roman" w:hAnsi="Times New Roman" w:cs="Times New Roman"/>
          <w:sz w:val="24"/>
          <w:szCs w:val="24"/>
        </w:rPr>
        <w:t xml:space="preserve"> combinations and compare our model-predicted aggregate values with the actual number of individuals in each of these combinations. We then compare the observed and model-predicted numbers of individuals in each of the resulting </w:t>
      </w:r>
      <w:r w:rsidR="009321D3">
        <w:rPr>
          <w:rFonts w:ascii="Times New Roman" w:hAnsi="Times New Roman" w:cs="Times New Roman"/>
          <w:sz w:val="24"/>
          <w:szCs w:val="24"/>
        </w:rPr>
        <w:t>13</w:t>
      </w:r>
      <w:r w:rsidRPr="000D4FD3">
        <w:rPr>
          <w:rFonts w:ascii="Times New Roman" w:hAnsi="Times New Roman" w:cs="Times New Roman"/>
          <w:sz w:val="24"/>
          <w:szCs w:val="24"/>
        </w:rPr>
        <w:t xml:space="preserve"> combination bins, to compute a weighted</w:t>
      </w:r>
      <w:r w:rsidR="009321D3">
        <w:rPr>
          <w:rFonts w:ascii="Times New Roman" w:hAnsi="Times New Roman" w:cs="Times New Roman"/>
          <w:sz w:val="24"/>
          <w:szCs w:val="24"/>
        </w:rPr>
        <w:t xml:space="preserve"> </w:t>
      </w:r>
      <w:r w:rsidRPr="000D4FD3">
        <w:rPr>
          <w:rFonts w:ascii="Times New Roman" w:hAnsi="Times New Roman" w:cs="Times New Roman"/>
          <w:sz w:val="24"/>
          <w:szCs w:val="24"/>
        </w:rPr>
        <w:t xml:space="preserve">absolute percentage error (WAPE) value (the weighting here is based on the actual observed share of individuals in each of the </w:t>
      </w:r>
      <w:r w:rsidR="009321D3">
        <w:rPr>
          <w:rFonts w:ascii="Times New Roman" w:hAnsi="Times New Roman" w:cs="Times New Roman"/>
          <w:sz w:val="24"/>
          <w:szCs w:val="24"/>
        </w:rPr>
        <w:t>13</w:t>
      </w:r>
      <w:r w:rsidRPr="000D4FD3">
        <w:rPr>
          <w:rFonts w:ascii="Times New Roman" w:hAnsi="Times New Roman" w:cs="Times New Roman"/>
          <w:sz w:val="24"/>
          <w:szCs w:val="24"/>
        </w:rPr>
        <w:t xml:space="preserve"> combination bins). </w:t>
      </w:r>
    </w:p>
    <w:p w14:paraId="534F6A5E" w14:textId="3D9D7CDE" w:rsidR="00D94432" w:rsidRDefault="00697DE3" w:rsidP="00A15909">
      <w:pPr>
        <w:spacing w:after="0" w:line="276" w:lineRule="auto"/>
        <w:ind w:firstLine="720"/>
        <w:rPr>
          <w:rFonts w:ascii="Times New Roman" w:hAnsi="Times New Roman" w:cs="Times New Roman"/>
          <w:sz w:val="24"/>
          <w:szCs w:val="24"/>
        </w:rPr>
      </w:pPr>
      <w:r w:rsidRPr="000D4FD3">
        <w:rPr>
          <w:rFonts w:ascii="Times New Roman" w:hAnsi="Times New Roman" w:cs="Times New Roman"/>
          <w:sz w:val="24"/>
          <w:szCs w:val="24"/>
        </w:rPr>
        <w:t xml:space="preserve">The results of the </w:t>
      </w:r>
      <w:r w:rsidR="00C50D80">
        <w:rPr>
          <w:rFonts w:ascii="Times New Roman" w:hAnsi="Times New Roman" w:cs="Times New Roman"/>
          <w:sz w:val="24"/>
          <w:szCs w:val="24"/>
        </w:rPr>
        <w:t xml:space="preserve">disaggregate </w:t>
      </w:r>
      <w:r w:rsidRPr="000D4FD3">
        <w:rPr>
          <w:rFonts w:ascii="Times New Roman" w:hAnsi="Times New Roman" w:cs="Times New Roman"/>
          <w:sz w:val="24"/>
          <w:szCs w:val="24"/>
        </w:rPr>
        <w:t xml:space="preserve">data fit evaluations are provided in Table </w:t>
      </w:r>
      <w:r w:rsidR="00C50D80">
        <w:rPr>
          <w:rFonts w:ascii="Times New Roman" w:hAnsi="Times New Roman" w:cs="Times New Roman"/>
          <w:sz w:val="24"/>
          <w:szCs w:val="24"/>
        </w:rPr>
        <w:t>5, wh</w:t>
      </w:r>
      <w:r w:rsidR="007F6262">
        <w:rPr>
          <w:rFonts w:ascii="Times New Roman" w:hAnsi="Times New Roman" w:cs="Times New Roman"/>
          <w:sz w:val="24"/>
          <w:szCs w:val="24"/>
        </w:rPr>
        <w:t>ile</w:t>
      </w:r>
      <w:r w:rsidR="00C50D80">
        <w:rPr>
          <w:rFonts w:ascii="Times New Roman" w:hAnsi="Times New Roman" w:cs="Times New Roman"/>
          <w:sz w:val="24"/>
          <w:szCs w:val="24"/>
        </w:rPr>
        <w:t xml:space="preserve"> the result of the aggregate data fit evaluations </w:t>
      </w:r>
      <w:r w:rsidR="007F6262">
        <w:rPr>
          <w:rFonts w:ascii="Times New Roman" w:hAnsi="Times New Roman" w:cs="Times New Roman"/>
          <w:sz w:val="24"/>
          <w:szCs w:val="24"/>
        </w:rPr>
        <w:t xml:space="preserve">(across both the </w:t>
      </w:r>
      <w:r w:rsidR="007F6262" w:rsidRPr="00B44AB6">
        <w:rPr>
          <w:rFonts w:ascii="Times New Roman" w:hAnsi="Times New Roman" w:cs="Times New Roman"/>
          <w:i/>
          <w:sz w:val="24"/>
          <w:szCs w:val="24"/>
        </w:rPr>
        <w:t>Before</w:t>
      </w:r>
      <w:r w:rsidR="007F6262">
        <w:rPr>
          <w:rFonts w:ascii="Times New Roman" w:hAnsi="Times New Roman" w:cs="Times New Roman"/>
          <w:sz w:val="24"/>
          <w:szCs w:val="24"/>
        </w:rPr>
        <w:t xml:space="preserve"> and </w:t>
      </w:r>
      <w:r w:rsidR="007F6262" w:rsidRPr="00B44AB6">
        <w:rPr>
          <w:rFonts w:ascii="Times New Roman" w:hAnsi="Times New Roman" w:cs="Times New Roman"/>
          <w:i/>
          <w:sz w:val="24"/>
          <w:szCs w:val="24"/>
        </w:rPr>
        <w:t>After</w:t>
      </w:r>
      <w:r w:rsidR="007F6262">
        <w:rPr>
          <w:rFonts w:ascii="Times New Roman" w:hAnsi="Times New Roman" w:cs="Times New Roman"/>
          <w:sz w:val="24"/>
          <w:szCs w:val="24"/>
        </w:rPr>
        <w:t xml:space="preserve"> COVID periods) </w:t>
      </w:r>
      <w:r w:rsidR="00C50D80">
        <w:rPr>
          <w:rFonts w:ascii="Times New Roman" w:hAnsi="Times New Roman" w:cs="Times New Roman"/>
          <w:sz w:val="24"/>
          <w:szCs w:val="24"/>
        </w:rPr>
        <w:t>are provided in Table 6</w:t>
      </w:r>
      <w:r w:rsidRPr="000D4FD3">
        <w:rPr>
          <w:rFonts w:ascii="Times New Roman" w:hAnsi="Times New Roman" w:cs="Times New Roman"/>
          <w:sz w:val="24"/>
          <w:szCs w:val="24"/>
        </w:rPr>
        <w:t xml:space="preserve">. The average probability of correct prediction from the joint model indicate </w:t>
      </w:r>
      <w:r w:rsidR="00C50D80">
        <w:rPr>
          <w:rFonts w:ascii="Times New Roman" w:hAnsi="Times New Roman" w:cs="Times New Roman"/>
          <w:sz w:val="24"/>
          <w:szCs w:val="24"/>
        </w:rPr>
        <w:t xml:space="preserve">a </w:t>
      </w:r>
      <w:r w:rsidRPr="000D4FD3">
        <w:rPr>
          <w:rFonts w:ascii="Times New Roman" w:hAnsi="Times New Roman" w:cs="Times New Roman"/>
          <w:sz w:val="24"/>
          <w:szCs w:val="24"/>
        </w:rPr>
        <w:t>better fit relative to the independent model (</w:t>
      </w:r>
      <w:r w:rsidR="007F6262">
        <w:rPr>
          <w:rFonts w:ascii="Times New Roman" w:hAnsi="Times New Roman" w:cs="Times New Roman"/>
          <w:sz w:val="24"/>
          <w:szCs w:val="24"/>
        </w:rPr>
        <w:t xml:space="preserve">0.389 in the joint model relative to 0.361 for the independent model; </w:t>
      </w:r>
      <w:r w:rsidRPr="000D4FD3">
        <w:rPr>
          <w:rFonts w:ascii="Times New Roman" w:hAnsi="Times New Roman" w:cs="Times New Roman"/>
          <w:sz w:val="24"/>
          <w:szCs w:val="24"/>
        </w:rPr>
        <w:t xml:space="preserve">see </w:t>
      </w:r>
      <w:r w:rsidR="007F6262">
        <w:rPr>
          <w:rFonts w:ascii="Times New Roman" w:hAnsi="Times New Roman" w:cs="Times New Roman"/>
          <w:sz w:val="24"/>
          <w:szCs w:val="24"/>
        </w:rPr>
        <w:t xml:space="preserve">the penultimate row of </w:t>
      </w:r>
      <w:r w:rsidR="00C50D80">
        <w:rPr>
          <w:rFonts w:ascii="Times New Roman" w:hAnsi="Times New Roman" w:cs="Times New Roman"/>
          <w:sz w:val="24"/>
          <w:szCs w:val="24"/>
        </w:rPr>
        <w:t>Table 5</w:t>
      </w:r>
      <w:r w:rsidRPr="000D4FD3">
        <w:rPr>
          <w:rFonts w:ascii="Times New Roman" w:hAnsi="Times New Roman" w:cs="Times New Roman"/>
          <w:sz w:val="24"/>
          <w:szCs w:val="24"/>
        </w:rPr>
        <w:t xml:space="preserve">). </w:t>
      </w:r>
      <w:r w:rsidR="007F6262">
        <w:rPr>
          <w:rFonts w:ascii="Times New Roman" w:hAnsi="Times New Roman" w:cs="Times New Roman"/>
          <w:sz w:val="24"/>
          <w:szCs w:val="24"/>
        </w:rPr>
        <w:t xml:space="preserve">The joint model also clearly rejects the independent model at any reasonable level of statistical significance, as can be observed from the likelihood ratio test result presented in the final row of Table 5. </w:t>
      </w:r>
      <w:r w:rsidRPr="000D4FD3">
        <w:rPr>
          <w:rFonts w:ascii="Times New Roman" w:hAnsi="Times New Roman" w:cs="Times New Roman"/>
          <w:sz w:val="24"/>
          <w:szCs w:val="24"/>
        </w:rPr>
        <w:t xml:space="preserve">In terms of aggregate data fit too (see </w:t>
      </w:r>
      <w:r w:rsidR="00C50D80">
        <w:rPr>
          <w:rFonts w:ascii="Times New Roman" w:hAnsi="Times New Roman" w:cs="Times New Roman"/>
          <w:sz w:val="24"/>
          <w:szCs w:val="24"/>
        </w:rPr>
        <w:t>Table 6</w:t>
      </w:r>
      <w:r w:rsidRPr="000D4FD3">
        <w:rPr>
          <w:rFonts w:ascii="Times New Roman" w:hAnsi="Times New Roman" w:cs="Times New Roman"/>
          <w:sz w:val="24"/>
          <w:szCs w:val="24"/>
        </w:rPr>
        <w:t xml:space="preserve">), the numbers predicted by the joint model are better than those predicted by the independent model. Overall, across the </w:t>
      </w:r>
      <w:r w:rsidR="00C50D80">
        <w:rPr>
          <w:rFonts w:ascii="Times New Roman" w:hAnsi="Times New Roman" w:cs="Times New Roman"/>
          <w:sz w:val="24"/>
          <w:szCs w:val="24"/>
        </w:rPr>
        <w:t>13</w:t>
      </w:r>
      <w:r w:rsidRPr="000D4FD3">
        <w:rPr>
          <w:rFonts w:ascii="Times New Roman" w:hAnsi="Times New Roman" w:cs="Times New Roman"/>
          <w:sz w:val="24"/>
          <w:szCs w:val="24"/>
        </w:rPr>
        <w:t xml:space="preserve"> combinations, the weighted average (weighted on the observed shares) of the absolute percentage error is </w:t>
      </w:r>
      <w:r w:rsidR="00C50D80">
        <w:rPr>
          <w:rFonts w:ascii="Times New Roman" w:hAnsi="Times New Roman" w:cs="Times New Roman"/>
          <w:sz w:val="24"/>
          <w:szCs w:val="24"/>
        </w:rPr>
        <w:t>1.94</w:t>
      </w:r>
      <w:r w:rsidRPr="000D4FD3">
        <w:rPr>
          <w:rFonts w:ascii="Times New Roman" w:hAnsi="Times New Roman" w:cs="Times New Roman"/>
          <w:sz w:val="24"/>
          <w:szCs w:val="24"/>
        </w:rPr>
        <w:t xml:space="preserve">% for the joint model and </w:t>
      </w:r>
      <w:r w:rsidR="00C50D80">
        <w:rPr>
          <w:rFonts w:ascii="Times New Roman" w:hAnsi="Times New Roman" w:cs="Times New Roman"/>
          <w:sz w:val="24"/>
          <w:szCs w:val="24"/>
        </w:rPr>
        <w:t>3.67</w:t>
      </w:r>
      <w:r w:rsidRPr="000D4FD3">
        <w:rPr>
          <w:rFonts w:ascii="Times New Roman" w:hAnsi="Times New Roman" w:cs="Times New Roman"/>
          <w:sz w:val="24"/>
          <w:szCs w:val="24"/>
        </w:rPr>
        <w:t>% for the independent model, once again highlighting the superior fit of the joint model.</w:t>
      </w:r>
    </w:p>
    <w:p w14:paraId="32F925CF" w14:textId="77777777" w:rsidR="00D94432" w:rsidRDefault="00D94432">
      <w:pPr>
        <w:jc w:val="left"/>
        <w:rPr>
          <w:rFonts w:ascii="Times New Roman" w:hAnsi="Times New Roman" w:cs="Times New Roman"/>
          <w:sz w:val="24"/>
          <w:szCs w:val="24"/>
        </w:rPr>
      </w:pPr>
      <w:r>
        <w:rPr>
          <w:rFonts w:ascii="Times New Roman" w:hAnsi="Times New Roman" w:cs="Times New Roman"/>
          <w:sz w:val="24"/>
          <w:szCs w:val="24"/>
        </w:rPr>
        <w:br w:type="page"/>
      </w:r>
    </w:p>
    <w:p w14:paraId="686928F5" w14:textId="67BBFC8A" w:rsidR="00C93D0D" w:rsidRPr="00C94F2C" w:rsidRDefault="00C50D80" w:rsidP="00C93D0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Table 5: </w:t>
      </w:r>
      <w:r w:rsidR="00C93D0D" w:rsidRPr="00C94F2C">
        <w:rPr>
          <w:rFonts w:ascii="Times New Roman" w:hAnsi="Times New Roman" w:cs="Times New Roman"/>
          <w:b/>
          <w:sz w:val="24"/>
          <w:szCs w:val="24"/>
        </w:rPr>
        <w:t xml:space="preserve">Disaggregate </w:t>
      </w:r>
      <w:r w:rsidR="00D94432">
        <w:rPr>
          <w:rFonts w:ascii="Times New Roman" w:hAnsi="Times New Roman" w:cs="Times New Roman"/>
          <w:b/>
          <w:sz w:val="24"/>
          <w:szCs w:val="24"/>
        </w:rPr>
        <w:t>F</w:t>
      </w:r>
      <w:r w:rsidR="00C93D0D" w:rsidRPr="00C94F2C">
        <w:rPr>
          <w:rFonts w:ascii="Times New Roman" w:hAnsi="Times New Roman" w:cs="Times New Roman"/>
          <w:b/>
          <w:sz w:val="24"/>
          <w:szCs w:val="24"/>
        </w:rPr>
        <w:t xml:space="preserve">it </w:t>
      </w:r>
      <w:r w:rsidR="00D94432">
        <w:rPr>
          <w:rFonts w:ascii="Times New Roman" w:hAnsi="Times New Roman" w:cs="Times New Roman"/>
          <w:b/>
          <w:sz w:val="24"/>
          <w:szCs w:val="24"/>
        </w:rPr>
        <w:t>M</w:t>
      </w:r>
      <w:r w:rsidR="00C93D0D" w:rsidRPr="00C94F2C">
        <w:rPr>
          <w:rFonts w:ascii="Times New Roman" w:hAnsi="Times New Roman" w:cs="Times New Roman"/>
          <w:b/>
          <w:sz w:val="24"/>
          <w:szCs w:val="24"/>
        </w:rPr>
        <w:t>easures</w:t>
      </w:r>
    </w:p>
    <w:tbl>
      <w:tblPr>
        <w:tblW w:w="5000" w:type="pct"/>
        <w:tblLook w:val="04A0" w:firstRow="1" w:lastRow="0" w:firstColumn="1" w:lastColumn="0" w:noHBand="0" w:noVBand="1"/>
      </w:tblPr>
      <w:tblGrid>
        <w:gridCol w:w="5200"/>
        <w:gridCol w:w="2173"/>
        <w:gridCol w:w="1957"/>
      </w:tblGrid>
      <w:tr w:rsidR="00C93D0D" w:rsidRPr="00C04FA1" w14:paraId="239B5F87" w14:textId="77777777" w:rsidTr="00D94432">
        <w:trPr>
          <w:trHeight w:val="300"/>
        </w:trPr>
        <w:tc>
          <w:tcPr>
            <w:tcW w:w="2741"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5551BB1" w14:textId="77777777" w:rsidR="00C93D0D" w:rsidRPr="00C04FA1" w:rsidRDefault="00C93D0D" w:rsidP="00767F5D">
            <w:pPr>
              <w:spacing w:after="0" w:line="240" w:lineRule="auto"/>
              <w:jc w:val="center"/>
              <w:rPr>
                <w:rFonts w:ascii="Times New Roman" w:eastAsia="Times New Roman" w:hAnsi="Times New Roman" w:cs="Times New Roman"/>
                <w:b/>
                <w:bCs/>
                <w:color w:val="000000"/>
                <w:sz w:val="24"/>
                <w:szCs w:val="24"/>
              </w:rPr>
            </w:pPr>
            <w:r w:rsidRPr="00C04FA1">
              <w:rPr>
                <w:rFonts w:ascii="Times New Roman" w:eastAsia="Times New Roman" w:hAnsi="Times New Roman" w:cs="Times New Roman"/>
                <w:b/>
                <w:bCs/>
                <w:color w:val="000000"/>
                <w:sz w:val="24"/>
                <w:szCs w:val="24"/>
              </w:rPr>
              <w:t>Metric</w:t>
            </w:r>
          </w:p>
        </w:tc>
        <w:tc>
          <w:tcPr>
            <w:tcW w:w="1211" w:type="pct"/>
            <w:tcBorders>
              <w:top w:val="double" w:sz="4" w:space="0" w:color="auto"/>
              <w:left w:val="nil"/>
              <w:bottom w:val="double" w:sz="4" w:space="0" w:color="auto"/>
              <w:right w:val="single" w:sz="4" w:space="0" w:color="auto"/>
            </w:tcBorders>
            <w:shd w:val="clear" w:color="auto" w:fill="auto"/>
            <w:noWrap/>
            <w:vAlign w:val="center"/>
            <w:hideMark/>
          </w:tcPr>
          <w:p w14:paraId="4D14233A" w14:textId="77777777" w:rsidR="00C93D0D" w:rsidRPr="00C04FA1" w:rsidRDefault="00C93D0D" w:rsidP="00767F5D">
            <w:pPr>
              <w:spacing w:after="0" w:line="240" w:lineRule="auto"/>
              <w:jc w:val="center"/>
              <w:rPr>
                <w:rFonts w:ascii="Times New Roman" w:eastAsia="Times New Roman" w:hAnsi="Times New Roman" w:cs="Times New Roman"/>
                <w:b/>
                <w:bCs/>
                <w:color w:val="000000"/>
                <w:sz w:val="24"/>
                <w:szCs w:val="24"/>
              </w:rPr>
            </w:pPr>
            <w:r w:rsidRPr="00C04FA1">
              <w:rPr>
                <w:rFonts w:ascii="Times New Roman" w:eastAsia="Times New Roman" w:hAnsi="Times New Roman" w:cs="Times New Roman"/>
                <w:b/>
                <w:bCs/>
                <w:color w:val="000000"/>
                <w:sz w:val="24"/>
                <w:szCs w:val="24"/>
              </w:rPr>
              <w:t>Proposed Joint model</w:t>
            </w:r>
          </w:p>
        </w:tc>
        <w:tc>
          <w:tcPr>
            <w:tcW w:w="1049" w:type="pct"/>
            <w:tcBorders>
              <w:top w:val="double" w:sz="4" w:space="0" w:color="auto"/>
              <w:left w:val="nil"/>
              <w:bottom w:val="double" w:sz="4" w:space="0" w:color="auto"/>
              <w:right w:val="double" w:sz="4" w:space="0" w:color="auto"/>
            </w:tcBorders>
            <w:shd w:val="clear" w:color="auto" w:fill="auto"/>
            <w:noWrap/>
            <w:vAlign w:val="center"/>
            <w:hideMark/>
          </w:tcPr>
          <w:p w14:paraId="18983E51" w14:textId="77777777" w:rsidR="00C93D0D" w:rsidRPr="00C04FA1" w:rsidRDefault="00C93D0D" w:rsidP="00767F5D">
            <w:pPr>
              <w:spacing w:after="0" w:line="240" w:lineRule="auto"/>
              <w:jc w:val="center"/>
              <w:rPr>
                <w:rFonts w:ascii="Times New Roman" w:eastAsia="Times New Roman" w:hAnsi="Times New Roman" w:cs="Times New Roman"/>
                <w:b/>
                <w:bCs/>
                <w:color w:val="000000"/>
                <w:sz w:val="24"/>
                <w:szCs w:val="24"/>
              </w:rPr>
            </w:pPr>
            <w:r w:rsidRPr="00C04FA1">
              <w:rPr>
                <w:rFonts w:ascii="Times New Roman" w:eastAsia="Times New Roman" w:hAnsi="Times New Roman" w:cs="Times New Roman"/>
                <w:b/>
                <w:bCs/>
                <w:color w:val="000000"/>
                <w:sz w:val="24"/>
                <w:szCs w:val="24"/>
              </w:rPr>
              <w:t>Independent model</w:t>
            </w:r>
          </w:p>
        </w:tc>
      </w:tr>
      <w:tr w:rsidR="00C93D0D" w:rsidRPr="00C04FA1" w14:paraId="54E98A34" w14:textId="77777777" w:rsidTr="00D3023D">
        <w:trPr>
          <w:trHeight w:val="300"/>
        </w:trPr>
        <w:tc>
          <w:tcPr>
            <w:tcW w:w="2741"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AAC7711" w14:textId="77777777" w:rsidR="00C93D0D" w:rsidRPr="00C04FA1" w:rsidRDefault="00C93D0D" w:rsidP="00D3023D">
            <w:pPr>
              <w:spacing w:after="0" w:line="240" w:lineRule="auto"/>
              <w:jc w:val="lef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Log Likelihood at convergence</w:t>
            </w:r>
          </w:p>
        </w:tc>
        <w:tc>
          <w:tcPr>
            <w:tcW w:w="1211" w:type="pct"/>
            <w:tcBorders>
              <w:top w:val="double" w:sz="4" w:space="0" w:color="auto"/>
              <w:left w:val="nil"/>
              <w:bottom w:val="single" w:sz="4" w:space="0" w:color="auto"/>
              <w:right w:val="single" w:sz="4" w:space="0" w:color="auto"/>
            </w:tcBorders>
            <w:shd w:val="clear" w:color="auto" w:fill="auto"/>
            <w:noWrap/>
            <w:vAlign w:val="center"/>
            <w:hideMark/>
          </w:tcPr>
          <w:p w14:paraId="6560836B"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-2618.73</w:t>
            </w:r>
          </w:p>
        </w:tc>
        <w:tc>
          <w:tcPr>
            <w:tcW w:w="1049" w:type="pct"/>
            <w:tcBorders>
              <w:top w:val="double" w:sz="4" w:space="0" w:color="auto"/>
              <w:left w:val="nil"/>
              <w:bottom w:val="single" w:sz="4" w:space="0" w:color="auto"/>
              <w:right w:val="double" w:sz="4" w:space="0" w:color="auto"/>
            </w:tcBorders>
            <w:shd w:val="clear" w:color="auto" w:fill="auto"/>
            <w:noWrap/>
            <w:vAlign w:val="center"/>
            <w:hideMark/>
          </w:tcPr>
          <w:p w14:paraId="429E7B35"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-2823.36</w:t>
            </w:r>
          </w:p>
        </w:tc>
      </w:tr>
      <w:tr w:rsidR="00C93D0D" w:rsidRPr="00C04FA1" w14:paraId="032584A1" w14:textId="77777777" w:rsidTr="00D3023D">
        <w:trPr>
          <w:trHeight w:val="300"/>
        </w:trPr>
        <w:tc>
          <w:tcPr>
            <w:tcW w:w="2741"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E67C097" w14:textId="77777777" w:rsidR="00C93D0D" w:rsidRPr="00C04FA1" w:rsidRDefault="00C93D0D" w:rsidP="00D3023D">
            <w:pPr>
              <w:spacing w:after="0" w:line="240" w:lineRule="auto"/>
              <w:jc w:val="lef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Number of non-constant parameters</w:t>
            </w:r>
          </w:p>
        </w:tc>
        <w:tc>
          <w:tcPr>
            <w:tcW w:w="1211" w:type="pct"/>
            <w:tcBorders>
              <w:top w:val="nil"/>
              <w:left w:val="nil"/>
              <w:bottom w:val="single" w:sz="4" w:space="0" w:color="auto"/>
              <w:right w:val="single" w:sz="4" w:space="0" w:color="auto"/>
            </w:tcBorders>
            <w:shd w:val="clear" w:color="auto" w:fill="auto"/>
            <w:noWrap/>
            <w:vAlign w:val="center"/>
            <w:hideMark/>
          </w:tcPr>
          <w:p w14:paraId="0D541037"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67</w:t>
            </w:r>
          </w:p>
        </w:tc>
        <w:tc>
          <w:tcPr>
            <w:tcW w:w="1049" w:type="pct"/>
            <w:tcBorders>
              <w:top w:val="nil"/>
              <w:left w:val="nil"/>
              <w:bottom w:val="single" w:sz="4" w:space="0" w:color="auto"/>
              <w:right w:val="double" w:sz="4" w:space="0" w:color="auto"/>
            </w:tcBorders>
            <w:shd w:val="clear" w:color="auto" w:fill="auto"/>
            <w:noWrap/>
            <w:vAlign w:val="center"/>
            <w:hideMark/>
          </w:tcPr>
          <w:p w14:paraId="6CFEB9A9"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51</w:t>
            </w:r>
          </w:p>
        </w:tc>
      </w:tr>
      <w:tr w:rsidR="00C93D0D" w:rsidRPr="00C04FA1" w14:paraId="2E4CE4C1" w14:textId="77777777" w:rsidTr="00D3023D">
        <w:trPr>
          <w:trHeight w:val="300"/>
        </w:trPr>
        <w:tc>
          <w:tcPr>
            <w:tcW w:w="2741"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15DCE42" w14:textId="77777777" w:rsidR="00C93D0D" w:rsidRPr="00C04FA1" w:rsidRDefault="00C93D0D" w:rsidP="00D3023D">
            <w:pPr>
              <w:spacing w:after="0" w:line="240" w:lineRule="auto"/>
              <w:jc w:val="lef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Log Likelihood at constants-only</w:t>
            </w:r>
          </w:p>
        </w:tc>
        <w:tc>
          <w:tcPr>
            <w:tcW w:w="1211" w:type="pct"/>
            <w:tcBorders>
              <w:top w:val="nil"/>
              <w:left w:val="nil"/>
              <w:bottom w:val="single" w:sz="4" w:space="0" w:color="auto"/>
              <w:right w:val="single" w:sz="4" w:space="0" w:color="auto"/>
            </w:tcBorders>
            <w:shd w:val="clear" w:color="auto" w:fill="auto"/>
            <w:noWrap/>
            <w:vAlign w:val="center"/>
            <w:hideMark/>
          </w:tcPr>
          <w:p w14:paraId="16BE958B"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-3392.41</w:t>
            </w:r>
          </w:p>
        </w:tc>
        <w:tc>
          <w:tcPr>
            <w:tcW w:w="1049" w:type="pct"/>
            <w:tcBorders>
              <w:top w:val="nil"/>
              <w:left w:val="nil"/>
              <w:bottom w:val="single" w:sz="4" w:space="0" w:color="auto"/>
              <w:right w:val="double" w:sz="4" w:space="0" w:color="auto"/>
            </w:tcBorders>
            <w:shd w:val="clear" w:color="auto" w:fill="auto"/>
            <w:noWrap/>
            <w:vAlign w:val="center"/>
            <w:hideMark/>
          </w:tcPr>
          <w:p w14:paraId="287BBEA1"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-3392.41</w:t>
            </w:r>
          </w:p>
        </w:tc>
      </w:tr>
      <w:tr w:rsidR="00C93D0D" w:rsidRPr="00C04FA1" w14:paraId="759DC77C" w14:textId="77777777" w:rsidTr="00D3023D">
        <w:trPr>
          <w:trHeight w:val="300"/>
        </w:trPr>
        <w:tc>
          <w:tcPr>
            <w:tcW w:w="2741"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6F097C7" w14:textId="77777777" w:rsidR="00C93D0D" w:rsidRPr="00C04FA1" w:rsidRDefault="00C93D0D" w:rsidP="00D3023D">
            <w:pPr>
              <w:spacing w:after="0" w:line="240" w:lineRule="auto"/>
              <w:jc w:val="lef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Adjusted rho-squared value</w:t>
            </w:r>
          </w:p>
        </w:tc>
        <w:tc>
          <w:tcPr>
            <w:tcW w:w="1211" w:type="pct"/>
            <w:tcBorders>
              <w:top w:val="nil"/>
              <w:left w:val="nil"/>
              <w:bottom w:val="single" w:sz="4" w:space="0" w:color="auto"/>
              <w:right w:val="single" w:sz="4" w:space="0" w:color="auto"/>
            </w:tcBorders>
            <w:shd w:val="clear" w:color="auto" w:fill="auto"/>
            <w:noWrap/>
            <w:vAlign w:val="center"/>
            <w:hideMark/>
          </w:tcPr>
          <w:p w14:paraId="66FB9B10"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0.2083</w:t>
            </w:r>
          </w:p>
        </w:tc>
        <w:tc>
          <w:tcPr>
            <w:tcW w:w="1049" w:type="pct"/>
            <w:tcBorders>
              <w:top w:val="nil"/>
              <w:left w:val="nil"/>
              <w:bottom w:val="single" w:sz="4" w:space="0" w:color="auto"/>
              <w:right w:val="double" w:sz="4" w:space="0" w:color="auto"/>
            </w:tcBorders>
            <w:shd w:val="clear" w:color="auto" w:fill="auto"/>
            <w:noWrap/>
            <w:vAlign w:val="center"/>
            <w:hideMark/>
          </w:tcPr>
          <w:p w14:paraId="5D78929F"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0.1527</w:t>
            </w:r>
          </w:p>
        </w:tc>
      </w:tr>
      <w:tr w:rsidR="00C93D0D" w:rsidRPr="00C04FA1" w14:paraId="24F55796" w14:textId="77777777" w:rsidTr="00D3023D">
        <w:trPr>
          <w:trHeight w:val="300"/>
        </w:trPr>
        <w:tc>
          <w:tcPr>
            <w:tcW w:w="2741" w:type="pct"/>
            <w:tcBorders>
              <w:top w:val="single" w:sz="4" w:space="0" w:color="auto"/>
              <w:left w:val="double" w:sz="4" w:space="0" w:color="auto"/>
              <w:bottom w:val="single" w:sz="4" w:space="0" w:color="auto"/>
              <w:right w:val="single" w:sz="4" w:space="0" w:color="auto"/>
            </w:tcBorders>
            <w:shd w:val="clear" w:color="auto" w:fill="auto"/>
            <w:noWrap/>
            <w:vAlign w:val="center"/>
          </w:tcPr>
          <w:p w14:paraId="40FAC533" w14:textId="77777777" w:rsidR="00C93D0D" w:rsidRPr="00C04FA1" w:rsidRDefault="00C93D0D" w:rsidP="00D3023D">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Probability of correct prediction</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6F6C17C1"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0.389</w:t>
            </w:r>
          </w:p>
        </w:tc>
        <w:tc>
          <w:tcPr>
            <w:tcW w:w="1049" w:type="pct"/>
            <w:tcBorders>
              <w:top w:val="single" w:sz="4" w:space="0" w:color="auto"/>
              <w:left w:val="nil"/>
              <w:bottom w:val="single" w:sz="4" w:space="0" w:color="auto"/>
              <w:right w:val="double" w:sz="4" w:space="0" w:color="auto"/>
            </w:tcBorders>
            <w:shd w:val="clear" w:color="auto" w:fill="auto"/>
            <w:noWrap/>
            <w:vAlign w:val="center"/>
          </w:tcPr>
          <w:p w14:paraId="20D84C57" w14:textId="77777777" w:rsidR="00C93D0D" w:rsidRPr="00C04FA1" w:rsidRDefault="00C93D0D" w:rsidP="00767F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0.361</w:t>
            </w:r>
          </w:p>
        </w:tc>
      </w:tr>
      <w:tr w:rsidR="00C93D0D" w:rsidRPr="00C04FA1" w14:paraId="62E91D07" w14:textId="77777777" w:rsidTr="00194389">
        <w:trPr>
          <w:trHeight w:val="300"/>
        </w:trPr>
        <w:tc>
          <w:tcPr>
            <w:tcW w:w="2741"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732DCEE2" w14:textId="77777777" w:rsidR="00C93D0D" w:rsidRPr="00C04FA1" w:rsidRDefault="00C93D0D" w:rsidP="00767F5D">
            <w:pPr>
              <w:spacing w:after="0" w:line="240" w:lineRule="auto"/>
              <w:rPr>
                <w:rFonts w:ascii="Times New Roman" w:eastAsia="Times New Roman" w:hAnsi="Times New Roman" w:cs="Times New Roman"/>
                <w:color w:val="000000"/>
                <w:sz w:val="24"/>
                <w:szCs w:val="24"/>
              </w:rPr>
            </w:pPr>
            <w:r w:rsidRPr="00C04FA1">
              <w:rPr>
                <w:rFonts w:ascii="Times New Roman" w:eastAsia="Times New Roman" w:hAnsi="Times New Roman" w:cs="Times New Roman"/>
                <w:color w:val="000000"/>
                <w:sz w:val="24"/>
                <w:szCs w:val="24"/>
              </w:rPr>
              <w:t xml:space="preserve">Likelihood ratio test: </w:t>
            </w:r>
            <w:r>
              <w:rPr>
                <w:rFonts w:ascii="Times New Roman" w:eastAsia="Times New Roman" w:hAnsi="Times New Roman" w:cs="Times New Roman"/>
                <w:color w:val="000000"/>
                <w:sz w:val="24"/>
                <w:szCs w:val="24"/>
              </w:rPr>
              <w:t xml:space="preserve">Proposed </w:t>
            </w:r>
            <w:r w:rsidRPr="00C04FA1">
              <w:rPr>
                <w:rFonts w:ascii="Times New Roman" w:eastAsia="Times New Roman" w:hAnsi="Times New Roman" w:cs="Times New Roman"/>
                <w:color w:val="000000"/>
                <w:sz w:val="24"/>
                <w:szCs w:val="24"/>
              </w:rPr>
              <w:t>Joint vs Independent model</w:t>
            </w:r>
          </w:p>
        </w:tc>
        <w:tc>
          <w:tcPr>
            <w:tcW w:w="2259" w:type="pct"/>
            <w:gridSpan w:val="2"/>
            <w:tcBorders>
              <w:top w:val="single" w:sz="4" w:space="0" w:color="auto"/>
              <w:left w:val="nil"/>
              <w:bottom w:val="double" w:sz="4" w:space="0" w:color="auto"/>
              <w:right w:val="double" w:sz="4" w:space="0" w:color="auto"/>
            </w:tcBorders>
            <w:shd w:val="clear" w:color="auto" w:fill="auto"/>
            <w:noWrap/>
            <w:vAlign w:val="center"/>
            <w:hideMark/>
          </w:tcPr>
          <w:p w14:paraId="3F66B98D" w14:textId="2090ED37" w:rsidR="00C93D0D" w:rsidRPr="00C04FA1" w:rsidRDefault="00C93D0D" w:rsidP="00767F5D">
            <w:pPr>
              <w:spacing w:after="0" w:line="240" w:lineRule="auto"/>
              <w:jc w:val="center"/>
              <w:rPr>
                <w:rFonts w:ascii="Times New Roman" w:eastAsia="Times New Roman" w:hAnsi="Times New Roman" w:cs="Times New Roman"/>
                <w:color w:val="000000"/>
                <w:sz w:val="24"/>
                <w:szCs w:val="24"/>
              </w:rPr>
            </w:pPr>
            <w:r w:rsidRPr="00C04FA1">
              <w:rPr>
                <w:rFonts w:ascii="Times New Roman" w:hAnsi="Times New Roman" w:cs="Times New Roman"/>
                <w:sz w:val="24"/>
                <w:szCs w:val="24"/>
              </w:rPr>
              <w:t xml:space="preserve">LR = </w:t>
            </w:r>
            <w:r>
              <w:rPr>
                <w:rFonts w:ascii="Times New Roman" w:hAnsi="Times New Roman" w:cs="Times New Roman"/>
                <w:sz w:val="24"/>
                <w:szCs w:val="24"/>
              </w:rPr>
              <w:t>409.26</w:t>
            </w:r>
            <w:r w:rsidR="00D3023D">
              <w:rPr>
                <w:rFonts w:ascii="Times New Roman" w:hAnsi="Times New Roman" w:cs="Times New Roman"/>
                <w:sz w:val="24"/>
                <w:szCs w:val="24"/>
              </w:rPr>
              <w:t xml:space="preserve"> </w:t>
            </w:r>
            <w:r w:rsidRPr="00C04FA1">
              <w:rPr>
                <w:rFonts w:ascii="Times New Roman" w:hAnsi="Times New Roman" w:cs="Times New Roman"/>
                <w:sz w:val="24"/>
                <w:szCs w:val="24"/>
              </w:rPr>
              <w:t>&gt;</w:t>
            </w:r>
            <w:r w:rsidR="00D3023D">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(16,0.01)</m:t>
                  </m:r>
                </m:sub>
                <m:sup>
                  <m:r>
                    <w:rPr>
                      <w:rFonts w:ascii="Cambria Math" w:hAnsi="Cambria Math" w:cs="Times New Roman"/>
                      <w:sz w:val="24"/>
                      <w:szCs w:val="24"/>
                    </w:rPr>
                    <m:t>2</m:t>
                  </m:r>
                </m:sup>
              </m:sSubSup>
              <m:r>
                <w:rPr>
                  <w:rFonts w:ascii="Cambria Math" w:hAnsi="Cambria Math" w:cs="Times New Roman"/>
                  <w:sz w:val="24"/>
                  <w:szCs w:val="24"/>
                </w:rPr>
                <m:t>=</m:t>
              </m:r>
            </m:oMath>
            <w:r w:rsidRPr="00C04FA1">
              <w:rPr>
                <w:rFonts w:ascii="Times New Roman" w:eastAsiaTheme="minorEastAsia" w:hAnsi="Times New Roman" w:cs="Times New Roman"/>
                <w:sz w:val="24"/>
                <w:szCs w:val="24"/>
              </w:rPr>
              <w:t>32.</w:t>
            </w:r>
            <w:r>
              <w:rPr>
                <w:rFonts w:ascii="Times New Roman" w:eastAsiaTheme="minorEastAsia" w:hAnsi="Times New Roman" w:cs="Times New Roman"/>
                <w:sz w:val="24"/>
                <w:szCs w:val="24"/>
              </w:rPr>
              <w:t>00</w:t>
            </w:r>
          </w:p>
        </w:tc>
      </w:tr>
    </w:tbl>
    <w:p w14:paraId="240B8856" w14:textId="77777777" w:rsidR="00C93D0D" w:rsidRDefault="00C93D0D" w:rsidP="00C93D0D"/>
    <w:p w14:paraId="697A0935" w14:textId="52939DEF" w:rsidR="00C93D0D" w:rsidRPr="00C94F2C" w:rsidRDefault="00C50D80" w:rsidP="00C93D0D">
      <w:pPr>
        <w:spacing w:after="0"/>
        <w:rPr>
          <w:rFonts w:ascii="Times New Roman" w:hAnsi="Times New Roman" w:cs="Times New Roman"/>
          <w:b/>
          <w:sz w:val="24"/>
          <w:szCs w:val="24"/>
        </w:rPr>
      </w:pPr>
      <w:r>
        <w:rPr>
          <w:rFonts w:ascii="Times New Roman" w:hAnsi="Times New Roman" w:cs="Times New Roman"/>
          <w:b/>
          <w:sz w:val="24"/>
          <w:szCs w:val="24"/>
        </w:rPr>
        <w:t xml:space="preserve">Table 6: </w:t>
      </w:r>
      <w:r w:rsidR="00C93D0D">
        <w:rPr>
          <w:rFonts w:ascii="Times New Roman" w:hAnsi="Times New Roman" w:cs="Times New Roman"/>
          <w:b/>
          <w:sz w:val="24"/>
          <w:szCs w:val="24"/>
        </w:rPr>
        <w:t>Aggregate</w:t>
      </w:r>
      <w:r w:rsidR="00C93D0D" w:rsidRPr="00C94F2C">
        <w:rPr>
          <w:rFonts w:ascii="Times New Roman" w:hAnsi="Times New Roman" w:cs="Times New Roman"/>
          <w:b/>
          <w:sz w:val="24"/>
          <w:szCs w:val="24"/>
        </w:rPr>
        <w:t xml:space="preserve"> </w:t>
      </w:r>
      <w:r w:rsidR="00410063">
        <w:rPr>
          <w:rFonts w:ascii="Times New Roman" w:hAnsi="Times New Roman" w:cs="Times New Roman"/>
          <w:b/>
          <w:sz w:val="24"/>
          <w:szCs w:val="24"/>
        </w:rPr>
        <w:t>F</w:t>
      </w:r>
      <w:r w:rsidR="00C93D0D" w:rsidRPr="00C94F2C">
        <w:rPr>
          <w:rFonts w:ascii="Times New Roman" w:hAnsi="Times New Roman" w:cs="Times New Roman"/>
          <w:b/>
          <w:sz w:val="24"/>
          <w:szCs w:val="24"/>
        </w:rPr>
        <w:t xml:space="preserve">it </w:t>
      </w:r>
      <w:r w:rsidR="00410063">
        <w:rPr>
          <w:rFonts w:ascii="Times New Roman" w:hAnsi="Times New Roman" w:cs="Times New Roman"/>
          <w:b/>
          <w:sz w:val="24"/>
          <w:szCs w:val="24"/>
        </w:rPr>
        <w:t>M</w:t>
      </w:r>
      <w:r w:rsidR="00C93D0D" w:rsidRPr="00C94F2C">
        <w:rPr>
          <w:rFonts w:ascii="Times New Roman" w:hAnsi="Times New Roman" w:cs="Times New Roman"/>
          <w:b/>
          <w:sz w:val="24"/>
          <w:szCs w:val="24"/>
        </w:rPr>
        <w:t>easures</w:t>
      </w:r>
    </w:p>
    <w:tbl>
      <w:tblPr>
        <w:tblStyle w:val="TableGrid"/>
        <w:tblW w:w="9312" w:type="dxa"/>
        <w:tblInd w:w="0" w:type="dxa"/>
        <w:tblLook w:val="04A0" w:firstRow="1" w:lastRow="0" w:firstColumn="1" w:lastColumn="0" w:noHBand="0" w:noVBand="1"/>
      </w:tblPr>
      <w:tblGrid>
        <w:gridCol w:w="1065"/>
        <w:gridCol w:w="1710"/>
        <w:gridCol w:w="2700"/>
        <w:gridCol w:w="1153"/>
        <w:gridCol w:w="1277"/>
        <w:gridCol w:w="1407"/>
      </w:tblGrid>
      <w:tr w:rsidR="00D3023D" w:rsidRPr="00C94F2C" w14:paraId="655F1293" w14:textId="77777777" w:rsidTr="00D3023D">
        <w:trPr>
          <w:trHeight w:val="360"/>
        </w:trPr>
        <w:tc>
          <w:tcPr>
            <w:tcW w:w="5475" w:type="dxa"/>
            <w:gridSpan w:val="3"/>
            <w:tcBorders>
              <w:top w:val="double" w:sz="4" w:space="0" w:color="auto"/>
              <w:left w:val="double" w:sz="4" w:space="0" w:color="auto"/>
            </w:tcBorders>
            <w:tcMar>
              <w:left w:w="72" w:type="dxa"/>
              <w:right w:w="72" w:type="dxa"/>
            </w:tcMar>
            <w:vAlign w:val="center"/>
          </w:tcPr>
          <w:p w14:paraId="09C0186A"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Combination</w:t>
            </w:r>
          </w:p>
        </w:tc>
        <w:tc>
          <w:tcPr>
            <w:tcW w:w="1153" w:type="dxa"/>
            <w:vMerge w:val="restart"/>
            <w:tcBorders>
              <w:top w:val="double" w:sz="4" w:space="0" w:color="auto"/>
            </w:tcBorders>
            <w:tcMar>
              <w:left w:w="72" w:type="dxa"/>
              <w:right w:w="72" w:type="dxa"/>
            </w:tcMar>
            <w:vAlign w:val="center"/>
          </w:tcPr>
          <w:p w14:paraId="29754C0A"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Observed</w:t>
            </w:r>
          </w:p>
        </w:tc>
        <w:tc>
          <w:tcPr>
            <w:tcW w:w="2684" w:type="dxa"/>
            <w:gridSpan w:val="2"/>
            <w:tcBorders>
              <w:top w:val="double" w:sz="4" w:space="0" w:color="auto"/>
              <w:right w:val="double" w:sz="4" w:space="0" w:color="auto"/>
            </w:tcBorders>
            <w:tcMar>
              <w:left w:w="72" w:type="dxa"/>
              <w:right w:w="72" w:type="dxa"/>
            </w:tcMar>
            <w:vAlign w:val="center"/>
          </w:tcPr>
          <w:p w14:paraId="13F2D196"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Prediction</w:t>
            </w:r>
          </w:p>
        </w:tc>
      </w:tr>
      <w:tr w:rsidR="00D3023D" w:rsidRPr="00C94F2C" w14:paraId="6134445C" w14:textId="77777777" w:rsidTr="00D3023D">
        <w:trPr>
          <w:trHeight w:val="360"/>
        </w:trPr>
        <w:tc>
          <w:tcPr>
            <w:tcW w:w="1065" w:type="dxa"/>
            <w:tcBorders>
              <w:left w:val="double" w:sz="4" w:space="0" w:color="auto"/>
              <w:bottom w:val="double" w:sz="4" w:space="0" w:color="auto"/>
            </w:tcBorders>
            <w:tcMar>
              <w:left w:w="72" w:type="dxa"/>
              <w:right w:w="72" w:type="dxa"/>
            </w:tcMar>
            <w:vAlign w:val="center"/>
          </w:tcPr>
          <w:p w14:paraId="0B587C41"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Adoption</w:t>
            </w:r>
          </w:p>
        </w:tc>
        <w:tc>
          <w:tcPr>
            <w:tcW w:w="1710" w:type="dxa"/>
            <w:tcBorders>
              <w:bottom w:val="double" w:sz="4" w:space="0" w:color="auto"/>
            </w:tcBorders>
            <w:tcMar>
              <w:left w:w="72" w:type="dxa"/>
              <w:right w:w="72" w:type="dxa"/>
            </w:tcMar>
            <w:vAlign w:val="center"/>
          </w:tcPr>
          <w:p w14:paraId="5CA37DD6"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Frequency</w:t>
            </w:r>
          </w:p>
        </w:tc>
        <w:tc>
          <w:tcPr>
            <w:tcW w:w="2700" w:type="dxa"/>
            <w:tcBorders>
              <w:bottom w:val="double" w:sz="4" w:space="0" w:color="auto"/>
            </w:tcBorders>
            <w:tcMar>
              <w:left w:w="72" w:type="dxa"/>
              <w:right w:w="72" w:type="dxa"/>
            </w:tcMar>
            <w:vAlign w:val="center"/>
          </w:tcPr>
          <w:p w14:paraId="071F6BBD" w14:textId="02A4AEF0" w:rsidR="00D3023D" w:rsidRPr="00C94F2C" w:rsidRDefault="00D3023D" w:rsidP="00767F5D">
            <w:pPr>
              <w:jc w:val="center"/>
              <w:rPr>
                <w:rFonts w:ascii="Times New Roman" w:hAnsi="Times New Roman" w:cs="Times New Roman"/>
                <w:b/>
              </w:rPr>
            </w:pPr>
            <w:r>
              <w:rPr>
                <w:rFonts w:ascii="Times New Roman" w:hAnsi="Times New Roman" w:cs="Times New Roman"/>
                <w:b/>
              </w:rPr>
              <w:t>Telework Location</w:t>
            </w:r>
          </w:p>
        </w:tc>
        <w:tc>
          <w:tcPr>
            <w:tcW w:w="1153" w:type="dxa"/>
            <w:vMerge/>
            <w:tcBorders>
              <w:bottom w:val="double" w:sz="4" w:space="0" w:color="auto"/>
            </w:tcBorders>
            <w:tcMar>
              <w:left w:w="72" w:type="dxa"/>
              <w:right w:w="72" w:type="dxa"/>
            </w:tcMar>
            <w:vAlign w:val="center"/>
          </w:tcPr>
          <w:p w14:paraId="5B74E1D6" w14:textId="77777777" w:rsidR="00D3023D" w:rsidRPr="00C94F2C" w:rsidRDefault="00D3023D" w:rsidP="00767F5D">
            <w:pPr>
              <w:jc w:val="center"/>
              <w:rPr>
                <w:rFonts w:ascii="Times New Roman" w:hAnsi="Times New Roman" w:cs="Times New Roman"/>
                <w:b/>
              </w:rPr>
            </w:pPr>
          </w:p>
        </w:tc>
        <w:tc>
          <w:tcPr>
            <w:tcW w:w="1277" w:type="dxa"/>
            <w:tcBorders>
              <w:bottom w:val="double" w:sz="4" w:space="0" w:color="auto"/>
            </w:tcBorders>
            <w:tcMar>
              <w:left w:w="72" w:type="dxa"/>
              <w:right w:w="72" w:type="dxa"/>
            </w:tcMar>
            <w:vAlign w:val="center"/>
          </w:tcPr>
          <w:p w14:paraId="2E08C714"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Joint model</w:t>
            </w:r>
          </w:p>
        </w:tc>
        <w:tc>
          <w:tcPr>
            <w:tcW w:w="1407" w:type="dxa"/>
            <w:tcBorders>
              <w:bottom w:val="double" w:sz="4" w:space="0" w:color="auto"/>
              <w:right w:val="double" w:sz="4" w:space="0" w:color="auto"/>
            </w:tcBorders>
            <w:tcMar>
              <w:left w:w="72" w:type="dxa"/>
              <w:right w:w="72" w:type="dxa"/>
            </w:tcMar>
            <w:vAlign w:val="center"/>
          </w:tcPr>
          <w:p w14:paraId="21CA192B" w14:textId="77777777" w:rsidR="00D3023D" w:rsidRPr="00C94F2C" w:rsidRDefault="00D3023D" w:rsidP="00767F5D">
            <w:pPr>
              <w:jc w:val="center"/>
              <w:rPr>
                <w:rFonts w:ascii="Times New Roman" w:hAnsi="Times New Roman" w:cs="Times New Roman"/>
                <w:b/>
              </w:rPr>
            </w:pPr>
            <w:r w:rsidRPr="00C94F2C">
              <w:rPr>
                <w:rFonts w:ascii="Times New Roman" w:hAnsi="Times New Roman" w:cs="Times New Roman"/>
                <w:b/>
              </w:rPr>
              <w:t>Independent model</w:t>
            </w:r>
          </w:p>
        </w:tc>
      </w:tr>
      <w:tr w:rsidR="00C93D0D" w:rsidRPr="00C94F2C" w14:paraId="2A0A32EC" w14:textId="77777777" w:rsidTr="00D3023D">
        <w:trPr>
          <w:trHeight w:val="360"/>
        </w:trPr>
        <w:tc>
          <w:tcPr>
            <w:tcW w:w="1065" w:type="dxa"/>
            <w:tcBorders>
              <w:top w:val="double" w:sz="4" w:space="0" w:color="auto"/>
              <w:left w:val="double" w:sz="4" w:space="0" w:color="auto"/>
            </w:tcBorders>
            <w:tcMar>
              <w:left w:w="72" w:type="dxa"/>
              <w:right w:w="72" w:type="dxa"/>
            </w:tcMar>
            <w:vAlign w:val="center"/>
          </w:tcPr>
          <w:p w14:paraId="2D2F710A" w14:textId="77777777" w:rsidR="00C93D0D" w:rsidRPr="00C94F2C" w:rsidRDefault="00C93D0D" w:rsidP="00D3023D">
            <w:pPr>
              <w:jc w:val="left"/>
              <w:rPr>
                <w:rFonts w:ascii="Times New Roman" w:hAnsi="Times New Roman" w:cs="Times New Roman"/>
              </w:rPr>
            </w:pPr>
            <w:r w:rsidRPr="00C94F2C">
              <w:rPr>
                <w:rFonts w:ascii="Times New Roman" w:hAnsi="Times New Roman" w:cs="Times New Roman"/>
              </w:rPr>
              <w:t>No</w:t>
            </w:r>
          </w:p>
        </w:tc>
        <w:tc>
          <w:tcPr>
            <w:tcW w:w="1710" w:type="dxa"/>
            <w:tcBorders>
              <w:top w:val="double" w:sz="4" w:space="0" w:color="auto"/>
            </w:tcBorders>
            <w:tcMar>
              <w:left w:w="72" w:type="dxa"/>
              <w:right w:w="72" w:type="dxa"/>
            </w:tcMar>
            <w:vAlign w:val="center"/>
          </w:tcPr>
          <w:p w14:paraId="10104A87" w14:textId="77777777" w:rsidR="00C93D0D" w:rsidRPr="00C94F2C" w:rsidRDefault="00C93D0D" w:rsidP="00D3023D">
            <w:pPr>
              <w:jc w:val="left"/>
              <w:rPr>
                <w:rFonts w:ascii="Times New Roman" w:hAnsi="Times New Roman" w:cs="Times New Roman"/>
              </w:rPr>
            </w:pPr>
            <w:r w:rsidRPr="00C94F2C">
              <w:rPr>
                <w:rFonts w:ascii="Times New Roman" w:hAnsi="Times New Roman" w:cs="Times New Roman"/>
              </w:rPr>
              <w:t>--</w:t>
            </w:r>
          </w:p>
        </w:tc>
        <w:tc>
          <w:tcPr>
            <w:tcW w:w="2700" w:type="dxa"/>
            <w:tcBorders>
              <w:top w:val="double" w:sz="4" w:space="0" w:color="auto"/>
            </w:tcBorders>
            <w:tcMar>
              <w:left w:w="72" w:type="dxa"/>
              <w:right w:w="72" w:type="dxa"/>
            </w:tcMar>
            <w:vAlign w:val="center"/>
          </w:tcPr>
          <w:p w14:paraId="5C07D1DE" w14:textId="77777777" w:rsidR="00C93D0D" w:rsidRPr="00C94F2C" w:rsidRDefault="00C93D0D" w:rsidP="00D3023D">
            <w:pPr>
              <w:jc w:val="left"/>
              <w:rPr>
                <w:rFonts w:ascii="Times New Roman" w:hAnsi="Times New Roman" w:cs="Times New Roman"/>
              </w:rPr>
            </w:pPr>
            <w:r w:rsidRPr="00C94F2C">
              <w:rPr>
                <w:rFonts w:ascii="Times New Roman" w:hAnsi="Times New Roman" w:cs="Times New Roman"/>
              </w:rPr>
              <w:t>--</w:t>
            </w:r>
          </w:p>
        </w:tc>
        <w:tc>
          <w:tcPr>
            <w:tcW w:w="1153" w:type="dxa"/>
            <w:tcBorders>
              <w:top w:val="double" w:sz="4" w:space="0" w:color="auto"/>
            </w:tcBorders>
            <w:tcMar>
              <w:left w:w="72" w:type="dxa"/>
              <w:right w:w="72" w:type="dxa"/>
            </w:tcMar>
            <w:vAlign w:val="center"/>
          </w:tcPr>
          <w:p w14:paraId="330B0DA9"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916</w:t>
            </w:r>
          </w:p>
        </w:tc>
        <w:tc>
          <w:tcPr>
            <w:tcW w:w="1277" w:type="dxa"/>
            <w:tcBorders>
              <w:top w:val="double" w:sz="4" w:space="0" w:color="auto"/>
            </w:tcBorders>
            <w:tcMar>
              <w:left w:w="72" w:type="dxa"/>
              <w:right w:w="72" w:type="dxa"/>
            </w:tcMar>
            <w:vAlign w:val="center"/>
          </w:tcPr>
          <w:p w14:paraId="4A17E855"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91</w:t>
            </w:r>
            <w:r>
              <w:rPr>
                <w:rFonts w:ascii="Times New Roman" w:hAnsi="Times New Roman" w:cs="Times New Roman"/>
                <w:color w:val="000000"/>
              </w:rPr>
              <w:t>1</w:t>
            </w:r>
          </w:p>
        </w:tc>
        <w:tc>
          <w:tcPr>
            <w:tcW w:w="1407" w:type="dxa"/>
            <w:tcBorders>
              <w:top w:val="double" w:sz="4" w:space="0" w:color="auto"/>
              <w:right w:val="double" w:sz="4" w:space="0" w:color="auto"/>
            </w:tcBorders>
            <w:tcMar>
              <w:left w:w="72" w:type="dxa"/>
              <w:right w:w="72" w:type="dxa"/>
            </w:tcMar>
            <w:vAlign w:val="center"/>
          </w:tcPr>
          <w:p w14:paraId="1238D9DA"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903</w:t>
            </w:r>
          </w:p>
        </w:tc>
      </w:tr>
      <w:tr w:rsidR="00C93D0D" w:rsidRPr="00C94F2C" w14:paraId="6CB45DB0" w14:textId="77777777" w:rsidTr="00D3023D">
        <w:trPr>
          <w:trHeight w:val="360"/>
        </w:trPr>
        <w:tc>
          <w:tcPr>
            <w:tcW w:w="1065" w:type="dxa"/>
            <w:tcBorders>
              <w:left w:val="double" w:sz="4" w:space="0" w:color="auto"/>
            </w:tcBorders>
            <w:tcMar>
              <w:left w:w="72" w:type="dxa"/>
              <w:right w:w="72" w:type="dxa"/>
            </w:tcMar>
            <w:vAlign w:val="center"/>
          </w:tcPr>
          <w:p w14:paraId="64506073"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7A90F803"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Few times/month</w:t>
            </w:r>
          </w:p>
        </w:tc>
        <w:tc>
          <w:tcPr>
            <w:tcW w:w="2700" w:type="dxa"/>
            <w:tcMar>
              <w:left w:w="72" w:type="dxa"/>
              <w:right w:w="72" w:type="dxa"/>
            </w:tcMar>
            <w:vAlign w:val="center"/>
          </w:tcPr>
          <w:p w14:paraId="26877BEF"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Home only</w:t>
            </w:r>
          </w:p>
        </w:tc>
        <w:tc>
          <w:tcPr>
            <w:tcW w:w="1153" w:type="dxa"/>
            <w:tcMar>
              <w:left w:w="72" w:type="dxa"/>
              <w:right w:w="72" w:type="dxa"/>
            </w:tcMar>
            <w:vAlign w:val="center"/>
          </w:tcPr>
          <w:p w14:paraId="36AA4895"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265</w:t>
            </w:r>
          </w:p>
        </w:tc>
        <w:tc>
          <w:tcPr>
            <w:tcW w:w="1277" w:type="dxa"/>
            <w:tcMar>
              <w:left w:w="72" w:type="dxa"/>
              <w:right w:w="72" w:type="dxa"/>
            </w:tcMar>
            <w:vAlign w:val="center"/>
          </w:tcPr>
          <w:p w14:paraId="3DAF3DEB"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261</w:t>
            </w:r>
          </w:p>
        </w:tc>
        <w:tc>
          <w:tcPr>
            <w:tcW w:w="1407" w:type="dxa"/>
            <w:tcBorders>
              <w:right w:val="double" w:sz="4" w:space="0" w:color="auto"/>
            </w:tcBorders>
            <w:tcMar>
              <w:left w:w="72" w:type="dxa"/>
              <w:right w:w="72" w:type="dxa"/>
            </w:tcMar>
            <w:vAlign w:val="center"/>
          </w:tcPr>
          <w:p w14:paraId="06E72648"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272</w:t>
            </w:r>
          </w:p>
        </w:tc>
      </w:tr>
      <w:tr w:rsidR="00C93D0D" w:rsidRPr="00C94F2C" w14:paraId="1D396D12" w14:textId="77777777" w:rsidTr="00D3023D">
        <w:trPr>
          <w:trHeight w:val="360"/>
        </w:trPr>
        <w:tc>
          <w:tcPr>
            <w:tcW w:w="1065" w:type="dxa"/>
            <w:tcBorders>
              <w:left w:val="double" w:sz="4" w:space="0" w:color="auto"/>
            </w:tcBorders>
            <w:tcMar>
              <w:left w:w="72" w:type="dxa"/>
              <w:right w:w="72" w:type="dxa"/>
            </w:tcMar>
            <w:vAlign w:val="center"/>
          </w:tcPr>
          <w:p w14:paraId="5E7B185B"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336238CC"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Few times/month</w:t>
            </w:r>
          </w:p>
        </w:tc>
        <w:tc>
          <w:tcPr>
            <w:tcW w:w="2700" w:type="dxa"/>
            <w:tcMar>
              <w:left w:w="72" w:type="dxa"/>
              <w:right w:w="72" w:type="dxa"/>
            </w:tcMar>
            <w:vAlign w:val="center"/>
          </w:tcPr>
          <w:p w14:paraId="5A29A680" w14:textId="2967454E"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Third</w:t>
            </w:r>
            <w:r w:rsidR="0044761E">
              <w:rPr>
                <w:rFonts w:ascii="Times New Roman" w:hAnsi="Times New Roman" w:cs="Times New Roman"/>
                <w:color w:val="000000"/>
              </w:rPr>
              <w:t xml:space="preserve"> location</w:t>
            </w:r>
            <w:r w:rsidRPr="00C94F2C">
              <w:rPr>
                <w:rFonts w:ascii="Times New Roman" w:hAnsi="Times New Roman" w:cs="Times New Roman"/>
                <w:color w:val="000000"/>
              </w:rPr>
              <w:t xml:space="preserve"> only</w:t>
            </w:r>
          </w:p>
        </w:tc>
        <w:tc>
          <w:tcPr>
            <w:tcW w:w="1153" w:type="dxa"/>
            <w:tcMar>
              <w:left w:w="72" w:type="dxa"/>
              <w:right w:w="72" w:type="dxa"/>
            </w:tcMar>
            <w:vAlign w:val="center"/>
          </w:tcPr>
          <w:p w14:paraId="0AE565C7"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14</w:t>
            </w:r>
          </w:p>
        </w:tc>
        <w:tc>
          <w:tcPr>
            <w:tcW w:w="1277" w:type="dxa"/>
            <w:tcMar>
              <w:left w:w="72" w:type="dxa"/>
              <w:right w:w="72" w:type="dxa"/>
            </w:tcMar>
            <w:vAlign w:val="center"/>
          </w:tcPr>
          <w:p w14:paraId="1D7E3EA3"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16</w:t>
            </w:r>
          </w:p>
        </w:tc>
        <w:tc>
          <w:tcPr>
            <w:tcW w:w="1407" w:type="dxa"/>
            <w:tcBorders>
              <w:right w:val="double" w:sz="4" w:space="0" w:color="auto"/>
            </w:tcBorders>
            <w:tcMar>
              <w:left w:w="72" w:type="dxa"/>
              <w:right w:w="72" w:type="dxa"/>
            </w:tcMar>
            <w:vAlign w:val="center"/>
          </w:tcPr>
          <w:p w14:paraId="0F35C7AA"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13</w:t>
            </w:r>
          </w:p>
        </w:tc>
      </w:tr>
      <w:tr w:rsidR="00C93D0D" w:rsidRPr="00C94F2C" w14:paraId="05A1E8CA" w14:textId="77777777" w:rsidTr="00D3023D">
        <w:trPr>
          <w:trHeight w:val="360"/>
        </w:trPr>
        <w:tc>
          <w:tcPr>
            <w:tcW w:w="1065" w:type="dxa"/>
            <w:tcBorders>
              <w:left w:val="double" w:sz="4" w:space="0" w:color="auto"/>
            </w:tcBorders>
            <w:tcMar>
              <w:left w:w="72" w:type="dxa"/>
              <w:right w:w="72" w:type="dxa"/>
            </w:tcMar>
            <w:vAlign w:val="center"/>
          </w:tcPr>
          <w:p w14:paraId="3F1A1ABD"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67809E46"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Few times/month</w:t>
            </w:r>
          </w:p>
        </w:tc>
        <w:tc>
          <w:tcPr>
            <w:tcW w:w="2700" w:type="dxa"/>
            <w:tcMar>
              <w:left w:w="72" w:type="dxa"/>
              <w:right w:w="72" w:type="dxa"/>
            </w:tcMar>
            <w:vAlign w:val="center"/>
          </w:tcPr>
          <w:p w14:paraId="4C44C68F" w14:textId="237E66D0" w:rsidR="00C93D0D" w:rsidRPr="00C94F2C" w:rsidRDefault="0044761E" w:rsidP="00D3023D">
            <w:pPr>
              <w:jc w:val="left"/>
              <w:rPr>
                <w:rFonts w:ascii="Times New Roman" w:hAnsi="Times New Roman" w:cs="Times New Roman"/>
                <w:color w:val="000000"/>
              </w:rPr>
            </w:pPr>
            <w:r>
              <w:rPr>
                <w:rFonts w:ascii="Times New Roman" w:hAnsi="Times New Roman" w:cs="Times New Roman"/>
                <w:color w:val="000000"/>
              </w:rPr>
              <w:t xml:space="preserve">Both </w:t>
            </w:r>
            <w:r w:rsidR="00C93D0D" w:rsidRPr="00C94F2C">
              <w:rPr>
                <w:rFonts w:ascii="Times New Roman" w:hAnsi="Times New Roman" w:cs="Times New Roman"/>
                <w:color w:val="000000"/>
              </w:rPr>
              <w:t>Home &amp; Third</w:t>
            </w:r>
            <w:r>
              <w:rPr>
                <w:rFonts w:ascii="Times New Roman" w:hAnsi="Times New Roman" w:cs="Times New Roman"/>
                <w:color w:val="000000"/>
              </w:rPr>
              <w:t xml:space="preserve"> location</w:t>
            </w:r>
          </w:p>
        </w:tc>
        <w:tc>
          <w:tcPr>
            <w:tcW w:w="1153" w:type="dxa"/>
            <w:tcMar>
              <w:left w:w="72" w:type="dxa"/>
              <w:right w:w="72" w:type="dxa"/>
            </w:tcMar>
            <w:vAlign w:val="center"/>
          </w:tcPr>
          <w:p w14:paraId="058241B5"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15</w:t>
            </w:r>
          </w:p>
        </w:tc>
        <w:tc>
          <w:tcPr>
            <w:tcW w:w="1277" w:type="dxa"/>
            <w:tcMar>
              <w:left w:w="72" w:type="dxa"/>
              <w:right w:w="72" w:type="dxa"/>
            </w:tcMar>
            <w:vAlign w:val="center"/>
          </w:tcPr>
          <w:p w14:paraId="711F637D"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17</w:t>
            </w:r>
          </w:p>
        </w:tc>
        <w:tc>
          <w:tcPr>
            <w:tcW w:w="1407" w:type="dxa"/>
            <w:tcBorders>
              <w:right w:val="double" w:sz="4" w:space="0" w:color="auto"/>
            </w:tcBorders>
            <w:tcMar>
              <w:left w:w="72" w:type="dxa"/>
              <w:right w:w="72" w:type="dxa"/>
            </w:tcMar>
            <w:vAlign w:val="center"/>
          </w:tcPr>
          <w:p w14:paraId="5C38AF17"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21</w:t>
            </w:r>
          </w:p>
        </w:tc>
      </w:tr>
      <w:tr w:rsidR="00C93D0D" w:rsidRPr="00C94F2C" w14:paraId="66EE60AA" w14:textId="77777777" w:rsidTr="00D3023D">
        <w:trPr>
          <w:trHeight w:val="360"/>
        </w:trPr>
        <w:tc>
          <w:tcPr>
            <w:tcW w:w="1065" w:type="dxa"/>
            <w:tcBorders>
              <w:left w:val="double" w:sz="4" w:space="0" w:color="auto"/>
            </w:tcBorders>
            <w:tcMar>
              <w:left w:w="72" w:type="dxa"/>
              <w:right w:w="72" w:type="dxa"/>
            </w:tcMar>
            <w:vAlign w:val="center"/>
          </w:tcPr>
          <w:p w14:paraId="2F6C4249"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6737A722"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Once/week</w:t>
            </w:r>
          </w:p>
        </w:tc>
        <w:tc>
          <w:tcPr>
            <w:tcW w:w="2700" w:type="dxa"/>
            <w:tcMar>
              <w:left w:w="72" w:type="dxa"/>
              <w:right w:w="72" w:type="dxa"/>
            </w:tcMar>
            <w:vAlign w:val="center"/>
          </w:tcPr>
          <w:p w14:paraId="5D13C188"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Home only</w:t>
            </w:r>
          </w:p>
        </w:tc>
        <w:tc>
          <w:tcPr>
            <w:tcW w:w="1153" w:type="dxa"/>
            <w:tcMar>
              <w:left w:w="72" w:type="dxa"/>
              <w:right w:w="72" w:type="dxa"/>
            </w:tcMar>
            <w:vAlign w:val="center"/>
          </w:tcPr>
          <w:p w14:paraId="59F453C0"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112</w:t>
            </w:r>
          </w:p>
        </w:tc>
        <w:tc>
          <w:tcPr>
            <w:tcW w:w="1277" w:type="dxa"/>
            <w:tcMar>
              <w:left w:w="72" w:type="dxa"/>
              <w:right w:w="72" w:type="dxa"/>
            </w:tcMar>
            <w:vAlign w:val="center"/>
          </w:tcPr>
          <w:p w14:paraId="0D3DC252"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11</w:t>
            </w:r>
            <w:r>
              <w:rPr>
                <w:rFonts w:ascii="Times New Roman" w:hAnsi="Times New Roman" w:cs="Times New Roman"/>
                <w:color w:val="000000"/>
              </w:rPr>
              <w:t>6</w:t>
            </w:r>
          </w:p>
        </w:tc>
        <w:tc>
          <w:tcPr>
            <w:tcW w:w="1407" w:type="dxa"/>
            <w:tcBorders>
              <w:right w:val="double" w:sz="4" w:space="0" w:color="auto"/>
            </w:tcBorders>
            <w:tcMar>
              <w:left w:w="72" w:type="dxa"/>
              <w:right w:w="72" w:type="dxa"/>
            </w:tcMar>
            <w:vAlign w:val="center"/>
          </w:tcPr>
          <w:p w14:paraId="155487E7"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121</w:t>
            </w:r>
          </w:p>
        </w:tc>
      </w:tr>
      <w:tr w:rsidR="00C93D0D" w:rsidRPr="00C94F2C" w14:paraId="6FFE6D4E" w14:textId="77777777" w:rsidTr="00D3023D">
        <w:trPr>
          <w:trHeight w:val="360"/>
        </w:trPr>
        <w:tc>
          <w:tcPr>
            <w:tcW w:w="1065" w:type="dxa"/>
            <w:tcBorders>
              <w:left w:val="double" w:sz="4" w:space="0" w:color="auto"/>
            </w:tcBorders>
            <w:tcMar>
              <w:left w:w="72" w:type="dxa"/>
              <w:right w:w="72" w:type="dxa"/>
            </w:tcMar>
            <w:vAlign w:val="center"/>
          </w:tcPr>
          <w:p w14:paraId="61FF38FD"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173A3CF2"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Once/week</w:t>
            </w:r>
          </w:p>
        </w:tc>
        <w:tc>
          <w:tcPr>
            <w:tcW w:w="2700" w:type="dxa"/>
            <w:tcMar>
              <w:left w:w="72" w:type="dxa"/>
              <w:right w:w="72" w:type="dxa"/>
            </w:tcMar>
            <w:vAlign w:val="center"/>
          </w:tcPr>
          <w:p w14:paraId="3040CD22" w14:textId="03522F2D"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Thir</w:t>
            </w:r>
            <w:r w:rsidR="0044761E">
              <w:rPr>
                <w:rFonts w:ascii="Times New Roman" w:hAnsi="Times New Roman" w:cs="Times New Roman"/>
                <w:color w:val="000000"/>
              </w:rPr>
              <w:t xml:space="preserve">d location </w:t>
            </w:r>
            <w:r w:rsidRPr="00C94F2C">
              <w:rPr>
                <w:rFonts w:ascii="Times New Roman" w:hAnsi="Times New Roman" w:cs="Times New Roman"/>
                <w:color w:val="000000"/>
              </w:rPr>
              <w:t>only</w:t>
            </w:r>
          </w:p>
        </w:tc>
        <w:tc>
          <w:tcPr>
            <w:tcW w:w="1153" w:type="dxa"/>
            <w:tcMar>
              <w:left w:w="72" w:type="dxa"/>
              <w:right w:w="72" w:type="dxa"/>
            </w:tcMar>
            <w:vAlign w:val="center"/>
          </w:tcPr>
          <w:p w14:paraId="410A5430"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6</w:t>
            </w:r>
          </w:p>
        </w:tc>
        <w:tc>
          <w:tcPr>
            <w:tcW w:w="1277" w:type="dxa"/>
            <w:tcMar>
              <w:left w:w="72" w:type="dxa"/>
              <w:right w:w="72" w:type="dxa"/>
            </w:tcMar>
            <w:vAlign w:val="center"/>
          </w:tcPr>
          <w:p w14:paraId="444C902D"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7</w:t>
            </w:r>
          </w:p>
        </w:tc>
        <w:tc>
          <w:tcPr>
            <w:tcW w:w="1407" w:type="dxa"/>
            <w:tcBorders>
              <w:right w:val="double" w:sz="4" w:space="0" w:color="auto"/>
            </w:tcBorders>
            <w:tcMar>
              <w:left w:w="72" w:type="dxa"/>
              <w:right w:w="72" w:type="dxa"/>
            </w:tcMar>
            <w:vAlign w:val="center"/>
          </w:tcPr>
          <w:p w14:paraId="4843E6EA"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5</w:t>
            </w:r>
          </w:p>
        </w:tc>
      </w:tr>
      <w:tr w:rsidR="00C93D0D" w:rsidRPr="00C94F2C" w14:paraId="172D080D" w14:textId="77777777" w:rsidTr="00D3023D">
        <w:trPr>
          <w:trHeight w:val="360"/>
        </w:trPr>
        <w:tc>
          <w:tcPr>
            <w:tcW w:w="1065" w:type="dxa"/>
            <w:tcBorders>
              <w:left w:val="double" w:sz="4" w:space="0" w:color="auto"/>
            </w:tcBorders>
            <w:tcMar>
              <w:left w:w="72" w:type="dxa"/>
              <w:right w:w="72" w:type="dxa"/>
            </w:tcMar>
            <w:vAlign w:val="center"/>
          </w:tcPr>
          <w:p w14:paraId="0EB4426C"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3464F117"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Once/week</w:t>
            </w:r>
          </w:p>
        </w:tc>
        <w:tc>
          <w:tcPr>
            <w:tcW w:w="2700" w:type="dxa"/>
            <w:tcMar>
              <w:left w:w="72" w:type="dxa"/>
              <w:right w:w="72" w:type="dxa"/>
            </w:tcMar>
            <w:vAlign w:val="center"/>
          </w:tcPr>
          <w:p w14:paraId="1F81E09D" w14:textId="27FF9086" w:rsidR="00C93D0D" w:rsidRPr="00C94F2C" w:rsidRDefault="0044761E" w:rsidP="00D3023D">
            <w:pPr>
              <w:jc w:val="left"/>
              <w:rPr>
                <w:rFonts w:ascii="Times New Roman" w:hAnsi="Times New Roman" w:cs="Times New Roman"/>
                <w:color w:val="000000"/>
              </w:rPr>
            </w:pPr>
            <w:r>
              <w:rPr>
                <w:rFonts w:ascii="Times New Roman" w:hAnsi="Times New Roman" w:cs="Times New Roman"/>
                <w:color w:val="000000"/>
              </w:rPr>
              <w:t xml:space="preserve">Both </w:t>
            </w:r>
            <w:r w:rsidR="00C93D0D" w:rsidRPr="00C94F2C">
              <w:rPr>
                <w:rFonts w:ascii="Times New Roman" w:hAnsi="Times New Roman" w:cs="Times New Roman"/>
                <w:color w:val="000000"/>
              </w:rPr>
              <w:t>Home &amp; Third</w:t>
            </w:r>
            <w:r>
              <w:rPr>
                <w:rFonts w:ascii="Times New Roman" w:hAnsi="Times New Roman" w:cs="Times New Roman"/>
                <w:color w:val="000000"/>
              </w:rPr>
              <w:t xml:space="preserve"> location</w:t>
            </w:r>
          </w:p>
        </w:tc>
        <w:tc>
          <w:tcPr>
            <w:tcW w:w="1153" w:type="dxa"/>
            <w:tcMar>
              <w:left w:w="72" w:type="dxa"/>
              <w:right w:w="72" w:type="dxa"/>
            </w:tcMar>
            <w:vAlign w:val="center"/>
          </w:tcPr>
          <w:p w14:paraId="5492B808"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11</w:t>
            </w:r>
          </w:p>
        </w:tc>
        <w:tc>
          <w:tcPr>
            <w:tcW w:w="1277" w:type="dxa"/>
            <w:tcMar>
              <w:left w:w="72" w:type="dxa"/>
              <w:right w:w="72" w:type="dxa"/>
            </w:tcMar>
            <w:vAlign w:val="center"/>
          </w:tcPr>
          <w:p w14:paraId="1BAAF24F"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9</w:t>
            </w:r>
          </w:p>
        </w:tc>
        <w:tc>
          <w:tcPr>
            <w:tcW w:w="1407" w:type="dxa"/>
            <w:tcBorders>
              <w:right w:val="double" w:sz="4" w:space="0" w:color="auto"/>
            </w:tcBorders>
            <w:tcMar>
              <w:left w:w="72" w:type="dxa"/>
              <w:right w:w="72" w:type="dxa"/>
            </w:tcMar>
            <w:vAlign w:val="center"/>
          </w:tcPr>
          <w:p w14:paraId="081E8DA8"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9</w:t>
            </w:r>
          </w:p>
        </w:tc>
      </w:tr>
      <w:tr w:rsidR="00C93D0D" w:rsidRPr="00C94F2C" w14:paraId="6D3DFFFC" w14:textId="77777777" w:rsidTr="00D3023D">
        <w:trPr>
          <w:trHeight w:val="360"/>
        </w:trPr>
        <w:tc>
          <w:tcPr>
            <w:tcW w:w="1065" w:type="dxa"/>
            <w:tcBorders>
              <w:left w:val="double" w:sz="4" w:space="0" w:color="auto"/>
            </w:tcBorders>
            <w:tcMar>
              <w:left w:w="72" w:type="dxa"/>
              <w:right w:w="72" w:type="dxa"/>
            </w:tcMar>
            <w:vAlign w:val="center"/>
          </w:tcPr>
          <w:p w14:paraId="359AA008"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07FA2D6C"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2-4 days/week</w:t>
            </w:r>
          </w:p>
        </w:tc>
        <w:tc>
          <w:tcPr>
            <w:tcW w:w="2700" w:type="dxa"/>
            <w:tcMar>
              <w:left w:w="72" w:type="dxa"/>
              <w:right w:w="72" w:type="dxa"/>
            </w:tcMar>
            <w:vAlign w:val="center"/>
          </w:tcPr>
          <w:p w14:paraId="23AD4BE6"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Home only</w:t>
            </w:r>
          </w:p>
        </w:tc>
        <w:tc>
          <w:tcPr>
            <w:tcW w:w="1153" w:type="dxa"/>
            <w:tcMar>
              <w:left w:w="72" w:type="dxa"/>
              <w:right w:w="72" w:type="dxa"/>
            </w:tcMar>
            <w:vAlign w:val="center"/>
          </w:tcPr>
          <w:p w14:paraId="4A456ADB"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231</w:t>
            </w:r>
          </w:p>
        </w:tc>
        <w:tc>
          <w:tcPr>
            <w:tcW w:w="1277" w:type="dxa"/>
            <w:tcMar>
              <w:left w:w="72" w:type="dxa"/>
              <w:right w:w="72" w:type="dxa"/>
            </w:tcMar>
            <w:vAlign w:val="center"/>
          </w:tcPr>
          <w:p w14:paraId="64212527"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236</w:t>
            </w:r>
          </w:p>
        </w:tc>
        <w:tc>
          <w:tcPr>
            <w:tcW w:w="1407" w:type="dxa"/>
            <w:tcBorders>
              <w:right w:val="double" w:sz="4" w:space="0" w:color="auto"/>
            </w:tcBorders>
            <w:tcMar>
              <w:left w:w="72" w:type="dxa"/>
              <w:right w:w="72" w:type="dxa"/>
            </w:tcMar>
            <w:vAlign w:val="center"/>
          </w:tcPr>
          <w:p w14:paraId="669B41F3"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239</w:t>
            </w:r>
          </w:p>
        </w:tc>
      </w:tr>
      <w:tr w:rsidR="00C93D0D" w:rsidRPr="00C94F2C" w14:paraId="2A23905E" w14:textId="77777777" w:rsidTr="00D3023D">
        <w:trPr>
          <w:trHeight w:val="360"/>
        </w:trPr>
        <w:tc>
          <w:tcPr>
            <w:tcW w:w="1065" w:type="dxa"/>
            <w:tcBorders>
              <w:left w:val="double" w:sz="4" w:space="0" w:color="auto"/>
            </w:tcBorders>
            <w:tcMar>
              <w:left w:w="72" w:type="dxa"/>
              <w:right w:w="72" w:type="dxa"/>
            </w:tcMar>
            <w:vAlign w:val="center"/>
          </w:tcPr>
          <w:p w14:paraId="7E925849"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4F51DE88"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2-4 days/week</w:t>
            </w:r>
          </w:p>
        </w:tc>
        <w:tc>
          <w:tcPr>
            <w:tcW w:w="2700" w:type="dxa"/>
            <w:tcMar>
              <w:left w:w="72" w:type="dxa"/>
              <w:right w:w="72" w:type="dxa"/>
            </w:tcMar>
            <w:vAlign w:val="center"/>
          </w:tcPr>
          <w:p w14:paraId="12D2E48C" w14:textId="1B51468F"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Third</w:t>
            </w:r>
            <w:r w:rsidR="0044761E">
              <w:rPr>
                <w:rFonts w:ascii="Times New Roman" w:hAnsi="Times New Roman" w:cs="Times New Roman"/>
                <w:color w:val="000000"/>
              </w:rPr>
              <w:t xml:space="preserve"> location </w:t>
            </w:r>
            <w:r w:rsidRPr="00C94F2C">
              <w:rPr>
                <w:rFonts w:ascii="Times New Roman" w:hAnsi="Times New Roman" w:cs="Times New Roman"/>
                <w:color w:val="000000"/>
              </w:rPr>
              <w:t>only</w:t>
            </w:r>
          </w:p>
        </w:tc>
        <w:tc>
          <w:tcPr>
            <w:tcW w:w="1153" w:type="dxa"/>
            <w:tcMar>
              <w:left w:w="72" w:type="dxa"/>
              <w:right w:w="72" w:type="dxa"/>
            </w:tcMar>
            <w:vAlign w:val="center"/>
          </w:tcPr>
          <w:p w14:paraId="3F9679DE"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8</w:t>
            </w:r>
          </w:p>
        </w:tc>
        <w:tc>
          <w:tcPr>
            <w:tcW w:w="1277" w:type="dxa"/>
            <w:tcMar>
              <w:left w:w="72" w:type="dxa"/>
              <w:right w:w="72" w:type="dxa"/>
            </w:tcMar>
            <w:vAlign w:val="center"/>
          </w:tcPr>
          <w:p w14:paraId="0ACE1D88"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10</w:t>
            </w:r>
          </w:p>
        </w:tc>
        <w:tc>
          <w:tcPr>
            <w:tcW w:w="1407" w:type="dxa"/>
            <w:tcBorders>
              <w:right w:val="double" w:sz="4" w:space="0" w:color="auto"/>
            </w:tcBorders>
            <w:tcMar>
              <w:left w:w="72" w:type="dxa"/>
              <w:right w:w="72" w:type="dxa"/>
            </w:tcMar>
            <w:vAlign w:val="center"/>
          </w:tcPr>
          <w:p w14:paraId="204FA2C1"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11</w:t>
            </w:r>
          </w:p>
        </w:tc>
      </w:tr>
      <w:tr w:rsidR="00C93D0D" w:rsidRPr="00C94F2C" w14:paraId="5E7C186A" w14:textId="77777777" w:rsidTr="00D3023D">
        <w:trPr>
          <w:trHeight w:val="360"/>
        </w:trPr>
        <w:tc>
          <w:tcPr>
            <w:tcW w:w="1065" w:type="dxa"/>
            <w:tcBorders>
              <w:left w:val="double" w:sz="4" w:space="0" w:color="auto"/>
            </w:tcBorders>
            <w:tcMar>
              <w:left w:w="72" w:type="dxa"/>
              <w:right w:w="72" w:type="dxa"/>
            </w:tcMar>
            <w:vAlign w:val="center"/>
          </w:tcPr>
          <w:p w14:paraId="31664037"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3ABA3E32"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2-4 days/week</w:t>
            </w:r>
          </w:p>
        </w:tc>
        <w:tc>
          <w:tcPr>
            <w:tcW w:w="2700" w:type="dxa"/>
            <w:tcMar>
              <w:left w:w="72" w:type="dxa"/>
              <w:right w:w="72" w:type="dxa"/>
            </w:tcMar>
            <w:vAlign w:val="center"/>
          </w:tcPr>
          <w:p w14:paraId="15F0D131" w14:textId="215B62A1" w:rsidR="00C93D0D" w:rsidRPr="00C94F2C" w:rsidRDefault="0044761E" w:rsidP="00D3023D">
            <w:pPr>
              <w:jc w:val="left"/>
              <w:rPr>
                <w:rFonts w:ascii="Times New Roman" w:hAnsi="Times New Roman" w:cs="Times New Roman"/>
                <w:color w:val="000000"/>
              </w:rPr>
            </w:pPr>
            <w:r>
              <w:rPr>
                <w:rFonts w:ascii="Times New Roman" w:hAnsi="Times New Roman" w:cs="Times New Roman"/>
                <w:color w:val="000000"/>
              </w:rPr>
              <w:t xml:space="preserve">Both </w:t>
            </w:r>
            <w:r w:rsidR="00C93D0D" w:rsidRPr="00C94F2C">
              <w:rPr>
                <w:rFonts w:ascii="Times New Roman" w:hAnsi="Times New Roman" w:cs="Times New Roman"/>
                <w:color w:val="000000"/>
              </w:rPr>
              <w:t>Home &amp; Third</w:t>
            </w:r>
            <w:r>
              <w:rPr>
                <w:rFonts w:ascii="Times New Roman" w:hAnsi="Times New Roman" w:cs="Times New Roman"/>
                <w:color w:val="000000"/>
              </w:rPr>
              <w:t xml:space="preserve"> location</w:t>
            </w:r>
          </w:p>
        </w:tc>
        <w:tc>
          <w:tcPr>
            <w:tcW w:w="1153" w:type="dxa"/>
            <w:tcMar>
              <w:left w:w="72" w:type="dxa"/>
              <w:right w:w="72" w:type="dxa"/>
            </w:tcMar>
            <w:vAlign w:val="center"/>
          </w:tcPr>
          <w:p w14:paraId="52961426"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24</w:t>
            </w:r>
          </w:p>
        </w:tc>
        <w:tc>
          <w:tcPr>
            <w:tcW w:w="1277" w:type="dxa"/>
            <w:tcMar>
              <w:left w:w="72" w:type="dxa"/>
              <w:right w:w="72" w:type="dxa"/>
            </w:tcMar>
            <w:vAlign w:val="center"/>
          </w:tcPr>
          <w:p w14:paraId="628FDD5B"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19</w:t>
            </w:r>
          </w:p>
        </w:tc>
        <w:tc>
          <w:tcPr>
            <w:tcW w:w="1407" w:type="dxa"/>
            <w:tcBorders>
              <w:right w:val="double" w:sz="4" w:space="0" w:color="auto"/>
            </w:tcBorders>
            <w:tcMar>
              <w:left w:w="72" w:type="dxa"/>
              <w:right w:w="72" w:type="dxa"/>
            </w:tcMar>
            <w:vAlign w:val="center"/>
          </w:tcPr>
          <w:p w14:paraId="442BC6F2"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16</w:t>
            </w:r>
          </w:p>
        </w:tc>
      </w:tr>
      <w:tr w:rsidR="00C93D0D" w:rsidRPr="00C94F2C" w14:paraId="3D9DD788" w14:textId="77777777" w:rsidTr="00D3023D">
        <w:trPr>
          <w:trHeight w:val="360"/>
        </w:trPr>
        <w:tc>
          <w:tcPr>
            <w:tcW w:w="1065" w:type="dxa"/>
            <w:tcBorders>
              <w:left w:val="double" w:sz="4" w:space="0" w:color="auto"/>
            </w:tcBorders>
            <w:tcMar>
              <w:left w:w="72" w:type="dxa"/>
              <w:right w:w="72" w:type="dxa"/>
            </w:tcMar>
            <w:vAlign w:val="center"/>
          </w:tcPr>
          <w:p w14:paraId="59C186EE"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70622BEE"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5 days/week</w:t>
            </w:r>
          </w:p>
        </w:tc>
        <w:tc>
          <w:tcPr>
            <w:tcW w:w="2700" w:type="dxa"/>
            <w:tcMar>
              <w:left w:w="72" w:type="dxa"/>
              <w:right w:w="72" w:type="dxa"/>
            </w:tcMar>
            <w:vAlign w:val="center"/>
          </w:tcPr>
          <w:p w14:paraId="013C30A4"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Home only</w:t>
            </w:r>
          </w:p>
        </w:tc>
        <w:tc>
          <w:tcPr>
            <w:tcW w:w="1153" w:type="dxa"/>
            <w:tcMar>
              <w:left w:w="72" w:type="dxa"/>
              <w:right w:w="72" w:type="dxa"/>
            </w:tcMar>
            <w:vAlign w:val="center"/>
          </w:tcPr>
          <w:p w14:paraId="7D22BBB2"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325</w:t>
            </w:r>
          </w:p>
        </w:tc>
        <w:tc>
          <w:tcPr>
            <w:tcW w:w="1277" w:type="dxa"/>
            <w:tcMar>
              <w:left w:w="72" w:type="dxa"/>
              <w:right w:w="72" w:type="dxa"/>
            </w:tcMar>
            <w:vAlign w:val="center"/>
          </w:tcPr>
          <w:p w14:paraId="38879DBE"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324</w:t>
            </w:r>
          </w:p>
        </w:tc>
        <w:tc>
          <w:tcPr>
            <w:tcW w:w="1407" w:type="dxa"/>
            <w:tcBorders>
              <w:right w:val="double" w:sz="4" w:space="0" w:color="auto"/>
            </w:tcBorders>
            <w:tcMar>
              <w:left w:w="72" w:type="dxa"/>
              <w:right w:w="72" w:type="dxa"/>
            </w:tcMar>
            <w:vAlign w:val="center"/>
          </w:tcPr>
          <w:p w14:paraId="45BB4DA0"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314</w:t>
            </w:r>
          </w:p>
        </w:tc>
      </w:tr>
      <w:tr w:rsidR="00C93D0D" w:rsidRPr="00C94F2C" w14:paraId="09862391" w14:textId="77777777" w:rsidTr="00D3023D">
        <w:trPr>
          <w:trHeight w:val="360"/>
        </w:trPr>
        <w:tc>
          <w:tcPr>
            <w:tcW w:w="1065" w:type="dxa"/>
            <w:tcBorders>
              <w:left w:val="double" w:sz="4" w:space="0" w:color="auto"/>
            </w:tcBorders>
            <w:tcMar>
              <w:left w:w="72" w:type="dxa"/>
              <w:right w:w="72" w:type="dxa"/>
            </w:tcMar>
            <w:vAlign w:val="center"/>
          </w:tcPr>
          <w:p w14:paraId="6B623F2A"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331E2864"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5 days/week</w:t>
            </w:r>
          </w:p>
        </w:tc>
        <w:tc>
          <w:tcPr>
            <w:tcW w:w="2700" w:type="dxa"/>
            <w:tcMar>
              <w:left w:w="72" w:type="dxa"/>
              <w:right w:w="72" w:type="dxa"/>
            </w:tcMar>
            <w:vAlign w:val="center"/>
          </w:tcPr>
          <w:p w14:paraId="2700612B" w14:textId="0EC46440"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Third</w:t>
            </w:r>
            <w:r w:rsidR="0044761E">
              <w:rPr>
                <w:rFonts w:ascii="Times New Roman" w:hAnsi="Times New Roman" w:cs="Times New Roman"/>
                <w:color w:val="000000"/>
              </w:rPr>
              <w:t xml:space="preserve"> location </w:t>
            </w:r>
            <w:r w:rsidRPr="00C94F2C">
              <w:rPr>
                <w:rFonts w:ascii="Times New Roman" w:hAnsi="Times New Roman" w:cs="Times New Roman"/>
                <w:color w:val="000000"/>
              </w:rPr>
              <w:t>only</w:t>
            </w:r>
          </w:p>
        </w:tc>
        <w:tc>
          <w:tcPr>
            <w:tcW w:w="1153" w:type="dxa"/>
            <w:tcMar>
              <w:left w:w="72" w:type="dxa"/>
              <w:right w:w="72" w:type="dxa"/>
            </w:tcMar>
            <w:vAlign w:val="center"/>
          </w:tcPr>
          <w:p w14:paraId="549C641E"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13</w:t>
            </w:r>
          </w:p>
        </w:tc>
        <w:tc>
          <w:tcPr>
            <w:tcW w:w="1277" w:type="dxa"/>
            <w:tcMar>
              <w:left w:w="72" w:type="dxa"/>
              <w:right w:w="72" w:type="dxa"/>
            </w:tcMar>
            <w:vAlign w:val="center"/>
          </w:tcPr>
          <w:p w14:paraId="0EB9C744"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11</w:t>
            </w:r>
          </w:p>
        </w:tc>
        <w:tc>
          <w:tcPr>
            <w:tcW w:w="1407" w:type="dxa"/>
            <w:tcBorders>
              <w:right w:val="double" w:sz="4" w:space="0" w:color="auto"/>
            </w:tcBorders>
            <w:tcMar>
              <w:left w:w="72" w:type="dxa"/>
              <w:right w:w="72" w:type="dxa"/>
            </w:tcMar>
            <w:vAlign w:val="center"/>
          </w:tcPr>
          <w:p w14:paraId="081E328E"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15</w:t>
            </w:r>
          </w:p>
        </w:tc>
      </w:tr>
      <w:tr w:rsidR="00C93D0D" w:rsidRPr="00C94F2C" w14:paraId="48C87CA0" w14:textId="77777777" w:rsidTr="00D3023D">
        <w:trPr>
          <w:trHeight w:val="360"/>
        </w:trPr>
        <w:tc>
          <w:tcPr>
            <w:tcW w:w="1065" w:type="dxa"/>
            <w:tcBorders>
              <w:left w:val="double" w:sz="4" w:space="0" w:color="auto"/>
            </w:tcBorders>
            <w:tcMar>
              <w:left w:w="72" w:type="dxa"/>
              <w:right w:w="72" w:type="dxa"/>
            </w:tcMar>
            <w:vAlign w:val="center"/>
          </w:tcPr>
          <w:p w14:paraId="7A0F2B11"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Yes</w:t>
            </w:r>
          </w:p>
        </w:tc>
        <w:tc>
          <w:tcPr>
            <w:tcW w:w="1710" w:type="dxa"/>
            <w:tcMar>
              <w:left w:w="72" w:type="dxa"/>
              <w:right w:w="72" w:type="dxa"/>
            </w:tcMar>
            <w:vAlign w:val="center"/>
          </w:tcPr>
          <w:p w14:paraId="32F430A0" w14:textId="77777777" w:rsidR="00C93D0D" w:rsidRPr="00C94F2C" w:rsidRDefault="00C93D0D" w:rsidP="00D3023D">
            <w:pPr>
              <w:jc w:val="left"/>
              <w:rPr>
                <w:rFonts w:ascii="Times New Roman" w:hAnsi="Times New Roman" w:cs="Times New Roman"/>
                <w:color w:val="000000"/>
              </w:rPr>
            </w:pPr>
            <w:r w:rsidRPr="00C94F2C">
              <w:rPr>
                <w:rFonts w:ascii="Times New Roman" w:hAnsi="Times New Roman" w:cs="Times New Roman"/>
                <w:color w:val="000000"/>
              </w:rPr>
              <w:t>5 days/week</w:t>
            </w:r>
          </w:p>
        </w:tc>
        <w:tc>
          <w:tcPr>
            <w:tcW w:w="2700" w:type="dxa"/>
            <w:tcMar>
              <w:left w:w="72" w:type="dxa"/>
              <w:right w:w="72" w:type="dxa"/>
            </w:tcMar>
            <w:vAlign w:val="center"/>
          </w:tcPr>
          <w:p w14:paraId="5CFA30EE" w14:textId="4A7E451D" w:rsidR="00C93D0D" w:rsidRPr="00C94F2C" w:rsidRDefault="0044761E" w:rsidP="00D3023D">
            <w:pPr>
              <w:jc w:val="left"/>
              <w:rPr>
                <w:rFonts w:ascii="Times New Roman" w:hAnsi="Times New Roman" w:cs="Times New Roman"/>
                <w:color w:val="000000"/>
              </w:rPr>
            </w:pPr>
            <w:r>
              <w:rPr>
                <w:rFonts w:ascii="Times New Roman" w:hAnsi="Times New Roman" w:cs="Times New Roman"/>
                <w:color w:val="000000"/>
              </w:rPr>
              <w:t xml:space="preserve">Both </w:t>
            </w:r>
            <w:r w:rsidR="00C93D0D" w:rsidRPr="00C94F2C">
              <w:rPr>
                <w:rFonts w:ascii="Times New Roman" w:hAnsi="Times New Roman" w:cs="Times New Roman"/>
                <w:color w:val="000000"/>
              </w:rPr>
              <w:t xml:space="preserve">Home &amp; </w:t>
            </w:r>
            <w:r>
              <w:rPr>
                <w:rFonts w:ascii="Times New Roman" w:hAnsi="Times New Roman" w:cs="Times New Roman"/>
                <w:color w:val="000000"/>
              </w:rPr>
              <w:t>Third location</w:t>
            </w:r>
          </w:p>
        </w:tc>
        <w:tc>
          <w:tcPr>
            <w:tcW w:w="1153" w:type="dxa"/>
            <w:tcMar>
              <w:left w:w="72" w:type="dxa"/>
              <w:right w:w="72" w:type="dxa"/>
            </w:tcMar>
            <w:vAlign w:val="center"/>
          </w:tcPr>
          <w:p w14:paraId="05340D41"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20</w:t>
            </w:r>
          </w:p>
        </w:tc>
        <w:tc>
          <w:tcPr>
            <w:tcW w:w="1277" w:type="dxa"/>
            <w:tcMar>
              <w:left w:w="72" w:type="dxa"/>
              <w:right w:w="72" w:type="dxa"/>
            </w:tcMar>
            <w:vAlign w:val="center"/>
          </w:tcPr>
          <w:p w14:paraId="38ED3494"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23</w:t>
            </w:r>
          </w:p>
        </w:tc>
        <w:tc>
          <w:tcPr>
            <w:tcW w:w="1407" w:type="dxa"/>
            <w:tcBorders>
              <w:right w:val="double" w:sz="4" w:space="0" w:color="auto"/>
            </w:tcBorders>
            <w:tcMar>
              <w:left w:w="72" w:type="dxa"/>
              <w:right w:w="72" w:type="dxa"/>
            </w:tcMar>
            <w:vAlign w:val="center"/>
          </w:tcPr>
          <w:p w14:paraId="7F06F3EB" w14:textId="77777777" w:rsidR="00C93D0D" w:rsidRPr="00C94F2C" w:rsidRDefault="00C93D0D" w:rsidP="00D3023D">
            <w:pPr>
              <w:jc w:val="right"/>
              <w:rPr>
                <w:rFonts w:ascii="Times New Roman" w:hAnsi="Times New Roman" w:cs="Times New Roman"/>
                <w:color w:val="000000"/>
              </w:rPr>
            </w:pPr>
            <w:r w:rsidRPr="00C94F2C">
              <w:rPr>
                <w:rFonts w:ascii="Times New Roman" w:hAnsi="Times New Roman" w:cs="Times New Roman"/>
                <w:color w:val="000000"/>
              </w:rPr>
              <w:t>21</w:t>
            </w:r>
          </w:p>
        </w:tc>
      </w:tr>
      <w:tr w:rsidR="00C93D0D" w:rsidRPr="00C94F2C" w14:paraId="031522E6" w14:textId="77777777" w:rsidTr="00D3023D">
        <w:trPr>
          <w:trHeight w:val="360"/>
        </w:trPr>
        <w:tc>
          <w:tcPr>
            <w:tcW w:w="5475" w:type="dxa"/>
            <w:gridSpan w:val="3"/>
            <w:tcBorders>
              <w:left w:val="double" w:sz="4" w:space="0" w:color="auto"/>
              <w:bottom w:val="double" w:sz="4" w:space="0" w:color="auto"/>
            </w:tcBorders>
            <w:tcMar>
              <w:left w:w="72" w:type="dxa"/>
              <w:right w:w="72" w:type="dxa"/>
            </w:tcMar>
            <w:vAlign w:val="center"/>
          </w:tcPr>
          <w:p w14:paraId="4E61E283" w14:textId="77777777" w:rsidR="00C93D0D" w:rsidRPr="00C94F2C" w:rsidRDefault="00C93D0D" w:rsidP="00A15909">
            <w:pPr>
              <w:jc w:val="left"/>
              <w:rPr>
                <w:rFonts w:ascii="Times New Roman" w:hAnsi="Times New Roman" w:cs="Times New Roman"/>
                <w:b/>
              </w:rPr>
            </w:pPr>
            <w:r w:rsidRPr="00C94F2C">
              <w:rPr>
                <w:rFonts w:ascii="Times New Roman" w:hAnsi="Times New Roman" w:cs="Times New Roman"/>
                <w:b/>
              </w:rPr>
              <w:t>Weighted Absolute Percentage Error</w:t>
            </w:r>
          </w:p>
        </w:tc>
        <w:tc>
          <w:tcPr>
            <w:tcW w:w="1153" w:type="dxa"/>
            <w:tcBorders>
              <w:bottom w:val="double" w:sz="4" w:space="0" w:color="auto"/>
            </w:tcBorders>
            <w:tcMar>
              <w:left w:w="72" w:type="dxa"/>
              <w:right w:w="72" w:type="dxa"/>
            </w:tcMar>
            <w:vAlign w:val="center"/>
          </w:tcPr>
          <w:p w14:paraId="1C3B9402" w14:textId="77777777" w:rsidR="00C93D0D" w:rsidRPr="00C94F2C" w:rsidRDefault="00C93D0D" w:rsidP="00D3023D">
            <w:pPr>
              <w:jc w:val="right"/>
              <w:rPr>
                <w:rFonts w:ascii="Times New Roman" w:hAnsi="Times New Roman" w:cs="Times New Roman"/>
                <w:b/>
              </w:rPr>
            </w:pPr>
            <w:r w:rsidRPr="00C94F2C">
              <w:rPr>
                <w:rFonts w:ascii="Times New Roman" w:hAnsi="Times New Roman" w:cs="Times New Roman"/>
                <w:b/>
              </w:rPr>
              <w:t>--</w:t>
            </w:r>
          </w:p>
        </w:tc>
        <w:tc>
          <w:tcPr>
            <w:tcW w:w="1277" w:type="dxa"/>
            <w:tcBorders>
              <w:bottom w:val="double" w:sz="4" w:space="0" w:color="auto"/>
            </w:tcBorders>
            <w:tcMar>
              <w:left w:w="72" w:type="dxa"/>
              <w:right w:w="72" w:type="dxa"/>
            </w:tcMar>
            <w:vAlign w:val="center"/>
          </w:tcPr>
          <w:p w14:paraId="34A9D117" w14:textId="77777777" w:rsidR="00C93D0D" w:rsidRPr="00C94F2C" w:rsidRDefault="00C93D0D" w:rsidP="00D3023D">
            <w:pPr>
              <w:jc w:val="right"/>
              <w:rPr>
                <w:rFonts w:ascii="Times New Roman" w:hAnsi="Times New Roman" w:cs="Times New Roman"/>
                <w:b/>
              </w:rPr>
            </w:pPr>
            <w:r w:rsidRPr="00C94F2C">
              <w:rPr>
                <w:rFonts w:ascii="Times New Roman" w:hAnsi="Times New Roman" w:cs="Times New Roman"/>
                <w:b/>
              </w:rPr>
              <w:t>1.94%</w:t>
            </w:r>
          </w:p>
        </w:tc>
        <w:tc>
          <w:tcPr>
            <w:tcW w:w="1407" w:type="dxa"/>
            <w:tcBorders>
              <w:bottom w:val="double" w:sz="4" w:space="0" w:color="auto"/>
              <w:right w:val="double" w:sz="4" w:space="0" w:color="auto"/>
            </w:tcBorders>
            <w:tcMar>
              <w:left w:w="72" w:type="dxa"/>
              <w:right w:w="72" w:type="dxa"/>
            </w:tcMar>
            <w:vAlign w:val="center"/>
          </w:tcPr>
          <w:p w14:paraId="71C73A51" w14:textId="77777777" w:rsidR="00C93D0D" w:rsidRPr="00C94F2C" w:rsidRDefault="00C93D0D" w:rsidP="00D3023D">
            <w:pPr>
              <w:jc w:val="right"/>
              <w:rPr>
                <w:rFonts w:ascii="Times New Roman" w:hAnsi="Times New Roman" w:cs="Times New Roman"/>
                <w:b/>
              </w:rPr>
            </w:pPr>
            <w:r w:rsidRPr="00C94F2C">
              <w:rPr>
                <w:rFonts w:ascii="Times New Roman" w:hAnsi="Times New Roman" w:cs="Times New Roman"/>
                <w:b/>
              </w:rPr>
              <w:t>3.67%</w:t>
            </w:r>
          </w:p>
        </w:tc>
      </w:tr>
    </w:tbl>
    <w:p w14:paraId="155C59B6" w14:textId="77777777" w:rsidR="00C93D0D" w:rsidRPr="00767F5D" w:rsidRDefault="00C93D0D" w:rsidP="000D4FD3"/>
    <w:p w14:paraId="1F00F49E" w14:textId="354D6CBC" w:rsidR="007B5D81" w:rsidRPr="00837F9C" w:rsidRDefault="00A658F5" w:rsidP="000D4FD3">
      <w:pPr>
        <w:pStyle w:val="Heading1"/>
      </w:pPr>
      <w:r w:rsidRPr="00837F9C">
        <w:t xml:space="preserve">ESTIMATION OF </w:t>
      </w:r>
      <w:r w:rsidR="00633805" w:rsidRPr="00837F9C">
        <w:t xml:space="preserve">EXOGENOUS VARIABLE AND COVID SHIFT </w:t>
      </w:r>
      <w:r w:rsidRPr="00837F9C">
        <w:t>EFFECTS</w:t>
      </w:r>
    </w:p>
    <w:p w14:paraId="17B1C346" w14:textId="32EB81C6" w:rsidR="00EC6A88" w:rsidRPr="00B44AB6" w:rsidRDefault="009B7B9A" w:rsidP="00EC6A88">
      <w:pPr>
        <w:spacing w:after="0" w:line="276" w:lineRule="auto"/>
        <w:rPr>
          <w:rFonts w:ascii="Times New Roman" w:hAnsi="Times New Roman" w:cs="Times New Roman"/>
          <w:sz w:val="24"/>
          <w:szCs w:val="24"/>
        </w:rPr>
      </w:pPr>
      <w:r w:rsidRPr="00837F9C">
        <w:rPr>
          <w:rFonts w:ascii="Times New Roman" w:hAnsi="Times New Roman" w:cs="Times New Roman"/>
          <w:bCs/>
          <w:sz w:val="24"/>
          <w:szCs w:val="24"/>
        </w:rPr>
        <w:t xml:space="preserve">The model results presented in Table 3 </w:t>
      </w:r>
      <w:r w:rsidR="007F6262">
        <w:rPr>
          <w:rFonts w:ascii="Times New Roman" w:hAnsi="Times New Roman" w:cs="Times New Roman"/>
          <w:bCs/>
          <w:sz w:val="24"/>
          <w:szCs w:val="24"/>
        </w:rPr>
        <w:t>provide</w:t>
      </w:r>
      <w:r w:rsidR="0044761E">
        <w:rPr>
          <w:rFonts w:ascii="Times New Roman" w:hAnsi="Times New Roman" w:cs="Times New Roman"/>
          <w:bCs/>
          <w:sz w:val="24"/>
          <w:szCs w:val="24"/>
        </w:rPr>
        <w:t xml:space="preserve">, for each of the </w:t>
      </w:r>
      <w:r w:rsidR="0044761E" w:rsidRPr="00B44AB6">
        <w:rPr>
          <w:rFonts w:ascii="Times New Roman" w:hAnsi="Times New Roman" w:cs="Times New Roman"/>
          <w:bCs/>
          <w:i/>
          <w:sz w:val="24"/>
          <w:szCs w:val="24"/>
        </w:rPr>
        <w:t>Before</w:t>
      </w:r>
      <w:r w:rsidR="0044761E">
        <w:rPr>
          <w:rFonts w:ascii="Times New Roman" w:hAnsi="Times New Roman" w:cs="Times New Roman"/>
          <w:bCs/>
          <w:sz w:val="24"/>
          <w:szCs w:val="24"/>
        </w:rPr>
        <w:t xml:space="preserve"> and </w:t>
      </w:r>
      <w:r w:rsidR="0044761E" w:rsidRPr="00B44AB6">
        <w:rPr>
          <w:rFonts w:ascii="Times New Roman" w:hAnsi="Times New Roman" w:cs="Times New Roman"/>
          <w:bCs/>
          <w:i/>
          <w:sz w:val="24"/>
          <w:szCs w:val="24"/>
        </w:rPr>
        <w:t>After</w:t>
      </w:r>
      <w:r w:rsidR="0044761E">
        <w:rPr>
          <w:rFonts w:ascii="Times New Roman" w:hAnsi="Times New Roman" w:cs="Times New Roman"/>
          <w:bCs/>
          <w:sz w:val="24"/>
          <w:szCs w:val="24"/>
        </w:rPr>
        <w:t xml:space="preserve"> COVID periods,</w:t>
      </w:r>
      <w:r w:rsidR="007F6262">
        <w:rPr>
          <w:rFonts w:ascii="Times New Roman" w:hAnsi="Times New Roman" w:cs="Times New Roman"/>
          <w:bCs/>
          <w:sz w:val="24"/>
          <w:szCs w:val="24"/>
        </w:rPr>
        <w:t xml:space="preserve"> the </w:t>
      </w:r>
      <w:r w:rsidR="0044761E">
        <w:rPr>
          <w:rFonts w:ascii="Times New Roman" w:hAnsi="Times New Roman" w:cs="Times New Roman"/>
          <w:bCs/>
          <w:sz w:val="24"/>
          <w:szCs w:val="24"/>
        </w:rPr>
        <w:t xml:space="preserve">exogenous variable </w:t>
      </w:r>
      <w:r w:rsidR="007F6262">
        <w:rPr>
          <w:rFonts w:ascii="Times New Roman" w:hAnsi="Times New Roman" w:cs="Times New Roman"/>
          <w:bCs/>
          <w:sz w:val="24"/>
          <w:szCs w:val="24"/>
        </w:rPr>
        <w:t xml:space="preserve">effects on the underlying latent propensities for the telework adoption and telework frequency dimensions, and on utilities </w:t>
      </w:r>
      <w:r w:rsidR="0044761E">
        <w:rPr>
          <w:rFonts w:ascii="Times New Roman" w:hAnsi="Times New Roman" w:cs="Times New Roman"/>
          <w:bCs/>
          <w:sz w:val="24"/>
          <w:szCs w:val="24"/>
        </w:rPr>
        <w:t xml:space="preserve">for the work location choice dimension. However, these results do not immediately provide a sense of the direction and magnitude of exogenous variable effects on the actual telework adoption/frequency/location choices themselves. </w:t>
      </w:r>
      <w:r w:rsidRPr="00E1729F">
        <w:rPr>
          <w:rFonts w:ascii="Times New Roman" w:hAnsi="Times New Roman" w:cs="Times New Roman"/>
          <w:sz w:val="24"/>
          <w:szCs w:val="24"/>
          <w:shd w:val="clear" w:color="auto" w:fill="FFFFFF"/>
        </w:rPr>
        <w:t xml:space="preserve">We determine such directionality and magnitude effects using the concept of average treatment effects or ATEs. The ATE computes the impact on a downstream posterior variable of interest due to a </w:t>
      </w:r>
      <w:r w:rsidRPr="00E1729F">
        <w:rPr>
          <w:rFonts w:ascii="Times New Roman" w:hAnsi="Times New Roman" w:cs="Times New Roman"/>
          <w:sz w:val="24"/>
          <w:szCs w:val="24"/>
          <w:shd w:val="clear" w:color="auto" w:fill="FFFFFF"/>
        </w:rPr>
        <w:lastRenderedPageBreak/>
        <w:t>treatment that alters the state of an antecedent variable from </w:t>
      </w:r>
      <w:r w:rsidRPr="00E1729F">
        <w:rPr>
          <w:rFonts w:ascii="Times New Roman" w:hAnsi="Times New Roman" w:cs="Times New Roman"/>
          <w:i/>
          <w:iCs/>
          <w:sz w:val="24"/>
          <w:szCs w:val="24"/>
          <w:shd w:val="clear" w:color="auto" w:fill="FFFFFF"/>
        </w:rPr>
        <w:t>A</w:t>
      </w:r>
      <w:r w:rsidRPr="00E1729F">
        <w:rPr>
          <w:rFonts w:ascii="Times New Roman" w:hAnsi="Times New Roman" w:cs="Times New Roman"/>
          <w:sz w:val="24"/>
          <w:szCs w:val="24"/>
          <w:shd w:val="clear" w:color="auto" w:fill="FFFFFF"/>
        </w:rPr>
        <w:t> to </w:t>
      </w:r>
      <w:r w:rsidRPr="00E1729F">
        <w:rPr>
          <w:rFonts w:ascii="Times New Roman" w:hAnsi="Times New Roman" w:cs="Times New Roman"/>
          <w:i/>
          <w:iCs/>
          <w:sz w:val="24"/>
          <w:szCs w:val="24"/>
          <w:shd w:val="clear" w:color="auto" w:fill="FFFFFF"/>
        </w:rPr>
        <w:t>B</w:t>
      </w:r>
      <w:r w:rsidRPr="00E1729F">
        <w:rPr>
          <w:rFonts w:ascii="Times New Roman" w:hAnsi="Times New Roman" w:cs="Times New Roman"/>
          <w:sz w:val="24"/>
          <w:szCs w:val="24"/>
          <w:shd w:val="clear" w:color="auto" w:fill="FFFFFF"/>
        </w:rPr>
        <w:t>. In our case, the intent is to estimate the “treatment” effect of the COVID period on the teleworking behavior for each level of the exogenous variables; therefore, </w:t>
      </w:r>
      <w:r w:rsidRPr="00E1729F">
        <w:rPr>
          <w:rFonts w:ascii="Times New Roman" w:hAnsi="Times New Roman" w:cs="Times New Roman"/>
          <w:i/>
          <w:iCs/>
          <w:sz w:val="24"/>
          <w:szCs w:val="24"/>
          <w:shd w:val="clear" w:color="auto" w:fill="FFFFFF"/>
        </w:rPr>
        <w:t>A</w:t>
      </w:r>
      <w:r w:rsidRPr="00E1729F">
        <w:rPr>
          <w:rFonts w:ascii="Times New Roman" w:hAnsi="Times New Roman" w:cs="Times New Roman"/>
          <w:sz w:val="24"/>
          <w:szCs w:val="24"/>
          <w:shd w:val="clear" w:color="auto" w:fill="FFFFFF"/>
        </w:rPr>
        <w:t xml:space="preserve"> can be the state where an individual is in the </w:t>
      </w:r>
      <w:r w:rsidR="00700FD4">
        <w:rPr>
          <w:rFonts w:ascii="Times New Roman" w:hAnsi="Times New Roman" w:cs="Times New Roman"/>
          <w:i/>
          <w:sz w:val="24"/>
          <w:szCs w:val="24"/>
          <w:shd w:val="clear" w:color="auto" w:fill="FFFFFF"/>
        </w:rPr>
        <w:t>B</w:t>
      </w:r>
      <w:r w:rsidRPr="00961062">
        <w:rPr>
          <w:rFonts w:ascii="Times New Roman" w:hAnsi="Times New Roman" w:cs="Times New Roman"/>
          <w:i/>
          <w:sz w:val="24"/>
          <w:szCs w:val="24"/>
          <w:shd w:val="clear" w:color="auto" w:fill="FFFFFF"/>
        </w:rPr>
        <w:t>efore</w:t>
      </w:r>
      <w:r w:rsidR="00833777">
        <w:rPr>
          <w:rFonts w:ascii="Times New Roman" w:hAnsi="Times New Roman" w:cs="Times New Roman"/>
          <w:i/>
          <w:sz w:val="24"/>
          <w:szCs w:val="24"/>
          <w:shd w:val="clear" w:color="auto" w:fill="FFFFFF"/>
        </w:rPr>
        <w:t xml:space="preserve"> </w:t>
      </w:r>
      <w:r w:rsidRPr="00B44AB6">
        <w:rPr>
          <w:rFonts w:ascii="Times New Roman" w:hAnsi="Times New Roman" w:cs="Times New Roman"/>
          <w:sz w:val="24"/>
          <w:szCs w:val="24"/>
          <w:shd w:val="clear" w:color="auto" w:fill="FFFFFF"/>
        </w:rPr>
        <w:t xml:space="preserve">COVID </w:t>
      </w:r>
      <w:r w:rsidRPr="00E1729F">
        <w:rPr>
          <w:rFonts w:ascii="Times New Roman" w:hAnsi="Times New Roman" w:cs="Times New Roman"/>
          <w:sz w:val="24"/>
          <w:szCs w:val="24"/>
          <w:shd w:val="clear" w:color="auto" w:fill="FFFFFF"/>
        </w:rPr>
        <w:t>period and </w:t>
      </w:r>
      <w:r w:rsidRPr="00E1729F">
        <w:rPr>
          <w:rFonts w:ascii="Times New Roman" w:hAnsi="Times New Roman" w:cs="Times New Roman"/>
          <w:i/>
          <w:iCs/>
          <w:sz w:val="24"/>
          <w:szCs w:val="24"/>
          <w:shd w:val="clear" w:color="auto" w:fill="FFFFFF"/>
        </w:rPr>
        <w:t>B</w:t>
      </w:r>
      <w:r w:rsidRPr="00E1729F">
        <w:rPr>
          <w:rFonts w:ascii="Times New Roman" w:hAnsi="Times New Roman" w:cs="Times New Roman"/>
          <w:sz w:val="24"/>
          <w:szCs w:val="24"/>
          <w:shd w:val="clear" w:color="auto" w:fill="FFFFFF"/>
        </w:rPr>
        <w:t xml:space="preserve"> can be the state where the individual is in the </w:t>
      </w:r>
      <w:r w:rsidR="00700FD4">
        <w:rPr>
          <w:rFonts w:ascii="Times New Roman" w:hAnsi="Times New Roman" w:cs="Times New Roman"/>
          <w:i/>
          <w:sz w:val="24"/>
          <w:szCs w:val="24"/>
          <w:shd w:val="clear" w:color="auto" w:fill="FFFFFF"/>
        </w:rPr>
        <w:t>A</w:t>
      </w:r>
      <w:r w:rsidRPr="00961062">
        <w:rPr>
          <w:rFonts w:ascii="Times New Roman" w:hAnsi="Times New Roman" w:cs="Times New Roman"/>
          <w:i/>
          <w:sz w:val="24"/>
          <w:szCs w:val="24"/>
          <w:shd w:val="clear" w:color="auto" w:fill="FFFFFF"/>
        </w:rPr>
        <w:t>fter</w:t>
      </w:r>
      <w:r w:rsidR="00833777">
        <w:rPr>
          <w:rFonts w:ascii="Times New Roman" w:hAnsi="Times New Roman" w:cs="Times New Roman"/>
          <w:i/>
          <w:sz w:val="24"/>
          <w:szCs w:val="24"/>
          <w:shd w:val="clear" w:color="auto" w:fill="FFFFFF"/>
        </w:rPr>
        <w:t xml:space="preserve"> </w:t>
      </w:r>
      <w:r w:rsidRPr="00B44AB6">
        <w:rPr>
          <w:rFonts w:ascii="Times New Roman" w:hAnsi="Times New Roman" w:cs="Times New Roman"/>
          <w:sz w:val="24"/>
          <w:szCs w:val="24"/>
          <w:shd w:val="clear" w:color="auto" w:fill="FFFFFF"/>
        </w:rPr>
        <w:t>COVID</w:t>
      </w:r>
      <w:r w:rsidRPr="00E1729F">
        <w:rPr>
          <w:rFonts w:ascii="Times New Roman" w:hAnsi="Times New Roman" w:cs="Times New Roman"/>
          <w:sz w:val="24"/>
          <w:szCs w:val="24"/>
          <w:shd w:val="clear" w:color="auto" w:fill="FFFFFF"/>
        </w:rPr>
        <w:t xml:space="preserve"> period. To quantify the magnitude impact of the COVID time period across the exogenous variables, all individuals in the dataset are set to a particular category of an exogenous variable and also set to the “base” </w:t>
      </w:r>
      <w:r w:rsidR="00700FD4">
        <w:rPr>
          <w:rFonts w:ascii="Times New Roman" w:hAnsi="Times New Roman" w:cs="Times New Roman"/>
          <w:i/>
          <w:sz w:val="24"/>
          <w:szCs w:val="24"/>
          <w:shd w:val="clear" w:color="auto" w:fill="FFFFFF"/>
        </w:rPr>
        <w:t>B</w:t>
      </w:r>
      <w:r w:rsidRPr="00961062">
        <w:rPr>
          <w:rFonts w:ascii="Times New Roman" w:hAnsi="Times New Roman" w:cs="Times New Roman"/>
          <w:i/>
          <w:sz w:val="24"/>
          <w:szCs w:val="24"/>
          <w:shd w:val="clear" w:color="auto" w:fill="FFFFFF"/>
        </w:rPr>
        <w:t>efore</w:t>
      </w:r>
      <w:r w:rsidR="00833777">
        <w:rPr>
          <w:rFonts w:ascii="Times New Roman" w:hAnsi="Times New Roman" w:cs="Times New Roman"/>
          <w:i/>
          <w:sz w:val="24"/>
          <w:szCs w:val="24"/>
          <w:shd w:val="clear" w:color="auto" w:fill="FFFFFF"/>
        </w:rPr>
        <w:t xml:space="preserve"> </w:t>
      </w:r>
      <w:r w:rsidRPr="00B44AB6">
        <w:rPr>
          <w:rFonts w:ascii="Times New Roman" w:hAnsi="Times New Roman" w:cs="Times New Roman"/>
          <w:sz w:val="24"/>
          <w:szCs w:val="24"/>
          <w:shd w:val="clear" w:color="auto" w:fill="FFFFFF"/>
        </w:rPr>
        <w:t>COVID</w:t>
      </w:r>
      <w:r w:rsidRPr="00961062">
        <w:rPr>
          <w:rFonts w:ascii="Times New Roman" w:hAnsi="Times New Roman" w:cs="Times New Roman"/>
          <w:i/>
          <w:sz w:val="24"/>
          <w:szCs w:val="24"/>
          <w:shd w:val="clear" w:color="auto" w:fill="FFFFFF"/>
        </w:rPr>
        <w:t xml:space="preserve"> </w:t>
      </w:r>
      <w:r w:rsidRPr="00E1729F">
        <w:rPr>
          <w:rFonts w:ascii="Times New Roman" w:hAnsi="Times New Roman" w:cs="Times New Roman"/>
          <w:sz w:val="24"/>
          <w:szCs w:val="24"/>
          <w:shd w:val="clear" w:color="auto" w:fill="FFFFFF"/>
        </w:rPr>
        <w:t>state. Then, using our estimates, we can compute the joint probability of all possible multivariate combinations of our outcome variables at the individual level; next, we take the average across individuals to obtain the average probability of each of the multivariate combinations; finally, we take the marginal for each of our outcome variable (i.e., telework adoption percent, frequency and telework location shares) and present them as the magnitude effect corresponding to the specific state of the exogenous variable.</w:t>
      </w:r>
      <w:r w:rsidR="00BC498F">
        <w:rPr>
          <w:rFonts w:ascii="Times New Roman" w:hAnsi="Times New Roman" w:cs="Times New Roman"/>
          <w:sz w:val="24"/>
          <w:szCs w:val="24"/>
          <w:shd w:val="clear" w:color="auto" w:fill="FFFFFF"/>
        </w:rPr>
        <w:t xml:space="preserve"> </w:t>
      </w:r>
      <w:r w:rsidRPr="00E1729F">
        <w:rPr>
          <w:rFonts w:ascii="Times New Roman" w:hAnsi="Times New Roman" w:cs="Times New Roman"/>
          <w:sz w:val="24"/>
          <w:szCs w:val="24"/>
          <w:shd w:val="clear" w:color="auto" w:fill="FFFFFF"/>
        </w:rPr>
        <w:t xml:space="preserve">We then do this for the “treatment” </w:t>
      </w:r>
      <w:r w:rsidR="00700FD4">
        <w:rPr>
          <w:rFonts w:ascii="Times New Roman" w:hAnsi="Times New Roman" w:cs="Times New Roman"/>
          <w:i/>
          <w:sz w:val="24"/>
          <w:szCs w:val="24"/>
          <w:shd w:val="clear" w:color="auto" w:fill="FFFFFF"/>
        </w:rPr>
        <w:t>A</w:t>
      </w:r>
      <w:r w:rsidRPr="00961062">
        <w:rPr>
          <w:rFonts w:ascii="Times New Roman" w:hAnsi="Times New Roman" w:cs="Times New Roman"/>
          <w:i/>
          <w:sz w:val="24"/>
          <w:szCs w:val="24"/>
          <w:shd w:val="clear" w:color="auto" w:fill="FFFFFF"/>
        </w:rPr>
        <w:t>fter</w:t>
      </w:r>
      <w:r w:rsidR="00833777">
        <w:rPr>
          <w:rFonts w:ascii="Times New Roman" w:hAnsi="Times New Roman" w:cs="Times New Roman"/>
          <w:i/>
          <w:sz w:val="24"/>
          <w:szCs w:val="24"/>
          <w:shd w:val="clear" w:color="auto" w:fill="FFFFFF"/>
        </w:rPr>
        <w:t xml:space="preserve"> </w:t>
      </w:r>
      <w:r w:rsidRPr="00A15909">
        <w:rPr>
          <w:rFonts w:ascii="Times New Roman" w:hAnsi="Times New Roman" w:cs="Times New Roman"/>
          <w:sz w:val="24"/>
          <w:szCs w:val="24"/>
          <w:shd w:val="clear" w:color="auto" w:fill="FFFFFF"/>
        </w:rPr>
        <w:t>COVID</w:t>
      </w:r>
      <w:r w:rsidRPr="004D5DF9">
        <w:rPr>
          <w:rFonts w:ascii="Times New Roman" w:hAnsi="Times New Roman" w:cs="Times New Roman"/>
          <w:sz w:val="24"/>
          <w:szCs w:val="24"/>
          <w:shd w:val="clear" w:color="auto" w:fill="FFFFFF"/>
        </w:rPr>
        <w:t xml:space="preserve"> </w:t>
      </w:r>
      <w:r w:rsidRPr="00E1729F">
        <w:rPr>
          <w:rFonts w:ascii="Times New Roman" w:hAnsi="Times New Roman" w:cs="Times New Roman"/>
          <w:sz w:val="24"/>
          <w:szCs w:val="24"/>
          <w:shd w:val="clear" w:color="auto" w:fill="FFFFFF"/>
        </w:rPr>
        <w:t>state.</w:t>
      </w:r>
      <w:r w:rsidR="00BC498F">
        <w:rPr>
          <w:rFonts w:ascii="Times New Roman" w:hAnsi="Times New Roman" w:cs="Times New Roman"/>
          <w:sz w:val="24"/>
          <w:szCs w:val="24"/>
          <w:shd w:val="clear" w:color="auto" w:fill="FFFFFF"/>
        </w:rPr>
        <w:t xml:space="preserve"> </w:t>
      </w:r>
      <w:r w:rsidRPr="00E1729F">
        <w:rPr>
          <w:rFonts w:ascii="Times New Roman" w:hAnsi="Times New Roman" w:cs="Times New Roman"/>
          <w:sz w:val="24"/>
          <w:szCs w:val="24"/>
          <w:shd w:val="clear" w:color="auto" w:fill="FFFFFF"/>
        </w:rPr>
        <w:t>And finally, we compute the shifts in our dependent outcomes between the “base” and the “treatment” states i.e., the COVID period effects</w:t>
      </w:r>
      <w:r w:rsidRPr="00833777">
        <w:rPr>
          <w:rFonts w:ascii="Times New Roman" w:hAnsi="Times New Roman" w:cs="Times New Roman"/>
          <w:sz w:val="24"/>
          <w:szCs w:val="24"/>
          <w:shd w:val="clear" w:color="auto" w:fill="FFFFFF"/>
        </w:rPr>
        <w:t xml:space="preserve">. </w:t>
      </w:r>
      <w:r w:rsidR="0044761E" w:rsidRPr="00F835FA">
        <w:rPr>
          <w:rFonts w:ascii="Times New Roman" w:hAnsi="Times New Roman" w:cs="Times New Roman"/>
          <w:sz w:val="24"/>
          <w:szCs w:val="24"/>
        </w:rPr>
        <w:t xml:space="preserve">Also, to facilitate an understanding of the order-of-magnitude effects of variables, cardinal values </w:t>
      </w:r>
      <w:r w:rsidR="00EC6A88" w:rsidRPr="00F835FA">
        <w:rPr>
          <w:rFonts w:ascii="Times New Roman" w:hAnsi="Times New Roman" w:cs="Times New Roman"/>
          <w:sz w:val="24"/>
          <w:szCs w:val="24"/>
        </w:rPr>
        <w:t xml:space="preserve">on a monthly basis </w:t>
      </w:r>
      <w:r w:rsidR="0044761E" w:rsidRPr="00F835FA">
        <w:rPr>
          <w:rFonts w:ascii="Times New Roman" w:hAnsi="Times New Roman" w:cs="Times New Roman"/>
          <w:sz w:val="24"/>
          <w:szCs w:val="24"/>
        </w:rPr>
        <w:t xml:space="preserve">are assigned to each of the ordinal levels of the telework frequency dimension. The cardinal value assignments for the ordinal frequency levels in the model are as </w:t>
      </w:r>
      <w:r w:rsidR="0044761E" w:rsidRPr="00840C40">
        <w:rPr>
          <w:rFonts w:ascii="Times New Roman" w:hAnsi="Times New Roman" w:cs="Times New Roman"/>
          <w:sz w:val="24"/>
          <w:szCs w:val="24"/>
        </w:rPr>
        <w:t xml:space="preserve">follows: </w:t>
      </w:r>
      <w:r w:rsidR="0044761E" w:rsidRPr="00A15909">
        <w:rPr>
          <w:rFonts w:ascii="Times New Roman" w:hAnsi="Times New Roman" w:cs="Times New Roman"/>
          <w:sz w:val="24"/>
          <w:szCs w:val="24"/>
        </w:rPr>
        <w:t xml:space="preserve">(1) </w:t>
      </w:r>
      <w:r w:rsidR="00EC6A88" w:rsidRPr="00A15909">
        <w:rPr>
          <w:rFonts w:ascii="Times New Roman" w:hAnsi="Times New Roman" w:cs="Times New Roman"/>
          <w:sz w:val="24"/>
          <w:szCs w:val="24"/>
        </w:rPr>
        <w:t>Few times/month</w:t>
      </w:r>
      <w:r w:rsidR="0044761E" w:rsidRPr="00A15909">
        <w:rPr>
          <w:rFonts w:ascii="Times New Roman" w:hAnsi="Times New Roman" w:cs="Times New Roman"/>
          <w:sz w:val="24"/>
          <w:szCs w:val="24"/>
        </w:rPr>
        <w:t xml:space="preserve">= </w:t>
      </w:r>
      <w:r w:rsidR="00840C40">
        <w:rPr>
          <w:rFonts w:ascii="Times New Roman" w:hAnsi="Times New Roman" w:cs="Times New Roman"/>
          <w:sz w:val="24"/>
          <w:szCs w:val="24"/>
        </w:rPr>
        <w:t>2</w:t>
      </w:r>
      <w:r w:rsidR="0044761E" w:rsidRPr="00A15909">
        <w:rPr>
          <w:rFonts w:ascii="Times New Roman" w:hAnsi="Times New Roman" w:cs="Times New Roman"/>
          <w:sz w:val="24"/>
          <w:szCs w:val="24"/>
        </w:rPr>
        <w:t xml:space="preserve"> instances per month, (2) </w:t>
      </w:r>
      <w:r w:rsidR="00EC6A88" w:rsidRPr="00A15909">
        <w:rPr>
          <w:rFonts w:ascii="Times New Roman" w:hAnsi="Times New Roman" w:cs="Times New Roman"/>
          <w:sz w:val="24"/>
          <w:szCs w:val="24"/>
        </w:rPr>
        <w:t>Once/week =</w:t>
      </w:r>
      <w:r w:rsidR="00840C40" w:rsidRPr="00A15909">
        <w:rPr>
          <w:rFonts w:ascii="Times New Roman" w:hAnsi="Times New Roman" w:cs="Times New Roman"/>
          <w:sz w:val="24"/>
          <w:szCs w:val="24"/>
        </w:rPr>
        <w:t xml:space="preserve"> </w:t>
      </w:r>
      <w:r w:rsidR="00840C40">
        <w:rPr>
          <w:rFonts w:ascii="Times New Roman" w:hAnsi="Times New Roman" w:cs="Times New Roman"/>
          <w:sz w:val="24"/>
          <w:szCs w:val="24"/>
        </w:rPr>
        <w:t>5</w:t>
      </w:r>
      <w:r w:rsidR="00EC6A88" w:rsidRPr="00A15909">
        <w:rPr>
          <w:rFonts w:ascii="Times New Roman" w:hAnsi="Times New Roman" w:cs="Times New Roman"/>
          <w:sz w:val="24"/>
          <w:szCs w:val="24"/>
        </w:rPr>
        <w:t xml:space="preserve"> </w:t>
      </w:r>
      <w:r w:rsidR="0044761E" w:rsidRPr="00A15909">
        <w:rPr>
          <w:rFonts w:ascii="Times New Roman" w:hAnsi="Times New Roman" w:cs="Times New Roman"/>
          <w:sz w:val="24"/>
          <w:szCs w:val="24"/>
        </w:rPr>
        <w:t xml:space="preserve">instances per month, (3) </w:t>
      </w:r>
      <w:r w:rsidR="00EC6A88" w:rsidRPr="00A15909">
        <w:rPr>
          <w:rFonts w:ascii="Times New Roman" w:hAnsi="Times New Roman" w:cs="Times New Roman"/>
          <w:sz w:val="24"/>
          <w:szCs w:val="24"/>
        </w:rPr>
        <w:t>2-4 days/week</w:t>
      </w:r>
      <w:r w:rsidR="0044761E" w:rsidRPr="00A15909">
        <w:rPr>
          <w:rFonts w:ascii="Times New Roman" w:hAnsi="Times New Roman" w:cs="Times New Roman"/>
          <w:sz w:val="24"/>
          <w:szCs w:val="24"/>
        </w:rPr>
        <w:t xml:space="preserve">= </w:t>
      </w:r>
      <w:r w:rsidR="00840C40" w:rsidRPr="00A15909">
        <w:rPr>
          <w:rFonts w:ascii="Times New Roman" w:hAnsi="Times New Roman" w:cs="Times New Roman"/>
          <w:sz w:val="24"/>
          <w:szCs w:val="24"/>
        </w:rPr>
        <w:t>15</w:t>
      </w:r>
      <w:r w:rsidR="0044761E" w:rsidRPr="00A15909">
        <w:rPr>
          <w:rFonts w:ascii="Times New Roman" w:hAnsi="Times New Roman" w:cs="Times New Roman"/>
          <w:sz w:val="24"/>
          <w:szCs w:val="24"/>
        </w:rPr>
        <w:t xml:space="preserve"> instances per month, (4) </w:t>
      </w:r>
      <w:r w:rsidR="00EC6A88" w:rsidRPr="00A15909">
        <w:rPr>
          <w:rFonts w:ascii="Times New Roman" w:hAnsi="Times New Roman" w:cs="Times New Roman"/>
          <w:sz w:val="24"/>
          <w:szCs w:val="24"/>
        </w:rPr>
        <w:t>5 days per week = 22 instances per week.</w:t>
      </w:r>
      <w:r w:rsidR="0044761E" w:rsidRPr="00840C40">
        <w:rPr>
          <w:rFonts w:ascii="Times New Roman" w:hAnsi="Times New Roman" w:cs="Times New Roman"/>
          <w:sz w:val="24"/>
          <w:szCs w:val="24"/>
        </w:rPr>
        <w:t xml:space="preserve"> </w:t>
      </w:r>
      <w:r w:rsidR="00EC6A88" w:rsidRPr="00840C40">
        <w:rPr>
          <w:rFonts w:ascii="Times New Roman" w:hAnsi="Times New Roman" w:cs="Times New Roman"/>
          <w:sz w:val="24"/>
          <w:szCs w:val="24"/>
        </w:rPr>
        <w:t>With these</w:t>
      </w:r>
      <w:r w:rsidR="00EC6A88" w:rsidRPr="00B44AB6">
        <w:rPr>
          <w:rFonts w:ascii="Times New Roman" w:hAnsi="Times New Roman" w:cs="Times New Roman"/>
          <w:sz w:val="24"/>
          <w:szCs w:val="24"/>
        </w:rPr>
        <w:t xml:space="preserve"> cardinal value assignments, the expected value of monthly frequency among telework adopters is computed using the ATE approach just discussed. </w:t>
      </w:r>
    </w:p>
    <w:p w14:paraId="007117A3" w14:textId="60DC189C" w:rsidR="009B7B9A" w:rsidRPr="00837F9C" w:rsidRDefault="009B7B9A" w:rsidP="00301DF6">
      <w:pPr>
        <w:spacing w:after="0" w:line="276" w:lineRule="auto"/>
        <w:ind w:firstLine="720"/>
        <w:rPr>
          <w:b/>
          <w:i/>
        </w:rPr>
      </w:pPr>
      <w:r w:rsidRPr="00837F9C">
        <w:rPr>
          <w:rFonts w:ascii="Times New Roman" w:hAnsi="Times New Roman" w:cs="Times New Roman"/>
          <w:bCs/>
          <w:sz w:val="24"/>
          <w:szCs w:val="24"/>
        </w:rPr>
        <w:t xml:space="preserve">The </w:t>
      </w:r>
      <w:r w:rsidR="00EC6A88">
        <w:rPr>
          <w:rFonts w:ascii="Times New Roman" w:hAnsi="Times New Roman" w:cs="Times New Roman"/>
          <w:bCs/>
          <w:sz w:val="24"/>
          <w:szCs w:val="24"/>
        </w:rPr>
        <w:t xml:space="preserve">ATE </w:t>
      </w:r>
      <w:r w:rsidRPr="00837F9C">
        <w:rPr>
          <w:rFonts w:ascii="Times New Roman" w:hAnsi="Times New Roman" w:cs="Times New Roman"/>
          <w:bCs/>
          <w:sz w:val="24"/>
          <w:szCs w:val="24"/>
        </w:rPr>
        <w:t xml:space="preserve">results are presented in </w:t>
      </w:r>
      <w:r w:rsidR="00EB1CAC" w:rsidRPr="00837F9C">
        <w:rPr>
          <w:rFonts w:ascii="Times New Roman" w:hAnsi="Times New Roman" w:cs="Times New Roman"/>
          <w:bCs/>
          <w:sz w:val="24"/>
          <w:szCs w:val="24"/>
        </w:rPr>
        <w:t xml:space="preserve">Table </w:t>
      </w:r>
      <w:r w:rsidR="00C50D80">
        <w:rPr>
          <w:rFonts w:ascii="Times New Roman" w:hAnsi="Times New Roman" w:cs="Times New Roman"/>
          <w:bCs/>
          <w:sz w:val="24"/>
          <w:szCs w:val="24"/>
        </w:rPr>
        <w:t>7</w:t>
      </w:r>
      <w:r w:rsidR="00C50D80" w:rsidRPr="00837F9C">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(in the interest of brevity, effects are not shown for all variables). The table shows </w:t>
      </w:r>
      <w:r w:rsidR="00EC6A88">
        <w:rPr>
          <w:rFonts w:ascii="Times New Roman" w:hAnsi="Times New Roman" w:cs="Times New Roman"/>
          <w:bCs/>
          <w:sz w:val="24"/>
          <w:szCs w:val="24"/>
        </w:rPr>
        <w:t xml:space="preserve">estimated </w:t>
      </w:r>
      <w:r w:rsidRPr="00837F9C">
        <w:rPr>
          <w:rFonts w:ascii="Times New Roman" w:hAnsi="Times New Roman" w:cs="Times New Roman"/>
          <w:bCs/>
          <w:sz w:val="24"/>
          <w:szCs w:val="24"/>
        </w:rPr>
        <w:t>percent</w:t>
      </w:r>
      <w:r w:rsidR="00BC0B43">
        <w:rPr>
          <w:rFonts w:ascii="Times New Roman" w:hAnsi="Times New Roman" w:cs="Times New Roman"/>
          <w:bCs/>
          <w:sz w:val="24"/>
          <w:szCs w:val="24"/>
        </w:rPr>
        <w:t>ages for</w:t>
      </w:r>
      <w:r w:rsidRPr="00837F9C">
        <w:rPr>
          <w:rFonts w:ascii="Times New Roman" w:hAnsi="Times New Roman" w:cs="Times New Roman"/>
          <w:bCs/>
          <w:sz w:val="24"/>
          <w:szCs w:val="24"/>
        </w:rPr>
        <w:t xml:space="preserve"> adopting telework in the </w:t>
      </w:r>
      <w:r w:rsidR="00700FD4">
        <w:rPr>
          <w:rFonts w:ascii="Times New Roman" w:hAnsi="Times New Roman" w:cs="Times New Roman"/>
          <w:bCs/>
          <w:i/>
          <w:sz w:val="24"/>
          <w:szCs w:val="24"/>
        </w:rPr>
        <w:t>B</w:t>
      </w:r>
      <w:r w:rsidRPr="00961062">
        <w:rPr>
          <w:rFonts w:ascii="Times New Roman" w:hAnsi="Times New Roman" w:cs="Times New Roman"/>
          <w:bCs/>
          <w:i/>
          <w:sz w:val="24"/>
          <w:szCs w:val="24"/>
        </w:rPr>
        <w:t>efore</w:t>
      </w:r>
      <w:r w:rsidR="00DD5EAC">
        <w:rPr>
          <w:rFonts w:ascii="Times New Roman" w:hAnsi="Times New Roman" w:cs="Times New Roman"/>
          <w:bCs/>
          <w:i/>
          <w:sz w:val="24"/>
          <w:szCs w:val="24"/>
        </w:rPr>
        <w:t xml:space="preserve"> </w:t>
      </w:r>
      <w:r w:rsidRPr="00A15909">
        <w:rPr>
          <w:rFonts w:ascii="Times New Roman" w:hAnsi="Times New Roman" w:cs="Times New Roman"/>
          <w:bCs/>
          <w:sz w:val="24"/>
          <w:szCs w:val="24"/>
        </w:rPr>
        <w:t>COVID</w:t>
      </w:r>
      <w:r w:rsidRPr="00837F9C">
        <w:rPr>
          <w:rFonts w:ascii="Times New Roman" w:hAnsi="Times New Roman" w:cs="Times New Roman"/>
          <w:bCs/>
          <w:sz w:val="24"/>
          <w:szCs w:val="24"/>
        </w:rPr>
        <w:t xml:space="preserve"> and</w:t>
      </w:r>
      <w:r w:rsidR="00700FD4">
        <w:rPr>
          <w:rFonts w:ascii="Times New Roman" w:hAnsi="Times New Roman" w:cs="Times New Roman"/>
          <w:bCs/>
          <w:sz w:val="24"/>
          <w:szCs w:val="24"/>
        </w:rPr>
        <w:t xml:space="preserve"> </w:t>
      </w:r>
      <w:r w:rsidR="00700FD4" w:rsidRPr="004972CF">
        <w:rPr>
          <w:rFonts w:ascii="Times New Roman" w:hAnsi="Times New Roman" w:cs="Times New Roman"/>
          <w:bCs/>
          <w:i/>
          <w:sz w:val="24"/>
          <w:szCs w:val="24"/>
        </w:rPr>
        <w:t>A</w:t>
      </w:r>
      <w:r w:rsidRPr="00961062">
        <w:rPr>
          <w:rFonts w:ascii="Times New Roman" w:hAnsi="Times New Roman" w:cs="Times New Roman"/>
          <w:bCs/>
          <w:i/>
          <w:sz w:val="24"/>
          <w:szCs w:val="24"/>
        </w:rPr>
        <w:t>fter</w:t>
      </w:r>
      <w:r w:rsidR="00DD5EAC">
        <w:rPr>
          <w:rFonts w:ascii="Times New Roman" w:hAnsi="Times New Roman" w:cs="Times New Roman"/>
          <w:bCs/>
          <w:i/>
          <w:sz w:val="24"/>
          <w:szCs w:val="24"/>
        </w:rPr>
        <w:t xml:space="preserve"> </w:t>
      </w:r>
      <w:r w:rsidRPr="00A15909">
        <w:rPr>
          <w:rFonts w:ascii="Times New Roman" w:hAnsi="Times New Roman" w:cs="Times New Roman"/>
          <w:bCs/>
          <w:sz w:val="24"/>
          <w:szCs w:val="24"/>
        </w:rPr>
        <w:t>COVID</w:t>
      </w:r>
      <w:r w:rsidRPr="004D5DF9">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periods, the </w:t>
      </w:r>
      <w:r w:rsidR="00EC6A88">
        <w:rPr>
          <w:rFonts w:ascii="Times New Roman" w:hAnsi="Times New Roman" w:cs="Times New Roman"/>
          <w:bCs/>
          <w:sz w:val="24"/>
          <w:szCs w:val="24"/>
        </w:rPr>
        <w:t xml:space="preserve">estimated </w:t>
      </w:r>
      <w:r w:rsidRPr="00837F9C">
        <w:rPr>
          <w:rFonts w:ascii="Times New Roman" w:hAnsi="Times New Roman" w:cs="Times New Roman"/>
          <w:bCs/>
          <w:sz w:val="24"/>
          <w:szCs w:val="24"/>
        </w:rPr>
        <w:t xml:space="preserve">number of days of teleworking per month (among those who choose to telework), and the </w:t>
      </w:r>
      <w:r w:rsidR="00EC6A88">
        <w:rPr>
          <w:rFonts w:ascii="Times New Roman" w:hAnsi="Times New Roman" w:cs="Times New Roman"/>
          <w:bCs/>
          <w:sz w:val="24"/>
          <w:szCs w:val="24"/>
        </w:rPr>
        <w:t xml:space="preserve">predicted </w:t>
      </w:r>
      <w:r w:rsidRPr="00837F9C">
        <w:rPr>
          <w:rFonts w:ascii="Times New Roman" w:hAnsi="Times New Roman" w:cs="Times New Roman"/>
          <w:bCs/>
          <w:sz w:val="24"/>
          <w:szCs w:val="24"/>
        </w:rPr>
        <w:t xml:space="preserve">telework location (for those who choose to telework). As explained earlier in the paper, it should be kept in mind that this particular sample of workers is a high-telework sample (recall that they had to have the option to telework before and after COVID). Hence, the levels of telework adoption are higher than in the general worker population. </w:t>
      </w:r>
    </w:p>
    <w:p w14:paraId="611BDBC4" w14:textId="14072A3B" w:rsidR="00CC09DE" w:rsidRPr="00837F9C" w:rsidRDefault="00CC09DE"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t>The results are quite intuitive and consistent with expectations</w:t>
      </w:r>
      <w:r w:rsidR="00EC6A88">
        <w:rPr>
          <w:rFonts w:ascii="Times New Roman" w:hAnsi="Times New Roman" w:cs="Times New Roman"/>
          <w:bCs/>
          <w:sz w:val="24"/>
          <w:szCs w:val="24"/>
        </w:rPr>
        <w:t xml:space="preserve">, and provide a clear picture of exogenous variable effects and differences in these effects across the </w:t>
      </w:r>
      <w:r w:rsidR="00EC6A88" w:rsidRPr="00B44AB6">
        <w:rPr>
          <w:rFonts w:ascii="Times New Roman" w:hAnsi="Times New Roman" w:cs="Times New Roman"/>
          <w:bCs/>
          <w:i/>
          <w:sz w:val="24"/>
          <w:szCs w:val="24"/>
        </w:rPr>
        <w:t>Before</w:t>
      </w:r>
      <w:r w:rsidR="00EC6A88">
        <w:rPr>
          <w:rFonts w:ascii="Times New Roman" w:hAnsi="Times New Roman" w:cs="Times New Roman"/>
          <w:bCs/>
          <w:sz w:val="24"/>
          <w:szCs w:val="24"/>
        </w:rPr>
        <w:t xml:space="preserve"> and </w:t>
      </w:r>
      <w:r w:rsidR="00EC6A88" w:rsidRPr="00B44AB6">
        <w:rPr>
          <w:rFonts w:ascii="Times New Roman" w:hAnsi="Times New Roman" w:cs="Times New Roman"/>
          <w:bCs/>
          <w:i/>
          <w:sz w:val="24"/>
          <w:szCs w:val="24"/>
        </w:rPr>
        <w:t>After</w:t>
      </w:r>
      <w:r w:rsidR="00EC6A88">
        <w:rPr>
          <w:rFonts w:ascii="Times New Roman" w:hAnsi="Times New Roman" w:cs="Times New Roman"/>
          <w:bCs/>
          <w:sz w:val="24"/>
          <w:szCs w:val="24"/>
        </w:rPr>
        <w:t xml:space="preserve"> COVID periods</w:t>
      </w:r>
      <w:r w:rsidRPr="00837F9C">
        <w:rPr>
          <w:rFonts w:ascii="Times New Roman" w:hAnsi="Times New Roman" w:cs="Times New Roman"/>
          <w:bCs/>
          <w:sz w:val="24"/>
          <w:szCs w:val="24"/>
        </w:rPr>
        <w:t xml:space="preserve">. </w:t>
      </w:r>
      <w:r w:rsidR="00EC6A88">
        <w:rPr>
          <w:rFonts w:ascii="Times New Roman" w:hAnsi="Times New Roman" w:cs="Times New Roman"/>
          <w:bCs/>
          <w:sz w:val="24"/>
          <w:szCs w:val="24"/>
        </w:rPr>
        <w:t>For example, according to the table, a</w:t>
      </w:r>
      <w:r w:rsidRPr="00837F9C">
        <w:rPr>
          <w:rFonts w:ascii="Times New Roman" w:hAnsi="Times New Roman" w:cs="Times New Roman"/>
          <w:bCs/>
          <w:sz w:val="24"/>
          <w:szCs w:val="24"/>
        </w:rPr>
        <w:t xml:space="preserve"> </w:t>
      </w:r>
      <w:r w:rsidR="00301DF6">
        <w:rPr>
          <w:rFonts w:ascii="Times New Roman" w:hAnsi="Times New Roman" w:cs="Times New Roman"/>
          <w:bCs/>
          <w:sz w:val="24"/>
          <w:szCs w:val="24"/>
        </w:rPr>
        <w:t xml:space="preserve">higher percentage of men (43.4%) adopt teleworking in the </w:t>
      </w:r>
      <w:r w:rsidR="00301DF6">
        <w:rPr>
          <w:rFonts w:ascii="Times New Roman" w:hAnsi="Times New Roman" w:cs="Times New Roman"/>
          <w:bCs/>
          <w:i/>
          <w:sz w:val="24"/>
          <w:szCs w:val="24"/>
        </w:rPr>
        <w:t>B</w:t>
      </w:r>
      <w:r w:rsidR="00301DF6" w:rsidRPr="00961062">
        <w:rPr>
          <w:rFonts w:ascii="Times New Roman" w:hAnsi="Times New Roman" w:cs="Times New Roman"/>
          <w:bCs/>
          <w:i/>
          <w:sz w:val="24"/>
          <w:szCs w:val="24"/>
        </w:rPr>
        <w:t>efore</w:t>
      </w:r>
      <w:r w:rsidR="00B44AB6">
        <w:rPr>
          <w:rFonts w:ascii="Times New Roman" w:hAnsi="Times New Roman" w:cs="Times New Roman"/>
          <w:bCs/>
          <w:i/>
          <w:sz w:val="24"/>
          <w:szCs w:val="24"/>
        </w:rPr>
        <w:t xml:space="preserve"> </w:t>
      </w:r>
      <w:r w:rsidR="00301DF6" w:rsidRPr="00B44AB6">
        <w:rPr>
          <w:rFonts w:ascii="Times New Roman" w:hAnsi="Times New Roman" w:cs="Times New Roman"/>
          <w:bCs/>
          <w:sz w:val="24"/>
          <w:szCs w:val="24"/>
        </w:rPr>
        <w:t xml:space="preserve">COVID </w:t>
      </w:r>
      <w:r w:rsidR="00301DF6">
        <w:rPr>
          <w:rFonts w:ascii="Times New Roman" w:hAnsi="Times New Roman" w:cs="Times New Roman"/>
          <w:bCs/>
          <w:sz w:val="24"/>
          <w:szCs w:val="24"/>
        </w:rPr>
        <w:t xml:space="preserve">period compared to </w:t>
      </w:r>
      <w:r w:rsidR="00AE266B" w:rsidRPr="00837F9C">
        <w:rPr>
          <w:rFonts w:ascii="Times New Roman" w:hAnsi="Times New Roman" w:cs="Times New Roman"/>
          <w:bCs/>
          <w:sz w:val="24"/>
          <w:szCs w:val="24"/>
        </w:rPr>
        <w:t>women</w:t>
      </w:r>
      <w:r w:rsidRPr="00837F9C">
        <w:rPr>
          <w:rFonts w:ascii="Times New Roman" w:hAnsi="Times New Roman" w:cs="Times New Roman"/>
          <w:bCs/>
          <w:sz w:val="24"/>
          <w:szCs w:val="24"/>
        </w:rPr>
        <w:t xml:space="preserve"> </w:t>
      </w:r>
      <w:r w:rsidR="00EC6A88">
        <w:rPr>
          <w:rFonts w:ascii="Times New Roman" w:hAnsi="Times New Roman" w:cs="Times New Roman"/>
          <w:bCs/>
          <w:sz w:val="24"/>
          <w:szCs w:val="24"/>
        </w:rPr>
        <w:t>(38</w:t>
      </w:r>
      <w:r w:rsidR="00301DF6">
        <w:rPr>
          <w:rFonts w:ascii="Times New Roman" w:hAnsi="Times New Roman" w:cs="Times New Roman"/>
          <w:bCs/>
          <w:sz w:val="24"/>
          <w:szCs w:val="24"/>
        </w:rPr>
        <w:t>.0</w:t>
      </w:r>
      <w:r w:rsidR="00EC6A88">
        <w:rPr>
          <w:rFonts w:ascii="Times New Roman" w:hAnsi="Times New Roman" w:cs="Times New Roman"/>
          <w:bCs/>
          <w:sz w:val="24"/>
          <w:szCs w:val="24"/>
        </w:rPr>
        <w:t>%)</w:t>
      </w:r>
      <w:r w:rsidR="00301DF6">
        <w:rPr>
          <w:rFonts w:ascii="Times New Roman" w:hAnsi="Times New Roman" w:cs="Times New Roman"/>
          <w:bCs/>
          <w:sz w:val="24"/>
          <w:szCs w:val="24"/>
        </w:rPr>
        <w:t xml:space="preserve">. </w:t>
      </w:r>
      <w:r w:rsidR="00EC6A88">
        <w:rPr>
          <w:rFonts w:ascii="Times New Roman" w:hAnsi="Times New Roman" w:cs="Times New Roman"/>
          <w:bCs/>
          <w:sz w:val="24"/>
          <w:szCs w:val="24"/>
        </w:rPr>
        <w:t xml:space="preserve"> </w:t>
      </w:r>
      <w:r w:rsidR="00301DF6">
        <w:rPr>
          <w:rFonts w:ascii="Times New Roman" w:hAnsi="Times New Roman" w:cs="Times New Roman"/>
          <w:bCs/>
          <w:sz w:val="24"/>
          <w:szCs w:val="24"/>
        </w:rPr>
        <w:t xml:space="preserve">The same gender trend holds in the </w:t>
      </w:r>
      <w:r w:rsidR="00700FD4">
        <w:rPr>
          <w:rFonts w:ascii="Times New Roman" w:hAnsi="Times New Roman" w:cs="Times New Roman"/>
          <w:bCs/>
          <w:i/>
          <w:sz w:val="24"/>
          <w:szCs w:val="24"/>
        </w:rPr>
        <w:t>A</w:t>
      </w:r>
      <w:r w:rsidR="001A7DB7" w:rsidRPr="00961062">
        <w:rPr>
          <w:rFonts w:ascii="Times New Roman" w:hAnsi="Times New Roman" w:cs="Times New Roman"/>
          <w:bCs/>
          <w:i/>
          <w:sz w:val="24"/>
          <w:szCs w:val="24"/>
        </w:rPr>
        <w:t>fter</w:t>
      </w:r>
      <w:r w:rsidR="00B44AB6">
        <w:rPr>
          <w:rFonts w:ascii="Times New Roman" w:hAnsi="Times New Roman" w:cs="Times New Roman"/>
          <w:bCs/>
          <w:i/>
          <w:sz w:val="24"/>
          <w:szCs w:val="24"/>
        </w:rPr>
        <w:t xml:space="preserve"> </w:t>
      </w:r>
      <w:r w:rsidR="001A7DB7" w:rsidRPr="00B44AB6">
        <w:rPr>
          <w:rFonts w:ascii="Times New Roman" w:hAnsi="Times New Roman" w:cs="Times New Roman"/>
          <w:bCs/>
          <w:sz w:val="24"/>
          <w:szCs w:val="24"/>
        </w:rPr>
        <w:t xml:space="preserve">COVID </w:t>
      </w:r>
      <w:r w:rsidR="001A7DB7" w:rsidRPr="00837F9C">
        <w:rPr>
          <w:rFonts w:ascii="Times New Roman" w:hAnsi="Times New Roman" w:cs="Times New Roman"/>
          <w:bCs/>
          <w:sz w:val="24"/>
          <w:szCs w:val="24"/>
        </w:rPr>
        <w:t>period</w:t>
      </w:r>
      <w:r w:rsidR="00301DF6">
        <w:rPr>
          <w:rFonts w:ascii="Times New Roman" w:hAnsi="Times New Roman" w:cs="Times New Roman"/>
          <w:bCs/>
          <w:sz w:val="24"/>
          <w:szCs w:val="24"/>
        </w:rPr>
        <w:t xml:space="preserve">, though both men and women adopt telework at much higher rates than in the </w:t>
      </w:r>
      <w:r w:rsidR="00301DF6" w:rsidRPr="00B44AB6">
        <w:rPr>
          <w:rFonts w:ascii="Times New Roman" w:hAnsi="Times New Roman" w:cs="Times New Roman"/>
          <w:bCs/>
          <w:i/>
          <w:sz w:val="24"/>
          <w:szCs w:val="24"/>
        </w:rPr>
        <w:t>Before</w:t>
      </w:r>
      <w:r w:rsidR="00301DF6">
        <w:rPr>
          <w:rFonts w:ascii="Times New Roman" w:hAnsi="Times New Roman" w:cs="Times New Roman"/>
          <w:bCs/>
          <w:sz w:val="24"/>
          <w:szCs w:val="24"/>
        </w:rPr>
        <w:t xml:space="preserve"> COVID period (68.5% of men relative to 63.4% of women. Interestingly, </w:t>
      </w:r>
      <w:r w:rsidR="001A7DB7" w:rsidRPr="00837F9C">
        <w:rPr>
          <w:rFonts w:ascii="Times New Roman" w:hAnsi="Times New Roman" w:cs="Times New Roman"/>
          <w:bCs/>
          <w:sz w:val="24"/>
          <w:szCs w:val="24"/>
        </w:rPr>
        <w:t xml:space="preserve">the percent uptake </w:t>
      </w:r>
      <w:r w:rsidR="00301DF6">
        <w:rPr>
          <w:rFonts w:ascii="Times New Roman" w:hAnsi="Times New Roman" w:cs="Times New Roman"/>
          <w:bCs/>
          <w:sz w:val="24"/>
          <w:szCs w:val="24"/>
        </w:rPr>
        <w:t xml:space="preserve">in the </w:t>
      </w:r>
      <w:r w:rsidR="00301DF6" w:rsidRPr="00B44AB6">
        <w:rPr>
          <w:rFonts w:ascii="Times New Roman" w:hAnsi="Times New Roman" w:cs="Times New Roman"/>
          <w:bCs/>
          <w:i/>
          <w:sz w:val="24"/>
          <w:szCs w:val="24"/>
        </w:rPr>
        <w:t>After</w:t>
      </w:r>
      <w:r w:rsidR="00301DF6">
        <w:rPr>
          <w:rFonts w:ascii="Times New Roman" w:hAnsi="Times New Roman" w:cs="Times New Roman"/>
          <w:bCs/>
          <w:sz w:val="24"/>
          <w:szCs w:val="24"/>
        </w:rPr>
        <w:t xml:space="preserve"> COVID period (from the </w:t>
      </w:r>
      <w:r w:rsidR="00301DF6" w:rsidRPr="00B44AB6">
        <w:rPr>
          <w:rFonts w:ascii="Times New Roman" w:hAnsi="Times New Roman" w:cs="Times New Roman"/>
          <w:bCs/>
          <w:i/>
          <w:sz w:val="24"/>
          <w:szCs w:val="24"/>
        </w:rPr>
        <w:t>Before</w:t>
      </w:r>
      <w:r w:rsidR="00301DF6">
        <w:rPr>
          <w:rFonts w:ascii="Times New Roman" w:hAnsi="Times New Roman" w:cs="Times New Roman"/>
          <w:bCs/>
          <w:sz w:val="24"/>
          <w:szCs w:val="24"/>
        </w:rPr>
        <w:t xml:space="preserve"> COVID period) </w:t>
      </w:r>
      <w:r w:rsidR="001A7DB7" w:rsidRPr="00837F9C">
        <w:rPr>
          <w:rFonts w:ascii="Times New Roman" w:hAnsi="Times New Roman" w:cs="Times New Roman"/>
          <w:bCs/>
          <w:sz w:val="24"/>
          <w:szCs w:val="24"/>
        </w:rPr>
        <w:t>in telework adoption is actually higher for</w:t>
      </w:r>
      <w:r w:rsidR="00AE266B" w:rsidRPr="00837F9C">
        <w:rPr>
          <w:rFonts w:ascii="Times New Roman" w:hAnsi="Times New Roman" w:cs="Times New Roman"/>
          <w:bCs/>
          <w:sz w:val="24"/>
          <w:szCs w:val="24"/>
        </w:rPr>
        <w:t xml:space="preserve"> women </w:t>
      </w:r>
      <w:r w:rsidR="00301DF6">
        <w:rPr>
          <w:rFonts w:ascii="Times New Roman" w:hAnsi="Times New Roman" w:cs="Times New Roman"/>
          <w:bCs/>
          <w:sz w:val="24"/>
          <w:szCs w:val="24"/>
        </w:rPr>
        <w:t xml:space="preserve">at a 66.9% adoption increase relative to men who had a </w:t>
      </w:r>
      <w:r w:rsidR="00C06EE0">
        <w:rPr>
          <w:rFonts w:ascii="Times New Roman" w:hAnsi="Times New Roman" w:cs="Times New Roman"/>
          <w:bCs/>
          <w:sz w:val="24"/>
          <w:szCs w:val="24"/>
        </w:rPr>
        <w:t>lower</w:t>
      </w:r>
      <w:r w:rsidR="00301DF6">
        <w:rPr>
          <w:rFonts w:ascii="Times New Roman" w:hAnsi="Times New Roman" w:cs="Times New Roman"/>
          <w:bCs/>
          <w:sz w:val="24"/>
          <w:szCs w:val="24"/>
        </w:rPr>
        <w:t xml:space="preserve"> 57.8% adoption increase (see the entries </w:t>
      </w:r>
      <w:r w:rsidR="0010153A">
        <w:rPr>
          <w:rFonts w:ascii="Times New Roman" w:hAnsi="Times New Roman" w:cs="Times New Roman"/>
          <w:bCs/>
          <w:sz w:val="24"/>
          <w:szCs w:val="24"/>
        </w:rPr>
        <w:t>under the “Adoption” column with</w:t>
      </w:r>
      <w:r w:rsidR="00301DF6">
        <w:rPr>
          <w:rFonts w:ascii="Times New Roman" w:hAnsi="Times New Roman" w:cs="Times New Roman"/>
          <w:bCs/>
          <w:sz w:val="24"/>
          <w:szCs w:val="24"/>
        </w:rPr>
        <w:t>in the “% change (</w:t>
      </w:r>
      <w:r w:rsidR="00301DF6" w:rsidRPr="00B44AB6">
        <w:rPr>
          <w:rFonts w:ascii="Times New Roman" w:hAnsi="Times New Roman" w:cs="Times New Roman"/>
          <w:bCs/>
          <w:i/>
          <w:sz w:val="24"/>
          <w:szCs w:val="24"/>
        </w:rPr>
        <w:t>Before</w:t>
      </w:r>
      <w:r w:rsidR="00301DF6">
        <w:rPr>
          <w:rFonts w:ascii="Times New Roman" w:hAnsi="Times New Roman" w:cs="Times New Roman"/>
          <w:bCs/>
          <w:sz w:val="24"/>
          <w:szCs w:val="24"/>
        </w:rPr>
        <w:t xml:space="preserve"> to </w:t>
      </w:r>
      <w:r w:rsidR="00301DF6" w:rsidRPr="00B44AB6">
        <w:rPr>
          <w:rFonts w:ascii="Times New Roman" w:hAnsi="Times New Roman" w:cs="Times New Roman"/>
          <w:bCs/>
          <w:i/>
          <w:sz w:val="24"/>
          <w:szCs w:val="24"/>
        </w:rPr>
        <w:t>After</w:t>
      </w:r>
      <w:r w:rsidR="009F2843">
        <w:rPr>
          <w:rFonts w:ascii="Times New Roman" w:hAnsi="Times New Roman" w:cs="Times New Roman"/>
          <w:bCs/>
          <w:sz w:val="24"/>
          <w:szCs w:val="24"/>
        </w:rPr>
        <w:t xml:space="preserve"> </w:t>
      </w:r>
      <w:r w:rsidR="00301DF6">
        <w:rPr>
          <w:rFonts w:ascii="Times New Roman" w:hAnsi="Times New Roman" w:cs="Times New Roman"/>
          <w:bCs/>
          <w:sz w:val="24"/>
          <w:szCs w:val="24"/>
        </w:rPr>
        <w:t xml:space="preserve">COVID)” </w:t>
      </w:r>
      <w:r w:rsidR="0010153A">
        <w:rPr>
          <w:rFonts w:ascii="Times New Roman" w:hAnsi="Times New Roman" w:cs="Times New Roman"/>
          <w:bCs/>
          <w:sz w:val="24"/>
          <w:szCs w:val="24"/>
        </w:rPr>
        <w:t xml:space="preserve">column panel on the right side of Table 7). The net result is that </w:t>
      </w:r>
      <w:r w:rsidR="001A7DB7" w:rsidRPr="00837F9C">
        <w:rPr>
          <w:rFonts w:ascii="Times New Roman" w:hAnsi="Times New Roman" w:cs="Times New Roman"/>
          <w:bCs/>
          <w:sz w:val="24"/>
          <w:szCs w:val="24"/>
        </w:rPr>
        <w:t>the difference in tele</w:t>
      </w:r>
      <w:r w:rsidR="00E84401">
        <w:rPr>
          <w:rFonts w:ascii="Times New Roman" w:hAnsi="Times New Roman" w:cs="Times New Roman"/>
          <w:bCs/>
          <w:sz w:val="24"/>
          <w:szCs w:val="24"/>
        </w:rPr>
        <w:t>working</w:t>
      </w:r>
      <w:r w:rsidR="001A7DB7" w:rsidRPr="00837F9C">
        <w:rPr>
          <w:rFonts w:ascii="Times New Roman" w:hAnsi="Times New Roman" w:cs="Times New Roman"/>
          <w:bCs/>
          <w:sz w:val="24"/>
          <w:szCs w:val="24"/>
        </w:rPr>
        <w:t xml:space="preserve"> adoption </w:t>
      </w:r>
      <w:r w:rsidR="00AE266B" w:rsidRPr="00837F9C">
        <w:rPr>
          <w:rFonts w:ascii="Times New Roman" w:hAnsi="Times New Roman" w:cs="Times New Roman"/>
          <w:bCs/>
          <w:sz w:val="24"/>
          <w:szCs w:val="24"/>
        </w:rPr>
        <w:t xml:space="preserve">between men and women </w:t>
      </w:r>
      <w:r w:rsidR="001A7DB7" w:rsidRPr="00837F9C">
        <w:rPr>
          <w:rFonts w:ascii="Times New Roman" w:hAnsi="Times New Roman" w:cs="Times New Roman"/>
          <w:bCs/>
          <w:sz w:val="24"/>
          <w:szCs w:val="24"/>
        </w:rPr>
        <w:t xml:space="preserve">diminishes considerably in the </w:t>
      </w:r>
      <w:r w:rsidR="00700FD4">
        <w:rPr>
          <w:rFonts w:ascii="Times New Roman" w:hAnsi="Times New Roman" w:cs="Times New Roman"/>
          <w:bCs/>
          <w:i/>
          <w:sz w:val="24"/>
          <w:szCs w:val="24"/>
        </w:rPr>
        <w:t>A</w:t>
      </w:r>
      <w:r w:rsidR="001A7DB7" w:rsidRPr="00961062">
        <w:rPr>
          <w:rFonts w:ascii="Times New Roman" w:hAnsi="Times New Roman" w:cs="Times New Roman"/>
          <w:bCs/>
          <w:i/>
          <w:sz w:val="24"/>
          <w:szCs w:val="24"/>
        </w:rPr>
        <w:t>fter</w:t>
      </w:r>
      <w:r w:rsidR="009F2843" w:rsidRPr="00B44AB6">
        <w:rPr>
          <w:rFonts w:ascii="Times New Roman" w:hAnsi="Times New Roman" w:cs="Times New Roman"/>
          <w:bCs/>
          <w:sz w:val="24"/>
          <w:szCs w:val="24"/>
        </w:rPr>
        <w:t xml:space="preserve"> </w:t>
      </w:r>
      <w:r w:rsidR="001A7DB7" w:rsidRPr="00B44AB6">
        <w:rPr>
          <w:rFonts w:ascii="Times New Roman" w:hAnsi="Times New Roman" w:cs="Times New Roman"/>
          <w:bCs/>
          <w:sz w:val="24"/>
          <w:szCs w:val="24"/>
        </w:rPr>
        <w:lastRenderedPageBreak/>
        <w:t>COVID</w:t>
      </w:r>
      <w:r w:rsidR="001A7DB7" w:rsidRPr="00837F9C">
        <w:rPr>
          <w:rFonts w:ascii="Times New Roman" w:hAnsi="Times New Roman" w:cs="Times New Roman"/>
          <w:bCs/>
          <w:sz w:val="24"/>
          <w:szCs w:val="24"/>
        </w:rPr>
        <w:t xml:space="preserve"> period.</w:t>
      </w:r>
      <w:r w:rsidR="00301DF6">
        <w:rPr>
          <w:rFonts w:ascii="Times New Roman" w:hAnsi="Times New Roman" w:cs="Times New Roman"/>
          <w:bCs/>
          <w:sz w:val="24"/>
          <w:szCs w:val="24"/>
        </w:rPr>
        <w:t xml:space="preserve"> From a frequency standpoint among teleworkers, there is little difference between men and women in both the time periods, though, again, telework frequency increases from about 10 days per month in the </w:t>
      </w:r>
      <w:r w:rsidR="00301DF6" w:rsidRPr="00B44AB6">
        <w:rPr>
          <w:rFonts w:ascii="Times New Roman" w:hAnsi="Times New Roman" w:cs="Times New Roman"/>
          <w:bCs/>
          <w:i/>
          <w:sz w:val="24"/>
          <w:szCs w:val="24"/>
        </w:rPr>
        <w:t>Before</w:t>
      </w:r>
      <w:r w:rsidR="00301DF6">
        <w:rPr>
          <w:rFonts w:ascii="Times New Roman" w:hAnsi="Times New Roman" w:cs="Times New Roman"/>
          <w:bCs/>
          <w:sz w:val="24"/>
          <w:szCs w:val="24"/>
        </w:rPr>
        <w:t xml:space="preserve"> COVID period to closer to 14 days per month in the </w:t>
      </w:r>
      <w:r w:rsidR="00301DF6" w:rsidRPr="00F835FA">
        <w:rPr>
          <w:rFonts w:ascii="Times New Roman" w:hAnsi="Times New Roman" w:cs="Times New Roman"/>
          <w:bCs/>
          <w:i/>
          <w:sz w:val="24"/>
          <w:szCs w:val="24"/>
        </w:rPr>
        <w:t>After</w:t>
      </w:r>
      <w:r w:rsidR="00301DF6">
        <w:rPr>
          <w:rFonts w:ascii="Times New Roman" w:hAnsi="Times New Roman" w:cs="Times New Roman"/>
          <w:bCs/>
          <w:sz w:val="24"/>
          <w:szCs w:val="24"/>
        </w:rPr>
        <w:t xml:space="preserve"> COVID period</w:t>
      </w:r>
      <w:r w:rsidR="0010153A">
        <w:rPr>
          <w:rFonts w:ascii="Times New Roman" w:hAnsi="Times New Roman" w:cs="Times New Roman"/>
          <w:bCs/>
          <w:sz w:val="24"/>
          <w:szCs w:val="24"/>
        </w:rPr>
        <w:t xml:space="preserve"> (also revealed by the 34.3% and 31.4% entries in the “frequency” column within the “% change (</w:t>
      </w:r>
      <w:r w:rsidR="0010153A" w:rsidRPr="00F835FA">
        <w:rPr>
          <w:rFonts w:ascii="Times New Roman" w:hAnsi="Times New Roman" w:cs="Times New Roman"/>
          <w:bCs/>
          <w:i/>
          <w:sz w:val="24"/>
          <w:szCs w:val="24"/>
        </w:rPr>
        <w:t>Before</w:t>
      </w:r>
      <w:r w:rsidR="0010153A">
        <w:rPr>
          <w:rFonts w:ascii="Times New Roman" w:hAnsi="Times New Roman" w:cs="Times New Roman"/>
          <w:bCs/>
          <w:sz w:val="24"/>
          <w:szCs w:val="24"/>
        </w:rPr>
        <w:t xml:space="preserve"> to </w:t>
      </w:r>
      <w:r w:rsidR="0010153A" w:rsidRPr="00F835FA">
        <w:rPr>
          <w:rFonts w:ascii="Times New Roman" w:hAnsi="Times New Roman" w:cs="Times New Roman"/>
          <w:bCs/>
          <w:i/>
          <w:sz w:val="24"/>
          <w:szCs w:val="24"/>
        </w:rPr>
        <w:t>After</w:t>
      </w:r>
      <w:r w:rsidR="00F835FA">
        <w:rPr>
          <w:rFonts w:ascii="Times New Roman" w:hAnsi="Times New Roman" w:cs="Times New Roman"/>
          <w:bCs/>
          <w:sz w:val="24"/>
          <w:szCs w:val="24"/>
        </w:rPr>
        <w:t xml:space="preserve"> </w:t>
      </w:r>
      <w:r w:rsidR="0010153A">
        <w:rPr>
          <w:rFonts w:ascii="Times New Roman" w:hAnsi="Times New Roman" w:cs="Times New Roman"/>
          <w:bCs/>
          <w:sz w:val="24"/>
          <w:szCs w:val="24"/>
        </w:rPr>
        <w:t xml:space="preserve">COVID)” column panel) </w:t>
      </w:r>
      <w:r w:rsidR="00301DF6">
        <w:rPr>
          <w:rFonts w:ascii="Times New Roman" w:hAnsi="Times New Roman" w:cs="Times New Roman"/>
          <w:bCs/>
          <w:sz w:val="24"/>
          <w:szCs w:val="24"/>
        </w:rPr>
        <w:t xml:space="preserve">. Other results may be interpreted in a similar fashion based on the results in Table 7. </w:t>
      </w:r>
      <w:r w:rsidR="001A7DB7" w:rsidRPr="00837F9C">
        <w:rPr>
          <w:rFonts w:ascii="Times New Roman" w:hAnsi="Times New Roman" w:cs="Times New Roman"/>
          <w:bCs/>
          <w:sz w:val="24"/>
          <w:szCs w:val="24"/>
        </w:rPr>
        <w:t xml:space="preserve"> For literally all subgroups across the table, the probability of choosing “home-only” as the telework location increases (from the </w:t>
      </w:r>
      <w:r w:rsidR="00700FD4">
        <w:rPr>
          <w:rFonts w:ascii="Times New Roman" w:hAnsi="Times New Roman" w:cs="Times New Roman"/>
          <w:bCs/>
          <w:i/>
          <w:sz w:val="24"/>
          <w:szCs w:val="24"/>
        </w:rPr>
        <w:t>B</w:t>
      </w:r>
      <w:r w:rsidR="001A7DB7" w:rsidRPr="00961062">
        <w:rPr>
          <w:rFonts w:ascii="Times New Roman" w:hAnsi="Times New Roman" w:cs="Times New Roman"/>
          <w:bCs/>
          <w:i/>
          <w:sz w:val="24"/>
          <w:szCs w:val="24"/>
        </w:rPr>
        <w:t>efore</w:t>
      </w:r>
      <w:r w:rsidR="00F835FA">
        <w:rPr>
          <w:rFonts w:ascii="Times New Roman" w:hAnsi="Times New Roman" w:cs="Times New Roman"/>
          <w:bCs/>
          <w:i/>
          <w:sz w:val="24"/>
          <w:szCs w:val="24"/>
        </w:rPr>
        <w:t xml:space="preserve"> </w:t>
      </w:r>
      <w:r w:rsidR="001A7DB7" w:rsidRPr="00F835FA">
        <w:rPr>
          <w:rFonts w:ascii="Times New Roman" w:hAnsi="Times New Roman" w:cs="Times New Roman"/>
          <w:bCs/>
          <w:sz w:val="24"/>
          <w:szCs w:val="24"/>
        </w:rPr>
        <w:t xml:space="preserve">COVID </w:t>
      </w:r>
      <w:r w:rsidR="001A7DB7" w:rsidRPr="00837F9C">
        <w:rPr>
          <w:rFonts w:ascii="Times New Roman" w:hAnsi="Times New Roman" w:cs="Times New Roman"/>
          <w:bCs/>
          <w:sz w:val="24"/>
          <w:szCs w:val="24"/>
        </w:rPr>
        <w:t xml:space="preserve">to </w:t>
      </w:r>
      <w:r w:rsidR="00700FD4">
        <w:rPr>
          <w:rFonts w:ascii="Times New Roman" w:hAnsi="Times New Roman" w:cs="Times New Roman"/>
          <w:bCs/>
          <w:i/>
          <w:sz w:val="24"/>
          <w:szCs w:val="24"/>
        </w:rPr>
        <w:t>A</w:t>
      </w:r>
      <w:r w:rsidR="001A7DB7" w:rsidRPr="00961062">
        <w:rPr>
          <w:rFonts w:ascii="Times New Roman" w:hAnsi="Times New Roman" w:cs="Times New Roman"/>
          <w:bCs/>
          <w:i/>
          <w:sz w:val="24"/>
          <w:szCs w:val="24"/>
        </w:rPr>
        <w:t>fter</w:t>
      </w:r>
      <w:r w:rsidR="00F835FA">
        <w:rPr>
          <w:rFonts w:ascii="Times New Roman" w:hAnsi="Times New Roman" w:cs="Times New Roman"/>
          <w:bCs/>
          <w:i/>
          <w:sz w:val="24"/>
          <w:szCs w:val="24"/>
        </w:rPr>
        <w:t xml:space="preserve"> </w:t>
      </w:r>
      <w:r w:rsidR="001A7DB7" w:rsidRPr="00F835FA">
        <w:rPr>
          <w:rFonts w:ascii="Times New Roman" w:hAnsi="Times New Roman" w:cs="Times New Roman"/>
          <w:bCs/>
          <w:sz w:val="24"/>
          <w:szCs w:val="24"/>
        </w:rPr>
        <w:t xml:space="preserve">COVID </w:t>
      </w:r>
      <w:r w:rsidR="001A7DB7" w:rsidRPr="00837F9C">
        <w:rPr>
          <w:rFonts w:ascii="Times New Roman" w:hAnsi="Times New Roman" w:cs="Times New Roman"/>
          <w:bCs/>
          <w:sz w:val="24"/>
          <w:szCs w:val="24"/>
        </w:rPr>
        <w:t xml:space="preserve">period), suggesting a greater level of comfort with working from home on a more exclusive basis. Young individuals in the 18-29 year old segment show the greatest uptake in telework adoption (from 38.8 percent to 73.6 percent) and maintain a higher proportion of teleworkers adopting a hybrid workplace model. While 40.2 percent of those with a graduate degree teleworked prior to COVID, that percentage increased to 67.1 percent in the </w:t>
      </w:r>
      <w:r w:rsidR="00700FD4">
        <w:rPr>
          <w:rFonts w:ascii="Times New Roman" w:hAnsi="Times New Roman" w:cs="Times New Roman"/>
          <w:bCs/>
          <w:i/>
          <w:sz w:val="24"/>
          <w:szCs w:val="24"/>
        </w:rPr>
        <w:t>A</w:t>
      </w:r>
      <w:r w:rsidR="001A7DB7" w:rsidRPr="00961062">
        <w:rPr>
          <w:rFonts w:ascii="Times New Roman" w:hAnsi="Times New Roman" w:cs="Times New Roman"/>
          <w:bCs/>
          <w:i/>
          <w:sz w:val="24"/>
          <w:szCs w:val="24"/>
        </w:rPr>
        <w:t>fter</w:t>
      </w:r>
      <w:r w:rsidR="00F835FA">
        <w:rPr>
          <w:rFonts w:ascii="Times New Roman" w:hAnsi="Times New Roman" w:cs="Times New Roman"/>
          <w:bCs/>
          <w:i/>
          <w:sz w:val="24"/>
          <w:szCs w:val="24"/>
        </w:rPr>
        <w:t xml:space="preserve"> </w:t>
      </w:r>
      <w:r w:rsidR="001A7DB7" w:rsidRPr="00F835FA">
        <w:rPr>
          <w:rFonts w:ascii="Times New Roman" w:hAnsi="Times New Roman" w:cs="Times New Roman"/>
          <w:bCs/>
          <w:sz w:val="24"/>
          <w:szCs w:val="24"/>
        </w:rPr>
        <w:t xml:space="preserve">COVID </w:t>
      </w:r>
      <w:r w:rsidR="001A7DB7" w:rsidRPr="00837F9C">
        <w:rPr>
          <w:rFonts w:ascii="Times New Roman" w:hAnsi="Times New Roman" w:cs="Times New Roman"/>
          <w:bCs/>
          <w:sz w:val="24"/>
          <w:szCs w:val="24"/>
        </w:rPr>
        <w:t xml:space="preserve">period. The highest income group shows the largest percentage teleworking from home only, suggesting that individuals in this income group reside in homes with the infrastructure and space necessary to telework effectively. </w:t>
      </w:r>
    </w:p>
    <w:p w14:paraId="72D0E46B" w14:textId="416BF791" w:rsidR="00633805" w:rsidRPr="00837F9C" w:rsidRDefault="001A7DB7"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t>Those who are self-employed tele</w:t>
      </w:r>
      <w:r w:rsidR="00FC5545">
        <w:rPr>
          <w:rFonts w:ascii="Times New Roman" w:hAnsi="Times New Roman" w:cs="Times New Roman"/>
          <w:bCs/>
          <w:sz w:val="24"/>
          <w:szCs w:val="24"/>
        </w:rPr>
        <w:t>work</w:t>
      </w:r>
      <w:r w:rsidRPr="00837F9C">
        <w:rPr>
          <w:rFonts w:ascii="Times New Roman" w:hAnsi="Times New Roman" w:cs="Times New Roman"/>
          <w:bCs/>
          <w:sz w:val="24"/>
          <w:szCs w:val="24"/>
        </w:rPr>
        <w:t xml:space="preserve"> at a greater rate prior to COVID, but a lower rate after COVID, </w:t>
      </w:r>
      <w:r w:rsidR="0010153A">
        <w:rPr>
          <w:rFonts w:ascii="Times New Roman" w:hAnsi="Times New Roman" w:cs="Times New Roman"/>
          <w:bCs/>
          <w:sz w:val="24"/>
          <w:szCs w:val="24"/>
        </w:rPr>
        <w:t xml:space="preserve">consistent with the interpretation of the estimation results in Section </w:t>
      </w:r>
      <w:r w:rsidR="00A03376">
        <w:rPr>
          <w:rFonts w:ascii="Times New Roman" w:hAnsi="Times New Roman" w:cs="Times New Roman"/>
          <w:bCs/>
          <w:sz w:val="24"/>
          <w:szCs w:val="24"/>
        </w:rPr>
        <w:t>5</w:t>
      </w:r>
      <w:r w:rsidRPr="00837F9C">
        <w:rPr>
          <w:rFonts w:ascii="Times New Roman" w:hAnsi="Times New Roman" w:cs="Times New Roman"/>
          <w:bCs/>
          <w:sz w:val="24"/>
          <w:szCs w:val="24"/>
        </w:rPr>
        <w:t>. As expected, their telework frequency (days per month) remains higher than for non-</w:t>
      </w:r>
      <w:r w:rsidR="00EB1CAC" w:rsidRPr="00837F9C">
        <w:rPr>
          <w:rFonts w:ascii="Times New Roman" w:hAnsi="Times New Roman" w:cs="Times New Roman"/>
          <w:bCs/>
          <w:sz w:val="24"/>
          <w:szCs w:val="24"/>
        </w:rPr>
        <w:t>self-employed</w:t>
      </w:r>
      <w:r w:rsidRPr="00837F9C">
        <w:rPr>
          <w:rFonts w:ascii="Times New Roman" w:hAnsi="Times New Roman" w:cs="Times New Roman"/>
          <w:bCs/>
          <w:sz w:val="24"/>
          <w:szCs w:val="24"/>
        </w:rPr>
        <w:t xml:space="preserve"> individuals</w:t>
      </w:r>
      <w:r w:rsidR="0010153A">
        <w:rPr>
          <w:rFonts w:ascii="Times New Roman" w:hAnsi="Times New Roman" w:cs="Times New Roman"/>
          <w:bCs/>
          <w:sz w:val="24"/>
          <w:szCs w:val="24"/>
        </w:rPr>
        <w:t xml:space="preserve">, though the margin of difference shrinks quite substantially in the </w:t>
      </w:r>
      <w:r w:rsidR="0010153A" w:rsidRPr="00F835FA">
        <w:rPr>
          <w:rFonts w:ascii="Times New Roman" w:hAnsi="Times New Roman" w:cs="Times New Roman"/>
          <w:bCs/>
          <w:i/>
          <w:sz w:val="24"/>
          <w:szCs w:val="24"/>
        </w:rPr>
        <w:t xml:space="preserve">After </w:t>
      </w:r>
      <w:r w:rsidR="0010153A">
        <w:rPr>
          <w:rFonts w:ascii="Times New Roman" w:hAnsi="Times New Roman" w:cs="Times New Roman"/>
          <w:bCs/>
          <w:sz w:val="24"/>
          <w:szCs w:val="24"/>
        </w:rPr>
        <w:t>COVID period</w:t>
      </w:r>
      <w:r w:rsidRPr="00837F9C">
        <w:rPr>
          <w:rFonts w:ascii="Times New Roman" w:hAnsi="Times New Roman" w:cs="Times New Roman"/>
          <w:bCs/>
          <w:sz w:val="24"/>
          <w:szCs w:val="24"/>
        </w:rPr>
        <w:t>.</w:t>
      </w:r>
      <w:r w:rsidR="00BC498F">
        <w:rPr>
          <w:rFonts w:ascii="Times New Roman" w:hAnsi="Times New Roman" w:cs="Times New Roman"/>
          <w:bCs/>
          <w:sz w:val="24"/>
          <w:szCs w:val="24"/>
        </w:rPr>
        <w:t xml:space="preserve"> </w:t>
      </w:r>
      <w:r w:rsidRPr="00837F9C">
        <w:rPr>
          <w:rFonts w:ascii="Times New Roman" w:hAnsi="Times New Roman" w:cs="Times New Roman"/>
          <w:bCs/>
          <w:sz w:val="24"/>
          <w:szCs w:val="24"/>
        </w:rPr>
        <w:t xml:space="preserve">Occupation type depicts a pattern consistent with </w:t>
      </w:r>
      <w:r w:rsidR="0010153A">
        <w:rPr>
          <w:rFonts w:ascii="Times New Roman" w:hAnsi="Times New Roman" w:cs="Times New Roman"/>
          <w:bCs/>
          <w:sz w:val="24"/>
          <w:szCs w:val="24"/>
        </w:rPr>
        <w:t>the interpretations from the estimation results</w:t>
      </w:r>
      <w:r w:rsidRPr="00837F9C">
        <w:rPr>
          <w:rFonts w:ascii="Times New Roman" w:hAnsi="Times New Roman" w:cs="Times New Roman"/>
          <w:bCs/>
          <w:sz w:val="24"/>
          <w:szCs w:val="24"/>
        </w:rPr>
        <w:t xml:space="preserve">. </w:t>
      </w:r>
      <w:r w:rsidR="008210A8">
        <w:rPr>
          <w:rFonts w:ascii="Times New Roman" w:hAnsi="Times New Roman" w:cs="Times New Roman"/>
          <w:bCs/>
          <w:sz w:val="24"/>
          <w:szCs w:val="24"/>
        </w:rPr>
        <w:t xml:space="preserve">Telework adoption and frequency show an increase in the </w:t>
      </w:r>
      <w:r w:rsidR="008210A8" w:rsidRPr="00F835FA">
        <w:rPr>
          <w:rFonts w:ascii="Times New Roman" w:hAnsi="Times New Roman" w:cs="Times New Roman"/>
          <w:bCs/>
          <w:i/>
          <w:sz w:val="24"/>
          <w:szCs w:val="24"/>
        </w:rPr>
        <w:t>After</w:t>
      </w:r>
      <w:r w:rsidR="008210A8">
        <w:rPr>
          <w:rFonts w:ascii="Times New Roman" w:hAnsi="Times New Roman" w:cs="Times New Roman"/>
          <w:bCs/>
          <w:sz w:val="24"/>
          <w:szCs w:val="24"/>
        </w:rPr>
        <w:t xml:space="preserve"> COVID period relative to the </w:t>
      </w:r>
      <w:r w:rsidR="008210A8" w:rsidRPr="00F835FA">
        <w:rPr>
          <w:rFonts w:ascii="Times New Roman" w:hAnsi="Times New Roman" w:cs="Times New Roman"/>
          <w:bCs/>
          <w:i/>
          <w:sz w:val="24"/>
          <w:szCs w:val="24"/>
        </w:rPr>
        <w:t>Before</w:t>
      </w:r>
      <w:r w:rsidR="008210A8">
        <w:rPr>
          <w:rFonts w:ascii="Times New Roman" w:hAnsi="Times New Roman" w:cs="Times New Roman"/>
          <w:bCs/>
          <w:sz w:val="24"/>
          <w:szCs w:val="24"/>
        </w:rPr>
        <w:t xml:space="preserve"> COVID period for all occupation categories, with differences across the occupation categories much more tempered in the </w:t>
      </w:r>
      <w:r w:rsidR="008210A8" w:rsidRPr="00F835FA">
        <w:rPr>
          <w:rFonts w:ascii="Times New Roman" w:hAnsi="Times New Roman" w:cs="Times New Roman"/>
          <w:bCs/>
          <w:i/>
          <w:sz w:val="24"/>
          <w:szCs w:val="24"/>
        </w:rPr>
        <w:t xml:space="preserve">After </w:t>
      </w:r>
      <w:r w:rsidR="008210A8">
        <w:rPr>
          <w:rFonts w:ascii="Times New Roman" w:hAnsi="Times New Roman" w:cs="Times New Roman"/>
          <w:bCs/>
          <w:sz w:val="24"/>
          <w:szCs w:val="24"/>
        </w:rPr>
        <w:t xml:space="preserve">COVID period relative to the </w:t>
      </w:r>
      <w:r w:rsidR="008210A8" w:rsidRPr="00F835FA">
        <w:rPr>
          <w:rFonts w:ascii="Times New Roman" w:hAnsi="Times New Roman" w:cs="Times New Roman"/>
          <w:bCs/>
          <w:i/>
          <w:sz w:val="24"/>
          <w:szCs w:val="24"/>
        </w:rPr>
        <w:t>Before</w:t>
      </w:r>
      <w:r w:rsidR="008210A8">
        <w:rPr>
          <w:rFonts w:ascii="Times New Roman" w:hAnsi="Times New Roman" w:cs="Times New Roman"/>
          <w:bCs/>
          <w:sz w:val="24"/>
          <w:szCs w:val="24"/>
        </w:rPr>
        <w:t xml:space="preserve"> COVID period. </w:t>
      </w:r>
      <w:r w:rsidR="00633805" w:rsidRPr="00837F9C">
        <w:rPr>
          <w:rFonts w:ascii="Times New Roman" w:hAnsi="Times New Roman" w:cs="Times New Roman"/>
          <w:bCs/>
          <w:sz w:val="24"/>
          <w:szCs w:val="24"/>
        </w:rPr>
        <w:t xml:space="preserve">Those with longer commutes consistently exhibit higher levels of telework adoption in the </w:t>
      </w:r>
      <w:r w:rsidR="00700FD4" w:rsidRPr="001D5043">
        <w:rPr>
          <w:rFonts w:ascii="Times New Roman" w:hAnsi="Times New Roman" w:cs="Times New Roman"/>
          <w:bCs/>
          <w:i/>
          <w:sz w:val="24"/>
          <w:szCs w:val="24"/>
        </w:rPr>
        <w:t>B</w:t>
      </w:r>
      <w:r w:rsidR="00633805" w:rsidRPr="001D5043">
        <w:rPr>
          <w:rFonts w:ascii="Times New Roman" w:hAnsi="Times New Roman" w:cs="Times New Roman"/>
          <w:bCs/>
          <w:i/>
          <w:sz w:val="24"/>
          <w:szCs w:val="24"/>
        </w:rPr>
        <w:t>efore</w:t>
      </w:r>
      <w:r w:rsidR="00633805" w:rsidRPr="00837F9C">
        <w:rPr>
          <w:rFonts w:ascii="Times New Roman" w:hAnsi="Times New Roman" w:cs="Times New Roman"/>
          <w:bCs/>
          <w:sz w:val="24"/>
          <w:szCs w:val="24"/>
        </w:rPr>
        <w:t xml:space="preserve"> and </w:t>
      </w:r>
      <w:r w:rsidR="00700FD4" w:rsidRPr="001D5043">
        <w:rPr>
          <w:rFonts w:ascii="Times New Roman" w:hAnsi="Times New Roman" w:cs="Times New Roman"/>
          <w:bCs/>
          <w:i/>
          <w:sz w:val="24"/>
          <w:szCs w:val="24"/>
        </w:rPr>
        <w:t>A</w:t>
      </w:r>
      <w:r w:rsidR="00633805" w:rsidRPr="001D5043">
        <w:rPr>
          <w:rFonts w:ascii="Times New Roman" w:hAnsi="Times New Roman" w:cs="Times New Roman"/>
          <w:bCs/>
          <w:i/>
          <w:sz w:val="24"/>
          <w:szCs w:val="24"/>
        </w:rPr>
        <w:t>fter</w:t>
      </w:r>
      <w:r w:rsidR="00F835FA">
        <w:rPr>
          <w:rFonts w:ascii="Times New Roman" w:hAnsi="Times New Roman" w:cs="Times New Roman"/>
          <w:bCs/>
          <w:i/>
          <w:sz w:val="24"/>
          <w:szCs w:val="24"/>
        </w:rPr>
        <w:t xml:space="preserve"> </w:t>
      </w:r>
      <w:r w:rsidR="00633805" w:rsidRPr="00F835FA">
        <w:rPr>
          <w:rFonts w:ascii="Times New Roman" w:hAnsi="Times New Roman" w:cs="Times New Roman"/>
          <w:bCs/>
          <w:sz w:val="24"/>
          <w:szCs w:val="24"/>
        </w:rPr>
        <w:t xml:space="preserve">COVID </w:t>
      </w:r>
      <w:r w:rsidR="00633805" w:rsidRPr="00837F9C">
        <w:rPr>
          <w:rFonts w:ascii="Times New Roman" w:hAnsi="Times New Roman" w:cs="Times New Roman"/>
          <w:bCs/>
          <w:sz w:val="24"/>
          <w:szCs w:val="24"/>
        </w:rPr>
        <w:t xml:space="preserve">periods, as well as a higher telework frequency in the </w:t>
      </w:r>
      <w:r w:rsidR="001D5043" w:rsidRPr="001D5043">
        <w:rPr>
          <w:rFonts w:ascii="Times New Roman" w:hAnsi="Times New Roman" w:cs="Times New Roman"/>
          <w:bCs/>
          <w:i/>
          <w:sz w:val="24"/>
          <w:szCs w:val="24"/>
        </w:rPr>
        <w:t>A</w:t>
      </w:r>
      <w:r w:rsidR="00633805" w:rsidRPr="001D5043">
        <w:rPr>
          <w:rFonts w:ascii="Times New Roman" w:hAnsi="Times New Roman" w:cs="Times New Roman"/>
          <w:bCs/>
          <w:i/>
          <w:sz w:val="24"/>
          <w:szCs w:val="24"/>
        </w:rPr>
        <w:t>fter</w:t>
      </w:r>
      <w:r w:rsidR="00F835FA">
        <w:rPr>
          <w:rFonts w:ascii="Times New Roman" w:hAnsi="Times New Roman" w:cs="Times New Roman"/>
          <w:bCs/>
          <w:i/>
          <w:sz w:val="24"/>
          <w:szCs w:val="24"/>
        </w:rPr>
        <w:t xml:space="preserve"> </w:t>
      </w:r>
      <w:r w:rsidR="00633805" w:rsidRPr="00F835FA">
        <w:rPr>
          <w:rFonts w:ascii="Times New Roman" w:hAnsi="Times New Roman" w:cs="Times New Roman"/>
          <w:bCs/>
          <w:sz w:val="24"/>
          <w:szCs w:val="24"/>
        </w:rPr>
        <w:t xml:space="preserve">COVID </w:t>
      </w:r>
      <w:r w:rsidR="00633805" w:rsidRPr="00837F9C">
        <w:rPr>
          <w:rFonts w:ascii="Times New Roman" w:hAnsi="Times New Roman" w:cs="Times New Roman"/>
          <w:bCs/>
          <w:sz w:val="24"/>
          <w:szCs w:val="24"/>
        </w:rPr>
        <w:t xml:space="preserve">period (when compared with those having shorter commutes). </w:t>
      </w:r>
    </w:p>
    <w:p w14:paraId="506A96DB" w14:textId="6E26FD59" w:rsidR="00633805" w:rsidRPr="00837F9C" w:rsidRDefault="00633805" w:rsidP="00E1729F">
      <w:pPr>
        <w:spacing w:after="0" w:line="276" w:lineRule="auto"/>
        <w:rPr>
          <w:rFonts w:ascii="Times New Roman" w:hAnsi="Times New Roman" w:cs="Times New Roman"/>
          <w:bCs/>
          <w:sz w:val="24"/>
          <w:szCs w:val="24"/>
        </w:rPr>
      </w:pPr>
      <w:r w:rsidRPr="00837F9C">
        <w:rPr>
          <w:rFonts w:ascii="Times New Roman" w:hAnsi="Times New Roman" w:cs="Times New Roman"/>
          <w:bCs/>
          <w:sz w:val="24"/>
          <w:szCs w:val="24"/>
        </w:rPr>
        <w:tab/>
        <w:t>As expected, individuals who are immunocompromised exhibit a greater uptake in telework adoption than those who do not experience such a health condition</w:t>
      </w:r>
      <w:r w:rsidR="008210A8">
        <w:rPr>
          <w:rFonts w:ascii="Times New Roman" w:hAnsi="Times New Roman" w:cs="Times New Roman"/>
          <w:bCs/>
          <w:sz w:val="24"/>
          <w:szCs w:val="24"/>
        </w:rPr>
        <w:t xml:space="preserve"> (70.1% increase between the two time periods for immunocompromised individuals relative to 51.7% for those who are not)</w:t>
      </w:r>
      <w:r w:rsidRPr="00837F9C">
        <w:rPr>
          <w:rFonts w:ascii="Times New Roman" w:hAnsi="Times New Roman" w:cs="Times New Roman"/>
          <w:bCs/>
          <w:sz w:val="24"/>
          <w:szCs w:val="24"/>
        </w:rPr>
        <w:t xml:space="preserve">. Not shown in the table (in the interest of brevity) is the influence due to residential unit characteristics (stand-alone home and presence of private study). </w:t>
      </w:r>
      <w:r w:rsidR="008210A8">
        <w:rPr>
          <w:rFonts w:ascii="Times New Roman" w:hAnsi="Times New Roman" w:cs="Times New Roman"/>
          <w:bCs/>
          <w:sz w:val="24"/>
          <w:szCs w:val="24"/>
        </w:rPr>
        <w:t>But, as would be expected, t</w:t>
      </w:r>
      <w:r w:rsidRPr="00837F9C">
        <w:rPr>
          <w:rFonts w:ascii="Times New Roman" w:hAnsi="Times New Roman" w:cs="Times New Roman"/>
          <w:bCs/>
          <w:sz w:val="24"/>
          <w:szCs w:val="24"/>
        </w:rPr>
        <w:t>he presence of a private study is associated with greater levels of teleworking and a higher propensity of teleworking exclusively from home.</w:t>
      </w:r>
    </w:p>
    <w:p w14:paraId="1FE2044E" w14:textId="27F0D610" w:rsidR="00D660C2" w:rsidRPr="00837F9C" w:rsidRDefault="00633805" w:rsidP="00E1729F">
      <w:pPr>
        <w:spacing w:after="0" w:line="276" w:lineRule="auto"/>
        <w:ind w:firstLine="720"/>
        <w:rPr>
          <w:rFonts w:ascii="Times New Roman" w:hAnsi="Times New Roman" w:cs="Times New Roman"/>
          <w:bCs/>
          <w:sz w:val="24"/>
          <w:szCs w:val="24"/>
        </w:rPr>
      </w:pPr>
      <w:r w:rsidRPr="00837F9C">
        <w:rPr>
          <w:rFonts w:ascii="Times New Roman" w:hAnsi="Times New Roman" w:cs="Times New Roman"/>
          <w:bCs/>
          <w:sz w:val="24"/>
          <w:szCs w:val="24"/>
        </w:rPr>
        <w:t xml:space="preserve">These results are all behaviorally intuitive, and reflect the COVID shift effects in the telework arena. It </w:t>
      </w:r>
      <w:r w:rsidR="008210A8">
        <w:rPr>
          <w:rFonts w:ascii="Times New Roman" w:hAnsi="Times New Roman" w:cs="Times New Roman"/>
          <w:bCs/>
          <w:sz w:val="24"/>
          <w:szCs w:val="24"/>
        </w:rPr>
        <w:t xml:space="preserve">does appear </w:t>
      </w:r>
      <w:r w:rsidRPr="00837F9C">
        <w:rPr>
          <w:rFonts w:ascii="Times New Roman" w:hAnsi="Times New Roman" w:cs="Times New Roman"/>
          <w:bCs/>
          <w:sz w:val="24"/>
          <w:szCs w:val="24"/>
        </w:rPr>
        <w:t xml:space="preserve">that telework arrangements will remain at an elevated level into the future, with home serving as the dominant telework location. </w:t>
      </w:r>
    </w:p>
    <w:p w14:paraId="6FB1E2DB" w14:textId="77777777" w:rsidR="00813096" w:rsidRDefault="00813096" w:rsidP="00E1729F">
      <w:pPr>
        <w:spacing w:after="0" w:line="276" w:lineRule="auto"/>
        <w:rPr>
          <w:rFonts w:ascii="Times New Roman" w:hAnsi="Times New Roman" w:cs="Times New Roman"/>
          <w:bCs/>
          <w:sz w:val="24"/>
          <w:szCs w:val="24"/>
        </w:rPr>
        <w:sectPr w:rsidR="00813096" w:rsidSect="00E1729F">
          <w:pgSz w:w="12240" w:h="15840" w:code="1"/>
          <w:pgMar w:top="1440" w:right="1440" w:bottom="1440" w:left="1440" w:header="720" w:footer="720" w:gutter="0"/>
          <w:cols w:space="720"/>
          <w:docGrid w:linePitch="360"/>
        </w:sectPr>
      </w:pPr>
    </w:p>
    <w:p w14:paraId="600B77A0" w14:textId="0D8AAD62" w:rsidR="00F03A33" w:rsidRPr="00837F9C" w:rsidRDefault="00EB1CAC" w:rsidP="00E1729F">
      <w:pPr>
        <w:spacing w:after="0" w:line="276" w:lineRule="auto"/>
        <w:rPr>
          <w:rFonts w:ascii="Times New Roman" w:hAnsi="Times New Roman" w:cs="Times New Roman"/>
          <w:bCs/>
          <w:sz w:val="24"/>
          <w:szCs w:val="24"/>
        </w:rPr>
      </w:pPr>
      <w:r w:rsidRPr="00837F9C">
        <w:rPr>
          <w:rFonts w:ascii="Times New Roman" w:hAnsi="Times New Roman" w:cs="Times New Roman"/>
          <w:b/>
          <w:sz w:val="24"/>
          <w:szCs w:val="24"/>
        </w:rPr>
        <w:lastRenderedPageBreak/>
        <w:t xml:space="preserve">Table </w:t>
      </w:r>
      <w:r w:rsidR="00C50D80">
        <w:rPr>
          <w:rFonts w:ascii="Times New Roman" w:hAnsi="Times New Roman" w:cs="Times New Roman"/>
          <w:b/>
          <w:sz w:val="24"/>
          <w:szCs w:val="24"/>
        </w:rPr>
        <w:t>7</w:t>
      </w:r>
      <w:r w:rsidR="00F03A33" w:rsidRPr="00837F9C">
        <w:rPr>
          <w:rFonts w:ascii="Times New Roman" w:hAnsi="Times New Roman" w:cs="Times New Roman"/>
          <w:b/>
          <w:sz w:val="24"/>
          <w:szCs w:val="24"/>
        </w:rPr>
        <w:t>. Estimates of Exogenous Variable and COVID Period Effects on Teleworking</w:t>
      </w:r>
      <w:r w:rsidR="00447AF0" w:rsidRPr="00837F9C">
        <w:rPr>
          <w:rFonts w:ascii="Times New Roman" w:hAnsi="Times New Roman" w:cs="Times New Roman"/>
          <w:b/>
          <w:sz w:val="24"/>
          <w:szCs w:val="24"/>
        </w:rPr>
        <w:t xml:space="preserve"> Arrangements</w:t>
      </w:r>
    </w:p>
    <w:tbl>
      <w:tblPr>
        <w:tblStyle w:val="TableGrid"/>
        <w:tblW w:w="14490" w:type="dxa"/>
        <w:jc w:val="center"/>
        <w:tblInd w:w="0" w:type="dxa"/>
        <w:tblLayout w:type="fixed"/>
        <w:tblCellMar>
          <w:left w:w="72" w:type="dxa"/>
          <w:right w:w="72" w:type="dxa"/>
        </w:tblCellMar>
        <w:tblLook w:val="04A0" w:firstRow="1" w:lastRow="0" w:firstColumn="1" w:lastColumn="0" w:noHBand="0" w:noVBand="1"/>
      </w:tblPr>
      <w:tblGrid>
        <w:gridCol w:w="900"/>
        <w:gridCol w:w="911"/>
        <w:gridCol w:w="905"/>
        <w:gridCol w:w="704"/>
        <w:gridCol w:w="990"/>
        <w:gridCol w:w="1023"/>
        <w:gridCol w:w="906"/>
        <w:gridCol w:w="906"/>
        <w:gridCol w:w="765"/>
        <w:gridCol w:w="990"/>
        <w:gridCol w:w="961"/>
        <w:gridCol w:w="906"/>
        <w:gridCol w:w="906"/>
        <w:gridCol w:w="737"/>
        <w:gridCol w:w="990"/>
        <w:gridCol w:w="990"/>
      </w:tblGrid>
      <w:tr w:rsidR="00837F9C" w:rsidRPr="00837F9C" w14:paraId="6A46DDD5" w14:textId="77777777" w:rsidTr="00D3023D">
        <w:trPr>
          <w:trHeight w:val="288"/>
          <w:tblHeader/>
          <w:jc w:val="center"/>
        </w:trPr>
        <w:tc>
          <w:tcPr>
            <w:tcW w:w="900" w:type="dxa"/>
            <w:vMerge w:val="restart"/>
            <w:tcBorders>
              <w:top w:val="double" w:sz="4" w:space="0" w:color="auto"/>
              <w:left w:val="double" w:sz="4" w:space="0" w:color="auto"/>
              <w:right w:val="single" w:sz="12" w:space="0" w:color="auto"/>
            </w:tcBorders>
            <w:noWrap/>
            <w:vAlign w:val="center"/>
            <w:hideMark/>
          </w:tcPr>
          <w:p w14:paraId="186A6ADA" w14:textId="77777777" w:rsidR="00887C66" w:rsidRPr="00837F9C" w:rsidRDefault="00887C66" w:rsidP="00E1729F">
            <w:pPr>
              <w:spacing w:line="276" w:lineRule="auto"/>
              <w:jc w:val="center"/>
              <w:rPr>
                <w:rFonts w:ascii="Times New Roman" w:eastAsia="Times New Roman" w:hAnsi="Times New Roman" w:cs="Times New Roman"/>
                <w:b/>
                <w:sz w:val="20"/>
                <w:szCs w:val="20"/>
              </w:rPr>
            </w:pPr>
            <w:bookmarkStart w:id="16" w:name="_Hlk109668129"/>
            <w:bookmarkStart w:id="17" w:name="_Hlk109727371"/>
            <w:r w:rsidRPr="00E1729F">
              <w:rPr>
                <w:rFonts w:ascii="Times New Roman" w:eastAsia="Times New Roman" w:hAnsi="Times New Roman" w:cs="Times New Roman"/>
                <w:b/>
                <w:sz w:val="16"/>
                <w:szCs w:val="20"/>
              </w:rPr>
              <w:t>Exogen-ous Variables</w:t>
            </w:r>
          </w:p>
        </w:tc>
        <w:tc>
          <w:tcPr>
            <w:tcW w:w="4533" w:type="dxa"/>
            <w:gridSpan w:val="5"/>
            <w:tcBorders>
              <w:top w:val="double" w:sz="4" w:space="0" w:color="auto"/>
              <w:left w:val="single" w:sz="12" w:space="0" w:color="auto"/>
              <w:right w:val="single" w:sz="12" w:space="0" w:color="auto"/>
            </w:tcBorders>
            <w:noWrap/>
            <w:vAlign w:val="center"/>
            <w:hideMark/>
          </w:tcPr>
          <w:p w14:paraId="4591FDD1" w14:textId="76A8F6C7" w:rsidR="00887C66" w:rsidRPr="001D5043" w:rsidRDefault="00887C66" w:rsidP="00E1729F">
            <w:pPr>
              <w:spacing w:line="276" w:lineRule="auto"/>
              <w:jc w:val="center"/>
              <w:rPr>
                <w:rFonts w:ascii="Times New Roman" w:eastAsia="Times New Roman" w:hAnsi="Times New Roman" w:cs="Times New Roman"/>
                <w:b/>
                <w:i/>
                <w:sz w:val="20"/>
                <w:szCs w:val="20"/>
              </w:rPr>
            </w:pPr>
            <w:r w:rsidRPr="001D5043">
              <w:rPr>
                <w:rFonts w:ascii="Times New Roman" w:eastAsia="Times New Roman" w:hAnsi="Times New Roman" w:cs="Times New Roman"/>
                <w:b/>
                <w:i/>
                <w:sz w:val="20"/>
                <w:szCs w:val="20"/>
              </w:rPr>
              <w:t>Before</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p>
        </w:tc>
        <w:tc>
          <w:tcPr>
            <w:tcW w:w="4528" w:type="dxa"/>
            <w:gridSpan w:val="5"/>
            <w:tcBorders>
              <w:top w:val="double" w:sz="4" w:space="0" w:color="auto"/>
              <w:left w:val="single" w:sz="12" w:space="0" w:color="auto"/>
              <w:right w:val="single" w:sz="12" w:space="0" w:color="auto"/>
            </w:tcBorders>
            <w:noWrap/>
            <w:vAlign w:val="center"/>
          </w:tcPr>
          <w:p w14:paraId="0CC325DA" w14:textId="4B1035E4" w:rsidR="00887C66" w:rsidRPr="001D5043" w:rsidRDefault="00887C66" w:rsidP="00E1729F">
            <w:pPr>
              <w:spacing w:line="276" w:lineRule="auto"/>
              <w:jc w:val="center"/>
              <w:rPr>
                <w:rFonts w:ascii="Times New Roman" w:eastAsia="Times New Roman" w:hAnsi="Times New Roman" w:cs="Times New Roman"/>
                <w:b/>
                <w:i/>
                <w:sz w:val="20"/>
                <w:szCs w:val="20"/>
              </w:rPr>
            </w:pPr>
            <w:r w:rsidRPr="001D5043">
              <w:rPr>
                <w:rFonts w:ascii="Times New Roman" w:eastAsia="Times New Roman" w:hAnsi="Times New Roman" w:cs="Times New Roman"/>
                <w:b/>
                <w:i/>
                <w:sz w:val="20"/>
                <w:szCs w:val="20"/>
              </w:rPr>
              <w:t>After</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p>
        </w:tc>
        <w:tc>
          <w:tcPr>
            <w:tcW w:w="4529" w:type="dxa"/>
            <w:gridSpan w:val="5"/>
            <w:tcBorders>
              <w:top w:val="double" w:sz="4" w:space="0" w:color="auto"/>
              <w:left w:val="single" w:sz="12" w:space="0" w:color="auto"/>
              <w:right w:val="double" w:sz="4" w:space="0" w:color="auto"/>
            </w:tcBorders>
            <w:noWrap/>
            <w:vAlign w:val="center"/>
          </w:tcPr>
          <w:p w14:paraId="358FD764" w14:textId="3BCB5E92" w:rsidR="00887C66" w:rsidRPr="00E1729F" w:rsidRDefault="00887C66" w:rsidP="00E1729F">
            <w:pPr>
              <w:spacing w:line="276" w:lineRule="auto"/>
              <w:jc w:val="center"/>
              <w:rPr>
                <w:rFonts w:ascii="Times New Roman" w:eastAsia="Times New Roman" w:hAnsi="Times New Roman" w:cs="Times New Roman"/>
                <w:b/>
                <w:sz w:val="20"/>
                <w:szCs w:val="20"/>
              </w:rPr>
            </w:pPr>
            <w:r w:rsidRPr="00E1729F">
              <w:rPr>
                <w:rFonts w:ascii="Times New Roman" w:eastAsia="Times New Roman" w:hAnsi="Times New Roman" w:cs="Times New Roman"/>
                <w:b/>
                <w:sz w:val="20"/>
                <w:szCs w:val="20"/>
              </w:rPr>
              <w:t>% change (</w:t>
            </w:r>
            <w:r w:rsidRPr="001D5043">
              <w:rPr>
                <w:rFonts w:ascii="Times New Roman" w:eastAsia="Times New Roman" w:hAnsi="Times New Roman" w:cs="Times New Roman"/>
                <w:b/>
                <w:i/>
                <w:sz w:val="20"/>
                <w:szCs w:val="20"/>
              </w:rPr>
              <w:t>Befor</w:t>
            </w:r>
            <w:r w:rsidR="00DD5EAC">
              <w:rPr>
                <w:rFonts w:ascii="Times New Roman" w:eastAsia="Times New Roman" w:hAnsi="Times New Roman" w:cs="Times New Roman"/>
                <w:b/>
                <w:i/>
                <w:sz w:val="20"/>
                <w:szCs w:val="20"/>
              </w:rPr>
              <w:t>e</w:t>
            </w:r>
            <w:r w:rsidRPr="00E1729F">
              <w:rPr>
                <w:rFonts w:ascii="Times New Roman" w:eastAsia="Times New Roman" w:hAnsi="Times New Roman" w:cs="Times New Roman"/>
                <w:b/>
                <w:sz w:val="20"/>
                <w:szCs w:val="20"/>
              </w:rPr>
              <w:t xml:space="preserve"> to </w:t>
            </w:r>
            <w:r w:rsidRPr="001D5043">
              <w:rPr>
                <w:rFonts w:ascii="Times New Roman" w:eastAsia="Times New Roman" w:hAnsi="Times New Roman" w:cs="Times New Roman"/>
                <w:b/>
                <w:i/>
                <w:sz w:val="20"/>
                <w:szCs w:val="20"/>
              </w:rPr>
              <w:t>After</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r w:rsidRPr="00E1729F">
              <w:rPr>
                <w:rFonts w:ascii="Times New Roman" w:eastAsia="Times New Roman" w:hAnsi="Times New Roman" w:cs="Times New Roman"/>
                <w:b/>
                <w:sz w:val="20"/>
                <w:szCs w:val="20"/>
              </w:rPr>
              <w:t>)</w:t>
            </w:r>
          </w:p>
        </w:tc>
      </w:tr>
      <w:tr w:rsidR="00837F9C" w:rsidRPr="00837F9C" w14:paraId="6B28BBB5" w14:textId="77777777" w:rsidTr="00D3023D">
        <w:trPr>
          <w:trHeight w:val="288"/>
          <w:tblHeader/>
          <w:jc w:val="center"/>
        </w:trPr>
        <w:tc>
          <w:tcPr>
            <w:tcW w:w="900" w:type="dxa"/>
            <w:vMerge/>
            <w:tcBorders>
              <w:left w:val="double" w:sz="4" w:space="0" w:color="auto"/>
              <w:right w:val="single" w:sz="12" w:space="0" w:color="auto"/>
            </w:tcBorders>
            <w:noWrap/>
            <w:vAlign w:val="center"/>
          </w:tcPr>
          <w:p w14:paraId="3BB931A9" w14:textId="77777777" w:rsidR="00887C66" w:rsidRPr="00E1729F" w:rsidRDefault="00887C66" w:rsidP="00E1729F">
            <w:pPr>
              <w:spacing w:line="276" w:lineRule="auto"/>
              <w:jc w:val="center"/>
              <w:rPr>
                <w:rFonts w:ascii="Times New Roman" w:eastAsia="Times New Roman" w:hAnsi="Times New Roman" w:cs="Times New Roman"/>
                <w:b/>
                <w:sz w:val="20"/>
                <w:szCs w:val="20"/>
              </w:rPr>
            </w:pPr>
          </w:p>
        </w:tc>
        <w:tc>
          <w:tcPr>
            <w:tcW w:w="911" w:type="dxa"/>
            <w:vMerge w:val="restart"/>
            <w:tcBorders>
              <w:left w:val="single" w:sz="12" w:space="0" w:color="auto"/>
            </w:tcBorders>
            <w:noWrap/>
            <w:vAlign w:val="center"/>
          </w:tcPr>
          <w:p w14:paraId="4AB2EED8" w14:textId="07ACC96E"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5" w:type="dxa"/>
            <w:vMerge w:val="restart"/>
            <w:noWrap/>
            <w:vAlign w:val="center"/>
          </w:tcPr>
          <w:p w14:paraId="0B5A1F78" w14:textId="4A919199"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p>
          <w:p w14:paraId="4D81B520" w14:textId="6036A0BB" w:rsidR="00447AF0"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(Days)</w:t>
            </w:r>
          </w:p>
        </w:tc>
        <w:tc>
          <w:tcPr>
            <w:tcW w:w="2717" w:type="dxa"/>
            <w:gridSpan w:val="3"/>
            <w:tcBorders>
              <w:right w:val="single" w:sz="12" w:space="0" w:color="auto"/>
            </w:tcBorders>
            <w:noWrap/>
            <w:vAlign w:val="center"/>
          </w:tcPr>
          <w:p w14:paraId="040E729B" w14:textId="2AC10193"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c>
          <w:tcPr>
            <w:tcW w:w="906" w:type="dxa"/>
            <w:vMerge w:val="restart"/>
            <w:tcBorders>
              <w:left w:val="single" w:sz="12" w:space="0" w:color="auto"/>
            </w:tcBorders>
            <w:noWrap/>
            <w:vAlign w:val="center"/>
          </w:tcPr>
          <w:p w14:paraId="394F5FF4" w14:textId="60D0BCA8"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6" w:type="dxa"/>
            <w:vMerge w:val="restart"/>
            <w:noWrap/>
            <w:vAlign w:val="center"/>
          </w:tcPr>
          <w:p w14:paraId="3520DD99" w14:textId="4D8B6549"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 xml:space="preserve"> (Days)</w:t>
            </w:r>
          </w:p>
        </w:tc>
        <w:tc>
          <w:tcPr>
            <w:tcW w:w="2716" w:type="dxa"/>
            <w:gridSpan w:val="3"/>
            <w:tcBorders>
              <w:right w:val="single" w:sz="12" w:space="0" w:color="auto"/>
            </w:tcBorders>
            <w:noWrap/>
            <w:vAlign w:val="center"/>
          </w:tcPr>
          <w:p w14:paraId="48E1F4C6" w14:textId="5EFA3EAD"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c>
          <w:tcPr>
            <w:tcW w:w="906" w:type="dxa"/>
            <w:vMerge w:val="restart"/>
            <w:tcBorders>
              <w:left w:val="single" w:sz="12" w:space="0" w:color="auto"/>
            </w:tcBorders>
            <w:noWrap/>
            <w:vAlign w:val="center"/>
          </w:tcPr>
          <w:p w14:paraId="1F7820A1" w14:textId="1AD439FF"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6" w:type="dxa"/>
            <w:vMerge w:val="restart"/>
            <w:noWrap/>
            <w:vAlign w:val="center"/>
          </w:tcPr>
          <w:p w14:paraId="5E888C04" w14:textId="77B97F07"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 xml:space="preserve"> (Days)</w:t>
            </w:r>
          </w:p>
        </w:tc>
        <w:tc>
          <w:tcPr>
            <w:tcW w:w="2717" w:type="dxa"/>
            <w:gridSpan w:val="3"/>
            <w:tcBorders>
              <w:right w:val="double" w:sz="4" w:space="0" w:color="auto"/>
            </w:tcBorders>
            <w:noWrap/>
            <w:vAlign w:val="center"/>
          </w:tcPr>
          <w:p w14:paraId="377052E4" w14:textId="3E96A6D0" w:rsidR="00887C66"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r>
      <w:tr w:rsidR="00837F9C" w:rsidRPr="00837F9C" w14:paraId="0AB7671A" w14:textId="77777777" w:rsidTr="00D3023D">
        <w:trPr>
          <w:trHeight w:val="288"/>
          <w:tblHeader/>
          <w:jc w:val="center"/>
        </w:trPr>
        <w:tc>
          <w:tcPr>
            <w:tcW w:w="900" w:type="dxa"/>
            <w:vMerge/>
            <w:tcBorders>
              <w:left w:val="double" w:sz="4" w:space="0" w:color="auto"/>
              <w:bottom w:val="single" w:sz="12" w:space="0" w:color="auto"/>
              <w:right w:val="single" w:sz="12" w:space="0" w:color="auto"/>
            </w:tcBorders>
            <w:noWrap/>
            <w:vAlign w:val="center"/>
            <w:hideMark/>
          </w:tcPr>
          <w:p w14:paraId="14B60884" w14:textId="77777777" w:rsidR="00887C66" w:rsidRPr="00E1729F" w:rsidRDefault="00887C66" w:rsidP="00E1729F">
            <w:pPr>
              <w:spacing w:line="276" w:lineRule="auto"/>
              <w:jc w:val="center"/>
              <w:rPr>
                <w:rFonts w:ascii="Times New Roman" w:eastAsia="Times New Roman" w:hAnsi="Times New Roman" w:cs="Times New Roman"/>
                <w:b/>
                <w:sz w:val="20"/>
                <w:szCs w:val="20"/>
              </w:rPr>
            </w:pPr>
          </w:p>
        </w:tc>
        <w:tc>
          <w:tcPr>
            <w:tcW w:w="911" w:type="dxa"/>
            <w:vMerge/>
            <w:tcBorders>
              <w:left w:val="single" w:sz="12" w:space="0" w:color="auto"/>
              <w:bottom w:val="single" w:sz="12" w:space="0" w:color="auto"/>
            </w:tcBorders>
            <w:noWrap/>
            <w:vAlign w:val="center"/>
            <w:hideMark/>
          </w:tcPr>
          <w:p w14:paraId="267169E0"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905" w:type="dxa"/>
            <w:vMerge/>
            <w:tcBorders>
              <w:bottom w:val="single" w:sz="12" w:space="0" w:color="auto"/>
            </w:tcBorders>
            <w:noWrap/>
            <w:vAlign w:val="center"/>
            <w:hideMark/>
          </w:tcPr>
          <w:p w14:paraId="67F77982"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704" w:type="dxa"/>
            <w:tcBorders>
              <w:bottom w:val="single" w:sz="12" w:space="0" w:color="auto"/>
            </w:tcBorders>
            <w:noWrap/>
            <w:vAlign w:val="center"/>
            <w:hideMark/>
          </w:tcPr>
          <w:p w14:paraId="1BFD66D7" w14:textId="77777777"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635F0E2F" w14:textId="089CEA5C"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8210A8">
              <w:rPr>
                <w:rFonts w:ascii="Times New Roman" w:eastAsia="Times New Roman" w:hAnsi="Times New Roman" w:cs="Times New Roman"/>
                <w:b/>
                <w:sz w:val="16"/>
                <w:szCs w:val="20"/>
              </w:rPr>
              <w:t>location</w:t>
            </w:r>
            <w:r w:rsidRPr="00E1729F">
              <w:rPr>
                <w:rFonts w:ascii="Times New Roman" w:eastAsia="Times New Roman" w:hAnsi="Times New Roman" w:cs="Times New Roman"/>
                <w:b/>
                <w:sz w:val="16"/>
                <w:szCs w:val="20"/>
              </w:rPr>
              <w:t xml:space="preserve"> only</w:t>
            </w:r>
          </w:p>
        </w:tc>
        <w:tc>
          <w:tcPr>
            <w:tcW w:w="1023" w:type="dxa"/>
            <w:tcBorders>
              <w:bottom w:val="single" w:sz="12" w:space="0" w:color="auto"/>
              <w:right w:val="single" w:sz="12" w:space="0" w:color="auto"/>
            </w:tcBorders>
            <w:noWrap/>
            <w:vAlign w:val="center"/>
            <w:hideMark/>
          </w:tcPr>
          <w:p w14:paraId="50B0173C" w14:textId="03F7E228" w:rsidR="00887C66" w:rsidRPr="00E1729F" w:rsidRDefault="008210A8" w:rsidP="00E1729F">
            <w:pPr>
              <w:spacing w:line="276" w:lineRule="auto"/>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Both h</w:t>
            </w:r>
            <w:r w:rsidR="00887C66" w:rsidRPr="00E1729F">
              <w:rPr>
                <w:rFonts w:ascii="Times New Roman" w:eastAsia="Times New Roman" w:hAnsi="Times New Roman" w:cs="Times New Roman"/>
                <w:b/>
                <w:sz w:val="16"/>
                <w:szCs w:val="20"/>
              </w:rPr>
              <w:t xml:space="preserve">ome and a third </w:t>
            </w:r>
            <w:r w:rsidR="00A717B2">
              <w:rPr>
                <w:rFonts w:ascii="Times New Roman" w:eastAsia="Times New Roman" w:hAnsi="Times New Roman" w:cs="Times New Roman"/>
                <w:b/>
                <w:sz w:val="16"/>
                <w:szCs w:val="20"/>
              </w:rPr>
              <w:t>location</w:t>
            </w:r>
          </w:p>
        </w:tc>
        <w:tc>
          <w:tcPr>
            <w:tcW w:w="906" w:type="dxa"/>
            <w:vMerge/>
            <w:tcBorders>
              <w:left w:val="single" w:sz="12" w:space="0" w:color="auto"/>
              <w:bottom w:val="single" w:sz="12" w:space="0" w:color="auto"/>
            </w:tcBorders>
            <w:noWrap/>
            <w:vAlign w:val="center"/>
            <w:hideMark/>
          </w:tcPr>
          <w:p w14:paraId="0E7843CC"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906" w:type="dxa"/>
            <w:vMerge/>
            <w:tcBorders>
              <w:bottom w:val="single" w:sz="12" w:space="0" w:color="auto"/>
            </w:tcBorders>
            <w:noWrap/>
            <w:vAlign w:val="center"/>
            <w:hideMark/>
          </w:tcPr>
          <w:p w14:paraId="36CDAB46"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765" w:type="dxa"/>
            <w:tcBorders>
              <w:bottom w:val="single" w:sz="12" w:space="0" w:color="auto"/>
            </w:tcBorders>
            <w:noWrap/>
            <w:vAlign w:val="center"/>
            <w:hideMark/>
          </w:tcPr>
          <w:p w14:paraId="0B305ED2" w14:textId="77777777"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59B24F37" w14:textId="03B4AAA1"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8210A8">
              <w:rPr>
                <w:rFonts w:ascii="Times New Roman" w:eastAsia="Times New Roman" w:hAnsi="Times New Roman" w:cs="Times New Roman"/>
                <w:b/>
                <w:sz w:val="16"/>
                <w:szCs w:val="20"/>
              </w:rPr>
              <w:t>location</w:t>
            </w:r>
            <w:r w:rsidRPr="00E1729F">
              <w:rPr>
                <w:rFonts w:ascii="Times New Roman" w:eastAsia="Times New Roman" w:hAnsi="Times New Roman" w:cs="Times New Roman"/>
                <w:b/>
                <w:sz w:val="16"/>
                <w:szCs w:val="20"/>
              </w:rPr>
              <w:t xml:space="preserve"> only</w:t>
            </w:r>
          </w:p>
        </w:tc>
        <w:tc>
          <w:tcPr>
            <w:tcW w:w="961" w:type="dxa"/>
            <w:tcBorders>
              <w:bottom w:val="single" w:sz="12" w:space="0" w:color="auto"/>
              <w:right w:val="single" w:sz="12" w:space="0" w:color="auto"/>
            </w:tcBorders>
            <w:noWrap/>
            <w:vAlign w:val="center"/>
            <w:hideMark/>
          </w:tcPr>
          <w:p w14:paraId="2895E246" w14:textId="54085C5D" w:rsidR="00887C66" w:rsidRPr="00E1729F" w:rsidRDefault="008210A8" w:rsidP="00E1729F">
            <w:pPr>
              <w:spacing w:line="276" w:lineRule="auto"/>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Both h</w:t>
            </w:r>
            <w:r w:rsidR="00887C66" w:rsidRPr="00E1729F">
              <w:rPr>
                <w:rFonts w:ascii="Times New Roman" w:eastAsia="Times New Roman" w:hAnsi="Times New Roman" w:cs="Times New Roman"/>
                <w:b/>
                <w:sz w:val="16"/>
                <w:szCs w:val="20"/>
              </w:rPr>
              <w:t xml:space="preserve">ome and a third </w:t>
            </w:r>
            <w:r>
              <w:rPr>
                <w:rFonts w:ascii="Times New Roman" w:eastAsia="Times New Roman" w:hAnsi="Times New Roman" w:cs="Times New Roman"/>
                <w:b/>
                <w:sz w:val="16"/>
                <w:szCs w:val="20"/>
              </w:rPr>
              <w:t>location</w:t>
            </w:r>
          </w:p>
        </w:tc>
        <w:tc>
          <w:tcPr>
            <w:tcW w:w="906" w:type="dxa"/>
            <w:vMerge/>
            <w:tcBorders>
              <w:left w:val="single" w:sz="12" w:space="0" w:color="auto"/>
              <w:bottom w:val="single" w:sz="12" w:space="0" w:color="auto"/>
            </w:tcBorders>
            <w:noWrap/>
            <w:vAlign w:val="center"/>
            <w:hideMark/>
          </w:tcPr>
          <w:p w14:paraId="1916637C"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906" w:type="dxa"/>
            <w:vMerge/>
            <w:tcBorders>
              <w:bottom w:val="single" w:sz="12" w:space="0" w:color="auto"/>
            </w:tcBorders>
            <w:noWrap/>
            <w:vAlign w:val="center"/>
            <w:hideMark/>
          </w:tcPr>
          <w:p w14:paraId="0AF34D8A" w14:textId="77777777" w:rsidR="00887C66" w:rsidRPr="00E1729F" w:rsidRDefault="00887C66" w:rsidP="00E1729F">
            <w:pPr>
              <w:spacing w:line="276" w:lineRule="auto"/>
              <w:jc w:val="center"/>
              <w:rPr>
                <w:rFonts w:ascii="Times New Roman" w:eastAsia="Times New Roman" w:hAnsi="Times New Roman" w:cs="Times New Roman"/>
                <w:b/>
                <w:sz w:val="16"/>
                <w:szCs w:val="20"/>
              </w:rPr>
            </w:pPr>
          </w:p>
        </w:tc>
        <w:tc>
          <w:tcPr>
            <w:tcW w:w="737" w:type="dxa"/>
            <w:tcBorders>
              <w:bottom w:val="single" w:sz="12" w:space="0" w:color="auto"/>
            </w:tcBorders>
            <w:noWrap/>
            <w:vAlign w:val="center"/>
            <w:hideMark/>
          </w:tcPr>
          <w:p w14:paraId="32F2512B" w14:textId="77777777"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1520B4A4" w14:textId="7BF30B45" w:rsidR="00887C66" w:rsidRPr="00E1729F" w:rsidRDefault="00887C66"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8210A8">
              <w:rPr>
                <w:rFonts w:ascii="Times New Roman" w:eastAsia="Times New Roman" w:hAnsi="Times New Roman" w:cs="Times New Roman"/>
                <w:b/>
                <w:sz w:val="16"/>
                <w:szCs w:val="20"/>
              </w:rPr>
              <w:t>location</w:t>
            </w:r>
            <w:r w:rsidRPr="00E1729F">
              <w:rPr>
                <w:rFonts w:ascii="Times New Roman" w:eastAsia="Times New Roman" w:hAnsi="Times New Roman" w:cs="Times New Roman"/>
                <w:b/>
                <w:sz w:val="16"/>
                <w:szCs w:val="20"/>
              </w:rPr>
              <w:t xml:space="preserve"> only</w:t>
            </w:r>
          </w:p>
        </w:tc>
        <w:tc>
          <w:tcPr>
            <w:tcW w:w="990" w:type="dxa"/>
            <w:tcBorders>
              <w:right w:val="double" w:sz="4" w:space="0" w:color="auto"/>
            </w:tcBorders>
            <w:noWrap/>
            <w:vAlign w:val="center"/>
            <w:hideMark/>
          </w:tcPr>
          <w:p w14:paraId="22BEBF23" w14:textId="7328312E" w:rsidR="00887C66" w:rsidRPr="00E1729F" w:rsidRDefault="008210A8" w:rsidP="00E1729F">
            <w:pPr>
              <w:spacing w:line="276" w:lineRule="auto"/>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Both h</w:t>
            </w:r>
            <w:r w:rsidR="00887C66" w:rsidRPr="00E1729F">
              <w:rPr>
                <w:rFonts w:ascii="Times New Roman" w:eastAsia="Times New Roman" w:hAnsi="Times New Roman" w:cs="Times New Roman"/>
                <w:b/>
                <w:sz w:val="16"/>
                <w:szCs w:val="20"/>
              </w:rPr>
              <w:t xml:space="preserve">ome and a third </w:t>
            </w:r>
            <w:r>
              <w:rPr>
                <w:rFonts w:ascii="Times New Roman" w:eastAsia="Times New Roman" w:hAnsi="Times New Roman" w:cs="Times New Roman"/>
                <w:b/>
                <w:sz w:val="16"/>
                <w:szCs w:val="20"/>
              </w:rPr>
              <w:t>location</w:t>
            </w:r>
          </w:p>
        </w:tc>
      </w:tr>
      <w:bookmarkEnd w:id="16"/>
      <w:tr w:rsidR="00837F9C" w:rsidRPr="00837F9C" w14:paraId="11F77938"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bottom"/>
          </w:tcPr>
          <w:p w14:paraId="38FB0B91" w14:textId="77777777" w:rsidR="00887C66" w:rsidRPr="00E1729F" w:rsidRDefault="00887C66" w:rsidP="00E1729F">
            <w:pPr>
              <w:spacing w:line="276" w:lineRule="auto"/>
              <w:rPr>
                <w:rFonts w:ascii="Times New Roman" w:eastAsia="Times New Roman" w:hAnsi="Times New Roman" w:cs="Times New Roman"/>
                <w:b/>
                <w:i/>
                <w:sz w:val="16"/>
                <w:szCs w:val="20"/>
              </w:rPr>
            </w:pPr>
            <w:r w:rsidRPr="00E1729F">
              <w:rPr>
                <w:rFonts w:ascii="Times New Roman" w:eastAsia="Times New Roman" w:hAnsi="Times New Roman" w:cs="Times New Roman"/>
                <w:b/>
                <w:i/>
                <w:sz w:val="16"/>
                <w:szCs w:val="20"/>
              </w:rPr>
              <w:t>Individual-level Characteristics</w:t>
            </w:r>
          </w:p>
        </w:tc>
      </w:tr>
      <w:tr w:rsidR="00837F9C" w:rsidRPr="00837F9C" w14:paraId="2A10A3E5"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5DF20E04" w14:textId="77777777" w:rsidR="00887C66" w:rsidRPr="00E1729F" w:rsidRDefault="00887C66" w:rsidP="00E1729F">
            <w:pPr>
              <w:spacing w:line="276" w:lineRule="auto"/>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Gender</w:t>
            </w:r>
          </w:p>
        </w:tc>
      </w:tr>
      <w:tr w:rsidR="00837F9C" w:rsidRPr="00837F9C" w14:paraId="3FB8B7E0" w14:textId="77777777" w:rsidTr="00D3023D">
        <w:trPr>
          <w:trHeight w:val="288"/>
          <w:jc w:val="center"/>
        </w:trPr>
        <w:tc>
          <w:tcPr>
            <w:tcW w:w="900" w:type="dxa"/>
            <w:tcBorders>
              <w:left w:val="double" w:sz="4" w:space="0" w:color="auto"/>
              <w:right w:val="single" w:sz="12" w:space="0" w:color="auto"/>
            </w:tcBorders>
            <w:noWrap/>
            <w:vAlign w:val="center"/>
          </w:tcPr>
          <w:p w14:paraId="5B6C4602" w14:textId="1C2A3BB5" w:rsidR="00887C66" w:rsidRPr="00E1729F" w:rsidRDefault="00AB1B8C" w:rsidP="00E1729F">
            <w:pPr>
              <w:spacing w:line="276" w:lineRule="auto"/>
              <w:jc w:val="left"/>
              <w:rPr>
                <w:rFonts w:ascii="Times New Roman" w:eastAsia="Times New Roman" w:hAnsi="Times New Roman" w:cs="Times New Roman"/>
                <w:b/>
                <w:sz w:val="16"/>
                <w:szCs w:val="20"/>
              </w:rPr>
            </w:pPr>
            <w:r>
              <w:rPr>
                <w:rFonts w:ascii="Times New Roman" w:eastAsia="Times New Roman" w:hAnsi="Times New Roman" w:cs="Times New Roman"/>
                <w:b/>
                <w:sz w:val="16"/>
                <w:szCs w:val="20"/>
              </w:rPr>
              <w:t>Men</w:t>
            </w:r>
          </w:p>
        </w:tc>
        <w:tc>
          <w:tcPr>
            <w:tcW w:w="911" w:type="dxa"/>
            <w:tcBorders>
              <w:left w:val="single" w:sz="12" w:space="0" w:color="auto"/>
            </w:tcBorders>
            <w:noWrap/>
          </w:tcPr>
          <w:p w14:paraId="63C68EF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43.4%</w:t>
            </w:r>
          </w:p>
        </w:tc>
        <w:tc>
          <w:tcPr>
            <w:tcW w:w="905" w:type="dxa"/>
            <w:noWrap/>
          </w:tcPr>
          <w:p w14:paraId="5366BA0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10.27</w:t>
            </w:r>
          </w:p>
        </w:tc>
        <w:tc>
          <w:tcPr>
            <w:tcW w:w="704" w:type="dxa"/>
            <w:noWrap/>
          </w:tcPr>
          <w:p w14:paraId="26FC39E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87.4%</w:t>
            </w:r>
          </w:p>
        </w:tc>
        <w:tc>
          <w:tcPr>
            <w:tcW w:w="990" w:type="dxa"/>
            <w:noWrap/>
          </w:tcPr>
          <w:p w14:paraId="3546EB3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right w:val="single" w:sz="12" w:space="0" w:color="auto"/>
            </w:tcBorders>
            <w:noWrap/>
          </w:tcPr>
          <w:p w14:paraId="7CBAD76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7.9%</w:t>
            </w:r>
          </w:p>
        </w:tc>
        <w:tc>
          <w:tcPr>
            <w:tcW w:w="906" w:type="dxa"/>
            <w:tcBorders>
              <w:left w:val="single" w:sz="12" w:space="0" w:color="auto"/>
            </w:tcBorders>
            <w:noWrap/>
          </w:tcPr>
          <w:p w14:paraId="26E6614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68.5%</w:t>
            </w:r>
          </w:p>
        </w:tc>
        <w:tc>
          <w:tcPr>
            <w:tcW w:w="906" w:type="dxa"/>
            <w:noWrap/>
          </w:tcPr>
          <w:p w14:paraId="6F2E0EE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13.79</w:t>
            </w:r>
          </w:p>
        </w:tc>
        <w:tc>
          <w:tcPr>
            <w:tcW w:w="765" w:type="dxa"/>
            <w:noWrap/>
          </w:tcPr>
          <w:p w14:paraId="54FE52F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90.7%</w:t>
            </w:r>
          </w:p>
        </w:tc>
        <w:tc>
          <w:tcPr>
            <w:tcW w:w="990" w:type="dxa"/>
            <w:noWrap/>
          </w:tcPr>
          <w:p w14:paraId="3BC0A2D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61" w:type="dxa"/>
            <w:tcBorders>
              <w:right w:val="single" w:sz="12" w:space="0" w:color="auto"/>
            </w:tcBorders>
            <w:noWrap/>
          </w:tcPr>
          <w:p w14:paraId="68331FC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tcPr>
          <w:p w14:paraId="0C56750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57.8%</w:t>
            </w:r>
          </w:p>
        </w:tc>
        <w:tc>
          <w:tcPr>
            <w:tcW w:w="906" w:type="dxa"/>
            <w:noWrap/>
          </w:tcPr>
          <w:p w14:paraId="6BD34FD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34.3%</w:t>
            </w:r>
          </w:p>
        </w:tc>
        <w:tc>
          <w:tcPr>
            <w:tcW w:w="737" w:type="dxa"/>
            <w:noWrap/>
          </w:tcPr>
          <w:p w14:paraId="24AA2EC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w:t>
            </w:r>
          </w:p>
        </w:tc>
        <w:tc>
          <w:tcPr>
            <w:tcW w:w="990" w:type="dxa"/>
            <w:noWrap/>
          </w:tcPr>
          <w:p w14:paraId="2FD1CCD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-11.8%</w:t>
            </w:r>
          </w:p>
        </w:tc>
        <w:tc>
          <w:tcPr>
            <w:tcW w:w="990" w:type="dxa"/>
            <w:tcBorders>
              <w:right w:val="double" w:sz="4" w:space="0" w:color="auto"/>
            </w:tcBorders>
            <w:noWrap/>
          </w:tcPr>
          <w:p w14:paraId="1EABCBD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-34.5%</w:t>
            </w:r>
          </w:p>
        </w:tc>
      </w:tr>
      <w:bookmarkEnd w:id="17"/>
      <w:tr w:rsidR="00837F9C" w:rsidRPr="00837F9C" w14:paraId="6AF2A98A" w14:textId="77777777" w:rsidTr="00D3023D">
        <w:trPr>
          <w:trHeight w:val="288"/>
          <w:jc w:val="center"/>
        </w:trPr>
        <w:tc>
          <w:tcPr>
            <w:tcW w:w="900" w:type="dxa"/>
            <w:tcBorders>
              <w:left w:val="double" w:sz="4" w:space="0" w:color="auto"/>
              <w:bottom w:val="single" w:sz="12" w:space="0" w:color="auto"/>
              <w:right w:val="single" w:sz="12" w:space="0" w:color="auto"/>
            </w:tcBorders>
            <w:noWrap/>
            <w:vAlign w:val="center"/>
          </w:tcPr>
          <w:p w14:paraId="2C72D701" w14:textId="5855F461" w:rsidR="00887C66" w:rsidRPr="00E1729F" w:rsidRDefault="00AB1B8C" w:rsidP="00E1729F">
            <w:pPr>
              <w:spacing w:line="276" w:lineRule="auto"/>
              <w:jc w:val="left"/>
              <w:rPr>
                <w:rFonts w:ascii="Times New Roman" w:eastAsia="Times New Roman" w:hAnsi="Times New Roman" w:cs="Times New Roman"/>
                <w:b/>
                <w:sz w:val="16"/>
                <w:szCs w:val="20"/>
              </w:rPr>
            </w:pPr>
            <w:r>
              <w:rPr>
                <w:rFonts w:ascii="Times New Roman" w:eastAsia="Times New Roman" w:hAnsi="Times New Roman" w:cs="Times New Roman"/>
                <w:b/>
                <w:sz w:val="16"/>
                <w:szCs w:val="20"/>
              </w:rPr>
              <w:t>Women</w:t>
            </w:r>
          </w:p>
        </w:tc>
        <w:tc>
          <w:tcPr>
            <w:tcW w:w="911" w:type="dxa"/>
            <w:tcBorders>
              <w:left w:val="single" w:sz="12" w:space="0" w:color="auto"/>
              <w:bottom w:val="single" w:sz="12" w:space="0" w:color="auto"/>
            </w:tcBorders>
            <w:noWrap/>
          </w:tcPr>
          <w:p w14:paraId="4CAF17E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38.0%</w:t>
            </w:r>
          </w:p>
        </w:tc>
        <w:tc>
          <w:tcPr>
            <w:tcW w:w="905" w:type="dxa"/>
            <w:tcBorders>
              <w:bottom w:val="single" w:sz="12" w:space="0" w:color="auto"/>
            </w:tcBorders>
            <w:noWrap/>
          </w:tcPr>
          <w:p w14:paraId="7434F14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10.33</w:t>
            </w:r>
          </w:p>
        </w:tc>
        <w:tc>
          <w:tcPr>
            <w:tcW w:w="704" w:type="dxa"/>
            <w:tcBorders>
              <w:bottom w:val="single" w:sz="12" w:space="0" w:color="auto"/>
            </w:tcBorders>
            <w:noWrap/>
          </w:tcPr>
          <w:p w14:paraId="2E18198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tcBorders>
              <w:bottom w:val="single" w:sz="12" w:space="0" w:color="auto"/>
            </w:tcBorders>
            <w:noWrap/>
          </w:tcPr>
          <w:p w14:paraId="6D979AC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w:t>
            </w:r>
          </w:p>
        </w:tc>
        <w:tc>
          <w:tcPr>
            <w:tcW w:w="1023" w:type="dxa"/>
            <w:tcBorders>
              <w:bottom w:val="single" w:sz="12" w:space="0" w:color="auto"/>
              <w:right w:val="single" w:sz="12" w:space="0" w:color="auto"/>
            </w:tcBorders>
            <w:noWrap/>
          </w:tcPr>
          <w:p w14:paraId="6C194BC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7.6%</w:t>
            </w:r>
          </w:p>
        </w:tc>
        <w:tc>
          <w:tcPr>
            <w:tcW w:w="906" w:type="dxa"/>
            <w:tcBorders>
              <w:left w:val="single" w:sz="12" w:space="0" w:color="auto"/>
              <w:bottom w:val="single" w:sz="12" w:space="0" w:color="auto"/>
            </w:tcBorders>
            <w:noWrap/>
          </w:tcPr>
          <w:p w14:paraId="217D3E2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63.4%</w:t>
            </w:r>
          </w:p>
        </w:tc>
        <w:tc>
          <w:tcPr>
            <w:tcW w:w="906" w:type="dxa"/>
            <w:tcBorders>
              <w:bottom w:val="single" w:sz="12" w:space="0" w:color="auto"/>
            </w:tcBorders>
            <w:noWrap/>
          </w:tcPr>
          <w:p w14:paraId="5CC639C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13.58</w:t>
            </w:r>
          </w:p>
        </w:tc>
        <w:tc>
          <w:tcPr>
            <w:tcW w:w="765" w:type="dxa"/>
            <w:tcBorders>
              <w:bottom w:val="single" w:sz="12" w:space="0" w:color="auto"/>
            </w:tcBorders>
            <w:noWrap/>
          </w:tcPr>
          <w:p w14:paraId="3BA4734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90.8%</w:t>
            </w:r>
          </w:p>
        </w:tc>
        <w:tc>
          <w:tcPr>
            <w:tcW w:w="990" w:type="dxa"/>
            <w:tcBorders>
              <w:bottom w:val="single" w:sz="12" w:space="0" w:color="auto"/>
            </w:tcBorders>
            <w:noWrap/>
          </w:tcPr>
          <w:p w14:paraId="2EE7EDD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bottom w:val="single" w:sz="12" w:space="0" w:color="auto"/>
              <w:right w:val="single" w:sz="12" w:space="0" w:color="auto"/>
            </w:tcBorders>
            <w:noWrap/>
          </w:tcPr>
          <w:p w14:paraId="129B688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bottom w:val="single" w:sz="12" w:space="0" w:color="auto"/>
            </w:tcBorders>
            <w:noWrap/>
          </w:tcPr>
          <w:p w14:paraId="6F05072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66.9%</w:t>
            </w:r>
          </w:p>
        </w:tc>
        <w:tc>
          <w:tcPr>
            <w:tcW w:w="906" w:type="dxa"/>
            <w:tcBorders>
              <w:bottom w:val="single" w:sz="12" w:space="0" w:color="auto"/>
            </w:tcBorders>
            <w:noWrap/>
          </w:tcPr>
          <w:p w14:paraId="2EF18C9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31.4%</w:t>
            </w:r>
          </w:p>
        </w:tc>
        <w:tc>
          <w:tcPr>
            <w:tcW w:w="737" w:type="dxa"/>
            <w:tcBorders>
              <w:bottom w:val="single" w:sz="12" w:space="0" w:color="auto"/>
            </w:tcBorders>
            <w:noWrap/>
          </w:tcPr>
          <w:p w14:paraId="03AC244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w:t>
            </w:r>
          </w:p>
        </w:tc>
        <w:tc>
          <w:tcPr>
            <w:tcW w:w="990" w:type="dxa"/>
            <w:tcBorders>
              <w:bottom w:val="single" w:sz="12" w:space="0" w:color="auto"/>
            </w:tcBorders>
            <w:noWrap/>
          </w:tcPr>
          <w:p w14:paraId="7DF9597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-16.0%</w:t>
            </w:r>
          </w:p>
        </w:tc>
        <w:tc>
          <w:tcPr>
            <w:tcW w:w="990" w:type="dxa"/>
            <w:tcBorders>
              <w:right w:val="double" w:sz="4" w:space="0" w:color="auto"/>
            </w:tcBorders>
            <w:noWrap/>
          </w:tcPr>
          <w:p w14:paraId="61EA0C9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-31.9%</w:t>
            </w:r>
          </w:p>
        </w:tc>
      </w:tr>
      <w:tr w:rsidR="00837F9C" w:rsidRPr="00837F9C" w14:paraId="2C0580F6"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7A5F1069" w14:textId="77777777" w:rsidR="00887C66" w:rsidRPr="00E1729F" w:rsidRDefault="00887C66" w:rsidP="00E1729F">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Age</w:t>
            </w:r>
          </w:p>
        </w:tc>
      </w:tr>
      <w:tr w:rsidR="00837F9C" w:rsidRPr="00837F9C" w14:paraId="0637919A" w14:textId="77777777" w:rsidTr="00D3023D">
        <w:trPr>
          <w:trHeight w:val="288"/>
          <w:jc w:val="center"/>
        </w:trPr>
        <w:tc>
          <w:tcPr>
            <w:tcW w:w="900" w:type="dxa"/>
            <w:tcBorders>
              <w:left w:val="double" w:sz="4" w:space="0" w:color="auto"/>
              <w:right w:val="single" w:sz="12" w:space="0" w:color="auto"/>
            </w:tcBorders>
            <w:noWrap/>
            <w:vAlign w:val="center"/>
            <w:hideMark/>
          </w:tcPr>
          <w:p w14:paraId="6A3117BC"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18 to 29 years old</w:t>
            </w:r>
          </w:p>
        </w:tc>
        <w:tc>
          <w:tcPr>
            <w:tcW w:w="911" w:type="dxa"/>
            <w:tcBorders>
              <w:left w:val="single" w:sz="12" w:space="0" w:color="auto"/>
            </w:tcBorders>
            <w:noWrap/>
            <w:hideMark/>
          </w:tcPr>
          <w:p w14:paraId="7868743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38.8%</w:t>
            </w:r>
          </w:p>
        </w:tc>
        <w:tc>
          <w:tcPr>
            <w:tcW w:w="905" w:type="dxa"/>
            <w:noWrap/>
            <w:hideMark/>
          </w:tcPr>
          <w:p w14:paraId="5A404C6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10.12</w:t>
            </w:r>
          </w:p>
        </w:tc>
        <w:tc>
          <w:tcPr>
            <w:tcW w:w="704" w:type="dxa"/>
            <w:noWrap/>
            <w:hideMark/>
          </w:tcPr>
          <w:p w14:paraId="6FC0228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83.6%</w:t>
            </w:r>
          </w:p>
        </w:tc>
        <w:tc>
          <w:tcPr>
            <w:tcW w:w="990" w:type="dxa"/>
            <w:noWrap/>
            <w:hideMark/>
          </w:tcPr>
          <w:p w14:paraId="38FA3CD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right w:val="single" w:sz="12" w:space="0" w:color="auto"/>
            </w:tcBorders>
            <w:noWrap/>
            <w:hideMark/>
          </w:tcPr>
          <w:p w14:paraId="72FDA24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11.7%</w:t>
            </w:r>
          </w:p>
        </w:tc>
        <w:tc>
          <w:tcPr>
            <w:tcW w:w="906" w:type="dxa"/>
            <w:tcBorders>
              <w:left w:val="single" w:sz="12" w:space="0" w:color="auto"/>
            </w:tcBorders>
            <w:noWrap/>
            <w:hideMark/>
          </w:tcPr>
          <w:p w14:paraId="07468BC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73.6%</w:t>
            </w:r>
          </w:p>
        </w:tc>
        <w:tc>
          <w:tcPr>
            <w:tcW w:w="906" w:type="dxa"/>
            <w:noWrap/>
            <w:hideMark/>
          </w:tcPr>
          <w:p w14:paraId="386C339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12.73</w:t>
            </w:r>
          </w:p>
        </w:tc>
        <w:tc>
          <w:tcPr>
            <w:tcW w:w="765" w:type="dxa"/>
            <w:noWrap/>
            <w:hideMark/>
          </w:tcPr>
          <w:p w14:paraId="2A03345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88.0%</w:t>
            </w:r>
          </w:p>
        </w:tc>
        <w:tc>
          <w:tcPr>
            <w:tcW w:w="990" w:type="dxa"/>
            <w:noWrap/>
            <w:hideMark/>
          </w:tcPr>
          <w:p w14:paraId="57FADDD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4E1C855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8.0%</w:t>
            </w:r>
          </w:p>
        </w:tc>
        <w:tc>
          <w:tcPr>
            <w:tcW w:w="906" w:type="dxa"/>
            <w:tcBorders>
              <w:left w:val="single" w:sz="12" w:space="0" w:color="auto"/>
            </w:tcBorders>
            <w:noWrap/>
            <w:hideMark/>
          </w:tcPr>
          <w:p w14:paraId="3733984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89.6%</w:t>
            </w:r>
          </w:p>
        </w:tc>
        <w:tc>
          <w:tcPr>
            <w:tcW w:w="906" w:type="dxa"/>
            <w:noWrap/>
            <w:hideMark/>
          </w:tcPr>
          <w:p w14:paraId="5166589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25.8%</w:t>
            </w:r>
          </w:p>
        </w:tc>
        <w:tc>
          <w:tcPr>
            <w:tcW w:w="737" w:type="dxa"/>
            <w:noWrap/>
            <w:hideMark/>
          </w:tcPr>
          <w:p w14:paraId="5E61E03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5.3%</w:t>
            </w:r>
          </w:p>
        </w:tc>
        <w:tc>
          <w:tcPr>
            <w:tcW w:w="990" w:type="dxa"/>
            <w:noWrap/>
            <w:hideMark/>
          </w:tcPr>
          <w:p w14:paraId="6BE46B4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-14.6%</w:t>
            </w:r>
          </w:p>
        </w:tc>
        <w:tc>
          <w:tcPr>
            <w:tcW w:w="990" w:type="dxa"/>
            <w:tcBorders>
              <w:right w:val="double" w:sz="4" w:space="0" w:color="auto"/>
            </w:tcBorders>
            <w:noWrap/>
            <w:hideMark/>
          </w:tcPr>
          <w:p w14:paraId="34F3C0C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-32.1%</w:t>
            </w:r>
          </w:p>
        </w:tc>
      </w:tr>
      <w:tr w:rsidR="00837F9C" w:rsidRPr="00837F9C" w14:paraId="5471AC9D" w14:textId="77777777" w:rsidTr="00D3023D">
        <w:trPr>
          <w:trHeight w:val="288"/>
          <w:jc w:val="center"/>
        </w:trPr>
        <w:tc>
          <w:tcPr>
            <w:tcW w:w="900" w:type="dxa"/>
            <w:tcBorders>
              <w:left w:val="double" w:sz="4" w:space="0" w:color="auto"/>
              <w:right w:val="single" w:sz="12" w:space="0" w:color="auto"/>
            </w:tcBorders>
            <w:noWrap/>
            <w:vAlign w:val="center"/>
            <w:hideMark/>
          </w:tcPr>
          <w:p w14:paraId="1CD9655D"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30 to 64 years old</w:t>
            </w:r>
          </w:p>
        </w:tc>
        <w:tc>
          <w:tcPr>
            <w:tcW w:w="911" w:type="dxa"/>
            <w:tcBorders>
              <w:left w:val="single" w:sz="12" w:space="0" w:color="auto"/>
            </w:tcBorders>
            <w:noWrap/>
            <w:hideMark/>
          </w:tcPr>
          <w:p w14:paraId="5B125EE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38.8%</w:t>
            </w:r>
          </w:p>
        </w:tc>
        <w:tc>
          <w:tcPr>
            <w:tcW w:w="905" w:type="dxa"/>
            <w:noWrap/>
            <w:hideMark/>
          </w:tcPr>
          <w:p w14:paraId="6ACF8DA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10.12</w:t>
            </w:r>
          </w:p>
        </w:tc>
        <w:tc>
          <w:tcPr>
            <w:tcW w:w="704" w:type="dxa"/>
            <w:noWrap/>
            <w:hideMark/>
          </w:tcPr>
          <w:p w14:paraId="3779E8F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87.4%</w:t>
            </w:r>
          </w:p>
        </w:tc>
        <w:tc>
          <w:tcPr>
            <w:tcW w:w="990" w:type="dxa"/>
            <w:noWrap/>
            <w:hideMark/>
          </w:tcPr>
          <w:p w14:paraId="5AEAB5C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w:t>
            </w:r>
          </w:p>
        </w:tc>
        <w:tc>
          <w:tcPr>
            <w:tcW w:w="1023" w:type="dxa"/>
            <w:tcBorders>
              <w:right w:val="single" w:sz="12" w:space="0" w:color="auto"/>
            </w:tcBorders>
            <w:noWrap/>
            <w:hideMark/>
          </w:tcPr>
          <w:p w14:paraId="794C64A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7.9%</w:t>
            </w:r>
          </w:p>
        </w:tc>
        <w:tc>
          <w:tcPr>
            <w:tcW w:w="906" w:type="dxa"/>
            <w:tcBorders>
              <w:left w:val="single" w:sz="12" w:space="0" w:color="auto"/>
            </w:tcBorders>
            <w:noWrap/>
            <w:hideMark/>
          </w:tcPr>
          <w:p w14:paraId="02BEB1A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64.8%</w:t>
            </w:r>
          </w:p>
        </w:tc>
        <w:tc>
          <w:tcPr>
            <w:tcW w:w="906" w:type="dxa"/>
            <w:noWrap/>
            <w:hideMark/>
          </w:tcPr>
          <w:p w14:paraId="68B198F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13.80</w:t>
            </w:r>
          </w:p>
        </w:tc>
        <w:tc>
          <w:tcPr>
            <w:tcW w:w="765" w:type="dxa"/>
            <w:noWrap/>
            <w:hideMark/>
          </w:tcPr>
          <w:p w14:paraId="0047663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90.9%</w:t>
            </w:r>
          </w:p>
        </w:tc>
        <w:tc>
          <w:tcPr>
            <w:tcW w:w="990" w:type="dxa"/>
            <w:noWrap/>
            <w:hideMark/>
          </w:tcPr>
          <w:p w14:paraId="4E2985A7"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29F9358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5.1%</w:t>
            </w:r>
          </w:p>
        </w:tc>
        <w:tc>
          <w:tcPr>
            <w:tcW w:w="906" w:type="dxa"/>
            <w:tcBorders>
              <w:left w:val="single" w:sz="12" w:space="0" w:color="auto"/>
            </w:tcBorders>
            <w:noWrap/>
            <w:hideMark/>
          </w:tcPr>
          <w:p w14:paraId="5888614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67.1%</w:t>
            </w:r>
          </w:p>
        </w:tc>
        <w:tc>
          <w:tcPr>
            <w:tcW w:w="906" w:type="dxa"/>
            <w:noWrap/>
            <w:hideMark/>
          </w:tcPr>
          <w:p w14:paraId="0309A337"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36.4%</w:t>
            </w:r>
          </w:p>
        </w:tc>
        <w:tc>
          <w:tcPr>
            <w:tcW w:w="737" w:type="dxa"/>
            <w:noWrap/>
            <w:hideMark/>
          </w:tcPr>
          <w:p w14:paraId="23C7191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90" w:type="dxa"/>
            <w:noWrap/>
            <w:hideMark/>
          </w:tcPr>
          <w:p w14:paraId="281A9CB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-15.4%</w:t>
            </w:r>
          </w:p>
        </w:tc>
        <w:tc>
          <w:tcPr>
            <w:tcW w:w="990" w:type="dxa"/>
            <w:tcBorders>
              <w:right w:val="double" w:sz="4" w:space="0" w:color="auto"/>
            </w:tcBorders>
            <w:noWrap/>
            <w:hideMark/>
          </w:tcPr>
          <w:p w14:paraId="1FF9FD2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-35.7%</w:t>
            </w:r>
          </w:p>
        </w:tc>
      </w:tr>
      <w:tr w:rsidR="00837F9C" w:rsidRPr="00837F9C" w14:paraId="053A701D" w14:textId="77777777" w:rsidTr="00D3023D">
        <w:trPr>
          <w:trHeight w:val="288"/>
          <w:jc w:val="center"/>
        </w:trPr>
        <w:tc>
          <w:tcPr>
            <w:tcW w:w="900" w:type="dxa"/>
            <w:tcBorders>
              <w:left w:val="double" w:sz="4" w:space="0" w:color="auto"/>
              <w:bottom w:val="single" w:sz="12" w:space="0" w:color="auto"/>
              <w:right w:val="single" w:sz="12" w:space="0" w:color="auto"/>
            </w:tcBorders>
            <w:noWrap/>
            <w:vAlign w:val="center"/>
            <w:hideMark/>
          </w:tcPr>
          <w:p w14:paraId="27F7EF02"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65 years and older</w:t>
            </w:r>
          </w:p>
        </w:tc>
        <w:tc>
          <w:tcPr>
            <w:tcW w:w="911" w:type="dxa"/>
            <w:tcBorders>
              <w:left w:val="single" w:sz="12" w:space="0" w:color="auto"/>
              <w:bottom w:val="single" w:sz="12" w:space="0" w:color="auto"/>
            </w:tcBorders>
            <w:noWrap/>
            <w:hideMark/>
          </w:tcPr>
          <w:p w14:paraId="6D98EFB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48.7%</w:t>
            </w:r>
          </w:p>
        </w:tc>
        <w:tc>
          <w:tcPr>
            <w:tcW w:w="905" w:type="dxa"/>
            <w:tcBorders>
              <w:bottom w:val="single" w:sz="12" w:space="0" w:color="auto"/>
            </w:tcBorders>
            <w:noWrap/>
            <w:hideMark/>
          </w:tcPr>
          <w:p w14:paraId="1F32724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11.07</w:t>
            </w:r>
          </w:p>
        </w:tc>
        <w:tc>
          <w:tcPr>
            <w:tcW w:w="704" w:type="dxa"/>
            <w:tcBorders>
              <w:bottom w:val="single" w:sz="12" w:space="0" w:color="auto"/>
            </w:tcBorders>
            <w:noWrap/>
            <w:hideMark/>
          </w:tcPr>
          <w:p w14:paraId="6D575D1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90.9%</w:t>
            </w:r>
          </w:p>
        </w:tc>
        <w:tc>
          <w:tcPr>
            <w:tcW w:w="990" w:type="dxa"/>
            <w:tcBorders>
              <w:bottom w:val="single" w:sz="12" w:space="0" w:color="auto"/>
            </w:tcBorders>
            <w:noWrap/>
            <w:hideMark/>
          </w:tcPr>
          <w:p w14:paraId="4B9C38B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4.6%</w:t>
            </w:r>
          </w:p>
        </w:tc>
        <w:tc>
          <w:tcPr>
            <w:tcW w:w="1023" w:type="dxa"/>
            <w:tcBorders>
              <w:bottom w:val="single" w:sz="12" w:space="0" w:color="auto"/>
              <w:right w:val="single" w:sz="12" w:space="0" w:color="auto"/>
            </w:tcBorders>
            <w:noWrap/>
            <w:hideMark/>
          </w:tcPr>
          <w:p w14:paraId="433999C7"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4.5%</w:t>
            </w:r>
          </w:p>
        </w:tc>
        <w:tc>
          <w:tcPr>
            <w:tcW w:w="906" w:type="dxa"/>
            <w:tcBorders>
              <w:left w:val="single" w:sz="12" w:space="0" w:color="auto"/>
              <w:bottom w:val="single" w:sz="12" w:space="0" w:color="auto"/>
            </w:tcBorders>
            <w:noWrap/>
            <w:hideMark/>
          </w:tcPr>
          <w:p w14:paraId="13CD4F7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65.3%</w:t>
            </w:r>
          </w:p>
        </w:tc>
        <w:tc>
          <w:tcPr>
            <w:tcW w:w="906" w:type="dxa"/>
            <w:tcBorders>
              <w:bottom w:val="single" w:sz="12" w:space="0" w:color="auto"/>
            </w:tcBorders>
            <w:noWrap/>
            <w:hideMark/>
          </w:tcPr>
          <w:p w14:paraId="466D8E5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13.50</w:t>
            </w:r>
          </w:p>
        </w:tc>
        <w:tc>
          <w:tcPr>
            <w:tcW w:w="765" w:type="dxa"/>
            <w:tcBorders>
              <w:bottom w:val="single" w:sz="12" w:space="0" w:color="auto"/>
            </w:tcBorders>
            <w:noWrap/>
            <w:hideMark/>
          </w:tcPr>
          <w:p w14:paraId="73F9CBA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93.3%</w:t>
            </w:r>
          </w:p>
        </w:tc>
        <w:tc>
          <w:tcPr>
            <w:tcW w:w="990" w:type="dxa"/>
            <w:tcBorders>
              <w:bottom w:val="single" w:sz="12" w:space="0" w:color="auto"/>
            </w:tcBorders>
            <w:noWrap/>
            <w:hideMark/>
          </w:tcPr>
          <w:p w14:paraId="5107E7F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w:t>
            </w:r>
          </w:p>
        </w:tc>
        <w:tc>
          <w:tcPr>
            <w:tcW w:w="961" w:type="dxa"/>
            <w:tcBorders>
              <w:bottom w:val="single" w:sz="12" w:space="0" w:color="auto"/>
              <w:right w:val="single" w:sz="12" w:space="0" w:color="auto"/>
            </w:tcBorders>
            <w:noWrap/>
            <w:hideMark/>
          </w:tcPr>
          <w:p w14:paraId="375BD90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2.5%</w:t>
            </w:r>
          </w:p>
        </w:tc>
        <w:tc>
          <w:tcPr>
            <w:tcW w:w="906" w:type="dxa"/>
            <w:tcBorders>
              <w:left w:val="single" w:sz="12" w:space="0" w:color="auto"/>
              <w:bottom w:val="single" w:sz="12" w:space="0" w:color="auto"/>
            </w:tcBorders>
            <w:noWrap/>
            <w:hideMark/>
          </w:tcPr>
          <w:p w14:paraId="59A1047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34.1%</w:t>
            </w:r>
          </w:p>
        </w:tc>
        <w:tc>
          <w:tcPr>
            <w:tcW w:w="906" w:type="dxa"/>
            <w:tcBorders>
              <w:bottom w:val="single" w:sz="12" w:space="0" w:color="auto"/>
            </w:tcBorders>
            <w:noWrap/>
            <w:hideMark/>
          </w:tcPr>
          <w:p w14:paraId="1135CBF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21.9%</w:t>
            </w:r>
          </w:p>
        </w:tc>
        <w:tc>
          <w:tcPr>
            <w:tcW w:w="737" w:type="dxa"/>
            <w:tcBorders>
              <w:bottom w:val="single" w:sz="12" w:space="0" w:color="auto"/>
            </w:tcBorders>
            <w:noWrap/>
            <w:hideMark/>
          </w:tcPr>
          <w:p w14:paraId="57DE57B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2.6%</w:t>
            </w:r>
          </w:p>
        </w:tc>
        <w:tc>
          <w:tcPr>
            <w:tcW w:w="990" w:type="dxa"/>
            <w:tcBorders>
              <w:bottom w:val="single" w:sz="12" w:space="0" w:color="auto"/>
            </w:tcBorders>
            <w:noWrap/>
            <w:hideMark/>
          </w:tcPr>
          <w:p w14:paraId="07D7B59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-8.8%</w:t>
            </w:r>
          </w:p>
        </w:tc>
        <w:tc>
          <w:tcPr>
            <w:tcW w:w="990" w:type="dxa"/>
            <w:tcBorders>
              <w:right w:val="double" w:sz="4" w:space="0" w:color="auto"/>
            </w:tcBorders>
            <w:noWrap/>
            <w:hideMark/>
          </w:tcPr>
          <w:p w14:paraId="795D23F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-44.1%</w:t>
            </w:r>
          </w:p>
        </w:tc>
      </w:tr>
      <w:tr w:rsidR="00837F9C" w:rsidRPr="00837F9C" w14:paraId="4792D105"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2DEBBBDD" w14:textId="77777777" w:rsidR="00887C66" w:rsidRPr="00E1729F" w:rsidRDefault="00887C66" w:rsidP="00E1729F">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Education Level</w:t>
            </w:r>
          </w:p>
        </w:tc>
      </w:tr>
      <w:tr w:rsidR="00837F9C" w:rsidRPr="00837F9C" w14:paraId="3CD0EA9A" w14:textId="77777777" w:rsidTr="00D3023D">
        <w:trPr>
          <w:trHeight w:val="288"/>
          <w:jc w:val="center"/>
        </w:trPr>
        <w:tc>
          <w:tcPr>
            <w:tcW w:w="900" w:type="dxa"/>
            <w:tcBorders>
              <w:left w:val="double" w:sz="4" w:space="0" w:color="auto"/>
              <w:right w:val="single" w:sz="12" w:space="0" w:color="auto"/>
            </w:tcBorders>
            <w:noWrap/>
            <w:vAlign w:val="center"/>
            <w:hideMark/>
          </w:tcPr>
          <w:p w14:paraId="66698E72"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No graduate degree</w:t>
            </w:r>
          </w:p>
        </w:tc>
        <w:tc>
          <w:tcPr>
            <w:tcW w:w="911" w:type="dxa"/>
            <w:tcBorders>
              <w:left w:val="single" w:sz="12" w:space="0" w:color="auto"/>
            </w:tcBorders>
            <w:noWrap/>
            <w:hideMark/>
          </w:tcPr>
          <w:p w14:paraId="7A8A9F4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40.2%</w:t>
            </w:r>
          </w:p>
        </w:tc>
        <w:tc>
          <w:tcPr>
            <w:tcW w:w="905" w:type="dxa"/>
            <w:noWrap/>
            <w:hideMark/>
          </w:tcPr>
          <w:p w14:paraId="330C536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10.29</w:t>
            </w:r>
          </w:p>
        </w:tc>
        <w:tc>
          <w:tcPr>
            <w:tcW w:w="704" w:type="dxa"/>
            <w:noWrap/>
            <w:hideMark/>
          </w:tcPr>
          <w:p w14:paraId="7AE8B20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noWrap/>
            <w:hideMark/>
          </w:tcPr>
          <w:p w14:paraId="4C03341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right w:val="single" w:sz="12" w:space="0" w:color="auto"/>
            </w:tcBorders>
            <w:noWrap/>
            <w:hideMark/>
          </w:tcPr>
          <w:p w14:paraId="31F296B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7.7%</w:t>
            </w:r>
          </w:p>
        </w:tc>
        <w:tc>
          <w:tcPr>
            <w:tcW w:w="906" w:type="dxa"/>
            <w:tcBorders>
              <w:left w:val="single" w:sz="12" w:space="0" w:color="auto"/>
            </w:tcBorders>
            <w:noWrap/>
            <w:hideMark/>
          </w:tcPr>
          <w:p w14:paraId="428C0EE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63.2%</w:t>
            </w:r>
          </w:p>
        </w:tc>
        <w:tc>
          <w:tcPr>
            <w:tcW w:w="906" w:type="dxa"/>
            <w:noWrap/>
            <w:hideMark/>
          </w:tcPr>
          <w:p w14:paraId="1225289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13.59</w:t>
            </w:r>
          </w:p>
        </w:tc>
        <w:tc>
          <w:tcPr>
            <w:tcW w:w="765" w:type="dxa"/>
            <w:noWrap/>
            <w:hideMark/>
          </w:tcPr>
          <w:p w14:paraId="3691D1F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90.9%</w:t>
            </w:r>
          </w:p>
        </w:tc>
        <w:tc>
          <w:tcPr>
            <w:tcW w:w="990" w:type="dxa"/>
            <w:noWrap/>
            <w:hideMark/>
          </w:tcPr>
          <w:p w14:paraId="1330A64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4C68D34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hideMark/>
          </w:tcPr>
          <w:p w14:paraId="6C7F306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57.3%</w:t>
            </w:r>
          </w:p>
        </w:tc>
        <w:tc>
          <w:tcPr>
            <w:tcW w:w="906" w:type="dxa"/>
            <w:noWrap/>
            <w:hideMark/>
          </w:tcPr>
          <w:p w14:paraId="66719E5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32.0%</w:t>
            </w:r>
          </w:p>
        </w:tc>
        <w:tc>
          <w:tcPr>
            <w:tcW w:w="737" w:type="dxa"/>
            <w:noWrap/>
            <w:hideMark/>
          </w:tcPr>
          <w:p w14:paraId="2FD33F4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w:t>
            </w:r>
          </w:p>
        </w:tc>
        <w:tc>
          <w:tcPr>
            <w:tcW w:w="990" w:type="dxa"/>
            <w:noWrap/>
            <w:hideMark/>
          </w:tcPr>
          <w:p w14:paraId="5630377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-15.3%</w:t>
            </w:r>
          </w:p>
        </w:tc>
        <w:tc>
          <w:tcPr>
            <w:tcW w:w="990" w:type="dxa"/>
            <w:tcBorders>
              <w:right w:val="double" w:sz="4" w:space="0" w:color="auto"/>
            </w:tcBorders>
            <w:noWrap/>
            <w:hideMark/>
          </w:tcPr>
          <w:p w14:paraId="12CC25C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-33.2%</w:t>
            </w:r>
          </w:p>
        </w:tc>
      </w:tr>
      <w:tr w:rsidR="00837F9C" w:rsidRPr="00837F9C" w14:paraId="595C8CF1" w14:textId="77777777" w:rsidTr="00D3023D">
        <w:trPr>
          <w:trHeight w:val="288"/>
          <w:jc w:val="center"/>
        </w:trPr>
        <w:tc>
          <w:tcPr>
            <w:tcW w:w="900" w:type="dxa"/>
            <w:tcBorders>
              <w:left w:val="double" w:sz="4" w:space="0" w:color="auto"/>
              <w:bottom w:val="single" w:sz="12" w:space="0" w:color="auto"/>
              <w:right w:val="single" w:sz="12" w:space="0" w:color="auto"/>
            </w:tcBorders>
            <w:noWrap/>
            <w:vAlign w:val="center"/>
            <w:hideMark/>
          </w:tcPr>
          <w:p w14:paraId="35C4E419"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Graduate degree</w:t>
            </w:r>
          </w:p>
        </w:tc>
        <w:tc>
          <w:tcPr>
            <w:tcW w:w="911" w:type="dxa"/>
            <w:tcBorders>
              <w:left w:val="single" w:sz="12" w:space="0" w:color="auto"/>
              <w:bottom w:val="single" w:sz="12" w:space="0" w:color="auto"/>
            </w:tcBorders>
            <w:noWrap/>
            <w:hideMark/>
          </w:tcPr>
          <w:p w14:paraId="5D6F57D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40.2%</w:t>
            </w:r>
          </w:p>
        </w:tc>
        <w:tc>
          <w:tcPr>
            <w:tcW w:w="905" w:type="dxa"/>
            <w:tcBorders>
              <w:bottom w:val="single" w:sz="12" w:space="0" w:color="auto"/>
            </w:tcBorders>
            <w:noWrap/>
            <w:hideMark/>
          </w:tcPr>
          <w:p w14:paraId="138AAFC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10.29</w:t>
            </w:r>
          </w:p>
        </w:tc>
        <w:tc>
          <w:tcPr>
            <w:tcW w:w="704" w:type="dxa"/>
            <w:tcBorders>
              <w:bottom w:val="single" w:sz="12" w:space="0" w:color="auto"/>
            </w:tcBorders>
            <w:noWrap/>
            <w:hideMark/>
          </w:tcPr>
          <w:p w14:paraId="4A8512E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tcBorders>
              <w:bottom w:val="single" w:sz="12" w:space="0" w:color="auto"/>
            </w:tcBorders>
            <w:noWrap/>
            <w:hideMark/>
          </w:tcPr>
          <w:p w14:paraId="6E32B33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bottom w:val="single" w:sz="12" w:space="0" w:color="auto"/>
              <w:right w:val="single" w:sz="12" w:space="0" w:color="auto"/>
            </w:tcBorders>
            <w:noWrap/>
            <w:hideMark/>
          </w:tcPr>
          <w:p w14:paraId="2A12C8A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7.7%</w:t>
            </w:r>
          </w:p>
        </w:tc>
        <w:tc>
          <w:tcPr>
            <w:tcW w:w="906" w:type="dxa"/>
            <w:tcBorders>
              <w:left w:val="single" w:sz="12" w:space="0" w:color="auto"/>
              <w:bottom w:val="single" w:sz="12" w:space="0" w:color="auto"/>
            </w:tcBorders>
            <w:noWrap/>
            <w:hideMark/>
          </w:tcPr>
          <w:p w14:paraId="2DA9AAE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67.1%</w:t>
            </w:r>
          </w:p>
        </w:tc>
        <w:tc>
          <w:tcPr>
            <w:tcW w:w="906" w:type="dxa"/>
            <w:tcBorders>
              <w:bottom w:val="single" w:sz="12" w:space="0" w:color="auto"/>
            </w:tcBorders>
            <w:noWrap/>
            <w:hideMark/>
          </w:tcPr>
          <w:p w14:paraId="610F3FA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13.75</w:t>
            </w:r>
          </w:p>
        </w:tc>
        <w:tc>
          <w:tcPr>
            <w:tcW w:w="765" w:type="dxa"/>
            <w:tcBorders>
              <w:bottom w:val="single" w:sz="12" w:space="0" w:color="auto"/>
            </w:tcBorders>
            <w:noWrap/>
            <w:hideMark/>
          </w:tcPr>
          <w:p w14:paraId="2108F52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90.8%</w:t>
            </w:r>
          </w:p>
        </w:tc>
        <w:tc>
          <w:tcPr>
            <w:tcW w:w="990" w:type="dxa"/>
            <w:tcBorders>
              <w:bottom w:val="single" w:sz="12" w:space="0" w:color="auto"/>
            </w:tcBorders>
            <w:noWrap/>
            <w:hideMark/>
          </w:tcPr>
          <w:p w14:paraId="6FB1C80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61" w:type="dxa"/>
            <w:tcBorders>
              <w:bottom w:val="single" w:sz="12" w:space="0" w:color="auto"/>
              <w:right w:val="single" w:sz="12" w:space="0" w:color="auto"/>
            </w:tcBorders>
            <w:noWrap/>
            <w:hideMark/>
          </w:tcPr>
          <w:p w14:paraId="1254E11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bottom w:val="single" w:sz="12" w:space="0" w:color="auto"/>
            </w:tcBorders>
            <w:noWrap/>
            <w:hideMark/>
          </w:tcPr>
          <w:p w14:paraId="5D4ACEC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67.0%</w:t>
            </w:r>
          </w:p>
        </w:tc>
        <w:tc>
          <w:tcPr>
            <w:tcW w:w="906" w:type="dxa"/>
            <w:tcBorders>
              <w:bottom w:val="single" w:sz="12" w:space="0" w:color="auto"/>
            </w:tcBorders>
            <w:noWrap/>
            <w:hideMark/>
          </w:tcPr>
          <w:p w14:paraId="19EC337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33.6%</w:t>
            </w:r>
          </w:p>
        </w:tc>
        <w:tc>
          <w:tcPr>
            <w:tcW w:w="737" w:type="dxa"/>
            <w:tcBorders>
              <w:bottom w:val="single" w:sz="12" w:space="0" w:color="auto"/>
            </w:tcBorders>
            <w:noWrap/>
            <w:hideMark/>
          </w:tcPr>
          <w:p w14:paraId="158011E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w:t>
            </w:r>
          </w:p>
        </w:tc>
        <w:tc>
          <w:tcPr>
            <w:tcW w:w="990" w:type="dxa"/>
            <w:tcBorders>
              <w:bottom w:val="single" w:sz="12" w:space="0" w:color="auto"/>
            </w:tcBorders>
            <w:noWrap/>
            <w:hideMark/>
          </w:tcPr>
          <w:p w14:paraId="6D3BE6C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-13.8%</w:t>
            </w:r>
          </w:p>
        </w:tc>
        <w:tc>
          <w:tcPr>
            <w:tcW w:w="990" w:type="dxa"/>
            <w:tcBorders>
              <w:right w:val="double" w:sz="4" w:space="0" w:color="auto"/>
            </w:tcBorders>
            <w:noWrap/>
            <w:hideMark/>
          </w:tcPr>
          <w:p w14:paraId="2E10E637"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-33.0%</w:t>
            </w:r>
          </w:p>
        </w:tc>
      </w:tr>
      <w:tr w:rsidR="00837F9C" w:rsidRPr="00837F9C" w14:paraId="345B750F"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4E97E5E6" w14:textId="77777777" w:rsidR="00887C66" w:rsidRPr="00E1729F" w:rsidRDefault="00887C66" w:rsidP="00E1729F">
            <w:pPr>
              <w:spacing w:line="276" w:lineRule="auto"/>
              <w:jc w:val="left"/>
              <w:rPr>
                <w:rFonts w:ascii="Times New Roman" w:eastAsia="Times New Roman" w:hAnsi="Times New Roman" w:cs="Times New Roman"/>
                <w:b/>
                <w:i/>
                <w:sz w:val="16"/>
                <w:szCs w:val="20"/>
              </w:rPr>
            </w:pPr>
            <w:r w:rsidRPr="00E1729F">
              <w:rPr>
                <w:rFonts w:ascii="Times New Roman" w:eastAsia="Times New Roman" w:hAnsi="Times New Roman" w:cs="Times New Roman"/>
                <w:b/>
                <w:i/>
                <w:sz w:val="16"/>
                <w:szCs w:val="20"/>
              </w:rPr>
              <w:t>Household-level Characteristics</w:t>
            </w:r>
          </w:p>
        </w:tc>
      </w:tr>
      <w:tr w:rsidR="00837F9C" w:rsidRPr="00837F9C" w14:paraId="1657DEA4"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33A68562" w14:textId="77777777" w:rsidR="00887C66" w:rsidRPr="00E1729F" w:rsidRDefault="00887C66" w:rsidP="00E1729F">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Income Level</w:t>
            </w:r>
          </w:p>
        </w:tc>
      </w:tr>
      <w:tr w:rsidR="00837F9C" w:rsidRPr="00837F9C" w14:paraId="033E4A9E" w14:textId="77777777" w:rsidTr="00D3023D">
        <w:trPr>
          <w:trHeight w:val="288"/>
          <w:jc w:val="center"/>
        </w:trPr>
        <w:tc>
          <w:tcPr>
            <w:tcW w:w="900" w:type="dxa"/>
            <w:tcBorders>
              <w:left w:val="double" w:sz="4" w:space="0" w:color="auto"/>
              <w:right w:val="single" w:sz="12" w:space="0" w:color="auto"/>
            </w:tcBorders>
            <w:noWrap/>
            <w:vAlign w:val="center"/>
            <w:hideMark/>
          </w:tcPr>
          <w:p w14:paraId="4404EB7B"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Less than $100K</w:t>
            </w:r>
          </w:p>
        </w:tc>
        <w:tc>
          <w:tcPr>
            <w:tcW w:w="911" w:type="dxa"/>
            <w:tcBorders>
              <w:left w:val="single" w:sz="12" w:space="0" w:color="auto"/>
            </w:tcBorders>
            <w:noWrap/>
            <w:hideMark/>
          </w:tcPr>
          <w:p w14:paraId="0BCAA67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36.1%</w:t>
            </w:r>
          </w:p>
        </w:tc>
        <w:tc>
          <w:tcPr>
            <w:tcW w:w="905" w:type="dxa"/>
            <w:noWrap/>
            <w:hideMark/>
          </w:tcPr>
          <w:p w14:paraId="7861532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10.34</w:t>
            </w:r>
          </w:p>
        </w:tc>
        <w:tc>
          <w:tcPr>
            <w:tcW w:w="704" w:type="dxa"/>
            <w:noWrap/>
            <w:hideMark/>
          </w:tcPr>
          <w:p w14:paraId="48C0389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86.5%</w:t>
            </w:r>
          </w:p>
        </w:tc>
        <w:tc>
          <w:tcPr>
            <w:tcW w:w="990" w:type="dxa"/>
            <w:noWrap/>
            <w:hideMark/>
          </w:tcPr>
          <w:p w14:paraId="1148CE7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w:t>
            </w:r>
          </w:p>
        </w:tc>
        <w:tc>
          <w:tcPr>
            <w:tcW w:w="1023" w:type="dxa"/>
            <w:tcBorders>
              <w:right w:val="single" w:sz="12" w:space="0" w:color="auto"/>
            </w:tcBorders>
            <w:noWrap/>
            <w:hideMark/>
          </w:tcPr>
          <w:p w14:paraId="312515C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w:t>
            </w:r>
          </w:p>
        </w:tc>
        <w:tc>
          <w:tcPr>
            <w:tcW w:w="906" w:type="dxa"/>
            <w:tcBorders>
              <w:left w:val="single" w:sz="12" w:space="0" w:color="auto"/>
            </w:tcBorders>
            <w:noWrap/>
            <w:hideMark/>
          </w:tcPr>
          <w:p w14:paraId="76C2354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61.5%</w:t>
            </w:r>
          </w:p>
        </w:tc>
        <w:tc>
          <w:tcPr>
            <w:tcW w:w="906" w:type="dxa"/>
            <w:noWrap/>
            <w:hideMark/>
          </w:tcPr>
          <w:p w14:paraId="1382126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13.48</w:t>
            </w:r>
          </w:p>
        </w:tc>
        <w:tc>
          <w:tcPr>
            <w:tcW w:w="765" w:type="dxa"/>
            <w:noWrap/>
            <w:hideMark/>
          </w:tcPr>
          <w:p w14:paraId="0007A7D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90.3%</w:t>
            </w:r>
          </w:p>
        </w:tc>
        <w:tc>
          <w:tcPr>
            <w:tcW w:w="990" w:type="dxa"/>
            <w:noWrap/>
            <w:hideMark/>
          </w:tcPr>
          <w:p w14:paraId="40BEE16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75DB429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5.8%</w:t>
            </w:r>
          </w:p>
        </w:tc>
        <w:tc>
          <w:tcPr>
            <w:tcW w:w="906" w:type="dxa"/>
            <w:tcBorders>
              <w:left w:val="single" w:sz="12" w:space="0" w:color="auto"/>
            </w:tcBorders>
            <w:noWrap/>
            <w:hideMark/>
          </w:tcPr>
          <w:p w14:paraId="77970F4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70.4%</w:t>
            </w:r>
          </w:p>
        </w:tc>
        <w:tc>
          <w:tcPr>
            <w:tcW w:w="906" w:type="dxa"/>
            <w:noWrap/>
            <w:hideMark/>
          </w:tcPr>
          <w:p w14:paraId="7931B7A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30.3%</w:t>
            </w:r>
          </w:p>
        </w:tc>
        <w:tc>
          <w:tcPr>
            <w:tcW w:w="737" w:type="dxa"/>
            <w:noWrap/>
            <w:hideMark/>
          </w:tcPr>
          <w:p w14:paraId="0360AAE4"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4.3%</w:t>
            </w:r>
          </w:p>
        </w:tc>
        <w:tc>
          <w:tcPr>
            <w:tcW w:w="990" w:type="dxa"/>
            <w:noWrap/>
            <w:hideMark/>
          </w:tcPr>
          <w:p w14:paraId="2E88991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-18.0%</w:t>
            </w:r>
          </w:p>
        </w:tc>
        <w:tc>
          <w:tcPr>
            <w:tcW w:w="990" w:type="dxa"/>
            <w:tcBorders>
              <w:right w:val="double" w:sz="4" w:space="0" w:color="auto"/>
            </w:tcBorders>
            <w:noWrap/>
            <w:hideMark/>
          </w:tcPr>
          <w:p w14:paraId="4966AE6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-33.0%</w:t>
            </w:r>
          </w:p>
        </w:tc>
      </w:tr>
      <w:tr w:rsidR="00837F9C" w:rsidRPr="00837F9C" w14:paraId="03525C8C" w14:textId="77777777" w:rsidTr="00D3023D">
        <w:trPr>
          <w:trHeight w:val="288"/>
          <w:jc w:val="center"/>
        </w:trPr>
        <w:tc>
          <w:tcPr>
            <w:tcW w:w="900" w:type="dxa"/>
            <w:tcBorders>
              <w:left w:val="double" w:sz="4" w:space="0" w:color="auto"/>
              <w:right w:val="single" w:sz="12" w:space="0" w:color="auto"/>
            </w:tcBorders>
            <w:noWrap/>
            <w:vAlign w:val="center"/>
            <w:hideMark/>
          </w:tcPr>
          <w:p w14:paraId="07C139A9"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$100K to $249K</w:t>
            </w:r>
          </w:p>
        </w:tc>
        <w:tc>
          <w:tcPr>
            <w:tcW w:w="911" w:type="dxa"/>
            <w:tcBorders>
              <w:left w:val="single" w:sz="12" w:space="0" w:color="auto"/>
            </w:tcBorders>
            <w:noWrap/>
            <w:hideMark/>
          </w:tcPr>
          <w:p w14:paraId="1ACDCCF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42.4%</w:t>
            </w:r>
          </w:p>
        </w:tc>
        <w:tc>
          <w:tcPr>
            <w:tcW w:w="905" w:type="dxa"/>
            <w:noWrap/>
            <w:hideMark/>
          </w:tcPr>
          <w:p w14:paraId="643CA530"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10.27</w:t>
            </w:r>
          </w:p>
        </w:tc>
        <w:tc>
          <w:tcPr>
            <w:tcW w:w="704" w:type="dxa"/>
            <w:noWrap/>
            <w:hideMark/>
          </w:tcPr>
          <w:p w14:paraId="059A1D5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86.3%</w:t>
            </w:r>
          </w:p>
        </w:tc>
        <w:tc>
          <w:tcPr>
            <w:tcW w:w="990" w:type="dxa"/>
            <w:noWrap/>
            <w:hideMark/>
          </w:tcPr>
          <w:p w14:paraId="0465186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right w:val="single" w:sz="12" w:space="0" w:color="auto"/>
            </w:tcBorders>
            <w:noWrap/>
            <w:hideMark/>
          </w:tcPr>
          <w:p w14:paraId="35661A4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w:t>
            </w:r>
          </w:p>
        </w:tc>
        <w:tc>
          <w:tcPr>
            <w:tcW w:w="906" w:type="dxa"/>
            <w:tcBorders>
              <w:left w:val="single" w:sz="12" w:space="0" w:color="auto"/>
            </w:tcBorders>
            <w:noWrap/>
            <w:hideMark/>
          </w:tcPr>
          <w:p w14:paraId="290B277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67.6%</w:t>
            </w:r>
          </w:p>
        </w:tc>
        <w:tc>
          <w:tcPr>
            <w:tcW w:w="906" w:type="dxa"/>
            <w:noWrap/>
            <w:hideMark/>
          </w:tcPr>
          <w:p w14:paraId="2BF56B2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13.74</w:t>
            </w:r>
          </w:p>
        </w:tc>
        <w:tc>
          <w:tcPr>
            <w:tcW w:w="765" w:type="dxa"/>
            <w:noWrap/>
            <w:hideMark/>
          </w:tcPr>
          <w:p w14:paraId="011D759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90.1%</w:t>
            </w:r>
          </w:p>
        </w:tc>
        <w:tc>
          <w:tcPr>
            <w:tcW w:w="990" w:type="dxa"/>
            <w:noWrap/>
            <w:hideMark/>
          </w:tcPr>
          <w:p w14:paraId="6235E0D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61" w:type="dxa"/>
            <w:tcBorders>
              <w:right w:val="single" w:sz="12" w:space="0" w:color="auto"/>
            </w:tcBorders>
            <w:noWrap/>
            <w:hideMark/>
          </w:tcPr>
          <w:p w14:paraId="47FEE1D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5.8%</w:t>
            </w:r>
          </w:p>
        </w:tc>
        <w:tc>
          <w:tcPr>
            <w:tcW w:w="906" w:type="dxa"/>
            <w:tcBorders>
              <w:left w:val="single" w:sz="12" w:space="0" w:color="auto"/>
            </w:tcBorders>
            <w:noWrap/>
            <w:hideMark/>
          </w:tcPr>
          <w:p w14:paraId="182B86B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59.5%</w:t>
            </w:r>
          </w:p>
        </w:tc>
        <w:tc>
          <w:tcPr>
            <w:tcW w:w="906" w:type="dxa"/>
            <w:noWrap/>
            <w:hideMark/>
          </w:tcPr>
          <w:p w14:paraId="58DD0E5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33.7%</w:t>
            </w:r>
          </w:p>
        </w:tc>
        <w:tc>
          <w:tcPr>
            <w:tcW w:w="737" w:type="dxa"/>
            <w:noWrap/>
            <w:hideMark/>
          </w:tcPr>
          <w:p w14:paraId="337C58AE"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4.4%</w:t>
            </w:r>
          </w:p>
        </w:tc>
        <w:tc>
          <w:tcPr>
            <w:tcW w:w="990" w:type="dxa"/>
            <w:noWrap/>
            <w:hideMark/>
          </w:tcPr>
          <w:p w14:paraId="4462D7B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-13.1%</w:t>
            </w:r>
          </w:p>
        </w:tc>
        <w:tc>
          <w:tcPr>
            <w:tcW w:w="990" w:type="dxa"/>
            <w:tcBorders>
              <w:right w:val="double" w:sz="4" w:space="0" w:color="auto"/>
            </w:tcBorders>
            <w:noWrap/>
            <w:hideMark/>
          </w:tcPr>
          <w:p w14:paraId="1EFA4C6B"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-35.8%</w:t>
            </w:r>
          </w:p>
        </w:tc>
      </w:tr>
      <w:tr w:rsidR="00837F9C" w:rsidRPr="00837F9C" w14:paraId="085CE879" w14:textId="77777777" w:rsidTr="00D3023D">
        <w:trPr>
          <w:trHeight w:val="288"/>
          <w:jc w:val="center"/>
        </w:trPr>
        <w:tc>
          <w:tcPr>
            <w:tcW w:w="900" w:type="dxa"/>
            <w:tcBorders>
              <w:left w:val="double" w:sz="4" w:space="0" w:color="auto"/>
              <w:bottom w:val="double" w:sz="4" w:space="0" w:color="auto"/>
              <w:right w:val="single" w:sz="12" w:space="0" w:color="auto"/>
            </w:tcBorders>
            <w:noWrap/>
            <w:vAlign w:val="center"/>
            <w:hideMark/>
          </w:tcPr>
          <w:p w14:paraId="09B518C4" w14:textId="77777777" w:rsidR="00887C66" w:rsidRPr="00E1729F" w:rsidRDefault="00887C66"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Over $250K</w:t>
            </w:r>
          </w:p>
        </w:tc>
        <w:tc>
          <w:tcPr>
            <w:tcW w:w="911" w:type="dxa"/>
            <w:tcBorders>
              <w:left w:val="single" w:sz="12" w:space="0" w:color="auto"/>
              <w:bottom w:val="double" w:sz="4" w:space="0" w:color="auto"/>
            </w:tcBorders>
            <w:noWrap/>
            <w:hideMark/>
          </w:tcPr>
          <w:p w14:paraId="0383C9A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42.4%</w:t>
            </w:r>
          </w:p>
        </w:tc>
        <w:tc>
          <w:tcPr>
            <w:tcW w:w="905" w:type="dxa"/>
            <w:tcBorders>
              <w:bottom w:val="double" w:sz="4" w:space="0" w:color="auto"/>
            </w:tcBorders>
            <w:noWrap/>
            <w:hideMark/>
          </w:tcPr>
          <w:p w14:paraId="71DB1FAF"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10.27</w:t>
            </w:r>
          </w:p>
        </w:tc>
        <w:tc>
          <w:tcPr>
            <w:tcW w:w="704" w:type="dxa"/>
            <w:tcBorders>
              <w:bottom w:val="double" w:sz="4" w:space="0" w:color="auto"/>
            </w:tcBorders>
            <w:noWrap/>
            <w:hideMark/>
          </w:tcPr>
          <w:p w14:paraId="7E5B7755"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92.3%</w:t>
            </w:r>
          </w:p>
        </w:tc>
        <w:tc>
          <w:tcPr>
            <w:tcW w:w="990" w:type="dxa"/>
            <w:tcBorders>
              <w:bottom w:val="double" w:sz="4" w:space="0" w:color="auto"/>
            </w:tcBorders>
            <w:noWrap/>
            <w:hideMark/>
          </w:tcPr>
          <w:p w14:paraId="15FDED7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w:t>
            </w:r>
          </w:p>
        </w:tc>
        <w:tc>
          <w:tcPr>
            <w:tcW w:w="1023" w:type="dxa"/>
            <w:tcBorders>
              <w:bottom w:val="double" w:sz="4" w:space="0" w:color="auto"/>
              <w:right w:val="single" w:sz="12" w:space="0" w:color="auto"/>
            </w:tcBorders>
            <w:noWrap/>
            <w:hideMark/>
          </w:tcPr>
          <w:p w14:paraId="498AE1BD"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2.9%</w:t>
            </w:r>
          </w:p>
        </w:tc>
        <w:tc>
          <w:tcPr>
            <w:tcW w:w="906" w:type="dxa"/>
            <w:tcBorders>
              <w:left w:val="single" w:sz="12" w:space="0" w:color="auto"/>
              <w:bottom w:val="double" w:sz="4" w:space="0" w:color="auto"/>
            </w:tcBorders>
            <w:noWrap/>
            <w:hideMark/>
          </w:tcPr>
          <w:p w14:paraId="7002F9C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67.6%</w:t>
            </w:r>
          </w:p>
        </w:tc>
        <w:tc>
          <w:tcPr>
            <w:tcW w:w="906" w:type="dxa"/>
            <w:tcBorders>
              <w:bottom w:val="double" w:sz="4" w:space="0" w:color="auto"/>
            </w:tcBorders>
            <w:noWrap/>
            <w:hideMark/>
          </w:tcPr>
          <w:p w14:paraId="3D34691C"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13.74</w:t>
            </w:r>
          </w:p>
        </w:tc>
        <w:tc>
          <w:tcPr>
            <w:tcW w:w="765" w:type="dxa"/>
            <w:tcBorders>
              <w:bottom w:val="double" w:sz="4" w:space="0" w:color="auto"/>
            </w:tcBorders>
            <w:noWrap/>
            <w:hideMark/>
          </w:tcPr>
          <w:p w14:paraId="1EB124BA"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94.0%</w:t>
            </w:r>
          </w:p>
        </w:tc>
        <w:tc>
          <w:tcPr>
            <w:tcW w:w="990" w:type="dxa"/>
            <w:tcBorders>
              <w:bottom w:val="double" w:sz="4" w:space="0" w:color="auto"/>
            </w:tcBorders>
            <w:noWrap/>
            <w:hideMark/>
          </w:tcPr>
          <w:p w14:paraId="0CDAA6F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4.4%</w:t>
            </w:r>
          </w:p>
        </w:tc>
        <w:tc>
          <w:tcPr>
            <w:tcW w:w="961" w:type="dxa"/>
            <w:tcBorders>
              <w:bottom w:val="double" w:sz="4" w:space="0" w:color="auto"/>
              <w:right w:val="single" w:sz="12" w:space="0" w:color="auto"/>
            </w:tcBorders>
            <w:noWrap/>
            <w:hideMark/>
          </w:tcPr>
          <w:p w14:paraId="3B446929"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1.7%</w:t>
            </w:r>
          </w:p>
        </w:tc>
        <w:tc>
          <w:tcPr>
            <w:tcW w:w="906" w:type="dxa"/>
            <w:tcBorders>
              <w:left w:val="single" w:sz="12" w:space="0" w:color="auto"/>
              <w:bottom w:val="double" w:sz="4" w:space="0" w:color="auto"/>
            </w:tcBorders>
            <w:noWrap/>
            <w:hideMark/>
          </w:tcPr>
          <w:p w14:paraId="4A832768"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59.5%</w:t>
            </w:r>
          </w:p>
        </w:tc>
        <w:tc>
          <w:tcPr>
            <w:tcW w:w="906" w:type="dxa"/>
            <w:tcBorders>
              <w:bottom w:val="double" w:sz="4" w:space="0" w:color="auto"/>
            </w:tcBorders>
            <w:noWrap/>
            <w:hideMark/>
          </w:tcPr>
          <w:p w14:paraId="248B8EA2"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33.7%</w:t>
            </w:r>
          </w:p>
        </w:tc>
        <w:tc>
          <w:tcPr>
            <w:tcW w:w="737" w:type="dxa"/>
            <w:tcBorders>
              <w:bottom w:val="double" w:sz="4" w:space="0" w:color="auto"/>
            </w:tcBorders>
            <w:noWrap/>
            <w:hideMark/>
          </w:tcPr>
          <w:p w14:paraId="18EBAC21"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1.8%</w:t>
            </w:r>
          </w:p>
        </w:tc>
        <w:tc>
          <w:tcPr>
            <w:tcW w:w="990" w:type="dxa"/>
            <w:tcBorders>
              <w:bottom w:val="double" w:sz="4" w:space="0" w:color="auto"/>
            </w:tcBorders>
            <w:noWrap/>
            <w:hideMark/>
          </w:tcPr>
          <w:p w14:paraId="24372836"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w:t>
            </w:r>
          </w:p>
        </w:tc>
        <w:tc>
          <w:tcPr>
            <w:tcW w:w="990" w:type="dxa"/>
            <w:tcBorders>
              <w:bottom w:val="double" w:sz="4" w:space="0" w:color="auto"/>
              <w:right w:val="double" w:sz="4" w:space="0" w:color="auto"/>
            </w:tcBorders>
            <w:noWrap/>
            <w:hideMark/>
          </w:tcPr>
          <w:p w14:paraId="730E5843" w14:textId="77777777" w:rsidR="00887C66" w:rsidRPr="00E1729F" w:rsidRDefault="00887C66"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-41.4%</w:t>
            </w:r>
          </w:p>
        </w:tc>
      </w:tr>
    </w:tbl>
    <w:p w14:paraId="09D40260" w14:textId="77777777" w:rsidR="00961062" w:rsidRDefault="00961062">
      <w:pPr>
        <w:jc w:val="left"/>
        <w:rPr>
          <w:rFonts w:ascii="Times New Roman" w:hAnsi="Times New Roman" w:cs="Times New Roman"/>
          <w:b/>
          <w:sz w:val="24"/>
          <w:szCs w:val="24"/>
        </w:rPr>
      </w:pPr>
      <w:r>
        <w:rPr>
          <w:rFonts w:ascii="Times New Roman" w:hAnsi="Times New Roman" w:cs="Times New Roman"/>
          <w:b/>
          <w:sz w:val="24"/>
          <w:szCs w:val="24"/>
        </w:rPr>
        <w:br w:type="page"/>
      </w:r>
    </w:p>
    <w:p w14:paraId="5AAEAF3C" w14:textId="748D1CE1" w:rsidR="00D660C2" w:rsidRPr="00837F9C" w:rsidRDefault="00EB1CAC" w:rsidP="00E1729F">
      <w:pPr>
        <w:spacing w:after="0" w:line="276" w:lineRule="auto"/>
        <w:jc w:val="left"/>
        <w:rPr>
          <w:rFonts w:ascii="Times New Roman" w:hAnsi="Times New Roman" w:cs="Times New Roman"/>
          <w:bCs/>
          <w:sz w:val="24"/>
          <w:szCs w:val="24"/>
        </w:rPr>
      </w:pPr>
      <w:r w:rsidRPr="00837F9C">
        <w:rPr>
          <w:rFonts w:ascii="Times New Roman" w:hAnsi="Times New Roman" w:cs="Times New Roman"/>
          <w:b/>
          <w:sz w:val="24"/>
          <w:szCs w:val="24"/>
        </w:rPr>
        <w:lastRenderedPageBreak/>
        <w:t xml:space="preserve">Table </w:t>
      </w:r>
      <w:r w:rsidR="00C50D80">
        <w:rPr>
          <w:rFonts w:ascii="Times New Roman" w:hAnsi="Times New Roman" w:cs="Times New Roman"/>
          <w:b/>
          <w:sz w:val="24"/>
          <w:szCs w:val="24"/>
        </w:rPr>
        <w:t>7</w:t>
      </w:r>
      <w:r w:rsidR="00D660C2" w:rsidRPr="00837F9C">
        <w:rPr>
          <w:rFonts w:ascii="Times New Roman" w:hAnsi="Times New Roman" w:cs="Times New Roman"/>
          <w:b/>
          <w:sz w:val="24"/>
          <w:szCs w:val="24"/>
        </w:rPr>
        <w:t>. Estimates of Exogenous Variable and COVID Period Effects on Teleworking</w:t>
      </w:r>
      <w:r w:rsidR="00D510E1" w:rsidRPr="00837F9C">
        <w:rPr>
          <w:rFonts w:ascii="Times New Roman" w:hAnsi="Times New Roman" w:cs="Times New Roman"/>
          <w:b/>
          <w:sz w:val="24"/>
          <w:szCs w:val="24"/>
        </w:rPr>
        <w:t xml:space="preserve"> </w:t>
      </w:r>
      <w:r w:rsidR="008057C0" w:rsidRPr="00837F9C">
        <w:rPr>
          <w:rFonts w:ascii="Times New Roman" w:hAnsi="Times New Roman" w:cs="Times New Roman"/>
          <w:b/>
          <w:sz w:val="24"/>
          <w:szCs w:val="24"/>
        </w:rPr>
        <w:t xml:space="preserve">Arrangements </w:t>
      </w:r>
      <w:r w:rsidR="00D510E1" w:rsidRPr="00837F9C">
        <w:rPr>
          <w:rFonts w:ascii="Times New Roman" w:hAnsi="Times New Roman" w:cs="Times New Roman"/>
          <w:b/>
          <w:sz w:val="24"/>
          <w:szCs w:val="24"/>
        </w:rPr>
        <w:t>(continued)</w:t>
      </w:r>
    </w:p>
    <w:tbl>
      <w:tblPr>
        <w:tblStyle w:val="TableGrid"/>
        <w:tblW w:w="14490" w:type="dxa"/>
        <w:jc w:val="center"/>
        <w:tblInd w:w="0" w:type="dxa"/>
        <w:tblLayout w:type="fixed"/>
        <w:tblCellMar>
          <w:left w:w="72" w:type="dxa"/>
          <w:right w:w="72" w:type="dxa"/>
        </w:tblCellMar>
        <w:tblLook w:val="04A0" w:firstRow="1" w:lastRow="0" w:firstColumn="1" w:lastColumn="0" w:noHBand="0" w:noVBand="1"/>
      </w:tblPr>
      <w:tblGrid>
        <w:gridCol w:w="900"/>
        <w:gridCol w:w="911"/>
        <w:gridCol w:w="905"/>
        <w:gridCol w:w="704"/>
        <w:gridCol w:w="990"/>
        <w:gridCol w:w="1023"/>
        <w:gridCol w:w="906"/>
        <w:gridCol w:w="906"/>
        <w:gridCol w:w="765"/>
        <w:gridCol w:w="990"/>
        <w:gridCol w:w="961"/>
        <w:gridCol w:w="906"/>
        <w:gridCol w:w="906"/>
        <w:gridCol w:w="737"/>
        <w:gridCol w:w="990"/>
        <w:gridCol w:w="990"/>
      </w:tblGrid>
      <w:tr w:rsidR="001D5043" w:rsidRPr="00837F9C" w14:paraId="45A5D048" w14:textId="77777777" w:rsidTr="00D3023D">
        <w:trPr>
          <w:trHeight w:val="288"/>
          <w:tblHeader/>
          <w:jc w:val="center"/>
        </w:trPr>
        <w:tc>
          <w:tcPr>
            <w:tcW w:w="900" w:type="dxa"/>
            <w:vMerge w:val="restart"/>
            <w:tcBorders>
              <w:top w:val="double" w:sz="4" w:space="0" w:color="auto"/>
              <w:left w:val="double" w:sz="4" w:space="0" w:color="auto"/>
              <w:right w:val="single" w:sz="12" w:space="0" w:color="auto"/>
            </w:tcBorders>
            <w:noWrap/>
            <w:vAlign w:val="center"/>
            <w:hideMark/>
          </w:tcPr>
          <w:p w14:paraId="43259095" w14:textId="77777777" w:rsidR="001D5043" w:rsidRPr="00837F9C" w:rsidRDefault="001D5043" w:rsidP="001D5043">
            <w:pPr>
              <w:spacing w:line="276" w:lineRule="auto"/>
              <w:jc w:val="center"/>
              <w:rPr>
                <w:rFonts w:ascii="Times New Roman" w:eastAsia="Times New Roman" w:hAnsi="Times New Roman" w:cs="Times New Roman"/>
                <w:b/>
                <w:sz w:val="20"/>
                <w:szCs w:val="20"/>
              </w:rPr>
            </w:pPr>
            <w:bookmarkStart w:id="18" w:name="_Hlk109668224"/>
            <w:r w:rsidRPr="00E1729F">
              <w:rPr>
                <w:rFonts w:ascii="Times New Roman" w:eastAsia="Times New Roman" w:hAnsi="Times New Roman" w:cs="Times New Roman"/>
                <w:b/>
                <w:sz w:val="16"/>
                <w:szCs w:val="20"/>
              </w:rPr>
              <w:t>Exogen-ous Variables</w:t>
            </w:r>
          </w:p>
        </w:tc>
        <w:tc>
          <w:tcPr>
            <w:tcW w:w="4533" w:type="dxa"/>
            <w:gridSpan w:val="5"/>
            <w:tcBorders>
              <w:top w:val="double" w:sz="4" w:space="0" w:color="auto"/>
              <w:left w:val="single" w:sz="12" w:space="0" w:color="auto"/>
              <w:right w:val="single" w:sz="12" w:space="0" w:color="auto"/>
            </w:tcBorders>
            <w:noWrap/>
            <w:vAlign w:val="center"/>
            <w:hideMark/>
          </w:tcPr>
          <w:p w14:paraId="13288F48" w14:textId="0FD70373" w:rsidR="001D5043" w:rsidRPr="00E1729F" w:rsidRDefault="001D5043" w:rsidP="001D5043">
            <w:pPr>
              <w:spacing w:line="276" w:lineRule="auto"/>
              <w:jc w:val="center"/>
              <w:rPr>
                <w:rFonts w:ascii="Times New Roman" w:eastAsia="Times New Roman" w:hAnsi="Times New Roman" w:cs="Times New Roman"/>
                <w:b/>
                <w:sz w:val="20"/>
                <w:szCs w:val="20"/>
              </w:rPr>
            </w:pPr>
            <w:r w:rsidRPr="001D5043">
              <w:rPr>
                <w:rFonts w:ascii="Times New Roman" w:eastAsia="Times New Roman" w:hAnsi="Times New Roman" w:cs="Times New Roman"/>
                <w:b/>
                <w:i/>
                <w:sz w:val="20"/>
                <w:szCs w:val="20"/>
              </w:rPr>
              <w:t>Before</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p>
        </w:tc>
        <w:tc>
          <w:tcPr>
            <w:tcW w:w="4528" w:type="dxa"/>
            <w:gridSpan w:val="5"/>
            <w:tcBorders>
              <w:top w:val="double" w:sz="4" w:space="0" w:color="auto"/>
              <w:left w:val="single" w:sz="12" w:space="0" w:color="auto"/>
              <w:right w:val="single" w:sz="12" w:space="0" w:color="auto"/>
            </w:tcBorders>
            <w:noWrap/>
            <w:vAlign w:val="center"/>
          </w:tcPr>
          <w:p w14:paraId="160D66E5" w14:textId="46AC0461" w:rsidR="001D5043" w:rsidRPr="00E1729F" w:rsidRDefault="001D5043" w:rsidP="001D5043">
            <w:pPr>
              <w:spacing w:line="276" w:lineRule="auto"/>
              <w:jc w:val="center"/>
              <w:rPr>
                <w:rFonts w:ascii="Times New Roman" w:eastAsia="Times New Roman" w:hAnsi="Times New Roman" w:cs="Times New Roman"/>
                <w:b/>
                <w:sz w:val="20"/>
                <w:szCs w:val="20"/>
              </w:rPr>
            </w:pPr>
            <w:r w:rsidRPr="001D5043">
              <w:rPr>
                <w:rFonts w:ascii="Times New Roman" w:eastAsia="Times New Roman" w:hAnsi="Times New Roman" w:cs="Times New Roman"/>
                <w:b/>
                <w:i/>
                <w:sz w:val="20"/>
                <w:szCs w:val="20"/>
              </w:rPr>
              <w:t>After</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p>
        </w:tc>
        <w:tc>
          <w:tcPr>
            <w:tcW w:w="4529" w:type="dxa"/>
            <w:gridSpan w:val="5"/>
            <w:tcBorders>
              <w:top w:val="double" w:sz="4" w:space="0" w:color="auto"/>
              <w:left w:val="single" w:sz="12" w:space="0" w:color="auto"/>
              <w:right w:val="double" w:sz="4" w:space="0" w:color="auto"/>
            </w:tcBorders>
            <w:noWrap/>
            <w:vAlign w:val="center"/>
          </w:tcPr>
          <w:p w14:paraId="1B311957" w14:textId="7E221BA4" w:rsidR="001D5043" w:rsidRPr="00E1729F" w:rsidRDefault="001D5043" w:rsidP="001D5043">
            <w:pPr>
              <w:spacing w:line="276" w:lineRule="auto"/>
              <w:jc w:val="center"/>
              <w:rPr>
                <w:rFonts w:ascii="Times New Roman" w:eastAsia="Times New Roman" w:hAnsi="Times New Roman" w:cs="Times New Roman"/>
                <w:b/>
                <w:sz w:val="20"/>
                <w:szCs w:val="20"/>
              </w:rPr>
            </w:pPr>
            <w:r w:rsidRPr="00E1729F">
              <w:rPr>
                <w:rFonts w:ascii="Times New Roman" w:eastAsia="Times New Roman" w:hAnsi="Times New Roman" w:cs="Times New Roman"/>
                <w:b/>
                <w:sz w:val="20"/>
                <w:szCs w:val="20"/>
              </w:rPr>
              <w:t>% change (</w:t>
            </w:r>
            <w:r w:rsidRPr="001D5043">
              <w:rPr>
                <w:rFonts w:ascii="Times New Roman" w:eastAsia="Times New Roman" w:hAnsi="Times New Roman" w:cs="Times New Roman"/>
                <w:b/>
                <w:i/>
                <w:sz w:val="20"/>
                <w:szCs w:val="20"/>
              </w:rPr>
              <w:t>Before</w:t>
            </w:r>
            <w:r w:rsidRPr="00E1729F">
              <w:rPr>
                <w:rFonts w:ascii="Times New Roman" w:eastAsia="Times New Roman" w:hAnsi="Times New Roman" w:cs="Times New Roman"/>
                <w:b/>
                <w:sz w:val="20"/>
                <w:szCs w:val="20"/>
              </w:rPr>
              <w:t xml:space="preserve"> to </w:t>
            </w:r>
            <w:r w:rsidRPr="001D5043">
              <w:rPr>
                <w:rFonts w:ascii="Times New Roman" w:eastAsia="Times New Roman" w:hAnsi="Times New Roman" w:cs="Times New Roman"/>
                <w:b/>
                <w:i/>
                <w:sz w:val="20"/>
                <w:szCs w:val="20"/>
              </w:rPr>
              <w:t>After</w:t>
            </w:r>
            <w:r w:rsidR="00DD5EAC">
              <w:rPr>
                <w:rFonts w:ascii="Times New Roman" w:eastAsia="Times New Roman" w:hAnsi="Times New Roman" w:cs="Times New Roman"/>
                <w:b/>
                <w:i/>
                <w:sz w:val="20"/>
                <w:szCs w:val="20"/>
              </w:rPr>
              <w:t xml:space="preserve"> </w:t>
            </w:r>
            <w:r w:rsidRPr="00A15909">
              <w:rPr>
                <w:rFonts w:ascii="Times New Roman" w:eastAsia="Times New Roman" w:hAnsi="Times New Roman" w:cs="Times New Roman"/>
                <w:b/>
                <w:sz w:val="20"/>
                <w:szCs w:val="20"/>
              </w:rPr>
              <w:t>COVID</w:t>
            </w:r>
            <w:r w:rsidRPr="004D5DF9">
              <w:rPr>
                <w:rFonts w:ascii="Times New Roman" w:eastAsia="Times New Roman" w:hAnsi="Times New Roman" w:cs="Times New Roman"/>
                <w:b/>
                <w:sz w:val="20"/>
                <w:szCs w:val="20"/>
              </w:rPr>
              <w:t>)</w:t>
            </w:r>
          </w:p>
        </w:tc>
      </w:tr>
      <w:tr w:rsidR="00837F9C" w:rsidRPr="00837F9C" w14:paraId="44608716" w14:textId="77777777" w:rsidTr="00D3023D">
        <w:trPr>
          <w:trHeight w:val="46"/>
          <w:tblHeader/>
          <w:jc w:val="center"/>
        </w:trPr>
        <w:tc>
          <w:tcPr>
            <w:tcW w:w="900" w:type="dxa"/>
            <w:vMerge/>
            <w:tcBorders>
              <w:left w:val="double" w:sz="4" w:space="0" w:color="auto"/>
              <w:right w:val="single" w:sz="12" w:space="0" w:color="auto"/>
            </w:tcBorders>
            <w:noWrap/>
            <w:vAlign w:val="center"/>
          </w:tcPr>
          <w:p w14:paraId="05344469" w14:textId="77777777" w:rsidR="00D660C2" w:rsidRPr="00E1729F" w:rsidRDefault="00D660C2" w:rsidP="00E1729F">
            <w:pPr>
              <w:spacing w:line="276" w:lineRule="auto"/>
              <w:jc w:val="center"/>
              <w:rPr>
                <w:rFonts w:ascii="Times New Roman" w:eastAsia="Times New Roman" w:hAnsi="Times New Roman" w:cs="Times New Roman"/>
                <w:b/>
                <w:sz w:val="20"/>
                <w:szCs w:val="20"/>
              </w:rPr>
            </w:pPr>
          </w:p>
        </w:tc>
        <w:tc>
          <w:tcPr>
            <w:tcW w:w="911" w:type="dxa"/>
            <w:vMerge w:val="restart"/>
            <w:tcBorders>
              <w:left w:val="single" w:sz="12" w:space="0" w:color="auto"/>
            </w:tcBorders>
            <w:noWrap/>
            <w:vAlign w:val="center"/>
          </w:tcPr>
          <w:p w14:paraId="413112FD" w14:textId="344CDFFC"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5" w:type="dxa"/>
            <w:vMerge w:val="restart"/>
            <w:noWrap/>
            <w:vAlign w:val="center"/>
          </w:tcPr>
          <w:p w14:paraId="12B23926" w14:textId="224B23C2"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 xml:space="preserve"> (Days)</w:t>
            </w:r>
          </w:p>
        </w:tc>
        <w:tc>
          <w:tcPr>
            <w:tcW w:w="2717" w:type="dxa"/>
            <w:gridSpan w:val="3"/>
            <w:tcBorders>
              <w:right w:val="single" w:sz="12" w:space="0" w:color="auto"/>
            </w:tcBorders>
            <w:noWrap/>
            <w:vAlign w:val="center"/>
          </w:tcPr>
          <w:p w14:paraId="5A4713FC" w14:textId="40D4EBA7"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c>
          <w:tcPr>
            <w:tcW w:w="906" w:type="dxa"/>
            <w:vMerge w:val="restart"/>
            <w:tcBorders>
              <w:left w:val="single" w:sz="12" w:space="0" w:color="auto"/>
            </w:tcBorders>
            <w:noWrap/>
            <w:vAlign w:val="center"/>
          </w:tcPr>
          <w:p w14:paraId="73D698B0" w14:textId="45369D8E"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6" w:type="dxa"/>
            <w:vMerge w:val="restart"/>
            <w:noWrap/>
            <w:vAlign w:val="center"/>
          </w:tcPr>
          <w:p w14:paraId="0AAC9898" w14:textId="37A798D4"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 xml:space="preserve"> (Days)</w:t>
            </w:r>
          </w:p>
        </w:tc>
        <w:tc>
          <w:tcPr>
            <w:tcW w:w="2716" w:type="dxa"/>
            <w:gridSpan w:val="3"/>
            <w:tcBorders>
              <w:right w:val="single" w:sz="12" w:space="0" w:color="auto"/>
            </w:tcBorders>
            <w:noWrap/>
            <w:vAlign w:val="center"/>
          </w:tcPr>
          <w:p w14:paraId="1A66AE0D" w14:textId="5A755ECA"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c>
          <w:tcPr>
            <w:tcW w:w="906" w:type="dxa"/>
            <w:vMerge w:val="restart"/>
            <w:tcBorders>
              <w:left w:val="single" w:sz="12" w:space="0" w:color="auto"/>
            </w:tcBorders>
            <w:noWrap/>
            <w:vAlign w:val="center"/>
          </w:tcPr>
          <w:p w14:paraId="702FF05A" w14:textId="41E9D7D6"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Adoption</w:t>
            </w:r>
          </w:p>
        </w:tc>
        <w:tc>
          <w:tcPr>
            <w:tcW w:w="906" w:type="dxa"/>
            <w:vMerge w:val="restart"/>
            <w:noWrap/>
            <w:vAlign w:val="center"/>
          </w:tcPr>
          <w:p w14:paraId="7A249F68" w14:textId="339EBE34"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Freq</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 xml:space="preserve"> (Days)</w:t>
            </w:r>
          </w:p>
        </w:tc>
        <w:tc>
          <w:tcPr>
            <w:tcW w:w="2717" w:type="dxa"/>
            <w:gridSpan w:val="3"/>
            <w:tcBorders>
              <w:right w:val="double" w:sz="4" w:space="0" w:color="auto"/>
            </w:tcBorders>
            <w:noWrap/>
            <w:vAlign w:val="center"/>
          </w:tcPr>
          <w:p w14:paraId="6A045C94" w14:textId="5DB51D4F" w:rsidR="00D660C2" w:rsidRPr="00E1729F" w:rsidRDefault="00447AF0"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Location</w:t>
            </w:r>
          </w:p>
        </w:tc>
      </w:tr>
      <w:tr w:rsidR="00837F9C" w:rsidRPr="00837F9C" w14:paraId="7CD6AB12" w14:textId="77777777" w:rsidTr="00D3023D">
        <w:trPr>
          <w:trHeight w:val="288"/>
          <w:tblHeader/>
          <w:jc w:val="center"/>
        </w:trPr>
        <w:tc>
          <w:tcPr>
            <w:tcW w:w="900" w:type="dxa"/>
            <w:vMerge/>
            <w:tcBorders>
              <w:left w:val="double" w:sz="4" w:space="0" w:color="auto"/>
              <w:bottom w:val="single" w:sz="12" w:space="0" w:color="auto"/>
              <w:right w:val="single" w:sz="12" w:space="0" w:color="auto"/>
            </w:tcBorders>
            <w:noWrap/>
            <w:vAlign w:val="center"/>
            <w:hideMark/>
          </w:tcPr>
          <w:p w14:paraId="462B315B" w14:textId="77777777" w:rsidR="00D660C2" w:rsidRPr="00E1729F" w:rsidRDefault="00D660C2" w:rsidP="00E1729F">
            <w:pPr>
              <w:spacing w:line="276" w:lineRule="auto"/>
              <w:jc w:val="center"/>
              <w:rPr>
                <w:rFonts w:ascii="Times New Roman" w:eastAsia="Times New Roman" w:hAnsi="Times New Roman" w:cs="Times New Roman"/>
                <w:b/>
                <w:sz w:val="20"/>
                <w:szCs w:val="20"/>
              </w:rPr>
            </w:pPr>
          </w:p>
        </w:tc>
        <w:tc>
          <w:tcPr>
            <w:tcW w:w="911" w:type="dxa"/>
            <w:vMerge/>
            <w:tcBorders>
              <w:left w:val="single" w:sz="12" w:space="0" w:color="auto"/>
              <w:bottom w:val="single" w:sz="12" w:space="0" w:color="auto"/>
            </w:tcBorders>
            <w:noWrap/>
            <w:vAlign w:val="center"/>
            <w:hideMark/>
          </w:tcPr>
          <w:p w14:paraId="02114C26"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905" w:type="dxa"/>
            <w:vMerge/>
            <w:tcBorders>
              <w:bottom w:val="single" w:sz="12" w:space="0" w:color="auto"/>
            </w:tcBorders>
            <w:noWrap/>
            <w:vAlign w:val="center"/>
            <w:hideMark/>
          </w:tcPr>
          <w:p w14:paraId="6CA30A58"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704" w:type="dxa"/>
            <w:tcBorders>
              <w:bottom w:val="single" w:sz="12" w:space="0" w:color="auto"/>
            </w:tcBorders>
            <w:noWrap/>
            <w:vAlign w:val="center"/>
            <w:hideMark/>
          </w:tcPr>
          <w:p w14:paraId="45D0C92F" w14:textId="77777777"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75C2DA2D" w14:textId="7D8B4DCC"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A717B2">
              <w:rPr>
                <w:rFonts w:ascii="Times New Roman" w:eastAsia="Times New Roman" w:hAnsi="Times New Roman" w:cs="Times New Roman"/>
                <w:b/>
                <w:sz w:val="16"/>
                <w:szCs w:val="20"/>
              </w:rPr>
              <w:t>location</w:t>
            </w:r>
            <w:r w:rsidR="00A717B2" w:rsidRPr="00E1729F">
              <w:rPr>
                <w:rFonts w:ascii="Times New Roman" w:eastAsia="Times New Roman" w:hAnsi="Times New Roman" w:cs="Times New Roman"/>
                <w:b/>
                <w:sz w:val="16"/>
                <w:szCs w:val="20"/>
              </w:rPr>
              <w:t xml:space="preserve"> </w:t>
            </w:r>
            <w:r w:rsidRPr="00E1729F">
              <w:rPr>
                <w:rFonts w:ascii="Times New Roman" w:eastAsia="Times New Roman" w:hAnsi="Times New Roman" w:cs="Times New Roman"/>
                <w:b/>
                <w:sz w:val="16"/>
                <w:szCs w:val="20"/>
              </w:rPr>
              <w:t>only</w:t>
            </w:r>
          </w:p>
        </w:tc>
        <w:tc>
          <w:tcPr>
            <w:tcW w:w="1023" w:type="dxa"/>
            <w:tcBorders>
              <w:bottom w:val="single" w:sz="12" w:space="0" w:color="auto"/>
              <w:right w:val="single" w:sz="12" w:space="0" w:color="auto"/>
            </w:tcBorders>
            <w:noWrap/>
            <w:vAlign w:val="center"/>
            <w:hideMark/>
          </w:tcPr>
          <w:p w14:paraId="4F38E2D6" w14:textId="6434889D"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Home and a third </w:t>
            </w:r>
            <w:r w:rsidR="00A717B2">
              <w:rPr>
                <w:rFonts w:ascii="Times New Roman" w:eastAsia="Times New Roman" w:hAnsi="Times New Roman" w:cs="Times New Roman"/>
                <w:b/>
                <w:sz w:val="16"/>
                <w:szCs w:val="20"/>
              </w:rPr>
              <w:t>location</w:t>
            </w:r>
          </w:p>
        </w:tc>
        <w:tc>
          <w:tcPr>
            <w:tcW w:w="906" w:type="dxa"/>
            <w:vMerge/>
            <w:tcBorders>
              <w:left w:val="single" w:sz="12" w:space="0" w:color="auto"/>
              <w:bottom w:val="single" w:sz="12" w:space="0" w:color="auto"/>
            </w:tcBorders>
            <w:noWrap/>
            <w:vAlign w:val="center"/>
            <w:hideMark/>
          </w:tcPr>
          <w:p w14:paraId="54631A8F"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906" w:type="dxa"/>
            <w:vMerge/>
            <w:tcBorders>
              <w:bottom w:val="single" w:sz="12" w:space="0" w:color="auto"/>
            </w:tcBorders>
            <w:noWrap/>
            <w:vAlign w:val="center"/>
            <w:hideMark/>
          </w:tcPr>
          <w:p w14:paraId="78FED296"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765" w:type="dxa"/>
            <w:tcBorders>
              <w:bottom w:val="single" w:sz="12" w:space="0" w:color="auto"/>
            </w:tcBorders>
            <w:noWrap/>
            <w:vAlign w:val="center"/>
            <w:hideMark/>
          </w:tcPr>
          <w:p w14:paraId="62E1C13F" w14:textId="77777777"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09BF785D" w14:textId="4E69D277"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A717B2">
              <w:rPr>
                <w:rFonts w:ascii="Times New Roman" w:eastAsia="Times New Roman" w:hAnsi="Times New Roman" w:cs="Times New Roman"/>
                <w:b/>
                <w:sz w:val="16"/>
                <w:szCs w:val="20"/>
              </w:rPr>
              <w:t>location</w:t>
            </w:r>
            <w:r w:rsidR="00A717B2" w:rsidRPr="00E1729F">
              <w:rPr>
                <w:rFonts w:ascii="Times New Roman" w:eastAsia="Times New Roman" w:hAnsi="Times New Roman" w:cs="Times New Roman"/>
                <w:b/>
                <w:sz w:val="16"/>
                <w:szCs w:val="20"/>
              </w:rPr>
              <w:t xml:space="preserve"> </w:t>
            </w:r>
            <w:r w:rsidRPr="00E1729F">
              <w:rPr>
                <w:rFonts w:ascii="Times New Roman" w:eastAsia="Times New Roman" w:hAnsi="Times New Roman" w:cs="Times New Roman"/>
                <w:b/>
                <w:sz w:val="16"/>
                <w:szCs w:val="20"/>
              </w:rPr>
              <w:t>only</w:t>
            </w:r>
          </w:p>
        </w:tc>
        <w:tc>
          <w:tcPr>
            <w:tcW w:w="961" w:type="dxa"/>
            <w:tcBorders>
              <w:bottom w:val="single" w:sz="12" w:space="0" w:color="auto"/>
              <w:right w:val="single" w:sz="12" w:space="0" w:color="auto"/>
            </w:tcBorders>
            <w:noWrap/>
            <w:vAlign w:val="center"/>
            <w:hideMark/>
          </w:tcPr>
          <w:p w14:paraId="11793F89" w14:textId="4CBBFA7E"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Home and a third </w:t>
            </w:r>
            <w:r w:rsidR="00A717B2">
              <w:rPr>
                <w:rFonts w:ascii="Times New Roman" w:eastAsia="Times New Roman" w:hAnsi="Times New Roman" w:cs="Times New Roman"/>
                <w:b/>
                <w:sz w:val="16"/>
                <w:szCs w:val="20"/>
              </w:rPr>
              <w:t>location</w:t>
            </w:r>
          </w:p>
        </w:tc>
        <w:tc>
          <w:tcPr>
            <w:tcW w:w="906" w:type="dxa"/>
            <w:vMerge/>
            <w:tcBorders>
              <w:left w:val="single" w:sz="12" w:space="0" w:color="auto"/>
              <w:bottom w:val="single" w:sz="12" w:space="0" w:color="auto"/>
            </w:tcBorders>
            <w:noWrap/>
            <w:vAlign w:val="center"/>
            <w:hideMark/>
          </w:tcPr>
          <w:p w14:paraId="738723A3"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906" w:type="dxa"/>
            <w:vMerge/>
            <w:tcBorders>
              <w:bottom w:val="single" w:sz="12" w:space="0" w:color="auto"/>
            </w:tcBorders>
            <w:noWrap/>
            <w:vAlign w:val="center"/>
            <w:hideMark/>
          </w:tcPr>
          <w:p w14:paraId="226F1F40" w14:textId="77777777" w:rsidR="00D660C2" w:rsidRPr="00E1729F" w:rsidRDefault="00D660C2" w:rsidP="00E1729F">
            <w:pPr>
              <w:spacing w:line="276" w:lineRule="auto"/>
              <w:jc w:val="center"/>
              <w:rPr>
                <w:rFonts w:ascii="Times New Roman" w:eastAsia="Times New Roman" w:hAnsi="Times New Roman" w:cs="Times New Roman"/>
                <w:b/>
                <w:sz w:val="16"/>
                <w:szCs w:val="20"/>
              </w:rPr>
            </w:pPr>
          </w:p>
        </w:tc>
        <w:tc>
          <w:tcPr>
            <w:tcW w:w="737" w:type="dxa"/>
            <w:tcBorders>
              <w:bottom w:val="single" w:sz="12" w:space="0" w:color="auto"/>
            </w:tcBorders>
            <w:noWrap/>
            <w:vAlign w:val="center"/>
            <w:hideMark/>
          </w:tcPr>
          <w:p w14:paraId="1C0E979E" w14:textId="77777777"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Home only</w:t>
            </w:r>
          </w:p>
        </w:tc>
        <w:tc>
          <w:tcPr>
            <w:tcW w:w="990" w:type="dxa"/>
            <w:tcBorders>
              <w:bottom w:val="single" w:sz="12" w:space="0" w:color="auto"/>
            </w:tcBorders>
            <w:noWrap/>
            <w:vAlign w:val="center"/>
            <w:hideMark/>
          </w:tcPr>
          <w:p w14:paraId="76DB592B" w14:textId="628596C0"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Third </w:t>
            </w:r>
            <w:r w:rsidR="00A717B2">
              <w:rPr>
                <w:rFonts w:ascii="Times New Roman" w:eastAsia="Times New Roman" w:hAnsi="Times New Roman" w:cs="Times New Roman"/>
                <w:b/>
                <w:sz w:val="16"/>
                <w:szCs w:val="20"/>
              </w:rPr>
              <w:t>location</w:t>
            </w:r>
            <w:r w:rsidR="00A717B2" w:rsidRPr="00E1729F">
              <w:rPr>
                <w:rFonts w:ascii="Times New Roman" w:eastAsia="Times New Roman" w:hAnsi="Times New Roman" w:cs="Times New Roman"/>
                <w:b/>
                <w:sz w:val="16"/>
                <w:szCs w:val="20"/>
              </w:rPr>
              <w:t xml:space="preserve"> </w:t>
            </w:r>
            <w:r w:rsidRPr="00E1729F">
              <w:rPr>
                <w:rFonts w:ascii="Times New Roman" w:eastAsia="Times New Roman" w:hAnsi="Times New Roman" w:cs="Times New Roman"/>
                <w:b/>
                <w:sz w:val="16"/>
                <w:szCs w:val="20"/>
              </w:rPr>
              <w:t>only</w:t>
            </w:r>
          </w:p>
        </w:tc>
        <w:tc>
          <w:tcPr>
            <w:tcW w:w="990" w:type="dxa"/>
            <w:tcBorders>
              <w:right w:val="double" w:sz="4" w:space="0" w:color="auto"/>
            </w:tcBorders>
            <w:noWrap/>
            <w:vAlign w:val="center"/>
            <w:hideMark/>
          </w:tcPr>
          <w:p w14:paraId="57F8BF7B" w14:textId="39F541EE" w:rsidR="00D660C2" w:rsidRPr="00E1729F" w:rsidRDefault="00D660C2" w:rsidP="00E1729F">
            <w:pPr>
              <w:spacing w:line="276" w:lineRule="auto"/>
              <w:jc w:val="center"/>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Home and a third </w:t>
            </w:r>
            <w:r w:rsidR="00A717B2">
              <w:rPr>
                <w:rFonts w:ascii="Times New Roman" w:eastAsia="Times New Roman" w:hAnsi="Times New Roman" w:cs="Times New Roman"/>
                <w:b/>
                <w:sz w:val="16"/>
                <w:szCs w:val="20"/>
              </w:rPr>
              <w:t>location</w:t>
            </w:r>
          </w:p>
        </w:tc>
      </w:tr>
      <w:bookmarkEnd w:id="18"/>
      <w:tr w:rsidR="00837F9C" w:rsidRPr="00837F9C" w14:paraId="5856ABBD"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526DC620" w14:textId="77777777" w:rsidR="00D660C2" w:rsidRPr="00E1729F" w:rsidRDefault="00D660C2" w:rsidP="00E1729F">
            <w:pPr>
              <w:spacing w:line="276" w:lineRule="auto"/>
              <w:rPr>
                <w:rFonts w:ascii="Times New Roman" w:eastAsia="Times New Roman" w:hAnsi="Times New Roman" w:cs="Times New Roman"/>
                <w:b/>
                <w:i/>
                <w:sz w:val="16"/>
                <w:szCs w:val="20"/>
              </w:rPr>
            </w:pPr>
            <w:r w:rsidRPr="00E1729F">
              <w:rPr>
                <w:rFonts w:ascii="Times New Roman" w:eastAsia="Times New Roman" w:hAnsi="Times New Roman" w:cs="Times New Roman"/>
                <w:b/>
                <w:i/>
                <w:sz w:val="16"/>
                <w:szCs w:val="20"/>
              </w:rPr>
              <w:t>Job Characteristics</w:t>
            </w:r>
          </w:p>
        </w:tc>
      </w:tr>
      <w:tr w:rsidR="00837F9C" w:rsidRPr="00837F9C" w14:paraId="069434E3"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10076401" w14:textId="77777777" w:rsidR="00D660C2" w:rsidRPr="00E1729F" w:rsidRDefault="00D660C2" w:rsidP="00E1729F">
            <w:pPr>
              <w:spacing w:line="276" w:lineRule="auto"/>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Employment Status</w:t>
            </w:r>
          </w:p>
        </w:tc>
      </w:tr>
      <w:tr w:rsidR="00837F9C" w:rsidRPr="00837F9C" w14:paraId="289050B1" w14:textId="77777777" w:rsidTr="00D3023D">
        <w:trPr>
          <w:trHeight w:val="288"/>
          <w:jc w:val="center"/>
        </w:trPr>
        <w:tc>
          <w:tcPr>
            <w:tcW w:w="900" w:type="dxa"/>
            <w:tcBorders>
              <w:left w:val="double" w:sz="4" w:space="0" w:color="auto"/>
              <w:right w:val="single" w:sz="12" w:space="0" w:color="auto"/>
            </w:tcBorders>
            <w:noWrap/>
            <w:vAlign w:val="center"/>
            <w:hideMark/>
          </w:tcPr>
          <w:p w14:paraId="7EBD969E" w14:textId="79BF5BE1"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Not self</w:t>
            </w:r>
            <w:r w:rsidR="00F95142">
              <w:rPr>
                <w:rFonts w:ascii="Times New Roman" w:eastAsia="Times New Roman" w:hAnsi="Times New Roman" w:cs="Times New Roman"/>
                <w:b/>
                <w:sz w:val="16"/>
                <w:szCs w:val="20"/>
              </w:rPr>
              <w:t>-e</w:t>
            </w:r>
            <w:r w:rsidRPr="00E1729F">
              <w:rPr>
                <w:rFonts w:ascii="Times New Roman" w:eastAsia="Times New Roman" w:hAnsi="Times New Roman" w:cs="Times New Roman"/>
                <w:b/>
                <w:sz w:val="16"/>
                <w:szCs w:val="20"/>
              </w:rPr>
              <w:t>mp</w:t>
            </w:r>
            <w:r w:rsidR="00887C66" w:rsidRPr="00E1729F">
              <w:rPr>
                <w:rFonts w:ascii="Times New Roman" w:eastAsia="Times New Roman" w:hAnsi="Times New Roman" w:cs="Times New Roman"/>
                <w:b/>
                <w:sz w:val="16"/>
                <w:szCs w:val="20"/>
              </w:rPr>
              <w:t>l</w:t>
            </w:r>
            <w:r w:rsidR="00F95142">
              <w:rPr>
                <w:rFonts w:ascii="Times New Roman" w:eastAsia="Times New Roman" w:hAnsi="Times New Roman" w:cs="Times New Roman"/>
                <w:b/>
                <w:sz w:val="16"/>
                <w:szCs w:val="20"/>
              </w:rPr>
              <w:t>.</w:t>
            </w:r>
          </w:p>
        </w:tc>
        <w:tc>
          <w:tcPr>
            <w:tcW w:w="911" w:type="dxa"/>
            <w:tcBorders>
              <w:left w:val="single" w:sz="12" w:space="0" w:color="auto"/>
            </w:tcBorders>
            <w:noWrap/>
            <w:hideMark/>
          </w:tcPr>
          <w:p w14:paraId="4A48276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38.8%</w:t>
            </w:r>
          </w:p>
        </w:tc>
        <w:tc>
          <w:tcPr>
            <w:tcW w:w="905" w:type="dxa"/>
            <w:noWrap/>
            <w:hideMark/>
          </w:tcPr>
          <w:p w14:paraId="4D1C8BE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9.52</w:t>
            </w:r>
          </w:p>
        </w:tc>
        <w:tc>
          <w:tcPr>
            <w:tcW w:w="704" w:type="dxa"/>
            <w:noWrap/>
            <w:hideMark/>
          </w:tcPr>
          <w:p w14:paraId="5B3130C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noWrap/>
            <w:hideMark/>
          </w:tcPr>
          <w:p w14:paraId="0929442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w:t>
            </w:r>
          </w:p>
        </w:tc>
        <w:tc>
          <w:tcPr>
            <w:tcW w:w="1023" w:type="dxa"/>
            <w:tcBorders>
              <w:right w:val="single" w:sz="12" w:space="0" w:color="auto"/>
            </w:tcBorders>
            <w:noWrap/>
            <w:hideMark/>
          </w:tcPr>
          <w:p w14:paraId="0F2810F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7.7%</w:t>
            </w:r>
          </w:p>
        </w:tc>
        <w:tc>
          <w:tcPr>
            <w:tcW w:w="906" w:type="dxa"/>
            <w:tcBorders>
              <w:left w:val="single" w:sz="12" w:space="0" w:color="auto"/>
            </w:tcBorders>
            <w:noWrap/>
            <w:hideMark/>
          </w:tcPr>
          <w:p w14:paraId="0F1F9F3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65.8%</w:t>
            </w:r>
          </w:p>
        </w:tc>
        <w:tc>
          <w:tcPr>
            <w:tcW w:w="906" w:type="dxa"/>
            <w:noWrap/>
            <w:hideMark/>
          </w:tcPr>
          <w:p w14:paraId="4B2AA48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13.60</w:t>
            </w:r>
          </w:p>
        </w:tc>
        <w:tc>
          <w:tcPr>
            <w:tcW w:w="765" w:type="dxa"/>
            <w:noWrap/>
            <w:hideMark/>
          </w:tcPr>
          <w:p w14:paraId="3DF7338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90.8%</w:t>
            </w:r>
          </w:p>
        </w:tc>
        <w:tc>
          <w:tcPr>
            <w:tcW w:w="990" w:type="dxa"/>
            <w:noWrap/>
            <w:hideMark/>
          </w:tcPr>
          <w:p w14:paraId="4F7F888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6AA53A0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hideMark/>
          </w:tcPr>
          <w:p w14:paraId="5FB0AF2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69.7%</w:t>
            </w:r>
          </w:p>
        </w:tc>
        <w:tc>
          <w:tcPr>
            <w:tcW w:w="906" w:type="dxa"/>
            <w:noWrap/>
            <w:hideMark/>
          </w:tcPr>
          <w:p w14:paraId="183B7DD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42.8%</w:t>
            </w:r>
          </w:p>
        </w:tc>
        <w:tc>
          <w:tcPr>
            <w:tcW w:w="737" w:type="dxa"/>
            <w:noWrap/>
            <w:hideMark/>
          </w:tcPr>
          <w:p w14:paraId="3D57C72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w:t>
            </w:r>
          </w:p>
        </w:tc>
        <w:tc>
          <w:tcPr>
            <w:tcW w:w="990" w:type="dxa"/>
            <w:noWrap/>
            <w:hideMark/>
          </w:tcPr>
          <w:p w14:paraId="6B7FC40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-15.5%</w:t>
            </w:r>
          </w:p>
        </w:tc>
        <w:tc>
          <w:tcPr>
            <w:tcW w:w="990" w:type="dxa"/>
            <w:tcBorders>
              <w:right w:val="double" w:sz="4" w:space="0" w:color="auto"/>
            </w:tcBorders>
            <w:noWrap/>
            <w:hideMark/>
          </w:tcPr>
          <w:p w14:paraId="1F9169B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-32.5%</w:t>
            </w:r>
          </w:p>
        </w:tc>
      </w:tr>
      <w:tr w:rsidR="00837F9C" w:rsidRPr="00837F9C" w14:paraId="576B93C1" w14:textId="77777777" w:rsidTr="00D3023D">
        <w:trPr>
          <w:trHeight w:val="288"/>
          <w:jc w:val="center"/>
        </w:trPr>
        <w:tc>
          <w:tcPr>
            <w:tcW w:w="900" w:type="dxa"/>
            <w:tcBorders>
              <w:left w:val="double" w:sz="4" w:space="0" w:color="auto"/>
              <w:bottom w:val="single" w:sz="12" w:space="0" w:color="auto"/>
              <w:right w:val="single" w:sz="12" w:space="0" w:color="auto"/>
            </w:tcBorders>
            <w:noWrap/>
            <w:vAlign w:val="center"/>
            <w:hideMark/>
          </w:tcPr>
          <w:p w14:paraId="43746247" w14:textId="2DEBCFD9"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Self</w:t>
            </w:r>
            <w:r w:rsidR="00F95142">
              <w:rPr>
                <w:rFonts w:ascii="Times New Roman" w:eastAsia="Times New Roman" w:hAnsi="Times New Roman" w:cs="Times New Roman"/>
                <w:b/>
                <w:sz w:val="16"/>
                <w:szCs w:val="20"/>
              </w:rPr>
              <w:t>-e</w:t>
            </w:r>
            <w:r w:rsidRPr="00E1729F">
              <w:rPr>
                <w:rFonts w:ascii="Times New Roman" w:eastAsia="Times New Roman" w:hAnsi="Times New Roman" w:cs="Times New Roman"/>
                <w:b/>
                <w:sz w:val="16"/>
                <w:szCs w:val="20"/>
              </w:rPr>
              <w:t>mp</w:t>
            </w:r>
            <w:r w:rsidR="00887C66" w:rsidRPr="00E1729F">
              <w:rPr>
                <w:rFonts w:ascii="Times New Roman" w:eastAsia="Times New Roman" w:hAnsi="Times New Roman" w:cs="Times New Roman"/>
                <w:b/>
                <w:sz w:val="16"/>
                <w:szCs w:val="20"/>
              </w:rPr>
              <w:t>l</w:t>
            </w:r>
            <w:r w:rsidR="00F95142">
              <w:rPr>
                <w:rFonts w:ascii="Times New Roman" w:eastAsia="Times New Roman" w:hAnsi="Times New Roman" w:cs="Times New Roman"/>
                <w:b/>
                <w:sz w:val="16"/>
                <w:szCs w:val="20"/>
              </w:rPr>
              <w:t>.</w:t>
            </w:r>
          </w:p>
        </w:tc>
        <w:tc>
          <w:tcPr>
            <w:tcW w:w="911" w:type="dxa"/>
            <w:tcBorders>
              <w:left w:val="single" w:sz="12" w:space="0" w:color="auto"/>
              <w:bottom w:val="single" w:sz="12" w:space="0" w:color="auto"/>
            </w:tcBorders>
            <w:noWrap/>
            <w:hideMark/>
          </w:tcPr>
          <w:p w14:paraId="62EB1EA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47.9%</w:t>
            </w:r>
          </w:p>
        </w:tc>
        <w:tc>
          <w:tcPr>
            <w:tcW w:w="905" w:type="dxa"/>
            <w:tcBorders>
              <w:bottom w:val="single" w:sz="12" w:space="0" w:color="auto"/>
            </w:tcBorders>
            <w:noWrap/>
            <w:hideMark/>
          </w:tcPr>
          <w:p w14:paraId="7104A75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12.96</w:t>
            </w:r>
          </w:p>
        </w:tc>
        <w:tc>
          <w:tcPr>
            <w:tcW w:w="704" w:type="dxa"/>
            <w:tcBorders>
              <w:bottom w:val="single" w:sz="12" w:space="0" w:color="auto"/>
            </w:tcBorders>
            <w:noWrap/>
            <w:hideMark/>
          </w:tcPr>
          <w:p w14:paraId="5A9596C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87.2%</w:t>
            </w:r>
          </w:p>
        </w:tc>
        <w:tc>
          <w:tcPr>
            <w:tcW w:w="990" w:type="dxa"/>
            <w:tcBorders>
              <w:bottom w:val="single" w:sz="12" w:space="0" w:color="auto"/>
            </w:tcBorders>
            <w:noWrap/>
            <w:hideMark/>
          </w:tcPr>
          <w:p w14:paraId="37C6B4E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4.6%</w:t>
            </w:r>
          </w:p>
        </w:tc>
        <w:tc>
          <w:tcPr>
            <w:tcW w:w="1023" w:type="dxa"/>
            <w:tcBorders>
              <w:bottom w:val="single" w:sz="12" w:space="0" w:color="auto"/>
              <w:right w:val="single" w:sz="12" w:space="0" w:color="auto"/>
            </w:tcBorders>
            <w:noWrap/>
            <w:hideMark/>
          </w:tcPr>
          <w:p w14:paraId="5D16BC8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8.2%</w:t>
            </w:r>
          </w:p>
        </w:tc>
        <w:tc>
          <w:tcPr>
            <w:tcW w:w="906" w:type="dxa"/>
            <w:tcBorders>
              <w:left w:val="single" w:sz="12" w:space="0" w:color="auto"/>
              <w:bottom w:val="single" w:sz="12" w:space="0" w:color="auto"/>
            </w:tcBorders>
            <w:noWrap/>
            <w:hideMark/>
          </w:tcPr>
          <w:p w14:paraId="4C4AC91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62.2%</w:t>
            </w:r>
          </w:p>
        </w:tc>
        <w:tc>
          <w:tcPr>
            <w:tcW w:w="906" w:type="dxa"/>
            <w:tcBorders>
              <w:bottom w:val="single" w:sz="12" w:space="0" w:color="auto"/>
            </w:tcBorders>
            <w:noWrap/>
            <w:hideMark/>
          </w:tcPr>
          <w:p w14:paraId="6C10D5C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14.10</w:t>
            </w:r>
          </w:p>
        </w:tc>
        <w:tc>
          <w:tcPr>
            <w:tcW w:w="765" w:type="dxa"/>
            <w:tcBorders>
              <w:bottom w:val="single" w:sz="12" w:space="0" w:color="auto"/>
            </w:tcBorders>
            <w:noWrap/>
            <w:hideMark/>
          </w:tcPr>
          <w:p w14:paraId="5CE671D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90.9%</w:t>
            </w:r>
          </w:p>
        </w:tc>
        <w:tc>
          <w:tcPr>
            <w:tcW w:w="990" w:type="dxa"/>
            <w:tcBorders>
              <w:bottom w:val="single" w:sz="12" w:space="0" w:color="auto"/>
            </w:tcBorders>
            <w:noWrap/>
            <w:hideMark/>
          </w:tcPr>
          <w:p w14:paraId="0FA9F54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bottom w:val="single" w:sz="12" w:space="0" w:color="auto"/>
              <w:right w:val="single" w:sz="12" w:space="0" w:color="auto"/>
            </w:tcBorders>
            <w:noWrap/>
            <w:hideMark/>
          </w:tcPr>
          <w:p w14:paraId="0633C37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5.1%</w:t>
            </w:r>
          </w:p>
        </w:tc>
        <w:tc>
          <w:tcPr>
            <w:tcW w:w="906" w:type="dxa"/>
            <w:tcBorders>
              <w:left w:val="single" w:sz="12" w:space="0" w:color="auto"/>
              <w:bottom w:val="single" w:sz="12" w:space="0" w:color="auto"/>
            </w:tcBorders>
            <w:noWrap/>
            <w:hideMark/>
          </w:tcPr>
          <w:p w14:paraId="0ADF87A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29.9%</w:t>
            </w:r>
          </w:p>
        </w:tc>
        <w:tc>
          <w:tcPr>
            <w:tcW w:w="906" w:type="dxa"/>
            <w:tcBorders>
              <w:bottom w:val="single" w:sz="12" w:space="0" w:color="auto"/>
            </w:tcBorders>
            <w:noWrap/>
            <w:hideMark/>
          </w:tcPr>
          <w:p w14:paraId="3C64B59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w:t>
            </w:r>
          </w:p>
        </w:tc>
        <w:tc>
          <w:tcPr>
            <w:tcW w:w="737" w:type="dxa"/>
            <w:tcBorders>
              <w:bottom w:val="single" w:sz="12" w:space="0" w:color="auto"/>
            </w:tcBorders>
            <w:noWrap/>
            <w:hideMark/>
          </w:tcPr>
          <w:p w14:paraId="7E972F1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w:t>
            </w:r>
          </w:p>
        </w:tc>
        <w:tc>
          <w:tcPr>
            <w:tcW w:w="990" w:type="dxa"/>
            <w:tcBorders>
              <w:bottom w:val="single" w:sz="12" w:space="0" w:color="auto"/>
            </w:tcBorders>
            <w:noWrap/>
            <w:hideMark/>
          </w:tcPr>
          <w:p w14:paraId="08F7031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-13.3%</w:t>
            </w:r>
          </w:p>
        </w:tc>
        <w:tc>
          <w:tcPr>
            <w:tcW w:w="990" w:type="dxa"/>
            <w:tcBorders>
              <w:bottom w:val="single" w:sz="12" w:space="0" w:color="auto"/>
              <w:right w:val="double" w:sz="4" w:space="0" w:color="auto"/>
            </w:tcBorders>
            <w:noWrap/>
            <w:hideMark/>
          </w:tcPr>
          <w:p w14:paraId="073D582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-37.3%</w:t>
            </w:r>
          </w:p>
        </w:tc>
      </w:tr>
      <w:tr w:rsidR="00837F9C" w:rsidRPr="00837F9C" w14:paraId="4AF74061"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2C155F56" w14:textId="77777777" w:rsidR="00D660C2" w:rsidRPr="00E1729F" w:rsidRDefault="00D660C2" w:rsidP="00E1729F">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Occupation Type</w:t>
            </w:r>
          </w:p>
        </w:tc>
      </w:tr>
      <w:tr w:rsidR="00837F9C" w:rsidRPr="00837F9C" w14:paraId="6BC28C50" w14:textId="77777777" w:rsidTr="00D3023D">
        <w:trPr>
          <w:trHeight w:val="144"/>
          <w:jc w:val="center"/>
        </w:trPr>
        <w:tc>
          <w:tcPr>
            <w:tcW w:w="900" w:type="dxa"/>
            <w:tcBorders>
              <w:left w:val="double" w:sz="4" w:space="0" w:color="auto"/>
              <w:right w:val="single" w:sz="12" w:space="0" w:color="auto"/>
            </w:tcBorders>
            <w:noWrap/>
            <w:vAlign w:val="center"/>
          </w:tcPr>
          <w:p w14:paraId="0A6DB6C9" w14:textId="42C21ADC"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Manager/ Technical</w:t>
            </w:r>
          </w:p>
        </w:tc>
        <w:tc>
          <w:tcPr>
            <w:tcW w:w="911" w:type="dxa"/>
            <w:tcBorders>
              <w:left w:val="single" w:sz="12" w:space="0" w:color="auto"/>
            </w:tcBorders>
            <w:noWrap/>
          </w:tcPr>
          <w:p w14:paraId="2E0A05E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50.8%</w:t>
            </w:r>
          </w:p>
        </w:tc>
        <w:tc>
          <w:tcPr>
            <w:tcW w:w="905" w:type="dxa"/>
            <w:noWrap/>
          </w:tcPr>
          <w:p w14:paraId="519224D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10.03</w:t>
            </w:r>
          </w:p>
        </w:tc>
        <w:tc>
          <w:tcPr>
            <w:tcW w:w="704" w:type="dxa"/>
            <w:noWrap/>
          </w:tcPr>
          <w:p w14:paraId="6E9B705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86.8%</w:t>
            </w:r>
          </w:p>
        </w:tc>
        <w:tc>
          <w:tcPr>
            <w:tcW w:w="990" w:type="dxa"/>
            <w:noWrap/>
          </w:tcPr>
          <w:p w14:paraId="5C30C01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1023" w:type="dxa"/>
            <w:tcBorders>
              <w:right w:val="single" w:sz="12" w:space="0" w:color="auto"/>
            </w:tcBorders>
            <w:noWrap/>
          </w:tcPr>
          <w:p w14:paraId="55455B1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8.0%</w:t>
            </w:r>
          </w:p>
        </w:tc>
        <w:tc>
          <w:tcPr>
            <w:tcW w:w="906" w:type="dxa"/>
            <w:tcBorders>
              <w:left w:val="single" w:sz="12" w:space="0" w:color="auto"/>
            </w:tcBorders>
            <w:noWrap/>
          </w:tcPr>
          <w:p w14:paraId="60C35D9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75.9%</w:t>
            </w:r>
          </w:p>
        </w:tc>
        <w:tc>
          <w:tcPr>
            <w:tcW w:w="906" w:type="dxa"/>
            <w:noWrap/>
          </w:tcPr>
          <w:p w14:paraId="41E9349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13.19</w:t>
            </w:r>
          </w:p>
        </w:tc>
        <w:tc>
          <w:tcPr>
            <w:tcW w:w="765" w:type="dxa"/>
            <w:noWrap/>
          </w:tcPr>
          <w:p w14:paraId="2A93E93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91.7%</w:t>
            </w:r>
          </w:p>
        </w:tc>
        <w:tc>
          <w:tcPr>
            <w:tcW w:w="990" w:type="dxa"/>
            <w:noWrap/>
          </w:tcPr>
          <w:p w14:paraId="0767953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w:t>
            </w:r>
          </w:p>
        </w:tc>
        <w:tc>
          <w:tcPr>
            <w:tcW w:w="961" w:type="dxa"/>
            <w:tcBorders>
              <w:right w:val="single" w:sz="12" w:space="0" w:color="auto"/>
            </w:tcBorders>
            <w:noWrap/>
          </w:tcPr>
          <w:p w14:paraId="2BD4207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tcPr>
          <w:p w14:paraId="03EE6BF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49.4%</w:t>
            </w:r>
          </w:p>
        </w:tc>
        <w:tc>
          <w:tcPr>
            <w:tcW w:w="906" w:type="dxa"/>
            <w:noWrap/>
          </w:tcPr>
          <w:p w14:paraId="6CB1C54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31.5%</w:t>
            </w:r>
          </w:p>
        </w:tc>
        <w:tc>
          <w:tcPr>
            <w:tcW w:w="737" w:type="dxa"/>
            <w:noWrap/>
          </w:tcPr>
          <w:p w14:paraId="7AEA95C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5.6%</w:t>
            </w:r>
          </w:p>
        </w:tc>
        <w:tc>
          <w:tcPr>
            <w:tcW w:w="990" w:type="dxa"/>
            <w:noWrap/>
          </w:tcPr>
          <w:p w14:paraId="1481C54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-40.5%</w:t>
            </w:r>
          </w:p>
        </w:tc>
        <w:tc>
          <w:tcPr>
            <w:tcW w:w="990" w:type="dxa"/>
            <w:tcBorders>
              <w:right w:val="double" w:sz="4" w:space="0" w:color="auto"/>
            </w:tcBorders>
            <w:noWrap/>
          </w:tcPr>
          <w:p w14:paraId="517AB6C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-34.2%</w:t>
            </w:r>
          </w:p>
        </w:tc>
      </w:tr>
      <w:tr w:rsidR="00837F9C" w:rsidRPr="00837F9C" w14:paraId="4165142C" w14:textId="77777777" w:rsidTr="00D3023D">
        <w:trPr>
          <w:trHeight w:val="144"/>
          <w:jc w:val="center"/>
        </w:trPr>
        <w:tc>
          <w:tcPr>
            <w:tcW w:w="900" w:type="dxa"/>
            <w:tcBorders>
              <w:left w:val="double" w:sz="4" w:space="0" w:color="auto"/>
              <w:right w:val="single" w:sz="12" w:space="0" w:color="auto"/>
            </w:tcBorders>
            <w:noWrap/>
            <w:vAlign w:val="center"/>
          </w:tcPr>
          <w:p w14:paraId="218DD6B8" w14:textId="77777777"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Health-care</w:t>
            </w:r>
          </w:p>
        </w:tc>
        <w:tc>
          <w:tcPr>
            <w:tcW w:w="911" w:type="dxa"/>
            <w:tcBorders>
              <w:left w:val="single" w:sz="12" w:space="0" w:color="auto"/>
            </w:tcBorders>
            <w:noWrap/>
          </w:tcPr>
          <w:p w14:paraId="59731BD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24.9%</w:t>
            </w:r>
          </w:p>
        </w:tc>
        <w:tc>
          <w:tcPr>
            <w:tcW w:w="905" w:type="dxa"/>
            <w:noWrap/>
          </w:tcPr>
          <w:p w14:paraId="300026D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10.27</w:t>
            </w:r>
          </w:p>
        </w:tc>
        <w:tc>
          <w:tcPr>
            <w:tcW w:w="704" w:type="dxa"/>
            <w:noWrap/>
          </w:tcPr>
          <w:p w14:paraId="10DF5CE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noWrap/>
          </w:tcPr>
          <w:p w14:paraId="63FCC0D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6.1%</w:t>
            </w:r>
          </w:p>
        </w:tc>
        <w:tc>
          <w:tcPr>
            <w:tcW w:w="1023" w:type="dxa"/>
            <w:tcBorders>
              <w:right w:val="single" w:sz="12" w:space="0" w:color="auto"/>
            </w:tcBorders>
            <w:noWrap/>
          </w:tcPr>
          <w:p w14:paraId="727FFD8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6.2%</w:t>
            </w:r>
          </w:p>
        </w:tc>
        <w:tc>
          <w:tcPr>
            <w:tcW w:w="906" w:type="dxa"/>
            <w:tcBorders>
              <w:left w:val="single" w:sz="12" w:space="0" w:color="auto"/>
            </w:tcBorders>
            <w:noWrap/>
          </w:tcPr>
          <w:p w14:paraId="332D3D8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68.9%</w:t>
            </w:r>
          </w:p>
        </w:tc>
        <w:tc>
          <w:tcPr>
            <w:tcW w:w="906" w:type="dxa"/>
            <w:noWrap/>
          </w:tcPr>
          <w:p w14:paraId="699EC4C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12.82</w:t>
            </w:r>
          </w:p>
        </w:tc>
        <w:tc>
          <w:tcPr>
            <w:tcW w:w="765" w:type="dxa"/>
            <w:noWrap/>
          </w:tcPr>
          <w:p w14:paraId="0AEEEFF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91.7%</w:t>
            </w:r>
          </w:p>
        </w:tc>
        <w:tc>
          <w:tcPr>
            <w:tcW w:w="990" w:type="dxa"/>
            <w:noWrap/>
          </w:tcPr>
          <w:p w14:paraId="0B79888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w:t>
            </w:r>
          </w:p>
        </w:tc>
        <w:tc>
          <w:tcPr>
            <w:tcW w:w="961" w:type="dxa"/>
            <w:tcBorders>
              <w:right w:val="single" w:sz="12" w:space="0" w:color="auto"/>
            </w:tcBorders>
            <w:noWrap/>
          </w:tcPr>
          <w:p w14:paraId="5076EDF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tcPr>
          <w:p w14:paraId="7D95126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176.9%</w:t>
            </w:r>
          </w:p>
        </w:tc>
        <w:tc>
          <w:tcPr>
            <w:tcW w:w="906" w:type="dxa"/>
            <w:noWrap/>
          </w:tcPr>
          <w:p w14:paraId="5AEFA6D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24.9%</w:t>
            </w:r>
          </w:p>
        </w:tc>
        <w:tc>
          <w:tcPr>
            <w:tcW w:w="737" w:type="dxa"/>
            <w:noWrap/>
          </w:tcPr>
          <w:p w14:paraId="36DFC97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990" w:type="dxa"/>
            <w:noWrap/>
          </w:tcPr>
          <w:p w14:paraId="42419C4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-49.7%</w:t>
            </w:r>
          </w:p>
        </w:tc>
        <w:tc>
          <w:tcPr>
            <w:tcW w:w="990" w:type="dxa"/>
            <w:tcBorders>
              <w:right w:val="double" w:sz="4" w:space="0" w:color="auto"/>
            </w:tcBorders>
            <w:noWrap/>
          </w:tcPr>
          <w:p w14:paraId="6A14F76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-17.1%</w:t>
            </w:r>
          </w:p>
        </w:tc>
      </w:tr>
      <w:tr w:rsidR="00837F9C" w:rsidRPr="00837F9C" w14:paraId="3A3DAF9F" w14:textId="77777777" w:rsidTr="00D3023D">
        <w:trPr>
          <w:trHeight w:val="144"/>
          <w:jc w:val="center"/>
        </w:trPr>
        <w:tc>
          <w:tcPr>
            <w:tcW w:w="900" w:type="dxa"/>
            <w:tcBorders>
              <w:left w:val="double" w:sz="4" w:space="0" w:color="auto"/>
              <w:right w:val="single" w:sz="12" w:space="0" w:color="auto"/>
            </w:tcBorders>
            <w:noWrap/>
            <w:vAlign w:val="center"/>
          </w:tcPr>
          <w:p w14:paraId="5DC3B453" w14:textId="249453E2"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Educa</w:t>
            </w:r>
            <w:r w:rsidR="00F95142">
              <w:rPr>
                <w:rFonts w:ascii="Times New Roman" w:eastAsia="Times New Roman" w:hAnsi="Times New Roman" w:cs="Times New Roman"/>
                <w:b/>
                <w:sz w:val="16"/>
                <w:szCs w:val="20"/>
              </w:rPr>
              <w:t>-</w:t>
            </w:r>
            <w:r w:rsidRPr="00E1729F">
              <w:rPr>
                <w:rFonts w:ascii="Times New Roman" w:eastAsia="Times New Roman" w:hAnsi="Times New Roman" w:cs="Times New Roman"/>
                <w:b/>
                <w:sz w:val="16"/>
                <w:szCs w:val="20"/>
              </w:rPr>
              <w:t>t</w:t>
            </w:r>
            <w:r w:rsidR="00ED0D41">
              <w:rPr>
                <w:rFonts w:ascii="Times New Roman" w:eastAsia="Times New Roman" w:hAnsi="Times New Roman" w:cs="Times New Roman"/>
                <w:b/>
                <w:sz w:val="16"/>
                <w:szCs w:val="20"/>
              </w:rPr>
              <w:t>io</w:t>
            </w:r>
            <w:r w:rsidRPr="00E1729F">
              <w:rPr>
                <w:rFonts w:ascii="Times New Roman" w:eastAsia="Times New Roman" w:hAnsi="Times New Roman" w:cs="Times New Roman"/>
                <w:b/>
                <w:sz w:val="16"/>
                <w:szCs w:val="20"/>
              </w:rPr>
              <w:t>n</w:t>
            </w:r>
          </w:p>
        </w:tc>
        <w:tc>
          <w:tcPr>
            <w:tcW w:w="911" w:type="dxa"/>
            <w:tcBorders>
              <w:left w:val="single" w:sz="12" w:space="0" w:color="auto"/>
            </w:tcBorders>
            <w:noWrap/>
          </w:tcPr>
          <w:p w14:paraId="37E9B3E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23.9%</w:t>
            </w:r>
          </w:p>
        </w:tc>
        <w:tc>
          <w:tcPr>
            <w:tcW w:w="905" w:type="dxa"/>
            <w:noWrap/>
          </w:tcPr>
          <w:p w14:paraId="1BA7D0B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10.28</w:t>
            </w:r>
          </w:p>
        </w:tc>
        <w:tc>
          <w:tcPr>
            <w:tcW w:w="704" w:type="dxa"/>
            <w:noWrap/>
          </w:tcPr>
          <w:p w14:paraId="0FFF5CA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noWrap/>
          </w:tcPr>
          <w:p w14:paraId="5292D19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6.2%</w:t>
            </w:r>
          </w:p>
        </w:tc>
        <w:tc>
          <w:tcPr>
            <w:tcW w:w="1023" w:type="dxa"/>
            <w:tcBorders>
              <w:right w:val="single" w:sz="12" w:space="0" w:color="auto"/>
            </w:tcBorders>
            <w:noWrap/>
          </w:tcPr>
          <w:p w14:paraId="657F033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6.2%</w:t>
            </w:r>
          </w:p>
        </w:tc>
        <w:tc>
          <w:tcPr>
            <w:tcW w:w="906" w:type="dxa"/>
            <w:tcBorders>
              <w:left w:val="single" w:sz="12" w:space="0" w:color="auto"/>
            </w:tcBorders>
            <w:noWrap/>
          </w:tcPr>
          <w:p w14:paraId="54AB36C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49.3%</w:t>
            </w:r>
          </w:p>
        </w:tc>
        <w:tc>
          <w:tcPr>
            <w:tcW w:w="906" w:type="dxa"/>
            <w:noWrap/>
          </w:tcPr>
          <w:p w14:paraId="4760B24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11.71</w:t>
            </w:r>
          </w:p>
        </w:tc>
        <w:tc>
          <w:tcPr>
            <w:tcW w:w="765" w:type="dxa"/>
            <w:noWrap/>
          </w:tcPr>
          <w:p w14:paraId="63A3322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87.7%</w:t>
            </w:r>
          </w:p>
        </w:tc>
        <w:tc>
          <w:tcPr>
            <w:tcW w:w="990" w:type="dxa"/>
            <w:noWrap/>
          </w:tcPr>
          <w:p w14:paraId="06C86B3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7.6%</w:t>
            </w:r>
          </w:p>
        </w:tc>
        <w:tc>
          <w:tcPr>
            <w:tcW w:w="961" w:type="dxa"/>
            <w:tcBorders>
              <w:right w:val="single" w:sz="12" w:space="0" w:color="auto"/>
            </w:tcBorders>
            <w:noWrap/>
          </w:tcPr>
          <w:p w14:paraId="51C5334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906" w:type="dxa"/>
            <w:tcBorders>
              <w:left w:val="single" w:sz="12" w:space="0" w:color="auto"/>
            </w:tcBorders>
            <w:noWrap/>
          </w:tcPr>
          <w:p w14:paraId="154C398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106.1%</w:t>
            </w:r>
          </w:p>
        </w:tc>
        <w:tc>
          <w:tcPr>
            <w:tcW w:w="906" w:type="dxa"/>
            <w:noWrap/>
          </w:tcPr>
          <w:p w14:paraId="2846CB2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13.9%</w:t>
            </w:r>
          </w:p>
        </w:tc>
        <w:tc>
          <w:tcPr>
            <w:tcW w:w="737" w:type="dxa"/>
            <w:noWrap/>
          </w:tcPr>
          <w:p w14:paraId="3EEB6C7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0.0%</w:t>
            </w:r>
          </w:p>
        </w:tc>
        <w:tc>
          <w:tcPr>
            <w:tcW w:w="990" w:type="dxa"/>
            <w:noWrap/>
          </w:tcPr>
          <w:p w14:paraId="68AD8D1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23.3%</w:t>
            </w:r>
          </w:p>
        </w:tc>
        <w:tc>
          <w:tcPr>
            <w:tcW w:w="990" w:type="dxa"/>
            <w:tcBorders>
              <w:right w:val="double" w:sz="4" w:space="0" w:color="auto"/>
            </w:tcBorders>
            <w:noWrap/>
          </w:tcPr>
          <w:p w14:paraId="65098B9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-23.9%</w:t>
            </w:r>
          </w:p>
        </w:tc>
      </w:tr>
      <w:tr w:rsidR="00837F9C" w:rsidRPr="00837F9C" w14:paraId="37ACE2A6" w14:textId="77777777" w:rsidTr="00D3023D">
        <w:trPr>
          <w:trHeight w:val="144"/>
          <w:jc w:val="center"/>
        </w:trPr>
        <w:tc>
          <w:tcPr>
            <w:tcW w:w="900" w:type="dxa"/>
            <w:tcBorders>
              <w:left w:val="double" w:sz="4" w:space="0" w:color="auto"/>
              <w:right w:val="single" w:sz="12" w:space="0" w:color="auto"/>
            </w:tcBorders>
            <w:noWrap/>
            <w:vAlign w:val="center"/>
          </w:tcPr>
          <w:p w14:paraId="6B873955" w14:textId="77777777"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Public Service</w:t>
            </w:r>
          </w:p>
        </w:tc>
        <w:tc>
          <w:tcPr>
            <w:tcW w:w="911" w:type="dxa"/>
            <w:tcBorders>
              <w:left w:val="single" w:sz="12" w:space="0" w:color="auto"/>
            </w:tcBorders>
            <w:noWrap/>
          </w:tcPr>
          <w:p w14:paraId="3DAF522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50.8%</w:t>
            </w:r>
          </w:p>
        </w:tc>
        <w:tc>
          <w:tcPr>
            <w:tcW w:w="905" w:type="dxa"/>
            <w:noWrap/>
          </w:tcPr>
          <w:p w14:paraId="09EFD87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7.52</w:t>
            </w:r>
          </w:p>
        </w:tc>
        <w:tc>
          <w:tcPr>
            <w:tcW w:w="704" w:type="dxa"/>
            <w:noWrap/>
          </w:tcPr>
          <w:p w14:paraId="51504AC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86.8%</w:t>
            </w:r>
          </w:p>
        </w:tc>
        <w:tc>
          <w:tcPr>
            <w:tcW w:w="990" w:type="dxa"/>
            <w:noWrap/>
          </w:tcPr>
          <w:p w14:paraId="1052D18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1023" w:type="dxa"/>
            <w:tcBorders>
              <w:right w:val="single" w:sz="12" w:space="0" w:color="auto"/>
            </w:tcBorders>
            <w:noWrap/>
          </w:tcPr>
          <w:p w14:paraId="543CD1D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8.0%</w:t>
            </w:r>
          </w:p>
        </w:tc>
        <w:tc>
          <w:tcPr>
            <w:tcW w:w="906" w:type="dxa"/>
            <w:tcBorders>
              <w:left w:val="single" w:sz="12" w:space="0" w:color="auto"/>
            </w:tcBorders>
            <w:noWrap/>
          </w:tcPr>
          <w:p w14:paraId="3C4B7FA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75.9%</w:t>
            </w:r>
          </w:p>
        </w:tc>
        <w:tc>
          <w:tcPr>
            <w:tcW w:w="906" w:type="dxa"/>
            <w:noWrap/>
          </w:tcPr>
          <w:p w14:paraId="376DBD6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13.84</w:t>
            </w:r>
          </w:p>
        </w:tc>
        <w:tc>
          <w:tcPr>
            <w:tcW w:w="765" w:type="dxa"/>
            <w:noWrap/>
          </w:tcPr>
          <w:p w14:paraId="0808030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91.7%</w:t>
            </w:r>
          </w:p>
        </w:tc>
        <w:tc>
          <w:tcPr>
            <w:tcW w:w="990" w:type="dxa"/>
            <w:noWrap/>
          </w:tcPr>
          <w:p w14:paraId="366982A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w:t>
            </w:r>
          </w:p>
        </w:tc>
        <w:tc>
          <w:tcPr>
            <w:tcW w:w="961" w:type="dxa"/>
            <w:tcBorders>
              <w:right w:val="single" w:sz="12" w:space="0" w:color="auto"/>
            </w:tcBorders>
            <w:noWrap/>
          </w:tcPr>
          <w:p w14:paraId="08C7243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tcPr>
          <w:p w14:paraId="5AC4B44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49.4%</w:t>
            </w:r>
          </w:p>
        </w:tc>
        <w:tc>
          <w:tcPr>
            <w:tcW w:w="906" w:type="dxa"/>
            <w:noWrap/>
          </w:tcPr>
          <w:p w14:paraId="4746173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84.1%</w:t>
            </w:r>
          </w:p>
        </w:tc>
        <w:tc>
          <w:tcPr>
            <w:tcW w:w="737" w:type="dxa"/>
            <w:noWrap/>
          </w:tcPr>
          <w:p w14:paraId="66F63F2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5.6%</w:t>
            </w:r>
          </w:p>
        </w:tc>
        <w:tc>
          <w:tcPr>
            <w:tcW w:w="990" w:type="dxa"/>
            <w:noWrap/>
          </w:tcPr>
          <w:p w14:paraId="0FE1734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-40.5%</w:t>
            </w:r>
          </w:p>
        </w:tc>
        <w:tc>
          <w:tcPr>
            <w:tcW w:w="990" w:type="dxa"/>
            <w:tcBorders>
              <w:right w:val="double" w:sz="4" w:space="0" w:color="auto"/>
            </w:tcBorders>
            <w:noWrap/>
          </w:tcPr>
          <w:p w14:paraId="5710B99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-34.2%</w:t>
            </w:r>
          </w:p>
        </w:tc>
      </w:tr>
      <w:tr w:rsidR="00837F9C" w:rsidRPr="00837F9C" w14:paraId="2A4E702B" w14:textId="77777777" w:rsidTr="00D3023D">
        <w:trPr>
          <w:trHeight w:val="144"/>
          <w:jc w:val="center"/>
        </w:trPr>
        <w:tc>
          <w:tcPr>
            <w:tcW w:w="900" w:type="dxa"/>
            <w:tcBorders>
              <w:left w:val="double" w:sz="4" w:space="0" w:color="auto"/>
              <w:right w:val="single" w:sz="12" w:space="0" w:color="auto"/>
            </w:tcBorders>
            <w:noWrap/>
            <w:vAlign w:val="center"/>
          </w:tcPr>
          <w:p w14:paraId="7E7FB964" w14:textId="24E41882"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 xml:space="preserve">Profess-ional </w:t>
            </w:r>
          </w:p>
        </w:tc>
        <w:tc>
          <w:tcPr>
            <w:tcW w:w="911" w:type="dxa"/>
            <w:tcBorders>
              <w:left w:val="single" w:sz="12" w:space="0" w:color="auto"/>
            </w:tcBorders>
            <w:noWrap/>
          </w:tcPr>
          <w:p w14:paraId="04F82F4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50.8%</w:t>
            </w:r>
          </w:p>
        </w:tc>
        <w:tc>
          <w:tcPr>
            <w:tcW w:w="905" w:type="dxa"/>
            <w:noWrap/>
          </w:tcPr>
          <w:p w14:paraId="403AC40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10.03</w:t>
            </w:r>
          </w:p>
        </w:tc>
        <w:tc>
          <w:tcPr>
            <w:tcW w:w="704" w:type="dxa"/>
            <w:noWrap/>
          </w:tcPr>
          <w:p w14:paraId="297F4FCF"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89.8%</w:t>
            </w:r>
          </w:p>
        </w:tc>
        <w:tc>
          <w:tcPr>
            <w:tcW w:w="990" w:type="dxa"/>
            <w:noWrap/>
          </w:tcPr>
          <w:p w14:paraId="1425771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2.2%</w:t>
            </w:r>
          </w:p>
        </w:tc>
        <w:tc>
          <w:tcPr>
            <w:tcW w:w="1023" w:type="dxa"/>
            <w:tcBorders>
              <w:right w:val="single" w:sz="12" w:space="0" w:color="auto"/>
            </w:tcBorders>
            <w:noWrap/>
          </w:tcPr>
          <w:p w14:paraId="7C5589D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8.0%</w:t>
            </w:r>
          </w:p>
        </w:tc>
        <w:tc>
          <w:tcPr>
            <w:tcW w:w="906" w:type="dxa"/>
            <w:tcBorders>
              <w:left w:val="single" w:sz="12" w:space="0" w:color="auto"/>
            </w:tcBorders>
            <w:noWrap/>
          </w:tcPr>
          <w:p w14:paraId="7896B01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75.9%</w:t>
            </w:r>
          </w:p>
        </w:tc>
        <w:tc>
          <w:tcPr>
            <w:tcW w:w="906" w:type="dxa"/>
            <w:noWrap/>
          </w:tcPr>
          <w:p w14:paraId="47EE1CE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14.77</w:t>
            </w:r>
          </w:p>
        </w:tc>
        <w:tc>
          <w:tcPr>
            <w:tcW w:w="765" w:type="dxa"/>
            <w:noWrap/>
          </w:tcPr>
          <w:p w14:paraId="14D691F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93.4%</w:t>
            </w:r>
          </w:p>
        </w:tc>
        <w:tc>
          <w:tcPr>
            <w:tcW w:w="990" w:type="dxa"/>
            <w:noWrap/>
          </w:tcPr>
          <w:p w14:paraId="06AAB3B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1.2%</w:t>
            </w:r>
          </w:p>
        </w:tc>
        <w:tc>
          <w:tcPr>
            <w:tcW w:w="961" w:type="dxa"/>
            <w:tcBorders>
              <w:right w:val="single" w:sz="12" w:space="0" w:color="auto"/>
            </w:tcBorders>
            <w:noWrap/>
          </w:tcPr>
          <w:p w14:paraId="5DBCEDB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5.4%</w:t>
            </w:r>
          </w:p>
        </w:tc>
        <w:tc>
          <w:tcPr>
            <w:tcW w:w="906" w:type="dxa"/>
            <w:tcBorders>
              <w:left w:val="single" w:sz="12" w:space="0" w:color="auto"/>
            </w:tcBorders>
            <w:noWrap/>
          </w:tcPr>
          <w:p w14:paraId="33F8397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49.4%</w:t>
            </w:r>
          </w:p>
        </w:tc>
        <w:tc>
          <w:tcPr>
            <w:tcW w:w="906" w:type="dxa"/>
            <w:noWrap/>
          </w:tcPr>
          <w:p w14:paraId="54C1FFC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47.3%</w:t>
            </w:r>
          </w:p>
        </w:tc>
        <w:tc>
          <w:tcPr>
            <w:tcW w:w="737" w:type="dxa"/>
            <w:noWrap/>
          </w:tcPr>
          <w:p w14:paraId="317E0B7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90" w:type="dxa"/>
            <w:noWrap/>
          </w:tcPr>
          <w:p w14:paraId="4B8AF1C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-46.1%</w:t>
            </w:r>
          </w:p>
        </w:tc>
        <w:tc>
          <w:tcPr>
            <w:tcW w:w="990" w:type="dxa"/>
            <w:tcBorders>
              <w:right w:val="double" w:sz="4" w:space="0" w:color="auto"/>
            </w:tcBorders>
            <w:noWrap/>
          </w:tcPr>
          <w:p w14:paraId="2C6B454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-32.7%</w:t>
            </w:r>
          </w:p>
        </w:tc>
      </w:tr>
      <w:tr w:rsidR="00837F9C" w:rsidRPr="00837F9C" w14:paraId="654FDE62" w14:textId="77777777" w:rsidTr="00D3023D">
        <w:trPr>
          <w:trHeight w:val="144"/>
          <w:jc w:val="center"/>
        </w:trPr>
        <w:tc>
          <w:tcPr>
            <w:tcW w:w="900" w:type="dxa"/>
            <w:tcBorders>
              <w:left w:val="double" w:sz="4" w:space="0" w:color="auto"/>
              <w:bottom w:val="single" w:sz="12" w:space="0" w:color="auto"/>
              <w:right w:val="single" w:sz="12" w:space="0" w:color="auto"/>
            </w:tcBorders>
            <w:noWrap/>
            <w:vAlign w:val="center"/>
          </w:tcPr>
          <w:p w14:paraId="1E31E941" w14:textId="77777777"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Informa-tion/</w:t>
            </w:r>
          </w:p>
          <w:p w14:paraId="7BCE2EF6" w14:textId="77777777"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Finance</w:t>
            </w:r>
          </w:p>
        </w:tc>
        <w:tc>
          <w:tcPr>
            <w:tcW w:w="911" w:type="dxa"/>
            <w:tcBorders>
              <w:left w:val="single" w:sz="12" w:space="0" w:color="auto"/>
              <w:bottom w:val="single" w:sz="12" w:space="0" w:color="auto"/>
            </w:tcBorders>
            <w:noWrap/>
          </w:tcPr>
          <w:p w14:paraId="2FEC971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61.8%</w:t>
            </w:r>
          </w:p>
        </w:tc>
        <w:tc>
          <w:tcPr>
            <w:tcW w:w="905" w:type="dxa"/>
            <w:tcBorders>
              <w:bottom w:val="single" w:sz="12" w:space="0" w:color="auto"/>
            </w:tcBorders>
            <w:noWrap/>
          </w:tcPr>
          <w:p w14:paraId="226D33C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12.10</w:t>
            </w:r>
          </w:p>
        </w:tc>
        <w:tc>
          <w:tcPr>
            <w:tcW w:w="704" w:type="dxa"/>
            <w:tcBorders>
              <w:bottom w:val="single" w:sz="12" w:space="0" w:color="auto"/>
            </w:tcBorders>
            <w:noWrap/>
          </w:tcPr>
          <w:p w14:paraId="5268651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86.4%</w:t>
            </w:r>
          </w:p>
        </w:tc>
        <w:tc>
          <w:tcPr>
            <w:tcW w:w="990" w:type="dxa"/>
            <w:tcBorders>
              <w:bottom w:val="single" w:sz="12" w:space="0" w:color="auto"/>
            </w:tcBorders>
            <w:noWrap/>
          </w:tcPr>
          <w:p w14:paraId="09FBBAC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5.0%</w:t>
            </w:r>
          </w:p>
        </w:tc>
        <w:tc>
          <w:tcPr>
            <w:tcW w:w="1023" w:type="dxa"/>
            <w:tcBorders>
              <w:bottom w:val="single" w:sz="12" w:space="0" w:color="auto"/>
              <w:right w:val="single" w:sz="12" w:space="0" w:color="auto"/>
            </w:tcBorders>
            <w:noWrap/>
          </w:tcPr>
          <w:p w14:paraId="1938B1A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8.6%</w:t>
            </w:r>
          </w:p>
        </w:tc>
        <w:tc>
          <w:tcPr>
            <w:tcW w:w="906" w:type="dxa"/>
            <w:tcBorders>
              <w:left w:val="single" w:sz="12" w:space="0" w:color="auto"/>
              <w:bottom w:val="single" w:sz="12" w:space="0" w:color="auto"/>
            </w:tcBorders>
            <w:noWrap/>
          </w:tcPr>
          <w:p w14:paraId="2F03C28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83.7%</w:t>
            </w:r>
          </w:p>
        </w:tc>
        <w:tc>
          <w:tcPr>
            <w:tcW w:w="906" w:type="dxa"/>
            <w:tcBorders>
              <w:bottom w:val="single" w:sz="12" w:space="0" w:color="auto"/>
            </w:tcBorders>
            <w:noWrap/>
          </w:tcPr>
          <w:p w14:paraId="3E49DE9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17.43</w:t>
            </w:r>
          </w:p>
        </w:tc>
        <w:tc>
          <w:tcPr>
            <w:tcW w:w="765" w:type="dxa"/>
            <w:tcBorders>
              <w:bottom w:val="single" w:sz="12" w:space="0" w:color="auto"/>
            </w:tcBorders>
            <w:noWrap/>
          </w:tcPr>
          <w:p w14:paraId="32EC961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91.6%</w:t>
            </w:r>
          </w:p>
        </w:tc>
        <w:tc>
          <w:tcPr>
            <w:tcW w:w="990" w:type="dxa"/>
            <w:tcBorders>
              <w:bottom w:val="single" w:sz="12" w:space="0" w:color="auto"/>
            </w:tcBorders>
            <w:noWrap/>
          </w:tcPr>
          <w:p w14:paraId="39464D9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w:t>
            </w:r>
          </w:p>
        </w:tc>
        <w:tc>
          <w:tcPr>
            <w:tcW w:w="961" w:type="dxa"/>
            <w:tcBorders>
              <w:bottom w:val="single" w:sz="12" w:space="0" w:color="auto"/>
              <w:right w:val="single" w:sz="12" w:space="0" w:color="auto"/>
            </w:tcBorders>
            <w:noWrap/>
          </w:tcPr>
          <w:p w14:paraId="591B68E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5.3%</w:t>
            </w:r>
          </w:p>
        </w:tc>
        <w:tc>
          <w:tcPr>
            <w:tcW w:w="906" w:type="dxa"/>
            <w:tcBorders>
              <w:left w:val="single" w:sz="12" w:space="0" w:color="auto"/>
              <w:bottom w:val="single" w:sz="12" w:space="0" w:color="auto"/>
            </w:tcBorders>
            <w:noWrap/>
          </w:tcPr>
          <w:p w14:paraId="0B9457F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35.3%</w:t>
            </w:r>
          </w:p>
        </w:tc>
        <w:tc>
          <w:tcPr>
            <w:tcW w:w="906" w:type="dxa"/>
            <w:tcBorders>
              <w:bottom w:val="single" w:sz="12" w:space="0" w:color="auto"/>
            </w:tcBorders>
            <w:noWrap/>
          </w:tcPr>
          <w:p w14:paraId="54FF3D6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44.0%</w:t>
            </w:r>
          </w:p>
        </w:tc>
        <w:tc>
          <w:tcPr>
            <w:tcW w:w="737" w:type="dxa"/>
            <w:tcBorders>
              <w:bottom w:val="single" w:sz="12" w:space="0" w:color="auto"/>
            </w:tcBorders>
            <w:noWrap/>
          </w:tcPr>
          <w:p w14:paraId="5EE270E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6.0%</w:t>
            </w:r>
          </w:p>
        </w:tc>
        <w:tc>
          <w:tcPr>
            <w:tcW w:w="990" w:type="dxa"/>
            <w:tcBorders>
              <w:bottom w:val="single" w:sz="12" w:space="0" w:color="auto"/>
            </w:tcBorders>
            <w:noWrap/>
          </w:tcPr>
          <w:p w14:paraId="30113BE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-36.7%</w:t>
            </w:r>
          </w:p>
        </w:tc>
        <w:tc>
          <w:tcPr>
            <w:tcW w:w="990" w:type="dxa"/>
            <w:tcBorders>
              <w:bottom w:val="single" w:sz="12" w:space="0" w:color="auto"/>
              <w:right w:val="double" w:sz="4" w:space="0" w:color="auto"/>
            </w:tcBorders>
            <w:noWrap/>
          </w:tcPr>
          <w:p w14:paraId="2033264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-38.5%</w:t>
            </w:r>
          </w:p>
        </w:tc>
      </w:tr>
      <w:tr w:rsidR="00837F9C" w:rsidRPr="00837F9C" w14:paraId="348D747C" w14:textId="77777777" w:rsidTr="00D3023D">
        <w:trPr>
          <w:trHeight w:val="288"/>
          <w:jc w:val="center"/>
        </w:trPr>
        <w:tc>
          <w:tcPr>
            <w:tcW w:w="14490" w:type="dxa"/>
            <w:gridSpan w:val="16"/>
            <w:tcBorders>
              <w:top w:val="single" w:sz="12" w:space="0" w:color="auto"/>
              <w:left w:val="double" w:sz="4" w:space="0" w:color="auto"/>
              <w:right w:val="double" w:sz="4" w:space="0" w:color="auto"/>
            </w:tcBorders>
            <w:noWrap/>
            <w:vAlign w:val="center"/>
          </w:tcPr>
          <w:p w14:paraId="44135415" w14:textId="77777777" w:rsidR="00D660C2" w:rsidRPr="00E1729F" w:rsidRDefault="00D660C2" w:rsidP="00E1729F">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Commute Time</w:t>
            </w:r>
          </w:p>
        </w:tc>
      </w:tr>
      <w:tr w:rsidR="00837F9C" w:rsidRPr="00837F9C" w14:paraId="4D228443" w14:textId="77777777" w:rsidTr="00D3023D">
        <w:trPr>
          <w:trHeight w:val="288"/>
          <w:jc w:val="center"/>
        </w:trPr>
        <w:tc>
          <w:tcPr>
            <w:tcW w:w="900" w:type="dxa"/>
            <w:tcBorders>
              <w:left w:val="double" w:sz="4" w:space="0" w:color="auto"/>
              <w:right w:val="single" w:sz="12" w:space="0" w:color="auto"/>
            </w:tcBorders>
            <w:noWrap/>
            <w:vAlign w:val="center"/>
            <w:hideMark/>
          </w:tcPr>
          <w:p w14:paraId="31BA7E22" w14:textId="1B70AC42"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10 min</w:t>
            </w:r>
          </w:p>
        </w:tc>
        <w:tc>
          <w:tcPr>
            <w:tcW w:w="911" w:type="dxa"/>
            <w:tcBorders>
              <w:left w:val="single" w:sz="12" w:space="0" w:color="auto"/>
            </w:tcBorders>
            <w:noWrap/>
            <w:hideMark/>
          </w:tcPr>
          <w:p w14:paraId="5A85A3F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36.4%</w:t>
            </w:r>
          </w:p>
        </w:tc>
        <w:tc>
          <w:tcPr>
            <w:tcW w:w="905" w:type="dxa"/>
            <w:noWrap/>
            <w:hideMark/>
          </w:tcPr>
          <w:p w14:paraId="53EFE46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10.34</w:t>
            </w:r>
          </w:p>
        </w:tc>
        <w:tc>
          <w:tcPr>
            <w:tcW w:w="704" w:type="dxa"/>
            <w:noWrap/>
            <w:hideMark/>
          </w:tcPr>
          <w:p w14:paraId="3519A9D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noWrap/>
            <w:hideMark/>
          </w:tcPr>
          <w:p w14:paraId="349685D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w:t>
            </w:r>
          </w:p>
        </w:tc>
        <w:tc>
          <w:tcPr>
            <w:tcW w:w="1023" w:type="dxa"/>
            <w:tcBorders>
              <w:right w:val="single" w:sz="12" w:space="0" w:color="auto"/>
            </w:tcBorders>
            <w:noWrap/>
            <w:hideMark/>
          </w:tcPr>
          <w:p w14:paraId="0D98401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7.6%</w:t>
            </w:r>
          </w:p>
        </w:tc>
        <w:tc>
          <w:tcPr>
            <w:tcW w:w="906" w:type="dxa"/>
            <w:tcBorders>
              <w:left w:val="single" w:sz="12" w:space="0" w:color="auto"/>
            </w:tcBorders>
            <w:noWrap/>
            <w:hideMark/>
          </w:tcPr>
          <w:p w14:paraId="24DEE5A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61.7%</w:t>
            </w:r>
          </w:p>
        </w:tc>
        <w:tc>
          <w:tcPr>
            <w:tcW w:w="906" w:type="dxa"/>
            <w:noWrap/>
            <w:hideMark/>
          </w:tcPr>
          <w:p w14:paraId="161C2B5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13.51</w:t>
            </w:r>
          </w:p>
        </w:tc>
        <w:tc>
          <w:tcPr>
            <w:tcW w:w="765" w:type="dxa"/>
            <w:noWrap/>
            <w:hideMark/>
          </w:tcPr>
          <w:p w14:paraId="51B7073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90.8%</w:t>
            </w:r>
          </w:p>
        </w:tc>
        <w:tc>
          <w:tcPr>
            <w:tcW w:w="990" w:type="dxa"/>
            <w:noWrap/>
            <w:hideMark/>
          </w:tcPr>
          <w:p w14:paraId="759B95D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61" w:type="dxa"/>
            <w:tcBorders>
              <w:right w:val="single" w:sz="12" w:space="0" w:color="auto"/>
            </w:tcBorders>
            <w:noWrap/>
            <w:hideMark/>
          </w:tcPr>
          <w:p w14:paraId="6CCFB43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hideMark/>
          </w:tcPr>
          <w:p w14:paraId="77427A4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69.4%</w:t>
            </w:r>
          </w:p>
        </w:tc>
        <w:tc>
          <w:tcPr>
            <w:tcW w:w="906" w:type="dxa"/>
            <w:noWrap/>
            <w:hideMark/>
          </w:tcPr>
          <w:p w14:paraId="4C59C1D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30.7%</w:t>
            </w:r>
          </w:p>
        </w:tc>
        <w:tc>
          <w:tcPr>
            <w:tcW w:w="737" w:type="dxa"/>
            <w:noWrap/>
            <w:hideMark/>
          </w:tcPr>
          <w:p w14:paraId="2A6E636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w:t>
            </w:r>
          </w:p>
        </w:tc>
        <w:tc>
          <w:tcPr>
            <w:tcW w:w="990" w:type="dxa"/>
            <w:noWrap/>
            <w:hideMark/>
          </w:tcPr>
          <w:p w14:paraId="67E7F10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-17.3%</w:t>
            </w:r>
          </w:p>
        </w:tc>
        <w:tc>
          <w:tcPr>
            <w:tcW w:w="990" w:type="dxa"/>
            <w:tcBorders>
              <w:right w:val="double" w:sz="4" w:space="0" w:color="auto"/>
            </w:tcBorders>
            <w:noWrap/>
            <w:hideMark/>
          </w:tcPr>
          <w:p w14:paraId="48179E5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-31.6%</w:t>
            </w:r>
          </w:p>
        </w:tc>
      </w:tr>
      <w:tr w:rsidR="00837F9C" w:rsidRPr="00837F9C" w14:paraId="31058D1F" w14:textId="77777777" w:rsidTr="00D3023D">
        <w:trPr>
          <w:trHeight w:val="288"/>
          <w:jc w:val="center"/>
        </w:trPr>
        <w:tc>
          <w:tcPr>
            <w:tcW w:w="900" w:type="dxa"/>
            <w:tcBorders>
              <w:left w:val="double" w:sz="4" w:space="0" w:color="auto"/>
              <w:bottom w:val="single" w:sz="4" w:space="0" w:color="auto"/>
              <w:right w:val="single" w:sz="12" w:space="0" w:color="auto"/>
            </w:tcBorders>
            <w:noWrap/>
            <w:vAlign w:val="center"/>
            <w:hideMark/>
          </w:tcPr>
          <w:p w14:paraId="4038E691" w14:textId="694AF28C"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30 min</w:t>
            </w:r>
          </w:p>
        </w:tc>
        <w:tc>
          <w:tcPr>
            <w:tcW w:w="911" w:type="dxa"/>
            <w:tcBorders>
              <w:left w:val="single" w:sz="12" w:space="0" w:color="auto"/>
              <w:bottom w:val="single" w:sz="4" w:space="0" w:color="auto"/>
            </w:tcBorders>
            <w:noWrap/>
            <w:hideMark/>
          </w:tcPr>
          <w:p w14:paraId="61F2158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41.6%</w:t>
            </w:r>
          </w:p>
        </w:tc>
        <w:tc>
          <w:tcPr>
            <w:tcW w:w="905" w:type="dxa"/>
            <w:tcBorders>
              <w:bottom w:val="single" w:sz="4" w:space="0" w:color="auto"/>
            </w:tcBorders>
            <w:noWrap/>
            <w:hideMark/>
          </w:tcPr>
          <w:p w14:paraId="1F31AA0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10.28</w:t>
            </w:r>
          </w:p>
        </w:tc>
        <w:tc>
          <w:tcPr>
            <w:tcW w:w="704" w:type="dxa"/>
            <w:tcBorders>
              <w:bottom w:val="single" w:sz="4" w:space="0" w:color="auto"/>
            </w:tcBorders>
            <w:noWrap/>
            <w:hideMark/>
          </w:tcPr>
          <w:p w14:paraId="4F538B6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87.4%</w:t>
            </w:r>
          </w:p>
        </w:tc>
        <w:tc>
          <w:tcPr>
            <w:tcW w:w="990" w:type="dxa"/>
            <w:tcBorders>
              <w:bottom w:val="single" w:sz="4" w:space="0" w:color="auto"/>
            </w:tcBorders>
            <w:noWrap/>
            <w:hideMark/>
          </w:tcPr>
          <w:p w14:paraId="5318D51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bottom w:val="single" w:sz="4" w:space="0" w:color="auto"/>
              <w:right w:val="single" w:sz="12" w:space="0" w:color="auto"/>
            </w:tcBorders>
            <w:noWrap/>
            <w:hideMark/>
          </w:tcPr>
          <w:p w14:paraId="7AB40DA0"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7.9%</w:t>
            </w:r>
          </w:p>
        </w:tc>
        <w:tc>
          <w:tcPr>
            <w:tcW w:w="906" w:type="dxa"/>
            <w:tcBorders>
              <w:left w:val="single" w:sz="12" w:space="0" w:color="auto"/>
              <w:bottom w:val="single" w:sz="4" w:space="0" w:color="auto"/>
            </w:tcBorders>
            <w:noWrap/>
            <w:hideMark/>
          </w:tcPr>
          <w:p w14:paraId="687BA26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66.8%</w:t>
            </w:r>
          </w:p>
        </w:tc>
        <w:tc>
          <w:tcPr>
            <w:tcW w:w="906" w:type="dxa"/>
            <w:tcBorders>
              <w:bottom w:val="single" w:sz="4" w:space="0" w:color="auto"/>
            </w:tcBorders>
            <w:noWrap/>
            <w:hideMark/>
          </w:tcPr>
          <w:p w14:paraId="6A11CC7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13.72</w:t>
            </w:r>
          </w:p>
        </w:tc>
        <w:tc>
          <w:tcPr>
            <w:tcW w:w="765" w:type="dxa"/>
            <w:tcBorders>
              <w:bottom w:val="single" w:sz="4" w:space="0" w:color="auto"/>
            </w:tcBorders>
            <w:noWrap/>
            <w:hideMark/>
          </w:tcPr>
          <w:p w14:paraId="47DEC26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90.7%</w:t>
            </w:r>
          </w:p>
        </w:tc>
        <w:tc>
          <w:tcPr>
            <w:tcW w:w="990" w:type="dxa"/>
            <w:tcBorders>
              <w:bottom w:val="single" w:sz="4" w:space="0" w:color="auto"/>
            </w:tcBorders>
            <w:noWrap/>
            <w:hideMark/>
          </w:tcPr>
          <w:p w14:paraId="47D4F84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61" w:type="dxa"/>
            <w:tcBorders>
              <w:bottom w:val="single" w:sz="4" w:space="0" w:color="auto"/>
              <w:right w:val="single" w:sz="12" w:space="0" w:color="auto"/>
            </w:tcBorders>
            <w:noWrap/>
            <w:hideMark/>
          </w:tcPr>
          <w:p w14:paraId="5046B11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bottom w:val="single" w:sz="4" w:space="0" w:color="auto"/>
            </w:tcBorders>
            <w:noWrap/>
            <w:hideMark/>
          </w:tcPr>
          <w:p w14:paraId="4304704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60.5%</w:t>
            </w:r>
          </w:p>
        </w:tc>
        <w:tc>
          <w:tcPr>
            <w:tcW w:w="906" w:type="dxa"/>
            <w:tcBorders>
              <w:bottom w:val="single" w:sz="4" w:space="0" w:color="auto"/>
            </w:tcBorders>
            <w:noWrap/>
            <w:hideMark/>
          </w:tcPr>
          <w:p w14:paraId="1C546B73"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33.4%</w:t>
            </w:r>
          </w:p>
        </w:tc>
        <w:tc>
          <w:tcPr>
            <w:tcW w:w="737" w:type="dxa"/>
            <w:tcBorders>
              <w:bottom w:val="single" w:sz="4" w:space="0" w:color="auto"/>
            </w:tcBorders>
            <w:noWrap/>
            <w:hideMark/>
          </w:tcPr>
          <w:p w14:paraId="6DAAE6D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3.8%</w:t>
            </w:r>
          </w:p>
        </w:tc>
        <w:tc>
          <w:tcPr>
            <w:tcW w:w="990" w:type="dxa"/>
            <w:tcBorders>
              <w:bottom w:val="single" w:sz="4" w:space="0" w:color="auto"/>
            </w:tcBorders>
            <w:noWrap/>
            <w:hideMark/>
          </w:tcPr>
          <w:p w14:paraId="50663AD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-13.3%</w:t>
            </w:r>
          </w:p>
        </w:tc>
        <w:tc>
          <w:tcPr>
            <w:tcW w:w="990" w:type="dxa"/>
            <w:tcBorders>
              <w:bottom w:val="single" w:sz="4" w:space="0" w:color="auto"/>
              <w:right w:val="double" w:sz="4" w:space="0" w:color="auto"/>
            </w:tcBorders>
            <w:noWrap/>
            <w:hideMark/>
          </w:tcPr>
          <w:p w14:paraId="7CED273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-34.1%</w:t>
            </w:r>
          </w:p>
        </w:tc>
      </w:tr>
      <w:tr w:rsidR="00837F9C" w:rsidRPr="00837F9C" w14:paraId="6D13B2B6" w14:textId="77777777" w:rsidTr="00D3023D">
        <w:trPr>
          <w:trHeight w:val="288"/>
          <w:jc w:val="center"/>
        </w:trPr>
        <w:tc>
          <w:tcPr>
            <w:tcW w:w="900" w:type="dxa"/>
            <w:tcBorders>
              <w:left w:val="double" w:sz="4" w:space="0" w:color="auto"/>
              <w:right w:val="single" w:sz="12" w:space="0" w:color="auto"/>
            </w:tcBorders>
            <w:noWrap/>
            <w:vAlign w:val="center"/>
            <w:hideMark/>
          </w:tcPr>
          <w:p w14:paraId="3D039DBA" w14:textId="305E0CC1" w:rsidR="00D660C2" w:rsidRPr="00E1729F" w:rsidRDefault="00D660C2" w:rsidP="00E1729F">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60 min</w:t>
            </w:r>
          </w:p>
        </w:tc>
        <w:tc>
          <w:tcPr>
            <w:tcW w:w="911" w:type="dxa"/>
            <w:tcBorders>
              <w:left w:val="single" w:sz="12" w:space="0" w:color="auto"/>
            </w:tcBorders>
            <w:noWrap/>
            <w:hideMark/>
          </w:tcPr>
          <w:p w14:paraId="4EC6BCA4"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49.6%</w:t>
            </w:r>
          </w:p>
        </w:tc>
        <w:tc>
          <w:tcPr>
            <w:tcW w:w="905" w:type="dxa"/>
            <w:noWrap/>
            <w:hideMark/>
          </w:tcPr>
          <w:p w14:paraId="393FB1C6"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10.20</w:t>
            </w:r>
          </w:p>
        </w:tc>
        <w:tc>
          <w:tcPr>
            <w:tcW w:w="704" w:type="dxa"/>
            <w:tcBorders>
              <w:right w:val="single" w:sz="4" w:space="0" w:color="auto"/>
            </w:tcBorders>
            <w:noWrap/>
            <w:hideMark/>
          </w:tcPr>
          <w:p w14:paraId="5B93DCB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87.1%</w:t>
            </w:r>
          </w:p>
        </w:tc>
        <w:tc>
          <w:tcPr>
            <w:tcW w:w="990" w:type="dxa"/>
            <w:tcBorders>
              <w:top w:val="single" w:sz="4" w:space="0" w:color="auto"/>
              <w:left w:val="single" w:sz="4" w:space="0" w:color="auto"/>
              <w:bottom w:val="single" w:sz="4" w:space="0" w:color="auto"/>
              <w:right w:val="single" w:sz="4" w:space="0" w:color="auto"/>
            </w:tcBorders>
            <w:noWrap/>
            <w:hideMark/>
          </w:tcPr>
          <w:p w14:paraId="5287F00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4.5%</w:t>
            </w:r>
          </w:p>
        </w:tc>
        <w:tc>
          <w:tcPr>
            <w:tcW w:w="1023" w:type="dxa"/>
            <w:tcBorders>
              <w:left w:val="single" w:sz="4" w:space="0" w:color="auto"/>
              <w:right w:val="single" w:sz="12" w:space="0" w:color="auto"/>
            </w:tcBorders>
            <w:noWrap/>
            <w:hideMark/>
          </w:tcPr>
          <w:p w14:paraId="44107E02"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8.3%</w:t>
            </w:r>
          </w:p>
        </w:tc>
        <w:tc>
          <w:tcPr>
            <w:tcW w:w="906" w:type="dxa"/>
            <w:tcBorders>
              <w:left w:val="single" w:sz="12" w:space="0" w:color="auto"/>
            </w:tcBorders>
            <w:noWrap/>
            <w:hideMark/>
          </w:tcPr>
          <w:p w14:paraId="47BEEC6A"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73.8%</w:t>
            </w:r>
          </w:p>
        </w:tc>
        <w:tc>
          <w:tcPr>
            <w:tcW w:w="906" w:type="dxa"/>
            <w:noWrap/>
            <w:hideMark/>
          </w:tcPr>
          <w:p w14:paraId="0280889C"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14.00</w:t>
            </w:r>
          </w:p>
        </w:tc>
        <w:tc>
          <w:tcPr>
            <w:tcW w:w="765" w:type="dxa"/>
            <w:noWrap/>
            <w:hideMark/>
          </w:tcPr>
          <w:p w14:paraId="180583F1"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90.6%</w:t>
            </w:r>
          </w:p>
        </w:tc>
        <w:tc>
          <w:tcPr>
            <w:tcW w:w="990" w:type="dxa"/>
            <w:noWrap/>
            <w:hideMark/>
          </w:tcPr>
          <w:p w14:paraId="26A38208"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4.2%</w:t>
            </w:r>
          </w:p>
        </w:tc>
        <w:tc>
          <w:tcPr>
            <w:tcW w:w="961" w:type="dxa"/>
            <w:tcBorders>
              <w:right w:val="single" w:sz="12" w:space="0" w:color="auto"/>
            </w:tcBorders>
            <w:noWrap/>
            <w:hideMark/>
          </w:tcPr>
          <w:p w14:paraId="69C03057"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tcBorders>
            <w:noWrap/>
            <w:hideMark/>
          </w:tcPr>
          <w:p w14:paraId="0D0B65BB"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48.7%</w:t>
            </w:r>
          </w:p>
        </w:tc>
        <w:tc>
          <w:tcPr>
            <w:tcW w:w="906" w:type="dxa"/>
            <w:noWrap/>
            <w:hideMark/>
          </w:tcPr>
          <w:p w14:paraId="094A6E89"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37.3%</w:t>
            </w:r>
          </w:p>
        </w:tc>
        <w:tc>
          <w:tcPr>
            <w:tcW w:w="737" w:type="dxa"/>
            <w:noWrap/>
            <w:hideMark/>
          </w:tcPr>
          <w:p w14:paraId="077F28B5"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w:t>
            </w:r>
          </w:p>
        </w:tc>
        <w:tc>
          <w:tcPr>
            <w:tcW w:w="990" w:type="dxa"/>
            <w:noWrap/>
            <w:hideMark/>
          </w:tcPr>
          <w:p w14:paraId="34495E4E"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-7.3%</w:t>
            </w:r>
          </w:p>
        </w:tc>
        <w:tc>
          <w:tcPr>
            <w:tcW w:w="990" w:type="dxa"/>
            <w:tcBorders>
              <w:right w:val="double" w:sz="4" w:space="0" w:color="auto"/>
            </w:tcBorders>
            <w:noWrap/>
            <w:hideMark/>
          </w:tcPr>
          <w:p w14:paraId="7DB392CD" w14:textId="77777777" w:rsidR="00D660C2" w:rsidRPr="00E1729F" w:rsidRDefault="00D660C2" w:rsidP="00E1729F">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-37.4%</w:t>
            </w:r>
          </w:p>
        </w:tc>
      </w:tr>
      <w:tr w:rsidR="00961062" w:rsidRPr="00837F9C" w14:paraId="7B89F8F7" w14:textId="77777777" w:rsidTr="00D3023D">
        <w:trPr>
          <w:trHeight w:val="288"/>
          <w:jc w:val="center"/>
        </w:trPr>
        <w:tc>
          <w:tcPr>
            <w:tcW w:w="14490" w:type="dxa"/>
            <w:gridSpan w:val="16"/>
            <w:tcBorders>
              <w:left w:val="double" w:sz="4" w:space="0" w:color="auto"/>
              <w:bottom w:val="single" w:sz="12" w:space="0" w:color="auto"/>
              <w:right w:val="double" w:sz="4" w:space="0" w:color="auto"/>
            </w:tcBorders>
            <w:noWrap/>
            <w:vAlign w:val="center"/>
          </w:tcPr>
          <w:p w14:paraId="3989EE5B" w14:textId="27E0BE00" w:rsidR="00961062" w:rsidRPr="00E1729F" w:rsidRDefault="00961062" w:rsidP="00961062">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i/>
                <w:sz w:val="16"/>
                <w:szCs w:val="20"/>
              </w:rPr>
              <w:t>COVID Threat</w:t>
            </w:r>
          </w:p>
        </w:tc>
      </w:tr>
      <w:tr w:rsidR="00961062" w:rsidRPr="00837F9C" w14:paraId="47B6EF2E" w14:textId="77777777" w:rsidTr="00D3023D">
        <w:trPr>
          <w:trHeight w:val="288"/>
          <w:jc w:val="center"/>
        </w:trPr>
        <w:tc>
          <w:tcPr>
            <w:tcW w:w="14490" w:type="dxa"/>
            <w:gridSpan w:val="16"/>
            <w:tcBorders>
              <w:left w:val="double" w:sz="4" w:space="0" w:color="auto"/>
              <w:bottom w:val="single" w:sz="4" w:space="0" w:color="auto"/>
              <w:right w:val="double" w:sz="4" w:space="0" w:color="auto"/>
            </w:tcBorders>
            <w:noWrap/>
            <w:vAlign w:val="center"/>
          </w:tcPr>
          <w:p w14:paraId="63C9971C" w14:textId="73E5CBD5" w:rsidR="00961062" w:rsidRPr="00E1729F" w:rsidRDefault="00961062" w:rsidP="00961062">
            <w:pPr>
              <w:spacing w:line="276" w:lineRule="auto"/>
              <w:jc w:val="left"/>
              <w:rPr>
                <w:rFonts w:ascii="Times New Roman" w:eastAsia="Times New Roman" w:hAnsi="Times New Roman" w:cs="Times New Roman"/>
                <w:sz w:val="18"/>
                <w:szCs w:val="20"/>
              </w:rPr>
            </w:pPr>
            <w:r w:rsidRPr="00E1729F">
              <w:rPr>
                <w:rFonts w:ascii="Times New Roman" w:eastAsia="Times New Roman" w:hAnsi="Times New Roman" w:cs="Times New Roman"/>
                <w:b/>
                <w:sz w:val="16"/>
                <w:szCs w:val="20"/>
              </w:rPr>
              <w:t>Employee is Immunocompromised?</w:t>
            </w:r>
          </w:p>
        </w:tc>
      </w:tr>
      <w:tr w:rsidR="00961062" w:rsidRPr="00837F9C" w14:paraId="7E2F9C16" w14:textId="77777777" w:rsidTr="00D3023D">
        <w:trPr>
          <w:trHeight w:val="288"/>
          <w:jc w:val="center"/>
        </w:trPr>
        <w:tc>
          <w:tcPr>
            <w:tcW w:w="900" w:type="dxa"/>
            <w:tcBorders>
              <w:left w:val="double" w:sz="4" w:space="0" w:color="auto"/>
              <w:bottom w:val="single" w:sz="4" w:space="0" w:color="auto"/>
              <w:right w:val="single" w:sz="12" w:space="0" w:color="auto"/>
            </w:tcBorders>
            <w:noWrap/>
            <w:vAlign w:val="center"/>
          </w:tcPr>
          <w:p w14:paraId="2F232B31" w14:textId="7521CF28" w:rsidR="00961062" w:rsidRPr="00E1729F" w:rsidRDefault="00961062" w:rsidP="00961062">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No</w:t>
            </w:r>
          </w:p>
        </w:tc>
        <w:tc>
          <w:tcPr>
            <w:tcW w:w="911" w:type="dxa"/>
            <w:tcBorders>
              <w:left w:val="single" w:sz="12" w:space="0" w:color="auto"/>
              <w:bottom w:val="single" w:sz="4" w:space="0" w:color="auto"/>
            </w:tcBorders>
            <w:noWrap/>
          </w:tcPr>
          <w:p w14:paraId="733CCC24" w14:textId="2D15163D"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40.2%</w:t>
            </w:r>
          </w:p>
        </w:tc>
        <w:tc>
          <w:tcPr>
            <w:tcW w:w="905" w:type="dxa"/>
            <w:tcBorders>
              <w:bottom w:val="single" w:sz="4" w:space="0" w:color="auto"/>
            </w:tcBorders>
            <w:noWrap/>
          </w:tcPr>
          <w:p w14:paraId="7E707D02" w14:textId="1D02DA6F"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10.29</w:t>
            </w:r>
          </w:p>
        </w:tc>
        <w:tc>
          <w:tcPr>
            <w:tcW w:w="704" w:type="dxa"/>
            <w:tcBorders>
              <w:bottom w:val="single" w:sz="4" w:space="0" w:color="auto"/>
              <w:right w:val="single" w:sz="4" w:space="0" w:color="auto"/>
            </w:tcBorders>
            <w:noWrap/>
          </w:tcPr>
          <w:p w14:paraId="3C78A05A" w14:textId="1182979D"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tcBorders>
              <w:top w:val="single" w:sz="4" w:space="0" w:color="auto"/>
              <w:left w:val="single" w:sz="4" w:space="0" w:color="auto"/>
              <w:bottom w:val="single" w:sz="4" w:space="0" w:color="auto"/>
              <w:right w:val="single" w:sz="4" w:space="0" w:color="auto"/>
            </w:tcBorders>
            <w:noWrap/>
          </w:tcPr>
          <w:p w14:paraId="7AAC6273" w14:textId="59FF19DB"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left w:val="single" w:sz="4" w:space="0" w:color="auto"/>
              <w:bottom w:val="single" w:sz="4" w:space="0" w:color="auto"/>
              <w:right w:val="single" w:sz="12" w:space="0" w:color="auto"/>
            </w:tcBorders>
            <w:noWrap/>
          </w:tcPr>
          <w:p w14:paraId="4249DA1A" w14:textId="2A8FCCC3"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7.7%</w:t>
            </w:r>
          </w:p>
        </w:tc>
        <w:tc>
          <w:tcPr>
            <w:tcW w:w="906" w:type="dxa"/>
            <w:tcBorders>
              <w:left w:val="single" w:sz="12" w:space="0" w:color="auto"/>
              <w:bottom w:val="single" w:sz="4" w:space="0" w:color="auto"/>
            </w:tcBorders>
            <w:noWrap/>
          </w:tcPr>
          <w:p w14:paraId="2640E8E5" w14:textId="69AF2563"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61.0%</w:t>
            </w:r>
          </w:p>
        </w:tc>
        <w:tc>
          <w:tcPr>
            <w:tcW w:w="906" w:type="dxa"/>
            <w:tcBorders>
              <w:bottom w:val="single" w:sz="4" w:space="0" w:color="auto"/>
            </w:tcBorders>
            <w:noWrap/>
          </w:tcPr>
          <w:p w14:paraId="23335DAE" w14:textId="7F3A2AEA"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13.49</w:t>
            </w:r>
          </w:p>
        </w:tc>
        <w:tc>
          <w:tcPr>
            <w:tcW w:w="765" w:type="dxa"/>
            <w:tcBorders>
              <w:bottom w:val="single" w:sz="4" w:space="0" w:color="auto"/>
            </w:tcBorders>
            <w:noWrap/>
          </w:tcPr>
          <w:p w14:paraId="049D9071" w14:textId="758D5F0C"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90.9%</w:t>
            </w:r>
          </w:p>
        </w:tc>
        <w:tc>
          <w:tcPr>
            <w:tcW w:w="990" w:type="dxa"/>
            <w:tcBorders>
              <w:bottom w:val="single" w:sz="4" w:space="0" w:color="auto"/>
            </w:tcBorders>
            <w:noWrap/>
          </w:tcPr>
          <w:p w14:paraId="2BBAE351" w14:textId="4B843BEE"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3.9%</w:t>
            </w:r>
          </w:p>
        </w:tc>
        <w:tc>
          <w:tcPr>
            <w:tcW w:w="961" w:type="dxa"/>
            <w:tcBorders>
              <w:bottom w:val="single" w:sz="4" w:space="0" w:color="auto"/>
              <w:right w:val="single" w:sz="12" w:space="0" w:color="auto"/>
            </w:tcBorders>
            <w:noWrap/>
          </w:tcPr>
          <w:p w14:paraId="3BAF70F8" w14:textId="2AFBFAF2"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5.1%</w:t>
            </w:r>
          </w:p>
        </w:tc>
        <w:tc>
          <w:tcPr>
            <w:tcW w:w="906" w:type="dxa"/>
            <w:tcBorders>
              <w:left w:val="single" w:sz="12" w:space="0" w:color="auto"/>
              <w:bottom w:val="single" w:sz="4" w:space="0" w:color="auto"/>
            </w:tcBorders>
            <w:noWrap/>
          </w:tcPr>
          <w:p w14:paraId="548DAC10" w14:textId="1FD6D575"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51.7%</w:t>
            </w:r>
          </w:p>
        </w:tc>
        <w:tc>
          <w:tcPr>
            <w:tcW w:w="906" w:type="dxa"/>
            <w:tcBorders>
              <w:bottom w:val="single" w:sz="4" w:space="0" w:color="auto"/>
            </w:tcBorders>
            <w:noWrap/>
          </w:tcPr>
          <w:p w14:paraId="5A0ED713" w14:textId="0FC79E2F"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31.1%</w:t>
            </w:r>
          </w:p>
        </w:tc>
        <w:tc>
          <w:tcPr>
            <w:tcW w:w="737" w:type="dxa"/>
            <w:tcBorders>
              <w:bottom w:val="single" w:sz="4" w:space="0" w:color="auto"/>
            </w:tcBorders>
            <w:noWrap/>
          </w:tcPr>
          <w:p w14:paraId="065DD803" w14:textId="780C18C8"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3.9%</w:t>
            </w:r>
          </w:p>
        </w:tc>
        <w:tc>
          <w:tcPr>
            <w:tcW w:w="990" w:type="dxa"/>
            <w:tcBorders>
              <w:bottom w:val="single" w:sz="4" w:space="0" w:color="auto"/>
            </w:tcBorders>
            <w:noWrap/>
          </w:tcPr>
          <w:p w14:paraId="593491FA" w14:textId="031FBB34"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-16.2%</w:t>
            </w:r>
          </w:p>
        </w:tc>
        <w:tc>
          <w:tcPr>
            <w:tcW w:w="990" w:type="dxa"/>
            <w:tcBorders>
              <w:bottom w:val="single" w:sz="4" w:space="0" w:color="auto"/>
              <w:right w:val="double" w:sz="4" w:space="0" w:color="auto"/>
            </w:tcBorders>
            <w:noWrap/>
          </w:tcPr>
          <w:p w14:paraId="50D10813" w14:textId="735D67D2"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-33.8%</w:t>
            </w:r>
          </w:p>
        </w:tc>
      </w:tr>
      <w:tr w:rsidR="00961062" w:rsidRPr="00837F9C" w14:paraId="1C68D4E9" w14:textId="77777777" w:rsidTr="00D3023D">
        <w:trPr>
          <w:trHeight w:val="288"/>
          <w:jc w:val="center"/>
        </w:trPr>
        <w:tc>
          <w:tcPr>
            <w:tcW w:w="900" w:type="dxa"/>
            <w:tcBorders>
              <w:left w:val="double" w:sz="4" w:space="0" w:color="auto"/>
              <w:bottom w:val="double" w:sz="4" w:space="0" w:color="auto"/>
              <w:right w:val="single" w:sz="12" w:space="0" w:color="auto"/>
            </w:tcBorders>
            <w:noWrap/>
            <w:vAlign w:val="center"/>
          </w:tcPr>
          <w:p w14:paraId="0B923E4F" w14:textId="6164CA64" w:rsidR="00961062" w:rsidRPr="00E1729F" w:rsidRDefault="00961062" w:rsidP="00961062">
            <w:pPr>
              <w:spacing w:line="276" w:lineRule="auto"/>
              <w:jc w:val="left"/>
              <w:rPr>
                <w:rFonts w:ascii="Times New Roman" w:eastAsia="Times New Roman" w:hAnsi="Times New Roman" w:cs="Times New Roman"/>
                <w:b/>
                <w:sz w:val="16"/>
                <w:szCs w:val="20"/>
              </w:rPr>
            </w:pPr>
            <w:r w:rsidRPr="00E1729F">
              <w:rPr>
                <w:rFonts w:ascii="Times New Roman" w:eastAsia="Times New Roman" w:hAnsi="Times New Roman" w:cs="Times New Roman"/>
                <w:b/>
                <w:sz w:val="16"/>
                <w:szCs w:val="20"/>
              </w:rPr>
              <w:t>Yes</w:t>
            </w:r>
          </w:p>
        </w:tc>
        <w:tc>
          <w:tcPr>
            <w:tcW w:w="911" w:type="dxa"/>
            <w:tcBorders>
              <w:left w:val="single" w:sz="12" w:space="0" w:color="auto"/>
              <w:bottom w:val="double" w:sz="4" w:space="0" w:color="auto"/>
            </w:tcBorders>
            <w:noWrap/>
          </w:tcPr>
          <w:p w14:paraId="046D25AF" w14:textId="72B54CD8"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40.2%</w:t>
            </w:r>
          </w:p>
        </w:tc>
        <w:tc>
          <w:tcPr>
            <w:tcW w:w="905" w:type="dxa"/>
            <w:tcBorders>
              <w:bottom w:val="double" w:sz="4" w:space="0" w:color="auto"/>
            </w:tcBorders>
            <w:noWrap/>
          </w:tcPr>
          <w:p w14:paraId="6A4B5AE7" w14:textId="3051F79A"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10.29</w:t>
            </w:r>
          </w:p>
        </w:tc>
        <w:tc>
          <w:tcPr>
            <w:tcW w:w="704" w:type="dxa"/>
            <w:tcBorders>
              <w:bottom w:val="double" w:sz="4" w:space="0" w:color="auto"/>
              <w:right w:val="single" w:sz="4" w:space="0" w:color="auto"/>
            </w:tcBorders>
            <w:noWrap/>
          </w:tcPr>
          <w:p w14:paraId="67EB2FD3" w14:textId="53948F9C"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87.6%</w:t>
            </w:r>
          </w:p>
        </w:tc>
        <w:tc>
          <w:tcPr>
            <w:tcW w:w="990" w:type="dxa"/>
            <w:tcBorders>
              <w:top w:val="single" w:sz="4" w:space="0" w:color="auto"/>
              <w:left w:val="single" w:sz="4" w:space="0" w:color="auto"/>
              <w:bottom w:val="double" w:sz="4" w:space="0" w:color="auto"/>
              <w:right w:val="single" w:sz="4" w:space="0" w:color="auto"/>
            </w:tcBorders>
            <w:noWrap/>
          </w:tcPr>
          <w:p w14:paraId="44969EAC" w14:textId="05562426"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4.7%</w:t>
            </w:r>
          </w:p>
        </w:tc>
        <w:tc>
          <w:tcPr>
            <w:tcW w:w="1023" w:type="dxa"/>
            <w:tcBorders>
              <w:left w:val="single" w:sz="4" w:space="0" w:color="auto"/>
              <w:bottom w:val="double" w:sz="4" w:space="0" w:color="auto"/>
              <w:right w:val="single" w:sz="12" w:space="0" w:color="auto"/>
            </w:tcBorders>
            <w:noWrap/>
          </w:tcPr>
          <w:p w14:paraId="61521156" w14:textId="54B57C6D"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7.7%</w:t>
            </w:r>
          </w:p>
        </w:tc>
        <w:tc>
          <w:tcPr>
            <w:tcW w:w="906" w:type="dxa"/>
            <w:tcBorders>
              <w:left w:val="single" w:sz="12" w:space="0" w:color="auto"/>
              <w:bottom w:val="double" w:sz="4" w:space="0" w:color="auto"/>
            </w:tcBorders>
            <w:noWrap/>
          </w:tcPr>
          <w:p w14:paraId="246FFCD1" w14:textId="51734B65"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68.4%</w:t>
            </w:r>
          </w:p>
        </w:tc>
        <w:tc>
          <w:tcPr>
            <w:tcW w:w="906" w:type="dxa"/>
            <w:tcBorders>
              <w:bottom w:val="double" w:sz="4" w:space="0" w:color="auto"/>
            </w:tcBorders>
            <w:noWrap/>
          </w:tcPr>
          <w:p w14:paraId="774298F7" w14:textId="4F204DD0"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13.79</w:t>
            </w:r>
          </w:p>
        </w:tc>
        <w:tc>
          <w:tcPr>
            <w:tcW w:w="765" w:type="dxa"/>
            <w:tcBorders>
              <w:bottom w:val="double" w:sz="4" w:space="0" w:color="auto"/>
            </w:tcBorders>
            <w:noWrap/>
          </w:tcPr>
          <w:p w14:paraId="50F34107" w14:textId="25560286"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90.8%</w:t>
            </w:r>
          </w:p>
        </w:tc>
        <w:tc>
          <w:tcPr>
            <w:tcW w:w="990" w:type="dxa"/>
            <w:tcBorders>
              <w:bottom w:val="double" w:sz="4" w:space="0" w:color="auto"/>
            </w:tcBorders>
            <w:noWrap/>
          </w:tcPr>
          <w:p w14:paraId="1F1288C7" w14:textId="6FAB9FF9"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4.1%</w:t>
            </w:r>
          </w:p>
        </w:tc>
        <w:tc>
          <w:tcPr>
            <w:tcW w:w="961" w:type="dxa"/>
            <w:tcBorders>
              <w:bottom w:val="double" w:sz="4" w:space="0" w:color="auto"/>
              <w:right w:val="single" w:sz="12" w:space="0" w:color="auto"/>
            </w:tcBorders>
            <w:noWrap/>
          </w:tcPr>
          <w:p w14:paraId="25160EF7" w14:textId="262516BC"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5.2%</w:t>
            </w:r>
          </w:p>
        </w:tc>
        <w:tc>
          <w:tcPr>
            <w:tcW w:w="906" w:type="dxa"/>
            <w:tcBorders>
              <w:left w:val="single" w:sz="12" w:space="0" w:color="auto"/>
              <w:bottom w:val="double" w:sz="4" w:space="0" w:color="auto"/>
            </w:tcBorders>
            <w:noWrap/>
          </w:tcPr>
          <w:p w14:paraId="5A48D6F2" w14:textId="77E5E6C3"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70.1%</w:t>
            </w:r>
          </w:p>
        </w:tc>
        <w:tc>
          <w:tcPr>
            <w:tcW w:w="906" w:type="dxa"/>
            <w:tcBorders>
              <w:bottom w:val="double" w:sz="4" w:space="0" w:color="auto"/>
            </w:tcBorders>
            <w:noWrap/>
          </w:tcPr>
          <w:p w14:paraId="376AEB1D" w14:textId="49D2B715"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34.0%</w:t>
            </w:r>
          </w:p>
        </w:tc>
        <w:tc>
          <w:tcPr>
            <w:tcW w:w="737" w:type="dxa"/>
            <w:tcBorders>
              <w:bottom w:val="double" w:sz="4" w:space="0" w:color="auto"/>
            </w:tcBorders>
            <w:noWrap/>
          </w:tcPr>
          <w:p w14:paraId="1BCA9247" w14:textId="33C67E5E"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3.6%</w:t>
            </w:r>
          </w:p>
        </w:tc>
        <w:tc>
          <w:tcPr>
            <w:tcW w:w="990" w:type="dxa"/>
            <w:tcBorders>
              <w:bottom w:val="double" w:sz="4" w:space="0" w:color="auto"/>
            </w:tcBorders>
            <w:noWrap/>
          </w:tcPr>
          <w:p w14:paraId="455A5FFF" w14:textId="60EA988A"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-13.3%</w:t>
            </w:r>
          </w:p>
        </w:tc>
        <w:tc>
          <w:tcPr>
            <w:tcW w:w="990" w:type="dxa"/>
            <w:tcBorders>
              <w:bottom w:val="double" w:sz="4" w:space="0" w:color="auto"/>
              <w:right w:val="double" w:sz="4" w:space="0" w:color="auto"/>
            </w:tcBorders>
            <w:noWrap/>
          </w:tcPr>
          <w:p w14:paraId="372187F0" w14:textId="22EACF69" w:rsidR="00961062" w:rsidRPr="00E1729F" w:rsidRDefault="00961062" w:rsidP="00961062">
            <w:pPr>
              <w:spacing w:line="276" w:lineRule="auto"/>
              <w:jc w:val="right"/>
              <w:rPr>
                <w:rFonts w:ascii="Times New Roman" w:eastAsia="Times New Roman" w:hAnsi="Times New Roman" w:cs="Times New Roman"/>
                <w:sz w:val="18"/>
                <w:szCs w:val="20"/>
              </w:rPr>
            </w:pPr>
            <w:r w:rsidRPr="00E1729F">
              <w:rPr>
                <w:rFonts w:ascii="Times New Roman" w:eastAsia="Times New Roman" w:hAnsi="Times New Roman" w:cs="Times New Roman"/>
                <w:sz w:val="18"/>
                <w:szCs w:val="20"/>
              </w:rPr>
              <w:t>-33.2%</w:t>
            </w:r>
          </w:p>
        </w:tc>
      </w:tr>
    </w:tbl>
    <w:p w14:paraId="78610D3B" w14:textId="77777777" w:rsidR="00813096" w:rsidRDefault="00813096" w:rsidP="00E1729F">
      <w:pPr>
        <w:spacing w:after="0" w:line="276" w:lineRule="auto"/>
        <w:rPr>
          <w:rFonts w:ascii="Times New Roman" w:hAnsi="Times New Roman" w:cs="Times New Roman"/>
          <w:bCs/>
          <w:sz w:val="24"/>
          <w:szCs w:val="24"/>
        </w:rPr>
      </w:pPr>
    </w:p>
    <w:p w14:paraId="4F6CBEAB" w14:textId="3E4585FF" w:rsidR="00961062" w:rsidRDefault="00961062" w:rsidP="00E1729F">
      <w:pPr>
        <w:spacing w:after="0" w:line="276" w:lineRule="auto"/>
        <w:rPr>
          <w:rFonts w:ascii="Times New Roman" w:hAnsi="Times New Roman" w:cs="Times New Roman"/>
          <w:bCs/>
          <w:sz w:val="24"/>
          <w:szCs w:val="24"/>
        </w:rPr>
        <w:sectPr w:rsidR="00961062" w:rsidSect="00E1729F">
          <w:pgSz w:w="15840" w:h="12240" w:orient="landscape" w:code="1"/>
          <w:pgMar w:top="1440" w:right="1440" w:bottom="1440" w:left="1440" w:header="720" w:footer="720" w:gutter="0"/>
          <w:cols w:space="720"/>
          <w:docGrid w:linePitch="360"/>
        </w:sectPr>
      </w:pPr>
    </w:p>
    <w:p w14:paraId="627A8308" w14:textId="19AA8055" w:rsidR="00A658F5" w:rsidRPr="00837F9C" w:rsidRDefault="00A658F5" w:rsidP="000D4FD3">
      <w:pPr>
        <w:pStyle w:val="Heading1"/>
      </w:pPr>
      <w:r w:rsidRPr="00837F9C">
        <w:lastRenderedPageBreak/>
        <w:t>CONCLUSIONS</w:t>
      </w:r>
    </w:p>
    <w:p w14:paraId="2E3F3C21" w14:textId="62E7ADB4" w:rsidR="00326DFF" w:rsidRPr="00837F9C" w:rsidRDefault="00326DFF" w:rsidP="00E1729F">
      <w:pPr>
        <w:spacing w:after="0" w:line="276" w:lineRule="auto"/>
        <w:rPr>
          <w:rFonts w:ascii="Times New Roman" w:hAnsi="Times New Roman" w:cs="Times New Roman"/>
          <w:sz w:val="24"/>
          <w:szCs w:val="24"/>
        </w:rPr>
      </w:pPr>
      <w:r w:rsidRPr="00837F9C">
        <w:rPr>
          <w:rFonts w:ascii="Times New Roman" w:hAnsi="Times New Roman" w:cs="Times New Roman"/>
          <w:sz w:val="24"/>
          <w:szCs w:val="24"/>
        </w:rPr>
        <w:t xml:space="preserve">This paper presents an exploration of telework arrangements in the wake of the COVID-19 pandemic with a focus on three key dimensions, namely, the </w:t>
      </w:r>
      <w:r w:rsidRPr="00837F9C">
        <w:rPr>
          <w:rFonts w:ascii="Times New Roman" w:hAnsi="Times New Roman" w:cs="Times New Roman"/>
          <w:i/>
          <w:iCs/>
          <w:sz w:val="24"/>
          <w:szCs w:val="24"/>
        </w:rPr>
        <w:t>adoption</w:t>
      </w:r>
      <w:r w:rsidRPr="00837F9C">
        <w:rPr>
          <w:rFonts w:ascii="Times New Roman" w:hAnsi="Times New Roman" w:cs="Times New Roman"/>
          <w:sz w:val="24"/>
          <w:szCs w:val="24"/>
        </w:rPr>
        <w:t xml:space="preserve">, </w:t>
      </w:r>
      <w:r w:rsidRPr="00837F9C">
        <w:rPr>
          <w:rFonts w:ascii="Times New Roman" w:hAnsi="Times New Roman" w:cs="Times New Roman"/>
          <w:i/>
          <w:iCs/>
          <w:sz w:val="24"/>
          <w:szCs w:val="24"/>
        </w:rPr>
        <w:t>frequency</w:t>
      </w:r>
      <w:r w:rsidRPr="00837F9C">
        <w:rPr>
          <w:rFonts w:ascii="Times New Roman" w:hAnsi="Times New Roman" w:cs="Times New Roman"/>
          <w:sz w:val="24"/>
          <w:szCs w:val="24"/>
        </w:rPr>
        <w:t xml:space="preserve">, and </w:t>
      </w:r>
      <w:r w:rsidRPr="00837F9C">
        <w:rPr>
          <w:rFonts w:ascii="Times New Roman" w:hAnsi="Times New Roman" w:cs="Times New Roman"/>
          <w:i/>
          <w:iCs/>
          <w:sz w:val="24"/>
          <w:szCs w:val="24"/>
        </w:rPr>
        <w:t>location</w:t>
      </w:r>
      <w:r w:rsidRPr="00837F9C">
        <w:rPr>
          <w:rFonts w:ascii="Times New Roman" w:hAnsi="Times New Roman" w:cs="Times New Roman"/>
          <w:sz w:val="24"/>
          <w:szCs w:val="24"/>
        </w:rPr>
        <w:t xml:space="preserve"> of telework. Using a dataset collected from a sample of workers in the state of Texas in the United States, a joint econometric model is estimated to understand how exogenous personal, household, and work characteristics affect these three dimensions of teleworking</w:t>
      </w:r>
      <w:r w:rsidR="00577CAB">
        <w:rPr>
          <w:rFonts w:ascii="Times New Roman" w:hAnsi="Times New Roman" w:cs="Times New Roman"/>
          <w:sz w:val="24"/>
          <w:szCs w:val="24"/>
        </w:rPr>
        <w:t xml:space="preserve"> </w:t>
      </w:r>
      <w:r w:rsidR="00577CAB">
        <w:rPr>
          <w:rFonts w:ascii="Times New Roman" w:hAnsi="Times New Roman" w:cs="Times New Roman"/>
          <w:i/>
          <w:sz w:val="24"/>
          <w:szCs w:val="24"/>
        </w:rPr>
        <w:t xml:space="preserve">Before </w:t>
      </w:r>
      <w:r w:rsidR="00577CAB">
        <w:rPr>
          <w:rFonts w:ascii="Times New Roman" w:hAnsi="Times New Roman" w:cs="Times New Roman"/>
          <w:sz w:val="24"/>
          <w:szCs w:val="24"/>
        </w:rPr>
        <w:t xml:space="preserve">and </w:t>
      </w:r>
      <w:r w:rsidR="00577CAB">
        <w:rPr>
          <w:rFonts w:ascii="Times New Roman" w:hAnsi="Times New Roman" w:cs="Times New Roman"/>
          <w:i/>
          <w:sz w:val="24"/>
          <w:szCs w:val="24"/>
        </w:rPr>
        <w:t xml:space="preserve">After </w:t>
      </w:r>
      <w:r w:rsidR="00577CAB">
        <w:rPr>
          <w:rFonts w:ascii="Times New Roman" w:hAnsi="Times New Roman" w:cs="Times New Roman"/>
          <w:sz w:val="24"/>
          <w:szCs w:val="24"/>
        </w:rPr>
        <w:t>COVID</w:t>
      </w:r>
      <w:r w:rsidRPr="00837F9C">
        <w:rPr>
          <w:rFonts w:ascii="Times New Roman" w:hAnsi="Times New Roman" w:cs="Times New Roman"/>
          <w:sz w:val="24"/>
          <w:szCs w:val="24"/>
        </w:rPr>
        <w:t xml:space="preserve">. </w:t>
      </w:r>
      <w:r w:rsidR="00D12F30">
        <w:rPr>
          <w:rFonts w:ascii="Times New Roman" w:hAnsi="Times New Roman" w:cs="Times New Roman"/>
          <w:sz w:val="24"/>
          <w:szCs w:val="24"/>
        </w:rPr>
        <w:t xml:space="preserve">In the following </w:t>
      </w:r>
      <w:r w:rsidR="00CD5B99">
        <w:rPr>
          <w:rFonts w:ascii="Times New Roman" w:hAnsi="Times New Roman" w:cs="Times New Roman"/>
          <w:sz w:val="24"/>
          <w:szCs w:val="24"/>
        </w:rPr>
        <w:t xml:space="preserve">two </w:t>
      </w:r>
      <w:r w:rsidR="00D12F30">
        <w:rPr>
          <w:rFonts w:ascii="Times New Roman" w:hAnsi="Times New Roman" w:cs="Times New Roman"/>
          <w:sz w:val="24"/>
          <w:szCs w:val="24"/>
        </w:rPr>
        <w:t>sections, we summarize the results with implications</w:t>
      </w:r>
      <w:r w:rsidR="00CD5B99">
        <w:rPr>
          <w:rFonts w:ascii="Times New Roman" w:hAnsi="Times New Roman" w:cs="Times New Roman"/>
          <w:sz w:val="24"/>
          <w:szCs w:val="24"/>
        </w:rPr>
        <w:t xml:space="preserve"> for demand modeling and equity, followed by a third section on limitations and directions for future research. </w:t>
      </w:r>
    </w:p>
    <w:p w14:paraId="5A2A50B9" w14:textId="2467AB24" w:rsidR="00522BBC" w:rsidRDefault="00522BBC" w:rsidP="00E1729F">
      <w:pPr>
        <w:spacing w:after="0" w:line="276" w:lineRule="auto"/>
        <w:rPr>
          <w:rFonts w:ascii="Times New Roman" w:hAnsi="Times New Roman" w:cs="Times New Roman"/>
          <w:sz w:val="24"/>
          <w:szCs w:val="24"/>
        </w:rPr>
      </w:pPr>
    </w:p>
    <w:p w14:paraId="381D4711" w14:textId="4F9EB7D8" w:rsidR="00522BBC" w:rsidRPr="000D4FD3" w:rsidRDefault="00A03376" w:rsidP="00E1729F">
      <w:pPr>
        <w:spacing w:after="0" w:line="276" w:lineRule="auto"/>
        <w:rPr>
          <w:rFonts w:ascii="Times New Roman" w:hAnsi="Times New Roman" w:cs="Times New Roman"/>
          <w:b/>
          <w:sz w:val="24"/>
          <w:szCs w:val="24"/>
        </w:rPr>
      </w:pPr>
      <w:r>
        <w:rPr>
          <w:rFonts w:ascii="Times New Roman" w:hAnsi="Times New Roman" w:cs="Times New Roman"/>
          <w:b/>
          <w:sz w:val="24"/>
          <w:szCs w:val="24"/>
        </w:rPr>
        <w:t>7</w:t>
      </w:r>
      <w:r w:rsidR="00522BBC" w:rsidRPr="000D4FD3">
        <w:rPr>
          <w:rFonts w:ascii="Times New Roman" w:hAnsi="Times New Roman" w:cs="Times New Roman"/>
          <w:b/>
          <w:sz w:val="24"/>
          <w:szCs w:val="24"/>
        </w:rPr>
        <w:t xml:space="preserve">.1 Land-use </w:t>
      </w:r>
      <w:r w:rsidR="00D94432">
        <w:rPr>
          <w:rFonts w:ascii="Times New Roman" w:hAnsi="Times New Roman" w:cs="Times New Roman"/>
          <w:b/>
          <w:sz w:val="24"/>
          <w:szCs w:val="24"/>
        </w:rPr>
        <w:t>T</w:t>
      </w:r>
      <w:r w:rsidR="00522BBC" w:rsidRPr="000D4FD3">
        <w:rPr>
          <w:rFonts w:ascii="Times New Roman" w:hAnsi="Times New Roman" w:cs="Times New Roman"/>
          <w:b/>
          <w:sz w:val="24"/>
          <w:szCs w:val="24"/>
        </w:rPr>
        <w:t xml:space="preserve">ransformation and </w:t>
      </w:r>
      <w:r w:rsidR="00D94432">
        <w:rPr>
          <w:rFonts w:ascii="Times New Roman" w:hAnsi="Times New Roman" w:cs="Times New Roman"/>
          <w:b/>
          <w:sz w:val="24"/>
          <w:szCs w:val="24"/>
        </w:rPr>
        <w:t>D</w:t>
      </w:r>
      <w:r w:rsidR="00522BBC" w:rsidRPr="000D4FD3">
        <w:rPr>
          <w:rFonts w:ascii="Times New Roman" w:hAnsi="Times New Roman" w:cs="Times New Roman"/>
          <w:b/>
          <w:sz w:val="24"/>
          <w:szCs w:val="24"/>
        </w:rPr>
        <w:t xml:space="preserve">emand </w:t>
      </w:r>
      <w:r w:rsidR="00D94432">
        <w:rPr>
          <w:rFonts w:ascii="Times New Roman" w:hAnsi="Times New Roman" w:cs="Times New Roman"/>
          <w:b/>
          <w:sz w:val="24"/>
          <w:szCs w:val="24"/>
        </w:rPr>
        <w:t>M</w:t>
      </w:r>
      <w:r w:rsidR="00522BBC" w:rsidRPr="000D4FD3">
        <w:rPr>
          <w:rFonts w:ascii="Times New Roman" w:hAnsi="Times New Roman" w:cs="Times New Roman"/>
          <w:b/>
          <w:sz w:val="24"/>
          <w:szCs w:val="24"/>
        </w:rPr>
        <w:t xml:space="preserve">odel </w:t>
      </w:r>
      <w:r w:rsidR="00D94432">
        <w:rPr>
          <w:rFonts w:ascii="Times New Roman" w:hAnsi="Times New Roman" w:cs="Times New Roman"/>
          <w:b/>
          <w:sz w:val="24"/>
          <w:szCs w:val="24"/>
        </w:rPr>
        <w:t>Co</w:t>
      </w:r>
      <w:r w:rsidR="00522BBC" w:rsidRPr="000D4FD3">
        <w:rPr>
          <w:rFonts w:ascii="Times New Roman" w:hAnsi="Times New Roman" w:cs="Times New Roman"/>
          <w:b/>
          <w:sz w:val="24"/>
          <w:szCs w:val="24"/>
        </w:rPr>
        <w:t>nsiderations</w:t>
      </w:r>
    </w:p>
    <w:p w14:paraId="24DD54B5" w14:textId="5C400DE2" w:rsidR="00AE266B" w:rsidRPr="00837F9C" w:rsidRDefault="00E8652C" w:rsidP="00E1729F">
      <w:pPr>
        <w:spacing w:after="0" w:line="276" w:lineRule="auto"/>
        <w:rPr>
          <w:rFonts w:ascii="Times New Roman" w:hAnsi="Times New Roman" w:cs="Times New Roman"/>
          <w:sz w:val="24"/>
          <w:szCs w:val="24"/>
        </w:rPr>
      </w:pPr>
      <w:r>
        <w:rPr>
          <w:rFonts w:ascii="Times New Roman" w:hAnsi="Times New Roman" w:cs="Times New Roman"/>
          <w:sz w:val="24"/>
          <w:szCs w:val="24"/>
        </w:rPr>
        <w:t>As we remain in a period of instability for the next few post-pandemic years, it is essential to track and observe workplace location</w:t>
      </w:r>
      <w:r w:rsidR="00CF5147">
        <w:rPr>
          <w:rFonts w:ascii="Times New Roman" w:hAnsi="Times New Roman" w:cs="Times New Roman"/>
          <w:sz w:val="24"/>
          <w:szCs w:val="24"/>
        </w:rPr>
        <w:t xml:space="preserve"> choices</w:t>
      </w:r>
      <w:r>
        <w:rPr>
          <w:rFonts w:ascii="Times New Roman" w:hAnsi="Times New Roman" w:cs="Times New Roman"/>
          <w:sz w:val="24"/>
          <w:szCs w:val="24"/>
        </w:rPr>
        <w:t xml:space="preserve"> and </w:t>
      </w:r>
      <w:r w:rsidR="00CF5147">
        <w:rPr>
          <w:rFonts w:ascii="Times New Roman" w:hAnsi="Times New Roman" w:cs="Times New Roman"/>
          <w:sz w:val="24"/>
          <w:szCs w:val="24"/>
        </w:rPr>
        <w:t xml:space="preserve">the </w:t>
      </w:r>
      <w:r>
        <w:rPr>
          <w:rFonts w:ascii="Times New Roman" w:hAnsi="Times New Roman" w:cs="Times New Roman"/>
          <w:sz w:val="24"/>
          <w:szCs w:val="24"/>
        </w:rPr>
        <w:t xml:space="preserve">associated travel behavior trends, specifically in the context of telework options. </w:t>
      </w:r>
      <w:r w:rsidR="00C97DAD" w:rsidRPr="00837F9C">
        <w:rPr>
          <w:rFonts w:ascii="Times New Roman" w:hAnsi="Times New Roman" w:cs="Times New Roman"/>
          <w:sz w:val="24"/>
          <w:szCs w:val="24"/>
        </w:rPr>
        <w:t xml:space="preserve">The </w:t>
      </w:r>
      <w:r w:rsidR="00D432D4" w:rsidRPr="00837F9C">
        <w:rPr>
          <w:rFonts w:ascii="Times New Roman" w:hAnsi="Times New Roman" w:cs="Times New Roman"/>
          <w:sz w:val="24"/>
          <w:szCs w:val="24"/>
        </w:rPr>
        <w:t>bottom</w:t>
      </w:r>
      <w:r w:rsidR="00124189" w:rsidRPr="00837F9C">
        <w:rPr>
          <w:rFonts w:ascii="Times New Roman" w:hAnsi="Times New Roman" w:cs="Times New Roman"/>
          <w:sz w:val="24"/>
          <w:szCs w:val="24"/>
        </w:rPr>
        <w:t xml:space="preserve"> </w:t>
      </w:r>
      <w:r w:rsidR="00D432D4" w:rsidRPr="00837F9C">
        <w:rPr>
          <w:rFonts w:ascii="Times New Roman" w:hAnsi="Times New Roman" w:cs="Times New Roman"/>
          <w:sz w:val="24"/>
          <w:szCs w:val="24"/>
        </w:rPr>
        <w:t xml:space="preserve">line is that </w:t>
      </w:r>
      <w:r w:rsidRPr="00837F9C">
        <w:rPr>
          <w:rFonts w:ascii="Times New Roman" w:hAnsi="Times New Roman" w:cs="Times New Roman"/>
          <w:sz w:val="24"/>
          <w:szCs w:val="24"/>
        </w:rPr>
        <w:t>telework</w:t>
      </w:r>
      <w:r>
        <w:rPr>
          <w:rFonts w:ascii="Times New Roman" w:hAnsi="Times New Roman" w:cs="Times New Roman"/>
          <w:sz w:val="24"/>
          <w:szCs w:val="24"/>
        </w:rPr>
        <w:t xml:space="preserve"> </w:t>
      </w:r>
      <w:r w:rsidR="00CF5147">
        <w:rPr>
          <w:rFonts w:ascii="Times New Roman" w:hAnsi="Times New Roman" w:cs="Times New Roman"/>
          <w:sz w:val="24"/>
          <w:szCs w:val="24"/>
        </w:rPr>
        <w:t>acceptance</w:t>
      </w:r>
      <w:r>
        <w:rPr>
          <w:rFonts w:ascii="Times New Roman" w:hAnsi="Times New Roman" w:cs="Times New Roman"/>
          <w:sz w:val="24"/>
          <w:szCs w:val="24"/>
        </w:rPr>
        <w:t>, or at least hybrid options for workplace location arrangements, are</w:t>
      </w:r>
      <w:r w:rsidR="00D432D4" w:rsidRPr="00837F9C">
        <w:rPr>
          <w:rFonts w:ascii="Times New Roman" w:hAnsi="Times New Roman" w:cs="Times New Roman"/>
          <w:sz w:val="24"/>
          <w:szCs w:val="24"/>
        </w:rPr>
        <w:t xml:space="preserve"> here to stay, at least in the not-so-distant future. </w:t>
      </w:r>
      <w:r w:rsidR="00514B68" w:rsidRPr="00837F9C">
        <w:rPr>
          <w:rFonts w:ascii="Times New Roman" w:hAnsi="Times New Roman" w:cs="Times New Roman"/>
          <w:sz w:val="24"/>
          <w:szCs w:val="24"/>
        </w:rPr>
        <w:t xml:space="preserve">In general, all individuals in all demographic groups exhibit a propensity toward greater levels of telework adoption after COVID. However, the increases </w:t>
      </w:r>
      <w:r w:rsidR="009F2843">
        <w:rPr>
          <w:rFonts w:ascii="Times New Roman" w:hAnsi="Times New Roman" w:cs="Times New Roman"/>
          <w:sz w:val="24"/>
          <w:szCs w:val="24"/>
        </w:rPr>
        <w:t>a</w:t>
      </w:r>
      <w:r w:rsidR="00514B68" w:rsidRPr="00837F9C">
        <w:rPr>
          <w:rFonts w:ascii="Times New Roman" w:hAnsi="Times New Roman" w:cs="Times New Roman"/>
          <w:sz w:val="24"/>
          <w:szCs w:val="24"/>
        </w:rPr>
        <w:t xml:space="preserve">re not uniform across all market segments. </w:t>
      </w:r>
      <w:r w:rsidR="00AE266B" w:rsidRPr="00837F9C">
        <w:rPr>
          <w:rFonts w:ascii="Times New Roman" w:hAnsi="Times New Roman" w:cs="Times New Roman"/>
          <w:sz w:val="24"/>
          <w:szCs w:val="24"/>
        </w:rPr>
        <w:t>In the category of demographics, young individuals are the most likely to embrace telework. This is not surprising. Studies show that the younger generation tends to be more productive when in their own “dens” at home (</w:t>
      </w:r>
      <w:r w:rsidR="00F821CD" w:rsidRPr="00837F9C">
        <w:rPr>
          <w:rFonts w:ascii="Times New Roman" w:hAnsi="Times New Roman" w:cs="Times New Roman"/>
          <w:sz w:val="24"/>
          <w:szCs w:val="24"/>
        </w:rPr>
        <w:t>Martin et al., 2022</w:t>
      </w:r>
      <w:r w:rsidR="00AE266B" w:rsidRPr="00837F9C">
        <w:rPr>
          <w:rFonts w:ascii="Times New Roman" w:hAnsi="Times New Roman" w:cs="Times New Roman"/>
          <w:sz w:val="24"/>
          <w:szCs w:val="24"/>
        </w:rPr>
        <w:t xml:space="preserve">). Younger individuals </w:t>
      </w:r>
      <w:r w:rsidR="00C06EE0">
        <w:rPr>
          <w:rFonts w:ascii="Times New Roman" w:hAnsi="Times New Roman" w:cs="Times New Roman"/>
          <w:sz w:val="24"/>
          <w:szCs w:val="24"/>
        </w:rPr>
        <w:t xml:space="preserve">also </w:t>
      </w:r>
      <w:r w:rsidR="00AE266B" w:rsidRPr="00837F9C">
        <w:rPr>
          <w:rFonts w:ascii="Times New Roman" w:hAnsi="Times New Roman" w:cs="Times New Roman"/>
          <w:sz w:val="24"/>
          <w:szCs w:val="24"/>
        </w:rPr>
        <w:t xml:space="preserve">have expansive social networks outside of their co-worker group, while older adults are more likely to view the in-person workplace as an important socialization outlet </w:t>
      </w:r>
      <w:r w:rsidR="00F821CD" w:rsidRPr="00E1729F">
        <w:rPr>
          <w:rFonts w:ascii="Times New Roman" w:hAnsi="Times New Roman" w:cs="Times New Roman"/>
          <w:sz w:val="24"/>
        </w:rPr>
        <w:t>(Tahlyan et al., 2022</w:t>
      </w:r>
      <w:r w:rsidR="00AE266B" w:rsidRPr="00837F9C">
        <w:rPr>
          <w:rFonts w:ascii="Times New Roman" w:hAnsi="Times New Roman" w:cs="Times New Roman"/>
          <w:sz w:val="24"/>
          <w:szCs w:val="24"/>
        </w:rPr>
        <w:t>). This higher tendency to adopt teleworking in the younger generation, who also are generally more concerned about career performance and how they will be evaluated, suggests that employers need to revisit their productivity assessment approaches in the new work landscape. Also, from the more specific perspective of travel demand, younger adults are known to generate more non-work social and leisure trips relative to older adults (</w:t>
      </w:r>
      <w:r w:rsidR="00F821CD" w:rsidRPr="00837F9C">
        <w:rPr>
          <w:rFonts w:ascii="Times New Roman" w:hAnsi="Times New Roman" w:cs="Times New Roman"/>
          <w:sz w:val="24"/>
          <w:szCs w:val="24"/>
        </w:rPr>
        <w:t>LaMondia and Bhat, 2012</w:t>
      </w:r>
      <w:r w:rsidR="00AE266B" w:rsidRPr="00837F9C">
        <w:rPr>
          <w:rFonts w:ascii="Times New Roman" w:hAnsi="Times New Roman" w:cs="Times New Roman"/>
          <w:sz w:val="24"/>
          <w:szCs w:val="24"/>
        </w:rPr>
        <w:t>). Thus, with the increased flexibility of the workplace, it is important that future studies examine the overall activity-travel patterns of this younger adult age group</w:t>
      </w:r>
      <w:r w:rsidR="00CD5B99">
        <w:rPr>
          <w:rFonts w:ascii="Times New Roman" w:hAnsi="Times New Roman" w:cs="Times New Roman"/>
          <w:sz w:val="24"/>
          <w:szCs w:val="24"/>
        </w:rPr>
        <w:t xml:space="preserve"> in particular</w:t>
      </w:r>
      <w:r w:rsidR="00AE266B" w:rsidRPr="00837F9C">
        <w:rPr>
          <w:rFonts w:ascii="Times New Roman" w:hAnsi="Times New Roman" w:cs="Times New Roman"/>
          <w:sz w:val="24"/>
          <w:szCs w:val="24"/>
        </w:rPr>
        <w:t xml:space="preserve">. </w:t>
      </w:r>
    </w:p>
    <w:p w14:paraId="5A07744D" w14:textId="7710A31C" w:rsidR="00AE266B" w:rsidRPr="00837F9C" w:rsidRDefault="00AE266B" w:rsidP="00E1729F">
      <w:pPr>
        <w:spacing w:after="0" w:line="276" w:lineRule="auto"/>
        <w:ind w:firstLine="720"/>
        <w:rPr>
          <w:rFonts w:ascii="Times New Roman" w:hAnsi="Times New Roman" w:cs="Times New Roman"/>
          <w:sz w:val="24"/>
          <w:szCs w:val="24"/>
        </w:rPr>
      </w:pPr>
      <w:r w:rsidRPr="00837F9C">
        <w:rPr>
          <w:rFonts w:ascii="Times New Roman" w:hAnsi="Times New Roman" w:cs="Times New Roman"/>
          <w:sz w:val="24"/>
          <w:szCs w:val="24"/>
        </w:rPr>
        <w:t xml:space="preserve">The results associated with job characteristics in Table </w:t>
      </w:r>
      <w:r w:rsidR="00C06EE0">
        <w:rPr>
          <w:rFonts w:ascii="Times New Roman" w:hAnsi="Times New Roman" w:cs="Times New Roman"/>
          <w:sz w:val="24"/>
          <w:szCs w:val="24"/>
        </w:rPr>
        <w:t>4</w:t>
      </w:r>
      <w:r w:rsidRPr="00837F9C">
        <w:rPr>
          <w:rFonts w:ascii="Times New Roman" w:hAnsi="Times New Roman" w:cs="Times New Roman"/>
          <w:sz w:val="24"/>
          <w:szCs w:val="24"/>
        </w:rPr>
        <w:t xml:space="preserve"> show that those employed in the healthcare industry will experience the highest percentage change in telework adoption, by a whopping 177</w:t>
      </w:r>
      <w:r w:rsidR="00AE2CD6">
        <w:rPr>
          <w:rFonts w:ascii="Times New Roman" w:hAnsi="Times New Roman" w:cs="Times New Roman"/>
          <w:sz w:val="24"/>
          <w:szCs w:val="24"/>
        </w:rPr>
        <w:t xml:space="preserve"> percent</w:t>
      </w:r>
      <w:r w:rsidRPr="00837F9C">
        <w:rPr>
          <w:rFonts w:ascii="Times New Roman" w:hAnsi="Times New Roman" w:cs="Times New Roman"/>
          <w:sz w:val="24"/>
          <w:szCs w:val="24"/>
        </w:rPr>
        <w:t xml:space="preserve"> between the pre-COVID period to now. This is consistent with other studies (</w:t>
      </w:r>
      <w:r w:rsidR="00F821CD" w:rsidRPr="00E1729F">
        <w:rPr>
          <w:rFonts w:ascii="Times New Roman" w:hAnsi="Times New Roman" w:cs="Times New Roman"/>
          <w:iCs/>
          <w:sz w:val="24"/>
          <w:szCs w:val="24"/>
        </w:rPr>
        <w:t xml:space="preserve">see, for example, </w:t>
      </w:r>
      <w:r w:rsidR="00F821CD" w:rsidRPr="00837F9C">
        <w:rPr>
          <w:rFonts w:ascii="Times New Roman" w:hAnsi="Times New Roman" w:cs="Times New Roman"/>
          <w:bCs/>
          <w:sz w:val="24"/>
          <w:szCs w:val="24"/>
        </w:rPr>
        <w:t>Wosik et al., 2020</w:t>
      </w:r>
      <w:r w:rsidRPr="00837F9C">
        <w:rPr>
          <w:rFonts w:ascii="Times New Roman" w:hAnsi="Times New Roman" w:cs="Times New Roman"/>
          <w:sz w:val="24"/>
          <w:szCs w:val="24"/>
        </w:rPr>
        <w:t xml:space="preserve">) showing that the health-care industry has been an employment sector particularly transformed in terms of work location because of the pandemic. From a land-use transportation standpoint, this move to telework in the healthcare industry may reduce the need for the sprawling on-site medical centers in many urban areas; how this may change urban land-use patterns is an open area for further enquiry. </w:t>
      </w:r>
    </w:p>
    <w:p w14:paraId="35D0857A" w14:textId="4DD8403B" w:rsidR="009F2843" w:rsidRDefault="00AE266B" w:rsidP="004710DD">
      <w:pPr>
        <w:spacing w:after="0" w:line="276" w:lineRule="auto"/>
        <w:ind w:firstLine="720"/>
        <w:rPr>
          <w:rFonts w:ascii="Times New Roman" w:hAnsi="Times New Roman" w:cs="Times New Roman"/>
          <w:sz w:val="24"/>
          <w:szCs w:val="24"/>
        </w:rPr>
      </w:pPr>
      <w:r w:rsidRPr="00837F9C">
        <w:rPr>
          <w:rFonts w:ascii="Times New Roman" w:hAnsi="Times New Roman" w:cs="Times New Roman"/>
          <w:sz w:val="24"/>
          <w:szCs w:val="24"/>
        </w:rPr>
        <w:t xml:space="preserve">Another segment of the population with a high percentage change in telework </w:t>
      </w:r>
      <w:r w:rsidR="009F2843">
        <w:rPr>
          <w:rFonts w:ascii="Times New Roman" w:hAnsi="Times New Roman" w:cs="Times New Roman"/>
          <w:sz w:val="24"/>
          <w:szCs w:val="24"/>
        </w:rPr>
        <w:t xml:space="preserve">adoption </w:t>
      </w:r>
      <w:r w:rsidRPr="00837F9C">
        <w:rPr>
          <w:rFonts w:ascii="Times New Roman" w:hAnsi="Times New Roman" w:cs="Times New Roman"/>
          <w:sz w:val="24"/>
          <w:szCs w:val="24"/>
        </w:rPr>
        <w:t xml:space="preserve">corresponds to part-time workers </w:t>
      </w:r>
      <w:r w:rsidR="009F2843">
        <w:rPr>
          <w:rFonts w:ascii="Times New Roman" w:hAnsi="Times New Roman" w:cs="Times New Roman"/>
          <w:sz w:val="24"/>
          <w:szCs w:val="24"/>
        </w:rPr>
        <w:t xml:space="preserve">(with 15 days or less of work per month and/or </w:t>
      </w:r>
      <w:r w:rsidR="00CD5B99">
        <w:rPr>
          <w:rFonts w:ascii="Times New Roman" w:hAnsi="Times New Roman" w:cs="Times New Roman"/>
          <w:sz w:val="24"/>
          <w:szCs w:val="24"/>
        </w:rPr>
        <w:t xml:space="preserve">with </w:t>
      </w:r>
      <w:r w:rsidRPr="00837F9C">
        <w:rPr>
          <w:rFonts w:ascii="Times New Roman" w:hAnsi="Times New Roman" w:cs="Times New Roman"/>
          <w:sz w:val="24"/>
          <w:szCs w:val="24"/>
        </w:rPr>
        <w:t xml:space="preserve">less </w:t>
      </w:r>
      <w:r w:rsidR="00CD5B99">
        <w:rPr>
          <w:rFonts w:ascii="Times New Roman" w:hAnsi="Times New Roman" w:cs="Times New Roman"/>
          <w:sz w:val="24"/>
          <w:szCs w:val="24"/>
        </w:rPr>
        <w:t xml:space="preserve">than six hours </w:t>
      </w:r>
      <w:r w:rsidRPr="00837F9C">
        <w:rPr>
          <w:rFonts w:ascii="Times New Roman" w:hAnsi="Times New Roman" w:cs="Times New Roman"/>
          <w:sz w:val="24"/>
          <w:szCs w:val="24"/>
        </w:rPr>
        <w:t>of work on their work days</w:t>
      </w:r>
      <w:r w:rsidR="009F2843">
        <w:rPr>
          <w:rFonts w:ascii="Times New Roman" w:hAnsi="Times New Roman" w:cs="Times New Roman"/>
          <w:sz w:val="24"/>
          <w:szCs w:val="24"/>
        </w:rPr>
        <w:t>)</w:t>
      </w:r>
      <w:r w:rsidRPr="00837F9C">
        <w:rPr>
          <w:rFonts w:ascii="Times New Roman" w:hAnsi="Times New Roman" w:cs="Times New Roman"/>
          <w:sz w:val="24"/>
          <w:szCs w:val="24"/>
        </w:rPr>
        <w:t>. In a pre-pandemic study, Singh et al. (</w:t>
      </w:r>
      <w:r w:rsidR="00F821CD" w:rsidRPr="00E1729F">
        <w:rPr>
          <w:rFonts w:ascii="Times New Roman" w:hAnsi="Times New Roman" w:cs="Times New Roman"/>
          <w:iCs/>
          <w:sz w:val="24"/>
          <w:szCs w:val="24"/>
        </w:rPr>
        <w:t>2013</w:t>
      </w:r>
      <w:r w:rsidRPr="00837F9C">
        <w:rPr>
          <w:rFonts w:ascii="Times New Roman" w:hAnsi="Times New Roman" w:cs="Times New Roman"/>
          <w:sz w:val="24"/>
          <w:szCs w:val="24"/>
        </w:rPr>
        <w:t>) noted that part-time employed individuals were less likely to have the tele</w:t>
      </w:r>
      <w:r w:rsidR="00E84401">
        <w:rPr>
          <w:rFonts w:ascii="Times New Roman" w:hAnsi="Times New Roman" w:cs="Times New Roman"/>
          <w:sz w:val="24"/>
          <w:szCs w:val="24"/>
        </w:rPr>
        <w:t>working</w:t>
      </w:r>
      <w:r w:rsidRPr="00837F9C">
        <w:rPr>
          <w:rFonts w:ascii="Times New Roman" w:hAnsi="Times New Roman" w:cs="Times New Roman"/>
          <w:sz w:val="24"/>
          <w:szCs w:val="24"/>
        </w:rPr>
        <w:t xml:space="preserve"> option compared to those </w:t>
      </w:r>
      <w:r w:rsidRPr="00837F9C">
        <w:rPr>
          <w:rFonts w:ascii="Times New Roman" w:hAnsi="Times New Roman" w:cs="Times New Roman"/>
          <w:sz w:val="24"/>
          <w:szCs w:val="24"/>
        </w:rPr>
        <w:lastRenderedPageBreak/>
        <w:t>working full-time (because employers appeared to feel a need to have face-to-face contact with individuals who already worked only for limited hours). But, given the option to tele</w:t>
      </w:r>
      <w:r w:rsidR="00FC5545">
        <w:rPr>
          <w:rFonts w:ascii="Times New Roman" w:hAnsi="Times New Roman" w:cs="Times New Roman"/>
          <w:sz w:val="24"/>
          <w:szCs w:val="24"/>
        </w:rPr>
        <w:t>work</w:t>
      </w:r>
      <w:r w:rsidRPr="00837F9C">
        <w:rPr>
          <w:rFonts w:ascii="Times New Roman" w:hAnsi="Times New Roman" w:cs="Times New Roman"/>
          <w:sz w:val="24"/>
          <w:szCs w:val="24"/>
        </w:rPr>
        <w:t xml:space="preserve">, part-time employees </w:t>
      </w:r>
      <w:r w:rsidR="009F2843">
        <w:rPr>
          <w:rFonts w:ascii="Times New Roman" w:hAnsi="Times New Roman" w:cs="Times New Roman"/>
          <w:sz w:val="24"/>
          <w:szCs w:val="24"/>
        </w:rPr>
        <w:t>a</w:t>
      </w:r>
      <w:r w:rsidRPr="00837F9C">
        <w:rPr>
          <w:rFonts w:ascii="Times New Roman" w:hAnsi="Times New Roman" w:cs="Times New Roman"/>
          <w:sz w:val="24"/>
          <w:szCs w:val="24"/>
        </w:rPr>
        <w:t xml:space="preserve">re more likely to adopt teleworking. In a changed landscape, employers </w:t>
      </w:r>
      <w:r w:rsidR="00CF5147">
        <w:rPr>
          <w:rFonts w:ascii="Times New Roman" w:hAnsi="Times New Roman" w:cs="Times New Roman"/>
          <w:sz w:val="24"/>
          <w:szCs w:val="24"/>
        </w:rPr>
        <w:t xml:space="preserve">may continue to </w:t>
      </w:r>
      <w:r w:rsidRPr="00837F9C">
        <w:rPr>
          <w:rFonts w:ascii="Times New Roman" w:hAnsi="Times New Roman" w:cs="Times New Roman"/>
          <w:sz w:val="24"/>
          <w:szCs w:val="24"/>
        </w:rPr>
        <w:t>provide</w:t>
      </w:r>
      <w:r w:rsidR="00F25EF9">
        <w:rPr>
          <w:rFonts w:ascii="Times New Roman" w:hAnsi="Times New Roman" w:cs="Times New Roman"/>
          <w:sz w:val="24"/>
          <w:szCs w:val="24"/>
        </w:rPr>
        <w:t xml:space="preserve"> </w:t>
      </w:r>
      <w:r w:rsidRPr="00837F9C">
        <w:rPr>
          <w:rFonts w:ascii="Times New Roman" w:hAnsi="Times New Roman" w:cs="Times New Roman"/>
          <w:sz w:val="24"/>
          <w:szCs w:val="24"/>
        </w:rPr>
        <w:t xml:space="preserve">options for telework to employees, if not for any other reason than to retain their workforce, driving the substantial change in telework adoption before and after COVID among part-time employees. At the same time, it is well established in the literature that those who work part-time </w:t>
      </w:r>
      <w:r w:rsidR="009F2843">
        <w:rPr>
          <w:rFonts w:ascii="Times New Roman" w:hAnsi="Times New Roman" w:cs="Times New Roman"/>
          <w:sz w:val="24"/>
          <w:szCs w:val="24"/>
        </w:rPr>
        <w:t xml:space="preserve">in terms of number of days of work and/or number of work hours per day </w:t>
      </w:r>
      <w:r w:rsidRPr="00837F9C">
        <w:rPr>
          <w:rFonts w:ascii="Times New Roman" w:hAnsi="Times New Roman" w:cs="Times New Roman"/>
          <w:sz w:val="24"/>
          <w:szCs w:val="24"/>
        </w:rPr>
        <w:t>have typically more space-time flexibility, which leads to more trip-making and vehicle miles of travel (</w:t>
      </w:r>
      <w:r w:rsidR="00F821CD" w:rsidRPr="00E1729F">
        <w:rPr>
          <w:rFonts w:ascii="Times New Roman" w:hAnsi="Times New Roman" w:cs="Times New Roman"/>
          <w:sz w:val="24"/>
          <w:szCs w:val="24"/>
        </w:rPr>
        <w:t>López-Igual and Rodríguez-Modroño, 2020; López Soler et al., 2021</w:t>
      </w:r>
      <w:r w:rsidRPr="00E1729F">
        <w:rPr>
          <w:rFonts w:ascii="Times New Roman" w:hAnsi="Times New Roman" w:cs="Times New Roman"/>
          <w:sz w:val="24"/>
          <w:szCs w:val="24"/>
        </w:rPr>
        <w:t>)</w:t>
      </w:r>
      <w:r w:rsidR="00114CE2">
        <w:rPr>
          <w:rFonts w:ascii="Times New Roman" w:hAnsi="Times New Roman" w:cs="Times New Roman"/>
          <w:sz w:val="24"/>
          <w:szCs w:val="24"/>
        </w:rPr>
        <w:t>.</w:t>
      </w:r>
      <w:r w:rsidRPr="00E1729F">
        <w:rPr>
          <w:rFonts w:ascii="Times New Roman" w:hAnsi="Times New Roman" w:cs="Times New Roman"/>
          <w:sz w:val="24"/>
          <w:szCs w:val="24"/>
        </w:rPr>
        <w:t xml:space="preserve"> </w:t>
      </w:r>
      <w:r w:rsidRPr="00837F9C">
        <w:rPr>
          <w:rFonts w:ascii="Times New Roman" w:hAnsi="Times New Roman" w:cs="Times New Roman"/>
          <w:sz w:val="24"/>
          <w:szCs w:val="24"/>
        </w:rPr>
        <w:t>Thus, the increased work-from-home among part-time employees needs specific attention in future travel behavior and demand modeling analyses</w:t>
      </w:r>
      <w:r w:rsidR="00577CAB">
        <w:rPr>
          <w:rFonts w:ascii="Times New Roman" w:hAnsi="Times New Roman" w:cs="Times New Roman"/>
          <w:sz w:val="24"/>
          <w:szCs w:val="24"/>
        </w:rPr>
        <w:t>.</w:t>
      </w:r>
      <w:bookmarkStart w:id="19" w:name="_Hlk132120166"/>
      <w:r w:rsidR="00577CAB">
        <w:rPr>
          <w:rFonts w:ascii="Times New Roman" w:hAnsi="Times New Roman" w:cs="Times New Roman"/>
          <w:sz w:val="24"/>
          <w:szCs w:val="24"/>
        </w:rPr>
        <w:t xml:space="preserve"> </w:t>
      </w:r>
    </w:p>
    <w:p w14:paraId="7DEAC6C7" w14:textId="5BB5BCE6" w:rsidR="005304D3" w:rsidRPr="0034575E" w:rsidRDefault="0019679A">
      <w:pPr>
        <w:spacing w:after="0" w:line="276" w:lineRule="auto"/>
        <w:ind w:firstLine="720"/>
        <w:rPr>
          <w:rFonts w:ascii="Times New Roman" w:hAnsi="Times New Roman" w:cs="Times New Roman"/>
          <w:sz w:val="24"/>
          <w:szCs w:val="24"/>
        </w:rPr>
      </w:pPr>
      <w:r w:rsidRPr="0034575E">
        <w:rPr>
          <w:rFonts w:ascii="Times New Roman" w:hAnsi="Times New Roman" w:cs="Times New Roman"/>
          <w:sz w:val="24"/>
          <w:szCs w:val="24"/>
        </w:rPr>
        <w:t>Overall, the findings above suggest that transportation demand forecasting models</w:t>
      </w:r>
      <w:r w:rsidR="00E8652C">
        <w:rPr>
          <w:rFonts w:ascii="Times New Roman" w:hAnsi="Times New Roman" w:cs="Times New Roman"/>
          <w:sz w:val="24"/>
          <w:szCs w:val="24"/>
        </w:rPr>
        <w:t xml:space="preserve"> </w:t>
      </w:r>
      <w:r w:rsidRPr="0034575E">
        <w:rPr>
          <w:rFonts w:ascii="Times New Roman" w:hAnsi="Times New Roman" w:cs="Times New Roman"/>
          <w:sz w:val="24"/>
          <w:szCs w:val="24"/>
        </w:rPr>
        <w:t xml:space="preserve">need to be updated to reflect higher levels of teleworking </w:t>
      </w:r>
      <w:r w:rsidR="00B37755">
        <w:rPr>
          <w:rFonts w:ascii="Times New Roman" w:hAnsi="Times New Roman" w:cs="Times New Roman"/>
          <w:sz w:val="24"/>
          <w:szCs w:val="24"/>
        </w:rPr>
        <w:t>than prior to the pandemic</w:t>
      </w:r>
      <w:r w:rsidRPr="0034575E">
        <w:rPr>
          <w:rFonts w:ascii="Times New Roman" w:hAnsi="Times New Roman" w:cs="Times New Roman"/>
          <w:sz w:val="24"/>
          <w:szCs w:val="24"/>
        </w:rPr>
        <w:t xml:space="preserve">, with differential adoption, rates, and locations of telework for different market segments. </w:t>
      </w:r>
      <w:r w:rsidR="004710DD" w:rsidRPr="0034575E">
        <w:rPr>
          <w:rFonts w:ascii="Times New Roman" w:hAnsi="Times New Roman" w:cs="Times New Roman"/>
          <w:sz w:val="24"/>
          <w:szCs w:val="24"/>
        </w:rPr>
        <w:t xml:space="preserve">As of today, it is clear that </w:t>
      </w:r>
      <w:r w:rsidR="005D7357" w:rsidRPr="0034575E">
        <w:rPr>
          <w:rFonts w:ascii="Times New Roman" w:hAnsi="Times New Roman" w:cs="Times New Roman"/>
          <w:sz w:val="24"/>
          <w:szCs w:val="24"/>
        </w:rPr>
        <w:t>telework</w:t>
      </w:r>
      <w:r w:rsidR="004710DD" w:rsidRPr="0034575E">
        <w:rPr>
          <w:rFonts w:ascii="Times New Roman" w:hAnsi="Times New Roman" w:cs="Times New Roman"/>
          <w:sz w:val="24"/>
          <w:szCs w:val="24"/>
        </w:rPr>
        <w:t xml:space="preserve"> and location choices have become </w:t>
      </w:r>
      <w:r w:rsidR="00577CAB" w:rsidRPr="0034575E">
        <w:rPr>
          <w:rFonts w:ascii="Times New Roman" w:hAnsi="Times New Roman" w:cs="Times New Roman"/>
          <w:sz w:val="24"/>
          <w:szCs w:val="24"/>
        </w:rPr>
        <w:t>substantially</w:t>
      </w:r>
      <w:r w:rsidR="004710DD" w:rsidRPr="0034575E">
        <w:rPr>
          <w:rFonts w:ascii="Times New Roman" w:hAnsi="Times New Roman" w:cs="Times New Roman"/>
          <w:sz w:val="24"/>
          <w:szCs w:val="24"/>
        </w:rPr>
        <w:t xml:space="preserve"> hybridized relative to before the pandemic. Furthermore, hybridization choices differ by sociodemographics and job-related characteristics. </w:t>
      </w:r>
      <w:r w:rsidR="008D5045" w:rsidRPr="0034575E">
        <w:rPr>
          <w:rFonts w:ascii="Times New Roman" w:hAnsi="Times New Roman" w:cs="Times New Roman"/>
          <w:sz w:val="24"/>
          <w:szCs w:val="24"/>
        </w:rPr>
        <w:t xml:space="preserve">The majority of current transportation and travel models consider </w:t>
      </w:r>
      <w:r w:rsidR="009F2843" w:rsidRPr="0034575E">
        <w:rPr>
          <w:rFonts w:ascii="Times New Roman" w:hAnsi="Times New Roman" w:cs="Times New Roman"/>
          <w:sz w:val="24"/>
          <w:szCs w:val="24"/>
        </w:rPr>
        <w:t>tele</w:t>
      </w:r>
      <w:r w:rsidR="008D5045" w:rsidRPr="0034575E">
        <w:rPr>
          <w:rFonts w:ascii="Times New Roman" w:hAnsi="Times New Roman" w:cs="Times New Roman"/>
          <w:sz w:val="24"/>
          <w:szCs w:val="24"/>
        </w:rPr>
        <w:t>work as a full-time, binary decision</w:t>
      </w:r>
      <w:r w:rsidR="009F2843" w:rsidRPr="0034575E">
        <w:rPr>
          <w:rFonts w:ascii="Times New Roman" w:hAnsi="Times New Roman" w:cs="Times New Roman"/>
          <w:sz w:val="24"/>
          <w:szCs w:val="24"/>
        </w:rPr>
        <w:t xml:space="preserve"> </w:t>
      </w:r>
      <w:r w:rsidR="00577CAB" w:rsidRPr="0034575E">
        <w:rPr>
          <w:rFonts w:ascii="Times New Roman" w:hAnsi="Times New Roman" w:cs="Times New Roman"/>
          <w:sz w:val="24"/>
          <w:szCs w:val="24"/>
        </w:rPr>
        <w:t xml:space="preserve">– </w:t>
      </w:r>
      <w:r w:rsidR="008D5045" w:rsidRPr="0034575E">
        <w:rPr>
          <w:rFonts w:ascii="Times New Roman" w:hAnsi="Times New Roman" w:cs="Times New Roman"/>
          <w:sz w:val="24"/>
          <w:szCs w:val="24"/>
        </w:rPr>
        <w:t>an employee either teleworks every single day or does not</w:t>
      </w:r>
      <w:r w:rsidR="005304D3" w:rsidRPr="0034575E">
        <w:rPr>
          <w:rFonts w:ascii="Times New Roman" w:hAnsi="Times New Roman" w:cs="Times New Roman"/>
          <w:sz w:val="24"/>
          <w:szCs w:val="24"/>
        </w:rPr>
        <w:t xml:space="preserve">. This is </w:t>
      </w:r>
      <w:r w:rsidR="009F2843" w:rsidRPr="0034575E">
        <w:rPr>
          <w:rFonts w:ascii="Times New Roman" w:hAnsi="Times New Roman" w:cs="Times New Roman"/>
          <w:sz w:val="24"/>
          <w:szCs w:val="24"/>
        </w:rPr>
        <w:t>because of the single weekday focus of the models</w:t>
      </w:r>
      <w:r w:rsidR="008D5045" w:rsidRPr="0034575E">
        <w:rPr>
          <w:rFonts w:ascii="Times New Roman" w:hAnsi="Times New Roman" w:cs="Times New Roman"/>
          <w:sz w:val="24"/>
          <w:szCs w:val="24"/>
        </w:rPr>
        <w:t xml:space="preserve">. However, our model clearly shows that this is not the case </w:t>
      </w:r>
      <w:r w:rsidR="00F01542" w:rsidRPr="0034575E">
        <w:rPr>
          <w:rFonts w:ascii="Times New Roman" w:hAnsi="Times New Roman" w:cs="Times New Roman"/>
          <w:sz w:val="24"/>
          <w:szCs w:val="24"/>
        </w:rPr>
        <w:t xml:space="preserve">anymore </w:t>
      </w:r>
      <w:r w:rsidR="008D5045" w:rsidRPr="0034575E">
        <w:rPr>
          <w:rFonts w:ascii="Times New Roman" w:hAnsi="Times New Roman" w:cs="Times New Roman"/>
          <w:sz w:val="24"/>
          <w:szCs w:val="24"/>
        </w:rPr>
        <w:t xml:space="preserve">and that employees </w:t>
      </w:r>
      <w:r w:rsidR="005304D3" w:rsidRPr="0034575E">
        <w:rPr>
          <w:rFonts w:ascii="Times New Roman" w:hAnsi="Times New Roman" w:cs="Times New Roman"/>
          <w:sz w:val="24"/>
          <w:szCs w:val="24"/>
        </w:rPr>
        <w:t xml:space="preserve">are increasingly adopting hybrid work arrangements over longer periods of time (such as </w:t>
      </w:r>
      <w:r w:rsidR="002B7F5D" w:rsidRPr="0034575E">
        <w:rPr>
          <w:rFonts w:ascii="Times New Roman" w:hAnsi="Times New Roman" w:cs="Times New Roman"/>
          <w:sz w:val="24"/>
          <w:szCs w:val="24"/>
        </w:rPr>
        <w:t xml:space="preserve">the </w:t>
      </w:r>
      <w:r w:rsidR="008D5045" w:rsidRPr="0034575E">
        <w:rPr>
          <w:rFonts w:ascii="Times New Roman" w:hAnsi="Times New Roman" w:cs="Times New Roman"/>
          <w:sz w:val="24"/>
          <w:szCs w:val="24"/>
        </w:rPr>
        <w:t xml:space="preserve">work </w:t>
      </w:r>
      <w:r w:rsidR="002B7F5D" w:rsidRPr="0034575E">
        <w:rPr>
          <w:rFonts w:ascii="Times New Roman" w:hAnsi="Times New Roman" w:cs="Times New Roman"/>
          <w:sz w:val="24"/>
          <w:szCs w:val="24"/>
        </w:rPr>
        <w:t>month</w:t>
      </w:r>
      <w:r w:rsidR="005304D3" w:rsidRPr="0034575E">
        <w:rPr>
          <w:rFonts w:ascii="Times New Roman" w:hAnsi="Times New Roman" w:cs="Times New Roman"/>
          <w:sz w:val="24"/>
          <w:szCs w:val="24"/>
        </w:rPr>
        <w:t>)</w:t>
      </w:r>
      <w:r w:rsidR="008D5045" w:rsidRPr="0034575E">
        <w:rPr>
          <w:rFonts w:ascii="Times New Roman" w:hAnsi="Times New Roman" w:cs="Times New Roman"/>
          <w:sz w:val="24"/>
          <w:szCs w:val="24"/>
        </w:rPr>
        <w:t xml:space="preserve">. </w:t>
      </w:r>
      <w:r w:rsidR="005304D3" w:rsidRPr="0034575E">
        <w:rPr>
          <w:rFonts w:ascii="Times New Roman" w:hAnsi="Times New Roman" w:cs="Times New Roman"/>
          <w:sz w:val="24"/>
          <w:szCs w:val="24"/>
        </w:rPr>
        <w:t>How this work hybridization over longer periods is considered within travel demand models requires additional thought and research, either by moving toward multi-day models or incorporating elements of longer (multi-day) period work arrangements within traditional single-day models. In any case,</w:t>
      </w:r>
      <w:r w:rsidR="004710DD" w:rsidRPr="0034575E">
        <w:rPr>
          <w:rFonts w:ascii="Times New Roman" w:hAnsi="Times New Roman" w:cs="Times New Roman"/>
          <w:sz w:val="24"/>
          <w:szCs w:val="24"/>
        </w:rPr>
        <w:t xml:space="preserve"> it is imperative that </w:t>
      </w:r>
      <w:r w:rsidR="002B7F5D" w:rsidRPr="0034575E">
        <w:rPr>
          <w:rFonts w:ascii="Times New Roman" w:hAnsi="Times New Roman" w:cs="Times New Roman"/>
          <w:sz w:val="24"/>
          <w:szCs w:val="24"/>
        </w:rPr>
        <w:t xml:space="preserve">differential </w:t>
      </w:r>
      <w:r w:rsidR="004710DD" w:rsidRPr="0034575E">
        <w:rPr>
          <w:rFonts w:ascii="Times New Roman" w:hAnsi="Times New Roman" w:cs="Times New Roman"/>
          <w:sz w:val="24"/>
          <w:szCs w:val="24"/>
        </w:rPr>
        <w:t>workplace hybridization</w:t>
      </w:r>
      <w:r w:rsidR="002B7F5D" w:rsidRPr="0034575E">
        <w:rPr>
          <w:rFonts w:ascii="Times New Roman" w:hAnsi="Times New Roman" w:cs="Times New Roman"/>
          <w:sz w:val="24"/>
          <w:szCs w:val="24"/>
        </w:rPr>
        <w:t xml:space="preserve"> propensities </w:t>
      </w:r>
      <w:r w:rsidR="005304D3" w:rsidRPr="0034575E">
        <w:rPr>
          <w:rFonts w:ascii="Times New Roman" w:hAnsi="Times New Roman" w:cs="Times New Roman"/>
          <w:sz w:val="24"/>
          <w:szCs w:val="24"/>
        </w:rPr>
        <w:t xml:space="preserve">(over longer than a single day period) </w:t>
      </w:r>
      <w:r w:rsidR="002B7F5D" w:rsidRPr="0034575E">
        <w:rPr>
          <w:rFonts w:ascii="Times New Roman" w:hAnsi="Times New Roman" w:cs="Times New Roman"/>
          <w:sz w:val="24"/>
          <w:szCs w:val="24"/>
        </w:rPr>
        <w:t>across population groups</w:t>
      </w:r>
      <w:r w:rsidR="004710DD" w:rsidRPr="0034575E">
        <w:rPr>
          <w:rFonts w:ascii="Times New Roman" w:hAnsi="Times New Roman" w:cs="Times New Roman"/>
          <w:sz w:val="24"/>
          <w:szCs w:val="24"/>
        </w:rPr>
        <w:t xml:space="preserve"> be accounted for in travel demand modeling</w:t>
      </w:r>
      <w:r w:rsidR="005304D3" w:rsidRPr="0034575E">
        <w:rPr>
          <w:rFonts w:ascii="Times New Roman" w:hAnsi="Times New Roman" w:cs="Times New Roman"/>
          <w:sz w:val="24"/>
          <w:szCs w:val="24"/>
        </w:rPr>
        <w:t xml:space="preserve"> </w:t>
      </w:r>
      <w:r w:rsidR="004710DD" w:rsidRPr="0034575E">
        <w:rPr>
          <w:rFonts w:ascii="Times New Roman" w:hAnsi="Times New Roman" w:cs="Times New Roman"/>
          <w:sz w:val="24"/>
          <w:szCs w:val="24"/>
        </w:rPr>
        <w:t xml:space="preserve">to circumvent the ecological fallacy that may arise when ignoring the effects of </w:t>
      </w:r>
      <w:r w:rsidR="005304D3" w:rsidRPr="0034575E">
        <w:rPr>
          <w:rFonts w:ascii="Times New Roman" w:hAnsi="Times New Roman" w:cs="Times New Roman"/>
          <w:sz w:val="24"/>
          <w:szCs w:val="24"/>
        </w:rPr>
        <w:t>such</w:t>
      </w:r>
      <w:r w:rsidR="004710DD" w:rsidRPr="0034575E">
        <w:rPr>
          <w:rFonts w:ascii="Times New Roman" w:hAnsi="Times New Roman" w:cs="Times New Roman"/>
          <w:sz w:val="24"/>
          <w:szCs w:val="24"/>
        </w:rPr>
        <w:t xml:space="preserve"> heterogeneity on broader activity-travel </w:t>
      </w:r>
      <w:r w:rsidR="005304D3" w:rsidRPr="0034575E">
        <w:rPr>
          <w:rFonts w:ascii="Times New Roman" w:hAnsi="Times New Roman" w:cs="Times New Roman"/>
          <w:sz w:val="24"/>
          <w:szCs w:val="24"/>
        </w:rPr>
        <w:t xml:space="preserve">behavior </w:t>
      </w:r>
      <w:r w:rsidR="004710DD" w:rsidRPr="0034575E">
        <w:rPr>
          <w:rFonts w:ascii="Times New Roman" w:hAnsi="Times New Roman" w:cs="Times New Roman"/>
          <w:sz w:val="24"/>
          <w:szCs w:val="24"/>
        </w:rPr>
        <w:t xml:space="preserve">patterns. </w:t>
      </w:r>
      <w:r w:rsidR="005304D3" w:rsidRPr="00167EAB">
        <w:rPr>
          <w:rFonts w:ascii="Times New Roman" w:hAnsi="Times New Roman" w:cs="Times New Roman"/>
          <w:sz w:val="24"/>
          <w:szCs w:val="24"/>
        </w:rPr>
        <w:t xml:space="preserve">Beyond travel demand models, hybrid work arrangements </w:t>
      </w:r>
      <w:r w:rsidR="00CF5147">
        <w:rPr>
          <w:rFonts w:ascii="Times New Roman" w:hAnsi="Times New Roman" w:cs="Times New Roman"/>
          <w:sz w:val="24"/>
          <w:szCs w:val="24"/>
        </w:rPr>
        <w:t xml:space="preserve">could </w:t>
      </w:r>
      <w:r w:rsidR="005304D3" w:rsidRPr="00167EAB">
        <w:rPr>
          <w:rFonts w:ascii="Times New Roman" w:hAnsi="Times New Roman" w:cs="Times New Roman"/>
          <w:sz w:val="24"/>
          <w:szCs w:val="24"/>
        </w:rPr>
        <w:t xml:space="preserve">also affect land-use patterns, </w:t>
      </w:r>
      <w:r w:rsidR="00CF5147">
        <w:rPr>
          <w:rFonts w:ascii="Times New Roman" w:hAnsi="Times New Roman" w:cs="Times New Roman"/>
          <w:sz w:val="24"/>
          <w:szCs w:val="24"/>
        </w:rPr>
        <w:t xml:space="preserve">including </w:t>
      </w:r>
      <w:r w:rsidR="005304D3" w:rsidRPr="00167EAB">
        <w:rPr>
          <w:rFonts w:ascii="Times New Roman" w:hAnsi="Times New Roman" w:cs="Times New Roman"/>
          <w:sz w:val="24"/>
          <w:szCs w:val="24"/>
        </w:rPr>
        <w:t xml:space="preserve">employers </w:t>
      </w:r>
      <w:r w:rsidR="00CF5147">
        <w:rPr>
          <w:rFonts w:ascii="Times New Roman" w:hAnsi="Times New Roman" w:cs="Times New Roman"/>
          <w:sz w:val="24"/>
          <w:szCs w:val="24"/>
        </w:rPr>
        <w:t xml:space="preserve">opting to </w:t>
      </w:r>
      <w:r w:rsidR="005304D3" w:rsidRPr="00167EAB">
        <w:rPr>
          <w:rFonts w:ascii="Times New Roman" w:hAnsi="Times New Roman" w:cs="Times New Roman"/>
          <w:sz w:val="24"/>
          <w:szCs w:val="24"/>
        </w:rPr>
        <w:t xml:space="preserve">downsize their offices </w:t>
      </w:r>
      <w:r w:rsidR="00CF5147">
        <w:rPr>
          <w:rFonts w:ascii="Times New Roman" w:hAnsi="Times New Roman" w:cs="Times New Roman"/>
          <w:sz w:val="24"/>
          <w:szCs w:val="24"/>
        </w:rPr>
        <w:t>or</w:t>
      </w:r>
      <w:r w:rsidR="00CF5147" w:rsidRPr="00167EAB">
        <w:rPr>
          <w:rFonts w:ascii="Times New Roman" w:hAnsi="Times New Roman" w:cs="Times New Roman"/>
          <w:sz w:val="24"/>
          <w:szCs w:val="24"/>
        </w:rPr>
        <w:t xml:space="preserve"> </w:t>
      </w:r>
      <w:r w:rsidR="005304D3" w:rsidRPr="00167EAB">
        <w:rPr>
          <w:rFonts w:ascii="Times New Roman" w:hAnsi="Times New Roman" w:cs="Times New Roman"/>
          <w:sz w:val="24"/>
          <w:szCs w:val="24"/>
        </w:rPr>
        <w:t>hav</w:t>
      </w:r>
      <w:r w:rsidR="00CF5147">
        <w:rPr>
          <w:rFonts w:ascii="Times New Roman" w:hAnsi="Times New Roman" w:cs="Times New Roman"/>
          <w:sz w:val="24"/>
          <w:szCs w:val="24"/>
        </w:rPr>
        <w:t>ing</w:t>
      </w:r>
      <w:r w:rsidR="005304D3" w:rsidRPr="00167EAB">
        <w:rPr>
          <w:rFonts w:ascii="Times New Roman" w:hAnsi="Times New Roman" w:cs="Times New Roman"/>
          <w:sz w:val="24"/>
          <w:szCs w:val="24"/>
        </w:rPr>
        <w:t xml:space="preserve"> multiple smaller office sites spread over a metropolitan area. The</w:t>
      </w:r>
      <w:r w:rsidR="0034575E" w:rsidRPr="00167EAB">
        <w:rPr>
          <w:rFonts w:ascii="Times New Roman" w:hAnsi="Times New Roman" w:cs="Times New Roman"/>
          <w:sz w:val="24"/>
          <w:szCs w:val="24"/>
        </w:rPr>
        <w:t xml:space="preserve"> implications of these </w:t>
      </w:r>
      <w:r w:rsidR="005304D3" w:rsidRPr="00167EAB">
        <w:rPr>
          <w:rFonts w:ascii="Times New Roman" w:hAnsi="Times New Roman" w:cs="Times New Roman"/>
          <w:sz w:val="24"/>
          <w:szCs w:val="24"/>
        </w:rPr>
        <w:t>types of land-use changes on travel demand will need careful attention.</w:t>
      </w:r>
    </w:p>
    <w:p w14:paraId="7E4F9BAE" w14:textId="5FA67E6B" w:rsidR="00522BBC" w:rsidRDefault="00522BBC" w:rsidP="00522BBC">
      <w:pPr>
        <w:spacing w:after="0" w:line="276" w:lineRule="auto"/>
        <w:rPr>
          <w:rFonts w:ascii="Times New Roman" w:hAnsi="Times New Roman" w:cs="Times New Roman"/>
          <w:sz w:val="24"/>
          <w:szCs w:val="24"/>
        </w:rPr>
      </w:pPr>
    </w:p>
    <w:p w14:paraId="114CB394" w14:textId="3DC13FAA" w:rsidR="00522BBC" w:rsidRPr="000D4FD3" w:rsidRDefault="00A03376" w:rsidP="000D4FD3">
      <w:pPr>
        <w:spacing w:after="0" w:line="276" w:lineRule="auto"/>
        <w:rPr>
          <w:rFonts w:ascii="Times New Roman" w:hAnsi="Times New Roman" w:cs="Times New Roman"/>
          <w:b/>
          <w:sz w:val="24"/>
          <w:szCs w:val="24"/>
        </w:rPr>
      </w:pPr>
      <w:r>
        <w:rPr>
          <w:rFonts w:ascii="Times New Roman" w:hAnsi="Times New Roman" w:cs="Times New Roman"/>
          <w:b/>
          <w:sz w:val="24"/>
          <w:szCs w:val="24"/>
        </w:rPr>
        <w:t>7</w:t>
      </w:r>
      <w:r w:rsidR="00522BBC" w:rsidRPr="000D4FD3">
        <w:rPr>
          <w:rFonts w:ascii="Times New Roman" w:hAnsi="Times New Roman" w:cs="Times New Roman"/>
          <w:b/>
          <w:sz w:val="24"/>
          <w:szCs w:val="24"/>
        </w:rPr>
        <w:t xml:space="preserve">.2 Equity </w:t>
      </w:r>
      <w:r w:rsidR="00D94432">
        <w:rPr>
          <w:rFonts w:ascii="Times New Roman" w:hAnsi="Times New Roman" w:cs="Times New Roman"/>
          <w:b/>
          <w:sz w:val="24"/>
          <w:szCs w:val="24"/>
        </w:rPr>
        <w:t>C</w:t>
      </w:r>
      <w:r w:rsidR="00522BBC" w:rsidRPr="000D4FD3">
        <w:rPr>
          <w:rFonts w:ascii="Times New Roman" w:hAnsi="Times New Roman" w:cs="Times New Roman"/>
          <w:b/>
          <w:sz w:val="24"/>
          <w:szCs w:val="24"/>
        </w:rPr>
        <w:t>onsideration</w:t>
      </w:r>
      <w:r w:rsidR="00522BBC">
        <w:rPr>
          <w:rFonts w:ascii="Times New Roman" w:hAnsi="Times New Roman" w:cs="Times New Roman"/>
          <w:b/>
          <w:sz w:val="24"/>
          <w:szCs w:val="24"/>
        </w:rPr>
        <w:t>s</w:t>
      </w:r>
    </w:p>
    <w:bookmarkEnd w:id="19"/>
    <w:p w14:paraId="2EA21AA7" w14:textId="31FE9D06" w:rsidR="00522BBC" w:rsidRDefault="002B7F5D" w:rsidP="00522BB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general result from our study is that differences across population groups and occupation sectors in the adoption and </w:t>
      </w:r>
      <w:r w:rsidR="009F2843">
        <w:rPr>
          <w:rFonts w:ascii="Times New Roman" w:hAnsi="Times New Roman" w:cs="Times New Roman"/>
          <w:sz w:val="24"/>
          <w:szCs w:val="24"/>
        </w:rPr>
        <w:t xml:space="preserve">frequency </w:t>
      </w:r>
      <w:r>
        <w:rPr>
          <w:rFonts w:ascii="Times New Roman" w:hAnsi="Times New Roman" w:cs="Times New Roman"/>
          <w:sz w:val="24"/>
          <w:szCs w:val="24"/>
        </w:rPr>
        <w:t xml:space="preserve">of teleworking are much more tempered than before the pandemic, suggesting a more open mind among employers (and employees) about telework arrangements. This is a good result from an equity standpoint. Of course, there is some pulling back of telework allowance by some employers more recently, which may </w:t>
      </w:r>
      <w:r w:rsidR="009F2843">
        <w:rPr>
          <w:rFonts w:ascii="Times New Roman" w:hAnsi="Times New Roman" w:cs="Times New Roman"/>
          <w:sz w:val="24"/>
          <w:szCs w:val="24"/>
        </w:rPr>
        <w:t>bring</w:t>
      </w:r>
      <w:r>
        <w:rPr>
          <w:rFonts w:ascii="Times New Roman" w:hAnsi="Times New Roman" w:cs="Times New Roman"/>
          <w:sz w:val="24"/>
          <w:szCs w:val="24"/>
        </w:rPr>
        <w:t xml:space="preserve"> back the differences across population groups to the more inequitable patterns that existed before the pandemic. Regardless of how the future may unfold on this front, it is important to recognize that there are still variations </w:t>
      </w:r>
      <w:r>
        <w:rPr>
          <w:rFonts w:ascii="Times New Roman" w:hAnsi="Times New Roman" w:cs="Times New Roman"/>
          <w:sz w:val="24"/>
          <w:szCs w:val="24"/>
        </w:rPr>
        <w:lastRenderedPageBreak/>
        <w:t xml:space="preserve">across population groups </w:t>
      </w:r>
      <w:r w:rsidR="009F2843">
        <w:rPr>
          <w:rFonts w:ascii="Times New Roman" w:hAnsi="Times New Roman" w:cs="Times New Roman"/>
          <w:sz w:val="24"/>
          <w:szCs w:val="24"/>
        </w:rPr>
        <w:t>in</w:t>
      </w:r>
      <w:r>
        <w:rPr>
          <w:rFonts w:ascii="Times New Roman" w:hAnsi="Times New Roman" w:cs="Times New Roman"/>
          <w:sz w:val="24"/>
          <w:szCs w:val="24"/>
        </w:rPr>
        <w:t xml:space="preserve"> the </w:t>
      </w:r>
      <w:r w:rsidRPr="00F835FA">
        <w:rPr>
          <w:rFonts w:ascii="Times New Roman" w:hAnsi="Times New Roman" w:cs="Times New Roman"/>
          <w:i/>
          <w:sz w:val="24"/>
          <w:szCs w:val="24"/>
        </w:rPr>
        <w:t>After</w:t>
      </w:r>
      <w:r>
        <w:rPr>
          <w:rFonts w:ascii="Times New Roman" w:hAnsi="Times New Roman" w:cs="Times New Roman"/>
          <w:sz w:val="24"/>
          <w:szCs w:val="24"/>
        </w:rPr>
        <w:t xml:space="preserve"> COVID period of our study. </w:t>
      </w:r>
      <w:r w:rsidR="00577CAB">
        <w:rPr>
          <w:rFonts w:ascii="Times New Roman" w:hAnsi="Times New Roman" w:cs="Times New Roman"/>
          <w:sz w:val="24"/>
          <w:szCs w:val="24"/>
        </w:rPr>
        <w:t>Importantly</w:t>
      </w:r>
      <w:r w:rsidR="00236A10">
        <w:rPr>
          <w:rFonts w:ascii="Times New Roman" w:hAnsi="Times New Roman" w:cs="Times New Roman"/>
          <w:sz w:val="24"/>
          <w:szCs w:val="24"/>
        </w:rPr>
        <w:t>, f</w:t>
      </w:r>
      <w:r w:rsidR="0019679A" w:rsidRPr="00837F9C">
        <w:rPr>
          <w:rFonts w:ascii="Times New Roman" w:hAnsi="Times New Roman" w:cs="Times New Roman"/>
          <w:sz w:val="24"/>
          <w:szCs w:val="24"/>
        </w:rPr>
        <w:t xml:space="preserve">rom an equity standpoint, it is clear that workers who are </w:t>
      </w:r>
      <w:r>
        <w:rPr>
          <w:rFonts w:ascii="Times New Roman" w:hAnsi="Times New Roman" w:cs="Times New Roman"/>
          <w:sz w:val="24"/>
          <w:szCs w:val="24"/>
        </w:rPr>
        <w:t>(</w:t>
      </w:r>
      <w:r w:rsidR="007D29AE">
        <w:rPr>
          <w:rFonts w:ascii="Times New Roman" w:hAnsi="Times New Roman" w:cs="Times New Roman"/>
          <w:sz w:val="24"/>
          <w:szCs w:val="24"/>
        </w:rPr>
        <w:t>1)</w:t>
      </w:r>
      <w:r w:rsidR="00052E3C">
        <w:rPr>
          <w:rFonts w:ascii="Times New Roman" w:hAnsi="Times New Roman" w:cs="Times New Roman"/>
          <w:sz w:val="24"/>
          <w:szCs w:val="24"/>
        </w:rPr>
        <w:t xml:space="preserve"> </w:t>
      </w:r>
      <w:r w:rsidR="00AB1B8C">
        <w:rPr>
          <w:rFonts w:ascii="Times New Roman" w:hAnsi="Times New Roman" w:cs="Times New Roman"/>
          <w:sz w:val="24"/>
          <w:szCs w:val="24"/>
        </w:rPr>
        <w:t>women</w:t>
      </w:r>
      <w:r w:rsidR="0019679A" w:rsidRPr="00837F9C">
        <w:rPr>
          <w:rFonts w:ascii="Times New Roman" w:hAnsi="Times New Roman" w:cs="Times New Roman"/>
          <w:sz w:val="24"/>
          <w:szCs w:val="24"/>
        </w:rPr>
        <w:t xml:space="preserve">, </w:t>
      </w:r>
      <w:r>
        <w:rPr>
          <w:rFonts w:ascii="Times New Roman" w:hAnsi="Times New Roman" w:cs="Times New Roman"/>
          <w:sz w:val="24"/>
          <w:szCs w:val="24"/>
        </w:rPr>
        <w:t>(</w:t>
      </w:r>
      <w:r w:rsidR="007D29AE">
        <w:rPr>
          <w:rFonts w:ascii="Times New Roman" w:hAnsi="Times New Roman" w:cs="Times New Roman"/>
          <w:sz w:val="24"/>
          <w:szCs w:val="24"/>
        </w:rPr>
        <w:t xml:space="preserve">2) </w:t>
      </w:r>
      <w:r w:rsidR="0019679A" w:rsidRPr="00837F9C">
        <w:rPr>
          <w:rFonts w:ascii="Times New Roman" w:hAnsi="Times New Roman" w:cs="Times New Roman"/>
          <w:sz w:val="24"/>
          <w:szCs w:val="24"/>
        </w:rPr>
        <w:t xml:space="preserve">residing in rural settings, </w:t>
      </w:r>
      <w:r>
        <w:rPr>
          <w:rFonts w:ascii="Times New Roman" w:hAnsi="Times New Roman" w:cs="Times New Roman"/>
          <w:sz w:val="24"/>
          <w:szCs w:val="24"/>
        </w:rPr>
        <w:t>(</w:t>
      </w:r>
      <w:r w:rsidR="007D29AE">
        <w:rPr>
          <w:rFonts w:ascii="Times New Roman" w:hAnsi="Times New Roman" w:cs="Times New Roman"/>
          <w:sz w:val="24"/>
          <w:szCs w:val="24"/>
        </w:rPr>
        <w:t xml:space="preserve">3) </w:t>
      </w:r>
      <w:r w:rsidR="0019679A" w:rsidRPr="00837F9C">
        <w:rPr>
          <w:rFonts w:ascii="Times New Roman" w:hAnsi="Times New Roman" w:cs="Times New Roman"/>
          <w:sz w:val="24"/>
          <w:szCs w:val="24"/>
        </w:rPr>
        <w:t xml:space="preserve">lower income, and </w:t>
      </w:r>
      <w:r>
        <w:rPr>
          <w:rFonts w:ascii="Times New Roman" w:hAnsi="Times New Roman" w:cs="Times New Roman"/>
          <w:sz w:val="24"/>
          <w:szCs w:val="24"/>
        </w:rPr>
        <w:t>(</w:t>
      </w:r>
      <w:r w:rsidR="007D29AE">
        <w:rPr>
          <w:rFonts w:ascii="Times New Roman" w:hAnsi="Times New Roman" w:cs="Times New Roman"/>
          <w:sz w:val="24"/>
          <w:szCs w:val="24"/>
        </w:rPr>
        <w:t xml:space="preserve">4) </w:t>
      </w:r>
      <w:r w:rsidR="0019679A" w:rsidRPr="00837F9C">
        <w:rPr>
          <w:rFonts w:ascii="Times New Roman" w:hAnsi="Times New Roman" w:cs="Times New Roman"/>
          <w:sz w:val="24"/>
          <w:szCs w:val="24"/>
        </w:rPr>
        <w:t xml:space="preserve">in smaller homes </w:t>
      </w:r>
      <w:r>
        <w:rPr>
          <w:rFonts w:ascii="Times New Roman" w:hAnsi="Times New Roman" w:cs="Times New Roman"/>
          <w:sz w:val="24"/>
          <w:szCs w:val="24"/>
        </w:rPr>
        <w:t xml:space="preserve">with no private study </w:t>
      </w:r>
      <w:r w:rsidR="0019679A">
        <w:rPr>
          <w:rFonts w:ascii="Times New Roman" w:hAnsi="Times New Roman" w:cs="Times New Roman"/>
          <w:sz w:val="24"/>
          <w:szCs w:val="24"/>
        </w:rPr>
        <w:t xml:space="preserve">do not </w:t>
      </w:r>
      <w:r w:rsidR="0019679A" w:rsidRPr="00837F9C">
        <w:rPr>
          <w:rFonts w:ascii="Times New Roman" w:hAnsi="Times New Roman" w:cs="Times New Roman"/>
          <w:sz w:val="24"/>
          <w:szCs w:val="24"/>
        </w:rPr>
        <w:t>adopt telework</w:t>
      </w:r>
      <w:r w:rsidR="0019679A">
        <w:rPr>
          <w:rFonts w:ascii="Times New Roman" w:hAnsi="Times New Roman" w:cs="Times New Roman"/>
          <w:sz w:val="24"/>
          <w:szCs w:val="24"/>
        </w:rPr>
        <w:t>ing</w:t>
      </w:r>
      <w:r w:rsidR="0019679A" w:rsidRPr="00837F9C">
        <w:rPr>
          <w:rFonts w:ascii="Times New Roman" w:hAnsi="Times New Roman" w:cs="Times New Roman"/>
          <w:sz w:val="24"/>
          <w:szCs w:val="24"/>
        </w:rPr>
        <w:t xml:space="preserve"> at the same levels as their counterparts. </w:t>
      </w:r>
      <w:r w:rsidR="00052E3C">
        <w:rPr>
          <w:rFonts w:ascii="Times New Roman" w:hAnsi="Times New Roman" w:cs="Times New Roman"/>
          <w:sz w:val="24"/>
          <w:szCs w:val="24"/>
        </w:rPr>
        <w:t>Enacting certain p</w:t>
      </w:r>
      <w:r w:rsidR="00052E3C" w:rsidRPr="00837F9C">
        <w:rPr>
          <w:rFonts w:ascii="Times New Roman" w:hAnsi="Times New Roman" w:cs="Times New Roman"/>
          <w:sz w:val="24"/>
          <w:szCs w:val="24"/>
        </w:rPr>
        <w:t xml:space="preserve">olicies and provisions </w:t>
      </w:r>
      <w:r w:rsidR="00052E3C">
        <w:rPr>
          <w:rFonts w:ascii="Times New Roman" w:hAnsi="Times New Roman" w:cs="Times New Roman"/>
          <w:sz w:val="24"/>
          <w:szCs w:val="24"/>
        </w:rPr>
        <w:t xml:space="preserve">would </w:t>
      </w:r>
      <w:r w:rsidR="00052E3C" w:rsidRPr="00837F9C">
        <w:rPr>
          <w:rFonts w:ascii="Times New Roman" w:hAnsi="Times New Roman" w:cs="Times New Roman"/>
          <w:sz w:val="24"/>
          <w:szCs w:val="24"/>
        </w:rPr>
        <w:t>help level the playing field and allow all demographic groups to take advantage of telework arrangements.</w:t>
      </w:r>
      <w:r w:rsidR="004710DD">
        <w:rPr>
          <w:rFonts w:ascii="Times New Roman" w:hAnsi="Times New Roman" w:cs="Times New Roman"/>
          <w:sz w:val="24"/>
          <w:szCs w:val="24"/>
        </w:rPr>
        <w:t xml:space="preserve"> </w:t>
      </w:r>
      <w:r w:rsidR="007D29AE" w:rsidRPr="0019252A">
        <w:rPr>
          <w:rFonts w:ascii="Times New Roman" w:hAnsi="Times New Roman" w:cs="Times New Roman"/>
          <w:sz w:val="24"/>
          <w:szCs w:val="24"/>
        </w:rPr>
        <w:t>F</w:t>
      </w:r>
      <w:r w:rsidR="00052E3C" w:rsidRPr="000D4FD3">
        <w:rPr>
          <w:rFonts w:ascii="Times New Roman" w:hAnsi="Times New Roman" w:cs="Times New Roman"/>
          <w:sz w:val="24"/>
          <w:szCs w:val="24"/>
        </w:rPr>
        <w:t>or the</w:t>
      </w:r>
      <w:r w:rsidR="00052E3C">
        <w:rPr>
          <w:rFonts w:ascii="Times New Roman" w:hAnsi="Times New Roman" w:cs="Times New Roman"/>
          <w:sz w:val="24"/>
          <w:szCs w:val="24"/>
          <w:u w:val="single"/>
        </w:rPr>
        <w:t xml:space="preserve"> first</w:t>
      </w:r>
      <w:r w:rsidR="00052E3C" w:rsidRPr="000D4FD3">
        <w:rPr>
          <w:rFonts w:ascii="Times New Roman" w:hAnsi="Times New Roman" w:cs="Times New Roman"/>
          <w:sz w:val="24"/>
          <w:szCs w:val="24"/>
        </w:rPr>
        <w:t xml:space="preserve"> of these</w:t>
      </w:r>
      <w:r w:rsidR="007D29AE" w:rsidRPr="0019252A">
        <w:rPr>
          <w:rFonts w:ascii="Times New Roman" w:hAnsi="Times New Roman" w:cs="Times New Roman"/>
          <w:sz w:val="24"/>
          <w:szCs w:val="24"/>
        </w:rPr>
        <w:t>, women,</w:t>
      </w:r>
      <w:r w:rsidR="007D29AE" w:rsidRPr="000D4FD3">
        <w:rPr>
          <w:rFonts w:ascii="Times New Roman" w:hAnsi="Times New Roman" w:cs="Times New Roman"/>
          <w:sz w:val="24"/>
          <w:szCs w:val="24"/>
        </w:rPr>
        <w:t xml:space="preserve"> in general, still tend to bear much of the </w:t>
      </w:r>
      <w:r w:rsidR="009F2843">
        <w:rPr>
          <w:rFonts w:ascii="Times New Roman" w:hAnsi="Times New Roman" w:cs="Times New Roman"/>
          <w:sz w:val="24"/>
          <w:szCs w:val="24"/>
        </w:rPr>
        <w:t xml:space="preserve">domestic </w:t>
      </w:r>
      <w:r w:rsidR="007D29AE" w:rsidRPr="000D4FD3">
        <w:rPr>
          <w:rFonts w:ascii="Times New Roman" w:hAnsi="Times New Roman" w:cs="Times New Roman"/>
          <w:sz w:val="24"/>
          <w:szCs w:val="24"/>
        </w:rPr>
        <w:t>responsibilit</w:t>
      </w:r>
      <w:r w:rsidR="00577CAB">
        <w:rPr>
          <w:rFonts w:ascii="Times New Roman" w:hAnsi="Times New Roman" w:cs="Times New Roman"/>
          <w:sz w:val="24"/>
          <w:szCs w:val="24"/>
        </w:rPr>
        <w:t>ies</w:t>
      </w:r>
      <w:r w:rsidR="007D29AE" w:rsidRPr="000D4FD3">
        <w:rPr>
          <w:rFonts w:ascii="Times New Roman" w:hAnsi="Times New Roman" w:cs="Times New Roman"/>
          <w:sz w:val="24"/>
          <w:szCs w:val="24"/>
        </w:rPr>
        <w:t xml:space="preserve"> of</w:t>
      </w:r>
      <w:r w:rsidR="00577CAB">
        <w:rPr>
          <w:rFonts w:ascii="Times New Roman" w:hAnsi="Times New Roman" w:cs="Times New Roman"/>
          <w:sz w:val="24"/>
          <w:szCs w:val="24"/>
        </w:rPr>
        <w:t xml:space="preserve"> household chores and</w:t>
      </w:r>
      <w:r w:rsidR="007D29AE" w:rsidRPr="000D4FD3">
        <w:rPr>
          <w:rFonts w:ascii="Times New Roman" w:hAnsi="Times New Roman" w:cs="Times New Roman"/>
          <w:sz w:val="24"/>
          <w:szCs w:val="24"/>
        </w:rPr>
        <w:t xml:space="preserve"> childcare even when with a partner (</w:t>
      </w:r>
      <w:proofErr w:type="spellStart"/>
      <w:r w:rsidR="000C5289">
        <w:rPr>
          <w:rFonts w:ascii="Times New Roman" w:hAnsi="Times New Roman" w:cs="Times New Roman"/>
          <w:sz w:val="24"/>
          <w:szCs w:val="24"/>
        </w:rPr>
        <w:t>Zamarro</w:t>
      </w:r>
      <w:proofErr w:type="spellEnd"/>
      <w:r w:rsidR="000C5289">
        <w:rPr>
          <w:rFonts w:ascii="Times New Roman" w:hAnsi="Times New Roman" w:cs="Times New Roman"/>
          <w:sz w:val="24"/>
          <w:szCs w:val="24"/>
        </w:rPr>
        <w:t xml:space="preserve"> and </w:t>
      </w:r>
      <w:proofErr w:type="spellStart"/>
      <w:r w:rsidR="000C5289">
        <w:rPr>
          <w:rFonts w:ascii="Times New Roman" w:hAnsi="Times New Roman" w:cs="Times New Roman"/>
          <w:sz w:val="24"/>
          <w:szCs w:val="24"/>
        </w:rPr>
        <w:t>Prados</w:t>
      </w:r>
      <w:proofErr w:type="spellEnd"/>
      <w:r w:rsidR="000C5289">
        <w:rPr>
          <w:rFonts w:ascii="Times New Roman" w:hAnsi="Times New Roman" w:cs="Times New Roman"/>
          <w:sz w:val="24"/>
          <w:szCs w:val="24"/>
        </w:rPr>
        <w:t>, 2021)</w:t>
      </w:r>
      <w:r w:rsidR="007D29AE" w:rsidRPr="000D4FD3">
        <w:rPr>
          <w:rFonts w:ascii="Times New Roman" w:hAnsi="Times New Roman" w:cs="Times New Roman"/>
          <w:sz w:val="24"/>
          <w:szCs w:val="24"/>
        </w:rPr>
        <w:t>. Working remote from home may be</w:t>
      </w:r>
      <w:r w:rsidR="007D29AE" w:rsidRPr="0019252A">
        <w:rPr>
          <w:rFonts w:ascii="Times New Roman" w:hAnsi="Times New Roman" w:cs="Times New Roman"/>
          <w:sz w:val="24"/>
          <w:szCs w:val="24"/>
        </w:rPr>
        <w:t xml:space="preserve"> </w:t>
      </w:r>
      <w:r w:rsidR="0019679A" w:rsidRPr="0019252A">
        <w:rPr>
          <w:rFonts w:ascii="Times New Roman" w:hAnsi="Times New Roman" w:cs="Times New Roman"/>
          <w:sz w:val="24"/>
          <w:szCs w:val="24"/>
        </w:rPr>
        <w:t xml:space="preserve">unappealing to </w:t>
      </w:r>
      <w:r w:rsidR="007D29AE" w:rsidRPr="0019252A">
        <w:rPr>
          <w:rFonts w:ascii="Times New Roman" w:hAnsi="Times New Roman" w:cs="Times New Roman"/>
          <w:sz w:val="24"/>
          <w:szCs w:val="24"/>
        </w:rPr>
        <w:t>mothers</w:t>
      </w:r>
      <w:r w:rsidR="0019679A" w:rsidRPr="0019252A">
        <w:rPr>
          <w:rFonts w:ascii="Times New Roman" w:hAnsi="Times New Roman" w:cs="Times New Roman"/>
          <w:sz w:val="24"/>
          <w:szCs w:val="24"/>
        </w:rPr>
        <w:t xml:space="preserve">, as their </w:t>
      </w:r>
      <w:r w:rsidR="007D29AE" w:rsidRPr="007D29AE">
        <w:rPr>
          <w:rFonts w:ascii="Times New Roman" w:hAnsi="Times New Roman" w:cs="Times New Roman"/>
          <w:sz w:val="24"/>
          <w:szCs w:val="24"/>
        </w:rPr>
        <w:t xml:space="preserve">domestic </w:t>
      </w:r>
      <w:r w:rsidR="009F2843">
        <w:rPr>
          <w:rFonts w:ascii="Times New Roman" w:hAnsi="Times New Roman" w:cs="Times New Roman"/>
          <w:sz w:val="24"/>
          <w:szCs w:val="24"/>
        </w:rPr>
        <w:t xml:space="preserve">responsibilities </w:t>
      </w:r>
      <w:r w:rsidR="007D29AE" w:rsidRPr="007D29AE">
        <w:rPr>
          <w:rFonts w:ascii="Times New Roman" w:hAnsi="Times New Roman" w:cs="Times New Roman"/>
          <w:sz w:val="24"/>
          <w:szCs w:val="24"/>
        </w:rPr>
        <w:t>may act as a distraction for their non-domestic paid work. On the other hand, remote third workplace</w:t>
      </w:r>
      <w:r w:rsidR="00A717B2">
        <w:rPr>
          <w:rFonts w:ascii="Times New Roman" w:hAnsi="Times New Roman" w:cs="Times New Roman"/>
          <w:sz w:val="24"/>
          <w:szCs w:val="24"/>
        </w:rPr>
        <w:t xml:space="preserve"> locations</w:t>
      </w:r>
      <w:r w:rsidR="007D29AE" w:rsidRPr="007D29AE">
        <w:rPr>
          <w:rFonts w:ascii="Times New Roman" w:hAnsi="Times New Roman" w:cs="Times New Roman"/>
          <w:sz w:val="24"/>
          <w:szCs w:val="24"/>
        </w:rPr>
        <w:t xml:space="preserve"> may not be entirely desirable for </w:t>
      </w:r>
      <w:r w:rsidR="00AE590C">
        <w:rPr>
          <w:rFonts w:ascii="Times New Roman" w:hAnsi="Times New Roman" w:cs="Times New Roman"/>
          <w:sz w:val="24"/>
          <w:szCs w:val="24"/>
        </w:rPr>
        <w:t>women</w:t>
      </w:r>
      <w:r w:rsidR="007D29AE" w:rsidRPr="007D29AE">
        <w:rPr>
          <w:rFonts w:ascii="Times New Roman" w:hAnsi="Times New Roman" w:cs="Times New Roman"/>
          <w:sz w:val="24"/>
          <w:szCs w:val="24"/>
        </w:rPr>
        <w:t xml:space="preserve"> employees as well (regardless of whether they a</w:t>
      </w:r>
      <w:r w:rsidR="00F01542">
        <w:rPr>
          <w:rFonts w:ascii="Times New Roman" w:hAnsi="Times New Roman" w:cs="Times New Roman"/>
          <w:sz w:val="24"/>
          <w:szCs w:val="24"/>
        </w:rPr>
        <w:t>re a</w:t>
      </w:r>
      <w:r w:rsidR="007D29AE" w:rsidRPr="007D29AE">
        <w:rPr>
          <w:rFonts w:ascii="Times New Roman" w:hAnsi="Times New Roman" w:cs="Times New Roman"/>
          <w:sz w:val="24"/>
          <w:szCs w:val="24"/>
        </w:rPr>
        <w:t xml:space="preserve"> mother or</w:t>
      </w:r>
      <w:r w:rsidR="007D29AE">
        <w:rPr>
          <w:rFonts w:ascii="Times New Roman" w:hAnsi="Times New Roman" w:cs="Times New Roman"/>
          <w:sz w:val="24"/>
          <w:szCs w:val="24"/>
        </w:rPr>
        <w:t xml:space="preserve"> not). T</w:t>
      </w:r>
      <w:r w:rsidR="007D29AE" w:rsidRPr="007D29AE">
        <w:rPr>
          <w:rFonts w:ascii="Times New Roman" w:hAnsi="Times New Roman" w:cs="Times New Roman"/>
          <w:sz w:val="24"/>
          <w:szCs w:val="24"/>
        </w:rPr>
        <w:t xml:space="preserve">hird workplace locations </w:t>
      </w:r>
      <w:r w:rsidR="008221DF">
        <w:rPr>
          <w:rFonts w:ascii="Times New Roman" w:hAnsi="Times New Roman" w:cs="Times New Roman"/>
          <w:sz w:val="24"/>
          <w:szCs w:val="24"/>
        </w:rPr>
        <w:t xml:space="preserve">can </w:t>
      </w:r>
      <w:r w:rsidR="00C45477">
        <w:rPr>
          <w:rFonts w:ascii="Times New Roman" w:hAnsi="Times New Roman" w:cs="Times New Roman"/>
          <w:sz w:val="24"/>
          <w:szCs w:val="24"/>
        </w:rPr>
        <w:t>be more</w:t>
      </w:r>
      <w:r w:rsidR="007D29AE" w:rsidRPr="007D29AE">
        <w:rPr>
          <w:rFonts w:ascii="Times New Roman" w:hAnsi="Times New Roman" w:cs="Times New Roman"/>
          <w:sz w:val="24"/>
          <w:szCs w:val="24"/>
        </w:rPr>
        <w:t xml:space="preserve"> unsafe for women, relative to men, and relative to their in-person office. </w:t>
      </w:r>
      <w:r w:rsidR="007F37D1">
        <w:rPr>
          <w:rFonts w:ascii="Times New Roman" w:hAnsi="Times New Roman" w:cs="Times New Roman"/>
          <w:sz w:val="24"/>
          <w:szCs w:val="24"/>
        </w:rPr>
        <w:t>In particular, i</w:t>
      </w:r>
      <w:r w:rsidR="007D29AE" w:rsidRPr="007D29AE">
        <w:rPr>
          <w:rFonts w:ascii="Times New Roman" w:hAnsi="Times New Roman" w:cs="Times New Roman"/>
          <w:sz w:val="24"/>
          <w:szCs w:val="24"/>
        </w:rPr>
        <w:t xml:space="preserve">n </w:t>
      </w:r>
      <w:r w:rsidR="007F37D1">
        <w:rPr>
          <w:rFonts w:ascii="Times New Roman" w:hAnsi="Times New Roman" w:cs="Times New Roman"/>
          <w:sz w:val="24"/>
          <w:szCs w:val="24"/>
        </w:rPr>
        <w:t>such</w:t>
      </w:r>
      <w:r w:rsidR="007D29AE" w:rsidRPr="007D29AE">
        <w:rPr>
          <w:rFonts w:ascii="Times New Roman" w:hAnsi="Times New Roman" w:cs="Times New Roman"/>
          <w:sz w:val="24"/>
          <w:szCs w:val="24"/>
        </w:rPr>
        <w:t xml:space="preserve"> spaces, women have </w:t>
      </w:r>
      <w:r w:rsidR="007F37D1">
        <w:rPr>
          <w:rFonts w:ascii="Times New Roman" w:hAnsi="Times New Roman" w:cs="Times New Roman"/>
          <w:sz w:val="24"/>
          <w:szCs w:val="24"/>
        </w:rPr>
        <w:t xml:space="preserve">been known to </w:t>
      </w:r>
      <w:r w:rsidR="007D29AE" w:rsidRPr="007D29AE">
        <w:rPr>
          <w:rFonts w:ascii="Times New Roman" w:hAnsi="Times New Roman" w:cs="Times New Roman"/>
          <w:sz w:val="24"/>
          <w:szCs w:val="24"/>
        </w:rPr>
        <w:t>fe</w:t>
      </w:r>
      <w:r w:rsidR="007F37D1">
        <w:rPr>
          <w:rFonts w:ascii="Times New Roman" w:hAnsi="Times New Roman" w:cs="Times New Roman"/>
          <w:sz w:val="24"/>
          <w:szCs w:val="24"/>
        </w:rPr>
        <w:t xml:space="preserve">el </w:t>
      </w:r>
      <w:r w:rsidR="007D29AE" w:rsidRPr="007D29AE">
        <w:rPr>
          <w:rFonts w:ascii="Times New Roman" w:hAnsi="Times New Roman" w:cs="Times New Roman"/>
          <w:sz w:val="24"/>
          <w:szCs w:val="24"/>
        </w:rPr>
        <w:t xml:space="preserve">socially isolated from both </w:t>
      </w:r>
      <w:r w:rsidR="00577CAB">
        <w:rPr>
          <w:rFonts w:ascii="Times New Roman" w:hAnsi="Times New Roman" w:cs="Times New Roman"/>
          <w:sz w:val="24"/>
          <w:szCs w:val="24"/>
        </w:rPr>
        <w:t>men</w:t>
      </w:r>
      <w:r w:rsidR="007D29AE" w:rsidRPr="007D29AE">
        <w:rPr>
          <w:rFonts w:ascii="Times New Roman" w:hAnsi="Times New Roman" w:cs="Times New Roman"/>
          <w:sz w:val="24"/>
          <w:szCs w:val="24"/>
        </w:rPr>
        <w:t xml:space="preserve"> and </w:t>
      </w:r>
      <w:r w:rsidR="00AE590C">
        <w:rPr>
          <w:rFonts w:ascii="Times New Roman" w:hAnsi="Times New Roman" w:cs="Times New Roman"/>
          <w:sz w:val="24"/>
          <w:szCs w:val="24"/>
        </w:rPr>
        <w:t>women</w:t>
      </w:r>
      <w:r w:rsidR="007D29AE" w:rsidRPr="007D29AE">
        <w:rPr>
          <w:rFonts w:ascii="Times New Roman" w:hAnsi="Times New Roman" w:cs="Times New Roman"/>
          <w:sz w:val="24"/>
          <w:szCs w:val="24"/>
        </w:rPr>
        <w:t xml:space="preserve"> peers</w:t>
      </w:r>
      <w:r w:rsidR="007F37D1">
        <w:rPr>
          <w:rFonts w:ascii="Times New Roman" w:hAnsi="Times New Roman" w:cs="Times New Roman"/>
          <w:sz w:val="24"/>
          <w:szCs w:val="24"/>
        </w:rPr>
        <w:t>,</w:t>
      </w:r>
      <w:r w:rsidR="007D29AE" w:rsidRPr="007D29AE">
        <w:rPr>
          <w:rFonts w:ascii="Times New Roman" w:hAnsi="Times New Roman" w:cs="Times New Roman"/>
          <w:sz w:val="24"/>
          <w:szCs w:val="24"/>
        </w:rPr>
        <w:t xml:space="preserve"> and </w:t>
      </w:r>
      <w:r w:rsidR="007F37D1">
        <w:rPr>
          <w:rFonts w:ascii="Times New Roman" w:hAnsi="Times New Roman" w:cs="Times New Roman"/>
          <w:sz w:val="24"/>
          <w:szCs w:val="24"/>
        </w:rPr>
        <w:t xml:space="preserve">fear </w:t>
      </w:r>
      <w:r w:rsidR="007D29AE" w:rsidRPr="007D29AE">
        <w:rPr>
          <w:rFonts w:ascii="Times New Roman" w:hAnsi="Times New Roman" w:cs="Times New Roman"/>
          <w:sz w:val="24"/>
          <w:szCs w:val="24"/>
        </w:rPr>
        <w:t xml:space="preserve">sexual harassment or other instances of workplace sexism, as there is less structure and imposed </w:t>
      </w:r>
      <w:r w:rsidR="007F37D1">
        <w:rPr>
          <w:rFonts w:ascii="Times New Roman" w:hAnsi="Times New Roman" w:cs="Times New Roman"/>
          <w:sz w:val="24"/>
          <w:szCs w:val="24"/>
        </w:rPr>
        <w:t>workplace regulations</w:t>
      </w:r>
      <w:r w:rsidR="007D29AE" w:rsidRPr="007D29AE">
        <w:rPr>
          <w:rFonts w:ascii="Times New Roman" w:hAnsi="Times New Roman" w:cs="Times New Roman"/>
          <w:sz w:val="24"/>
          <w:szCs w:val="24"/>
        </w:rPr>
        <w:t xml:space="preserve"> in these third workplace</w:t>
      </w:r>
      <w:r w:rsidR="00A717B2">
        <w:rPr>
          <w:rFonts w:ascii="Times New Roman" w:hAnsi="Times New Roman" w:cs="Times New Roman"/>
          <w:sz w:val="24"/>
          <w:szCs w:val="24"/>
        </w:rPr>
        <w:t xml:space="preserve"> locations</w:t>
      </w:r>
      <w:r w:rsidR="007D29AE" w:rsidRPr="007D29AE">
        <w:rPr>
          <w:rFonts w:ascii="Times New Roman" w:hAnsi="Times New Roman" w:cs="Times New Roman"/>
          <w:sz w:val="24"/>
          <w:szCs w:val="24"/>
        </w:rPr>
        <w:t xml:space="preserve"> (Rodríguez-Modroño, 2021).</w:t>
      </w:r>
      <w:r w:rsidR="007D29AE">
        <w:rPr>
          <w:rFonts w:ascii="Times New Roman" w:hAnsi="Times New Roman" w:cs="Times New Roman"/>
          <w:sz w:val="24"/>
          <w:szCs w:val="24"/>
        </w:rPr>
        <w:t xml:space="preserve"> Therefore, policies and provisions to provide affordable </w:t>
      </w:r>
      <w:r w:rsidR="007F37D1">
        <w:rPr>
          <w:rFonts w:ascii="Times New Roman" w:hAnsi="Times New Roman" w:cs="Times New Roman"/>
          <w:sz w:val="24"/>
          <w:szCs w:val="24"/>
        </w:rPr>
        <w:t xml:space="preserve">and accessible </w:t>
      </w:r>
      <w:r w:rsidR="007D29AE">
        <w:rPr>
          <w:rFonts w:ascii="Times New Roman" w:hAnsi="Times New Roman" w:cs="Times New Roman"/>
          <w:sz w:val="24"/>
          <w:szCs w:val="24"/>
        </w:rPr>
        <w:t>childcare may incentivize working mothers</w:t>
      </w:r>
      <w:r w:rsidR="00577CAB">
        <w:rPr>
          <w:rFonts w:ascii="Times New Roman" w:hAnsi="Times New Roman" w:cs="Times New Roman"/>
          <w:sz w:val="24"/>
          <w:szCs w:val="24"/>
        </w:rPr>
        <w:t xml:space="preserve"> </w:t>
      </w:r>
      <w:r w:rsidR="007D29AE">
        <w:rPr>
          <w:rFonts w:ascii="Times New Roman" w:hAnsi="Times New Roman" w:cs="Times New Roman"/>
          <w:sz w:val="24"/>
          <w:szCs w:val="24"/>
        </w:rPr>
        <w:t>to work from home more often</w:t>
      </w:r>
      <w:r w:rsidR="00577CAB">
        <w:rPr>
          <w:rFonts w:ascii="Times New Roman" w:hAnsi="Times New Roman" w:cs="Times New Roman"/>
          <w:sz w:val="24"/>
          <w:szCs w:val="24"/>
        </w:rPr>
        <w:t>,</w:t>
      </w:r>
      <w:r w:rsidR="007D29AE">
        <w:rPr>
          <w:rFonts w:ascii="Times New Roman" w:hAnsi="Times New Roman" w:cs="Times New Roman"/>
          <w:sz w:val="24"/>
          <w:szCs w:val="24"/>
        </w:rPr>
        <w:t xml:space="preserve"> and investing in the safety, diversity and inclusively of third workplace</w:t>
      </w:r>
      <w:r w:rsidR="00A717B2">
        <w:rPr>
          <w:rFonts w:ascii="Times New Roman" w:hAnsi="Times New Roman" w:cs="Times New Roman"/>
          <w:sz w:val="24"/>
          <w:szCs w:val="24"/>
        </w:rPr>
        <w:t xml:space="preserve"> locations</w:t>
      </w:r>
      <w:r w:rsidR="007D29AE">
        <w:rPr>
          <w:rFonts w:ascii="Times New Roman" w:hAnsi="Times New Roman" w:cs="Times New Roman"/>
          <w:sz w:val="24"/>
          <w:szCs w:val="24"/>
        </w:rPr>
        <w:t xml:space="preserve"> may encourage women </w:t>
      </w:r>
      <w:r w:rsidR="007F37D1">
        <w:rPr>
          <w:rFonts w:ascii="Times New Roman" w:hAnsi="Times New Roman" w:cs="Times New Roman"/>
          <w:sz w:val="24"/>
          <w:szCs w:val="24"/>
        </w:rPr>
        <w:t xml:space="preserve">more generally </w:t>
      </w:r>
      <w:r w:rsidR="007D29AE">
        <w:rPr>
          <w:rFonts w:ascii="Times New Roman" w:hAnsi="Times New Roman" w:cs="Times New Roman"/>
          <w:sz w:val="24"/>
          <w:szCs w:val="24"/>
        </w:rPr>
        <w:t xml:space="preserve">to work outside of both their homes and in-person offices more frequently. </w:t>
      </w:r>
    </w:p>
    <w:p w14:paraId="7E73E28B" w14:textId="13650311" w:rsidR="0019679A" w:rsidRPr="0019252A" w:rsidRDefault="007F37D1" w:rsidP="00DB5F27">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Similarly,</w:t>
      </w:r>
      <w:r w:rsidR="007D29AE">
        <w:rPr>
          <w:rFonts w:ascii="Times New Roman" w:hAnsi="Times New Roman" w:cs="Times New Roman"/>
          <w:sz w:val="24"/>
          <w:szCs w:val="24"/>
        </w:rPr>
        <w:t xml:space="preserve"> </w:t>
      </w:r>
      <w:r w:rsidR="007D29AE" w:rsidRPr="007D29AE">
        <w:rPr>
          <w:rFonts w:ascii="Times New Roman" w:hAnsi="Times New Roman" w:cs="Times New Roman"/>
          <w:sz w:val="24"/>
          <w:szCs w:val="24"/>
        </w:rPr>
        <w:t xml:space="preserve">rural areas have less access to high speed broadband internet or </w:t>
      </w:r>
      <w:r>
        <w:rPr>
          <w:rFonts w:ascii="Times New Roman" w:hAnsi="Times New Roman" w:cs="Times New Roman"/>
          <w:sz w:val="24"/>
          <w:szCs w:val="24"/>
        </w:rPr>
        <w:t xml:space="preserve">have </w:t>
      </w:r>
      <w:r w:rsidR="007D29AE" w:rsidRPr="007D29AE">
        <w:rPr>
          <w:rFonts w:ascii="Times New Roman" w:hAnsi="Times New Roman" w:cs="Times New Roman"/>
          <w:sz w:val="24"/>
          <w:szCs w:val="24"/>
        </w:rPr>
        <w:t>weaker connectivity within homes (Zhang et al., 2019; Phillipson et al., 2020). In 2019, the FCC reported that more than 30% of rural residents lack broadband services altogether (Bauerly et al., 2019).</w:t>
      </w:r>
      <w:r w:rsidR="007D29AE">
        <w:rPr>
          <w:rFonts w:ascii="Times New Roman" w:hAnsi="Times New Roman" w:cs="Times New Roman"/>
          <w:sz w:val="24"/>
          <w:szCs w:val="24"/>
        </w:rPr>
        <w:t xml:space="preserve"> Therefore, investing in and boosting high-speed bandwidth in remote rural location</w:t>
      </w:r>
      <w:r>
        <w:rPr>
          <w:rFonts w:ascii="Times New Roman" w:hAnsi="Times New Roman" w:cs="Times New Roman"/>
          <w:sz w:val="24"/>
          <w:szCs w:val="24"/>
        </w:rPr>
        <w:t>s</w:t>
      </w:r>
      <w:r w:rsidR="007D29AE">
        <w:rPr>
          <w:rFonts w:ascii="Times New Roman" w:hAnsi="Times New Roman" w:cs="Times New Roman"/>
          <w:sz w:val="24"/>
          <w:szCs w:val="24"/>
        </w:rPr>
        <w:t xml:space="preserve"> may </w:t>
      </w:r>
      <w:r w:rsidR="009F2843">
        <w:rPr>
          <w:rFonts w:ascii="Times New Roman" w:hAnsi="Times New Roman" w:cs="Times New Roman"/>
          <w:sz w:val="24"/>
          <w:szCs w:val="24"/>
        </w:rPr>
        <w:t xml:space="preserve">facilitate teleworking among </w:t>
      </w:r>
      <w:r w:rsidR="007D29AE">
        <w:rPr>
          <w:rFonts w:ascii="Times New Roman" w:hAnsi="Times New Roman" w:cs="Times New Roman"/>
          <w:sz w:val="24"/>
          <w:szCs w:val="24"/>
        </w:rPr>
        <w:t xml:space="preserve">rural dwellers </w:t>
      </w:r>
      <w:r w:rsidR="009F2843">
        <w:rPr>
          <w:rFonts w:ascii="Times New Roman" w:hAnsi="Times New Roman" w:cs="Times New Roman"/>
          <w:sz w:val="24"/>
          <w:szCs w:val="24"/>
        </w:rPr>
        <w:t xml:space="preserve">who seek </w:t>
      </w:r>
      <w:r w:rsidR="007D29AE">
        <w:rPr>
          <w:rFonts w:ascii="Times New Roman" w:hAnsi="Times New Roman" w:cs="Times New Roman"/>
          <w:sz w:val="24"/>
          <w:szCs w:val="24"/>
        </w:rPr>
        <w:t>to</w:t>
      </w:r>
      <w:r w:rsidR="009F2843">
        <w:rPr>
          <w:rFonts w:ascii="Times New Roman" w:hAnsi="Times New Roman" w:cs="Times New Roman"/>
          <w:sz w:val="24"/>
          <w:szCs w:val="24"/>
        </w:rPr>
        <w:t xml:space="preserve"> do so</w:t>
      </w:r>
      <w:r w:rsidR="007D29AE">
        <w:rPr>
          <w:rFonts w:ascii="Times New Roman" w:hAnsi="Times New Roman" w:cs="Times New Roman"/>
          <w:sz w:val="24"/>
          <w:szCs w:val="24"/>
        </w:rPr>
        <w:t xml:space="preserve">. </w:t>
      </w:r>
      <w:r>
        <w:rPr>
          <w:rFonts w:ascii="Times New Roman" w:hAnsi="Times New Roman" w:cs="Times New Roman"/>
          <w:sz w:val="24"/>
          <w:szCs w:val="24"/>
        </w:rPr>
        <w:t xml:space="preserve">With regard to the lower teleworking adoption among </w:t>
      </w:r>
      <w:r w:rsidR="00052E3C">
        <w:rPr>
          <w:rFonts w:ascii="Times New Roman" w:hAnsi="Times New Roman" w:cs="Times New Roman"/>
          <w:sz w:val="24"/>
          <w:szCs w:val="24"/>
        </w:rPr>
        <w:t>lower income households living in smaller ho</w:t>
      </w:r>
      <w:r>
        <w:rPr>
          <w:rFonts w:ascii="Times New Roman" w:hAnsi="Times New Roman" w:cs="Times New Roman"/>
          <w:sz w:val="24"/>
          <w:szCs w:val="24"/>
        </w:rPr>
        <w:t>uses,</w:t>
      </w:r>
      <w:r w:rsidR="00052E3C">
        <w:rPr>
          <w:rFonts w:ascii="Times New Roman" w:hAnsi="Times New Roman" w:cs="Times New Roman"/>
          <w:sz w:val="24"/>
          <w:szCs w:val="24"/>
        </w:rPr>
        <w:t xml:space="preserve"> </w:t>
      </w:r>
      <w:r>
        <w:rPr>
          <w:rFonts w:ascii="Times New Roman" w:hAnsi="Times New Roman" w:cs="Times New Roman"/>
          <w:sz w:val="24"/>
          <w:szCs w:val="24"/>
        </w:rPr>
        <w:t>one possible intervention may be to</w:t>
      </w:r>
      <w:r w:rsidR="00052E3C" w:rsidRPr="00837F9C">
        <w:rPr>
          <w:rFonts w:ascii="Times New Roman" w:hAnsi="Times New Roman" w:cs="Times New Roman"/>
          <w:sz w:val="24"/>
          <w:szCs w:val="24"/>
        </w:rPr>
        <w:t xml:space="preserve"> creat</w:t>
      </w:r>
      <w:r>
        <w:rPr>
          <w:rFonts w:ascii="Times New Roman" w:hAnsi="Times New Roman" w:cs="Times New Roman"/>
          <w:sz w:val="24"/>
          <w:szCs w:val="24"/>
        </w:rPr>
        <w:t xml:space="preserve">e less expensive </w:t>
      </w:r>
      <w:r w:rsidR="00052E3C" w:rsidRPr="00837F9C">
        <w:rPr>
          <w:rFonts w:ascii="Times New Roman" w:hAnsi="Times New Roman" w:cs="Times New Roman"/>
          <w:sz w:val="24"/>
          <w:szCs w:val="24"/>
        </w:rPr>
        <w:t>third</w:t>
      </w:r>
      <w:r w:rsidR="00C45477">
        <w:rPr>
          <w:rFonts w:ascii="Times New Roman" w:hAnsi="Times New Roman" w:cs="Times New Roman"/>
          <w:sz w:val="24"/>
          <w:szCs w:val="24"/>
        </w:rPr>
        <w:t xml:space="preserve"> workplace</w:t>
      </w:r>
      <w:r w:rsidR="00052E3C" w:rsidRPr="00837F9C">
        <w:rPr>
          <w:rFonts w:ascii="Times New Roman" w:hAnsi="Times New Roman" w:cs="Times New Roman"/>
          <w:sz w:val="24"/>
          <w:szCs w:val="24"/>
        </w:rPr>
        <w:t xml:space="preserve"> locations close to </w:t>
      </w:r>
      <w:r w:rsidR="00735E20">
        <w:rPr>
          <w:rFonts w:ascii="Times New Roman" w:hAnsi="Times New Roman" w:cs="Times New Roman"/>
          <w:sz w:val="24"/>
          <w:szCs w:val="24"/>
        </w:rPr>
        <w:t>areas with a high density of low income households</w:t>
      </w:r>
      <w:r w:rsidR="00052E3C">
        <w:rPr>
          <w:rFonts w:ascii="Times New Roman" w:hAnsi="Times New Roman" w:cs="Times New Roman"/>
          <w:sz w:val="24"/>
          <w:szCs w:val="24"/>
        </w:rPr>
        <w:t>. In general, new policies and provisions must be considered</w:t>
      </w:r>
      <w:r w:rsidR="00735E20">
        <w:rPr>
          <w:rFonts w:ascii="Times New Roman" w:hAnsi="Times New Roman" w:cs="Times New Roman"/>
          <w:sz w:val="24"/>
          <w:szCs w:val="24"/>
        </w:rPr>
        <w:t xml:space="preserve"> </w:t>
      </w:r>
      <w:r w:rsidR="00052E3C">
        <w:rPr>
          <w:rFonts w:ascii="Times New Roman" w:hAnsi="Times New Roman" w:cs="Times New Roman"/>
          <w:sz w:val="24"/>
          <w:szCs w:val="24"/>
        </w:rPr>
        <w:t xml:space="preserve">to </w:t>
      </w:r>
      <w:r w:rsidR="00F01542">
        <w:rPr>
          <w:rFonts w:ascii="Times New Roman" w:hAnsi="Times New Roman" w:cs="Times New Roman"/>
          <w:sz w:val="24"/>
          <w:szCs w:val="24"/>
        </w:rPr>
        <w:t xml:space="preserve">encourage </w:t>
      </w:r>
      <w:r w:rsidR="00052E3C">
        <w:rPr>
          <w:rFonts w:ascii="Times New Roman" w:hAnsi="Times New Roman" w:cs="Times New Roman"/>
          <w:sz w:val="24"/>
          <w:szCs w:val="24"/>
        </w:rPr>
        <w:t xml:space="preserve">the </w:t>
      </w:r>
      <w:r w:rsidR="00735E20">
        <w:rPr>
          <w:rFonts w:ascii="Times New Roman" w:hAnsi="Times New Roman" w:cs="Times New Roman"/>
          <w:sz w:val="24"/>
          <w:szCs w:val="24"/>
        </w:rPr>
        <w:t>provision of options for work locations across all se</w:t>
      </w:r>
      <w:r w:rsidR="009F2843">
        <w:rPr>
          <w:rFonts w:ascii="Times New Roman" w:hAnsi="Times New Roman" w:cs="Times New Roman"/>
          <w:sz w:val="24"/>
          <w:szCs w:val="24"/>
        </w:rPr>
        <w:t>gments</w:t>
      </w:r>
      <w:r w:rsidR="00735E20">
        <w:rPr>
          <w:rFonts w:ascii="Times New Roman" w:hAnsi="Times New Roman" w:cs="Times New Roman"/>
          <w:sz w:val="24"/>
          <w:szCs w:val="24"/>
        </w:rPr>
        <w:t xml:space="preserve"> of our society. </w:t>
      </w:r>
    </w:p>
    <w:p w14:paraId="47A3B683" w14:textId="77777777" w:rsidR="00522BBC" w:rsidRDefault="00522BBC" w:rsidP="00FF41BC">
      <w:pPr>
        <w:spacing w:after="0" w:line="276" w:lineRule="auto"/>
        <w:ind w:firstLine="720"/>
        <w:rPr>
          <w:rFonts w:ascii="Times New Roman" w:hAnsi="Times New Roman" w:cs="Times New Roman"/>
          <w:sz w:val="24"/>
          <w:szCs w:val="24"/>
        </w:rPr>
      </w:pPr>
    </w:p>
    <w:p w14:paraId="486C28B6" w14:textId="2C48D66D" w:rsidR="00522BBC" w:rsidRPr="000D4FD3" w:rsidRDefault="00A03376" w:rsidP="00522BBC">
      <w:pPr>
        <w:spacing w:after="0" w:line="276" w:lineRule="auto"/>
        <w:rPr>
          <w:rFonts w:ascii="Times New Roman" w:hAnsi="Times New Roman" w:cs="Times New Roman"/>
          <w:b/>
          <w:sz w:val="24"/>
          <w:szCs w:val="24"/>
        </w:rPr>
      </w:pPr>
      <w:r>
        <w:rPr>
          <w:rFonts w:ascii="Times New Roman" w:hAnsi="Times New Roman" w:cs="Times New Roman"/>
          <w:b/>
          <w:sz w:val="24"/>
          <w:szCs w:val="24"/>
        </w:rPr>
        <w:t>7</w:t>
      </w:r>
      <w:r w:rsidR="00522BBC" w:rsidRPr="000D4FD3">
        <w:rPr>
          <w:rFonts w:ascii="Times New Roman" w:hAnsi="Times New Roman" w:cs="Times New Roman"/>
          <w:b/>
          <w:sz w:val="24"/>
          <w:szCs w:val="24"/>
        </w:rPr>
        <w:t>.</w:t>
      </w:r>
      <w:r w:rsidR="00522BBC">
        <w:rPr>
          <w:rFonts w:ascii="Times New Roman" w:hAnsi="Times New Roman" w:cs="Times New Roman"/>
          <w:b/>
          <w:sz w:val="24"/>
          <w:szCs w:val="24"/>
        </w:rPr>
        <w:t>3</w:t>
      </w:r>
      <w:r w:rsidR="00522BBC" w:rsidRPr="000D4FD3">
        <w:rPr>
          <w:rFonts w:ascii="Times New Roman" w:hAnsi="Times New Roman" w:cs="Times New Roman"/>
          <w:b/>
          <w:sz w:val="24"/>
          <w:szCs w:val="24"/>
        </w:rPr>
        <w:t xml:space="preserve"> Study </w:t>
      </w:r>
      <w:r w:rsidR="00D94432">
        <w:rPr>
          <w:rFonts w:ascii="Times New Roman" w:hAnsi="Times New Roman" w:cs="Times New Roman"/>
          <w:b/>
          <w:sz w:val="24"/>
          <w:szCs w:val="24"/>
        </w:rPr>
        <w:t>L</w:t>
      </w:r>
      <w:r w:rsidR="00522BBC" w:rsidRPr="000D4FD3">
        <w:rPr>
          <w:rFonts w:ascii="Times New Roman" w:hAnsi="Times New Roman" w:cs="Times New Roman"/>
          <w:b/>
          <w:sz w:val="24"/>
          <w:szCs w:val="24"/>
        </w:rPr>
        <w:t>imitations</w:t>
      </w:r>
      <w:r w:rsidR="00D94432">
        <w:rPr>
          <w:rFonts w:ascii="Times New Roman" w:hAnsi="Times New Roman" w:cs="Times New Roman"/>
          <w:b/>
          <w:sz w:val="24"/>
          <w:szCs w:val="24"/>
        </w:rPr>
        <w:t xml:space="preserve"> and Final Conclusions</w:t>
      </w:r>
    </w:p>
    <w:p w14:paraId="76020B5B" w14:textId="7A5DBA34" w:rsidR="00514B68" w:rsidRPr="00837F9C" w:rsidRDefault="00C45477" w:rsidP="00F835FA">
      <w:pPr>
        <w:spacing w:after="0" w:line="276" w:lineRule="auto"/>
        <w:rPr>
          <w:rFonts w:ascii="Times New Roman" w:hAnsi="Times New Roman" w:cs="Times New Roman"/>
          <w:sz w:val="24"/>
          <w:szCs w:val="24"/>
        </w:rPr>
      </w:pPr>
      <w:bookmarkStart w:id="20" w:name="_Hlk132015163"/>
      <w:r>
        <w:rPr>
          <w:rFonts w:ascii="Times New Roman" w:hAnsi="Times New Roman" w:cs="Times New Roman"/>
          <w:sz w:val="24"/>
          <w:szCs w:val="24"/>
        </w:rPr>
        <w:t>As with most research efforts, our study is not without</w:t>
      </w:r>
      <w:r w:rsidR="005C324A">
        <w:rPr>
          <w:rFonts w:ascii="Times New Roman" w:hAnsi="Times New Roman" w:cs="Times New Roman"/>
          <w:sz w:val="24"/>
          <w:szCs w:val="24"/>
        </w:rPr>
        <w:t xml:space="preserve"> </w:t>
      </w:r>
      <w:r w:rsidR="00735E20">
        <w:rPr>
          <w:rFonts w:ascii="Times New Roman" w:hAnsi="Times New Roman" w:cs="Times New Roman"/>
          <w:sz w:val="24"/>
          <w:szCs w:val="24"/>
        </w:rPr>
        <w:t xml:space="preserve">its own share of </w:t>
      </w:r>
      <w:r w:rsidR="005C324A">
        <w:rPr>
          <w:rFonts w:ascii="Times New Roman" w:hAnsi="Times New Roman" w:cs="Times New Roman"/>
          <w:sz w:val="24"/>
          <w:szCs w:val="24"/>
        </w:rPr>
        <w:t>limitations</w:t>
      </w:r>
      <w:r>
        <w:rPr>
          <w:rFonts w:ascii="Times New Roman" w:hAnsi="Times New Roman" w:cs="Times New Roman"/>
          <w:sz w:val="24"/>
          <w:szCs w:val="24"/>
        </w:rPr>
        <w:t>.</w:t>
      </w:r>
      <w:r w:rsidR="005C324A">
        <w:rPr>
          <w:rFonts w:ascii="Times New Roman" w:hAnsi="Times New Roman" w:cs="Times New Roman"/>
          <w:sz w:val="24"/>
          <w:szCs w:val="24"/>
        </w:rPr>
        <w:t xml:space="preserve"> </w:t>
      </w:r>
      <w:bookmarkStart w:id="21" w:name="_Hlk132631384"/>
      <w:bookmarkStart w:id="22" w:name="_Hlk132014911"/>
      <w:r w:rsidR="005C324A">
        <w:rPr>
          <w:rFonts w:ascii="Times New Roman" w:hAnsi="Times New Roman" w:cs="Times New Roman"/>
          <w:sz w:val="24"/>
          <w:szCs w:val="24"/>
        </w:rPr>
        <w:t>First, the sample only includes employed individuals who had the opportunity to telework both before and after the pandemic.</w:t>
      </w:r>
      <w:r w:rsidR="00583D76">
        <w:rPr>
          <w:rFonts w:ascii="Times New Roman" w:hAnsi="Times New Roman" w:cs="Times New Roman"/>
          <w:sz w:val="24"/>
          <w:szCs w:val="24"/>
        </w:rPr>
        <w:t xml:space="preserve"> Our focus in the current study is explicitly to investigate the </w:t>
      </w:r>
      <w:r w:rsidR="00583D76" w:rsidRPr="000D4FD3">
        <w:rPr>
          <w:rFonts w:ascii="Times New Roman" w:hAnsi="Times New Roman" w:cs="Times New Roman"/>
          <w:i/>
          <w:sz w:val="24"/>
          <w:szCs w:val="24"/>
        </w:rPr>
        <w:t>change</w:t>
      </w:r>
      <w:r w:rsidR="00583D76">
        <w:rPr>
          <w:rFonts w:ascii="Times New Roman" w:hAnsi="Times New Roman" w:cs="Times New Roman"/>
          <w:sz w:val="24"/>
          <w:szCs w:val="24"/>
        </w:rPr>
        <w:t xml:space="preserve"> in teleworking habits </w:t>
      </w:r>
      <w:r w:rsidR="00735E20">
        <w:rPr>
          <w:rFonts w:ascii="Times New Roman" w:hAnsi="Times New Roman" w:cs="Times New Roman"/>
          <w:sz w:val="24"/>
          <w:szCs w:val="24"/>
        </w:rPr>
        <w:t xml:space="preserve">from an employee standpoint </w:t>
      </w:r>
      <w:r w:rsidR="00583D76">
        <w:rPr>
          <w:rFonts w:ascii="Times New Roman" w:hAnsi="Times New Roman" w:cs="Times New Roman"/>
          <w:sz w:val="24"/>
          <w:szCs w:val="24"/>
        </w:rPr>
        <w:t xml:space="preserve">before and after the pandemic and the factors that impact these choices. This, inevitably, led us to exclude </w:t>
      </w:r>
      <w:r w:rsidR="00735E20">
        <w:rPr>
          <w:rFonts w:ascii="Times New Roman" w:hAnsi="Times New Roman" w:cs="Times New Roman"/>
          <w:sz w:val="24"/>
          <w:szCs w:val="24"/>
        </w:rPr>
        <w:t>a significant proportion of employed individuals</w:t>
      </w:r>
      <w:r w:rsidR="00583D76">
        <w:rPr>
          <w:rFonts w:ascii="Times New Roman" w:hAnsi="Times New Roman" w:cs="Times New Roman"/>
          <w:sz w:val="24"/>
          <w:szCs w:val="24"/>
        </w:rPr>
        <w:t xml:space="preserve"> who </w:t>
      </w:r>
      <w:r w:rsidR="00735E20">
        <w:rPr>
          <w:rFonts w:ascii="Times New Roman" w:hAnsi="Times New Roman" w:cs="Times New Roman"/>
          <w:sz w:val="24"/>
          <w:szCs w:val="24"/>
        </w:rPr>
        <w:t xml:space="preserve">did not have the option to telework before the pandemic. </w:t>
      </w:r>
      <w:r w:rsidR="00583D76">
        <w:rPr>
          <w:rFonts w:ascii="Times New Roman" w:hAnsi="Times New Roman" w:cs="Times New Roman"/>
          <w:sz w:val="24"/>
          <w:szCs w:val="24"/>
        </w:rPr>
        <w:t>Future studies and policies aimed at the population at larg</w:t>
      </w:r>
      <w:r w:rsidR="00735E20">
        <w:rPr>
          <w:rFonts w:ascii="Times New Roman" w:hAnsi="Times New Roman" w:cs="Times New Roman"/>
          <w:sz w:val="24"/>
          <w:szCs w:val="24"/>
        </w:rPr>
        <w:t>e</w:t>
      </w:r>
      <w:r w:rsidR="00583D76">
        <w:rPr>
          <w:rFonts w:ascii="Times New Roman" w:hAnsi="Times New Roman" w:cs="Times New Roman"/>
          <w:sz w:val="24"/>
          <w:szCs w:val="24"/>
        </w:rPr>
        <w:t xml:space="preserve"> must also consider this set of </w:t>
      </w:r>
      <w:r w:rsidR="00735E20">
        <w:rPr>
          <w:rFonts w:ascii="Times New Roman" w:hAnsi="Times New Roman" w:cs="Times New Roman"/>
          <w:sz w:val="24"/>
          <w:szCs w:val="24"/>
        </w:rPr>
        <w:t xml:space="preserve">excluded (from our study) </w:t>
      </w:r>
      <w:r w:rsidR="00583D76">
        <w:rPr>
          <w:rFonts w:ascii="Times New Roman" w:hAnsi="Times New Roman" w:cs="Times New Roman"/>
          <w:sz w:val="24"/>
          <w:szCs w:val="24"/>
        </w:rPr>
        <w:t xml:space="preserve">employees </w:t>
      </w:r>
      <w:r w:rsidR="00605032">
        <w:rPr>
          <w:rFonts w:ascii="Times New Roman" w:hAnsi="Times New Roman" w:cs="Times New Roman"/>
          <w:sz w:val="24"/>
          <w:szCs w:val="24"/>
        </w:rPr>
        <w:t>to more accurately reflect and forecast teleworking adoption, frequency and location behavior</w:t>
      </w:r>
      <w:r w:rsidR="00735E20">
        <w:rPr>
          <w:rFonts w:ascii="Times New Roman" w:hAnsi="Times New Roman" w:cs="Times New Roman"/>
          <w:sz w:val="24"/>
          <w:szCs w:val="24"/>
        </w:rPr>
        <w:t xml:space="preserve"> </w:t>
      </w:r>
      <w:r w:rsidR="00583D76">
        <w:rPr>
          <w:rFonts w:ascii="Times New Roman" w:hAnsi="Times New Roman" w:cs="Times New Roman"/>
          <w:sz w:val="24"/>
          <w:szCs w:val="24"/>
        </w:rPr>
        <w:t xml:space="preserve">in the context of </w:t>
      </w:r>
      <w:r w:rsidR="00735E20">
        <w:rPr>
          <w:rFonts w:ascii="Times New Roman" w:hAnsi="Times New Roman" w:cs="Times New Roman"/>
          <w:sz w:val="24"/>
          <w:szCs w:val="24"/>
        </w:rPr>
        <w:t xml:space="preserve">travel </w:t>
      </w:r>
      <w:r w:rsidR="00583D76">
        <w:rPr>
          <w:rFonts w:ascii="Times New Roman" w:hAnsi="Times New Roman" w:cs="Times New Roman"/>
          <w:sz w:val="24"/>
          <w:szCs w:val="24"/>
        </w:rPr>
        <w:t>demand modeling.</w:t>
      </w:r>
      <w:bookmarkStart w:id="23" w:name="_Hlk132017247"/>
      <w:bookmarkEnd w:id="21"/>
      <w:bookmarkEnd w:id="22"/>
      <w:r w:rsidR="009F2843">
        <w:rPr>
          <w:rFonts w:ascii="Times New Roman" w:hAnsi="Times New Roman" w:cs="Times New Roman"/>
          <w:sz w:val="24"/>
          <w:szCs w:val="24"/>
        </w:rPr>
        <w:t xml:space="preserve"> </w:t>
      </w:r>
      <w:bookmarkStart w:id="24" w:name="_Hlk133654837"/>
      <w:r w:rsidR="009F2843">
        <w:rPr>
          <w:rFonts w:ascii="Times New Roman" w:hAnsi="Times New Roman" w:cs="Times New Roman"/>
          <w:sz w:val="24"/>
          <w:szCs w:val="24"/>
        </w:rPr>
        <w:t xml:space="preserve">Second, for convenience, we used a recall survey to obtain telework responses at two points in time. This may lead to recall errors and biases. Future studies can consider a true longitudinal panel survey, and observe the actual telework arrangements as </w:t>
      </w:r>
      <w:r w:rsidR="009F2843">
        <w:rPr>
          <w:rFonts w:ascii="Times New Roman" w:hAnsi="Times New Roman" w:cs="Times New Roman"/>
          <w:sz w:val="24"/>
          <w:szCs w:val="24"/>
        </w:rPr>
        <w:lastRenderedPageBreak/>
        <w:t>well as corresponding demographic/other exogenous variables at each of multiple points in time.</w:t>
      </w:r>
      <w:bookmarkEnd w:id="24"/>
      <w:r w:rsidR="009F2843">
        <w:rPr>
          <w:rFonts w:ascii="Times New Roman" w:hAnsi="Times New Roman" w:cs="Times New Roman"/>
          <w:sz w:val="24"/>
          <w:szCs w:val="24"/>
        </w:rPr>
        <w:t xml:space="preserve"> </w:t>
      </w:r>
      <w:bookmarkStart w:id="25" w:name="_Hlk133654870"/>
      <w:bookmarkStart w:id="26" w:name="_Hlk132018229"/>
      <w:bookmarkStart w:id="27" w:name="_Hlk132632266"/>
      <w:bookmarkEnd w:id="23"/>
      <w:r w:rsidR="00097E3E">
        <w:rPr>
          <w:rFonts w:ascii="Times New Roman" w:hAnsi="Times New Roman" w:cs="Times New Roman"/>
          <w:sz w:val="24"/>
          <w:szCs w:val="24"/>
        </w:rPr>
        <w:t xml:space="preserve">Third, </w:t>
      </w:r>
      <w:r w:rsidR="00FF41BC">
        <w:rPr>
          <w:rFonts w:ascii="Times New Roman" w:hAnsi="Times New Roman" w:cs="Times New Roman"/>
          <w:color w:val="000000" w:themeColor="text1"/>
          <w:sz w:val="24"/>
          <w:szCs w:val="24"/>
        </w:rPr>
        <w:t>the sample used in our study was moderate in size. The relatively small sample size mostly hindered us from testing and including interaction effects, since we did not have enough data points</w:t>
      </w:r>
      <w:r w:rsidR="009F2843">
        <w:rPr>
          <w:rFonts w:ascii="Times New Roman" w:hAnsi="Times New Roman" w:cs="Times New Roman"/>
          <w:color w:val="000000" w:themeColor="text1"/>
          <w:sz w:val="24"/>
          <w:szCs w:val="24"/>
        </w:rPr>
        <w:t xml:space="preserve"> in finer subgroups </w:t>
      </w:r>
      <w:r w:rsidR="005F581C">
        <w:rPr>
          <w:rFonts w:ascii="Times New Roman" w:hAnsi="Times New Roman" w:cs="Times New Roman"/>
          <w:color w:val="000000" w:themeColor="text1"/>
          <w:sz w:val="24"/>
          <w:szCs w:val="24"/>
        </w:rPr>
        <w:t xml:space="preserve">formed from combinations of exogenous variables </w:t>
      </w:r>
      <w:r w:rsidR="009F2843">
        <w:rPr>
          <w:rFonts w:ascii="Times New Roman" w:hAnsi="Times New Roman" w:cs="Times New Roman"/>
          <w:color w:val="000000" w:themeColor="text1"/>
          <w:sz w:val="24"/>
          <w:szCs w:val="24"/>
        </w:rPr>
        <w:t>(such as young women or self-employed high income workers</w:t>
      </w:r>
      <w:r w:rsidR="008A2A0F">
        <w:rPr>
          <w:rFonts w:ascii="Times New Roman" w:hAnsi="Times New Roman" w:cs="Times New Roman"/>
          <w:color w:val="000000" w:themeColor="text1"/>
          <w:sz w:val="24"/>
          <w:szCs w:val="24"/>
        </w:rPr>
        <w:t>)</w:t>
      </w:r>
      <w:r w:rsidR="005F581C">
        <w:rPr>
          <w:rFonts w:ascii="Times New Roman" w:hAnsi="Times New Roman" w:cs="Times New Roman"/>
          <w:color w:val="000000" w:themeColor="text1"/>
          <w:sz w:val="24"/>
          <w:szCs w:val="24"/>
        </w:rPr>
        <w:t xml:space="preserve">. </w:t>
      </w:r>
      <w:r w:rsidR="00FF41BC">
        <w:rPr>
          <w:rFonts w:ascii="Times New Roman" w:hAnsi="Times New Roman" w:cs="Times New Roman"/>
          <w:color w:val="000000" w:themeColor="text1"/>
          <w:sz w:val="24"/>
          <w:szCs w:val="24"/>
        </w:rPr>
        <w:t xml:space="preserve">Nevertheless, </w:t>
      </w:r>
      <w:r w:rsidR="005F581C">
        <w:rPr>
          <w:rFonts w:ascii="Times New Roman" w:hAnsi="Times New Roman" w:cs="Times New Roman"/>
          <w:color w:val="000000" w:themeColor="text1"/>
          <w:sz w:val="24"/>
          <w:szCs w:val="24"/>
        </w:rPr>
        <w:t xml:space="preserve">in our research, </w:t>
      </w:r>
      <w:r w:rsidR="00FF41BC">
        <w:rPr>
          <w:rFonts w:ascii="Times New Roman" w:hAnsi="Times New Roman" w:cs="Times New Roman"/>
          <w:color w:val="000000" w:themeColor="text1"/>
          <w:sz w:val="24"/>
          <w:szCs w:val="24"/>
        </w:rPr>
        <w:t xml:space="preserve">the sample size limitation did not have a </w:t>
      </w:r>
      <w:r w:rsidR="005F581C">
        <w:rPr>
          <w:rFonts w:ascii="Times New Roman" w:hAnsi="Times New Roman" w:cs="Times New Roman"/>
          <w:color w:val="000000" w:themeColor="text1"/>
          <w:sz w:val="24"/>
          <w:szCs w:val="24"/>
        </w:rPr>
        <w:t>substantial</w:t>
      </w:r>
      <w:r w:rsidR="00FF41BC">
        <w:rPr>
          <w:rFonts w:ascii="Times New Roman" w:hAnsi="Times New Roman" w:cs="Times New Roman"/>
          <w:color w:val="000000" w:themeColor="text1"/>
          <w:sz w:val="24"/>
          <w:szCs w:val="24"/>
        </w:rPr>
        <w:t xml:space="preserve"> impact </w:t>
      </w:r>
      <w:r w:rsidR="005F581C">
        <w:rPr>
          <w:rFonts w:ascii="Times New Roman" w:hAnsi="Times New Roman" w:cs="Times New Roman"/>
          <w:color w:val="000000" w:themeColor="text1"/>
          <w:sz w:val="24"/>
          <w:szCs w:val="24"/>
        </w:rPr>
        <w:t xml:space="preserve">on </w:t>
      </w:r>
      <w:r w:rsidR="00FF41BC">
        <w:rPr>
          <w:rFonts w:ascii="Times New Roman" w:hAnsi="Times New Roman" w:cs="Times New Roman"/>
          <w:color w:val="000000" w:themeColor="text1"/>
          <w:sz w:val="24"/>
          <w:szCs w:val="24"/>
        </w:rPr>
        <w:t xml:space="preserve">the robustness of the results. An effective way to check for </w:t>
      </w:r>
      <w:r w:rsidR="005F581C">
        <w:rPr>
          <w:rFonts w:ascii="Times New Roman" w:hAnsi="Times New Roman" w:cs="Times New Roman"/>
          <w:color w:val="000000" w:themeColor="text1"/>
          <w:sz w:val="24"/>
          <w:szCs w:val="24"/>
        </w:rPr>
        <w:t xml:space="preserve">this </w:t>
      </w:r>
      <w:r w:rsidR="00FF41BC">
        <w:rPr>
          <w:rFonts w:ascii="Times New Roman" w:hAnsi="Times New Roman" w:cs="Times New Roman"/>
          <w:color w:val="000000" w:themeColor="text1"/>
          <w:sz w:val="24"/>
          <w:szCs w:val="24"/>
        </w:rPr>
        <w:t>is to estimate several models by changing a few of the exogenous variable specification</w:t>
      </w:r>
      <w:r w:rsidR="005F581C">
        <w:rPr>
          <w:rFonts w:ascii="Times New Roman" w:hAnsi="Times New Roman" w:cs="Times New Roman"/>
          <w:color w:val="000000" w:themeColor="text1"/>
          <w:sz w:val="24"/>
          <w:szCs w:val="24"/>
        </w:rPr>
        <w:t>s</w:t>
      </w:r>
      <w:r w:rsidR="00FF41BC">
        <w:rPr>
          <w:rFonts w:ascii="Times New Roman" w:hAnsi="Times New Roman" w:cs="Times New Roman"/>
          <w:color w:val="000000" w:themeColor="text1"/>
          <w:sz w:val="24"/>
          <w:szCs w:val="24"/>
        </w:rPr>
        <w:t xml:space="preserve"> randomly, and checking if the resulting estimates vary substantially across each estimation; and then to undertake a prediction exercise for the dependent outcomes for each of such estimations</w:t>
      </w:r>
      <w:r w:rsidR="00516530">
        <w:rPr>
          <w:rFonts w:ascii="Times New Roman" w:hAnsi="Times New Roman" w:cs="Times New Roman"/>
          <w:color w:val="000000" w:themeColor="text1"/>
          <w:sz w:val="24"/>
          <w:szCs w:val="24"/>
        </w:rPr>
        <w:t xml:space="preserve"> (</w:t>
      </w:r>
      <w:r w:rsidR="00516530" w:rsidRPr="00194389">
        <w:rPr>
          <w:rFonts w:ascii="Times New Roman" w:hAnsi="Times New Roman" w:cs="Times New Roman"/>
          <w:color w:val="000000" w:themeColor="text1"/>
          <w:sz w:val="24"/>
          <w:szCs w:val="24"/>
        </w:rPr>
        <w:t xml:space="preserve">see for example, Lu and White, 2014, Srivastava et al., 2018, </w:t>
      </w:r>
      <w:r w:rsidR="00B37755">
        <w:rPr>
          <w:rFonts w:ascii="Times New Roman" w:hAnsi="Times New Roman" w:cs="Times New Roman"/>
          <w:color w:val="000000" w:themeColor="text1"/>
          <w:sz w:val="24"/>
          <w:szCs w:val="24"/>
        </w:rPr>
        <w:t xml:space="preserve">and </w:t>
      </w:r>
      <w:r w:rsidR="00516530" w:rsidRPr="00194389">
        <w:rPr>
          <w:rFonts w:ascii="Times New Roman" w:hAnsi="Times New Roman" w:cs="Times New Roman"/>
          <w:color w:val="000000" w:themeColor="text1"/>
          <w:sz w:val="24"/>
          <w:szCs w:val="24"/>
        </w:rPr>
        <w:t>Brennan et al. 2021</w:t>
      </w:r>
      <w:r w:rsidR="00B37755">
        <w:rPr>
          <w:rFonts w:ascii="Times New Roman" w:hAnsi="Times New Roman" w:cs="Times New Roman"/>
          <w:color w:val="000000" w:themeColor="text1"/>
          <w:sz w:val="24"/>
          <w:szCs w:val="24"/>
        </w:rPr>
        <w:t>)</w:t>
      </w:r>
      <w:r w:rsidR="00516530" w:rsidRPr="00443641">
        <w:rPr>
          <w:rFonts w:ascii="Times New Roman" w:hAnsi="Times New Roman" w:cs="Times New Roman"/>
          <w:color w:val="000000" w:themeColor="text1"/>
          <w:sz w:val="24"/>
          <w:szCs w:val="24"/>
        </w:rPr>
        <w:t>.</w:t>
      </w:r>
      <w:r w:rsidR="00FF41BC">
        <w:rPr>
          <w:rFonts w:ascii="Times New Roman" w:hAnsi="Times New Roman" w:cs="Times New Roman"/>
          <w:color w:val="000000" w:themeColor="text1"/>
          <w:sz w:val="24"/>
          <w:szCs w:val="24"/>
        </w:rPr>
        <w:t xml:space="preserve"> In our analysis, the estimates for each of the variables were consistently around the estimates reported in Table 3 (in terms of magnitude and signs) across all such estimations. Moreover, the predictions were also consistent </w:t>
      </w:r>
      <w:r w:rsidR="00AE6F7B">
        <w:rPr>
          <w:rFonts w:ascii="Times New Roman" w:hAnsi="Times New Roman" w:cs="Times New Roman"/>
          <w:color w:val="000000" w:themeColor="text1"/>
          <w:sz w:val="24"/>
          <w:szCs w:val="24"/>
        </w:rPr>
        <w:t>(and remarkably good)</w:t>
      </w:r>
      <w:r w:rsidR="00FF41BC">
        <w:rPr>
          <w:rFonts w:ascii="Times New Roman" w:hAnsi="Times New Roman" w:cs="Times New Roman"/>
          <w:color w:val="000000" w:themeColor="text1"/>
          <w:sz w:val="24"/>
          <w:szCs w:val="24"/>
        </w:rPr>
        <w:t xml:space="preserve"> around those reported in Table 6. </w:t>
      </w:r>
      <w:r w:rsidR="005F581C">
        <w:rPr>
          <w:rFonts w:ascii="Times New Roman" w:hAnsi="Times New Roman" w:cs="Times New Roman"/>
          <w:color w:val="000000" w:themeColor="text1"/>
          <w:sz w:val="24"/>
          <w:szCs w:val="24"/>
        </w:rPr>
        <w:t>Thus, t</w:t>
      </w:r>
      <w:r w:rsidR="00FF41BC">
        <w:rPr>
          <w:rFonts w:ascii="Times New Roman" w:hAnsi="Times New Roman" w:cs="Times New Roman"/>
          <w:color w:val="000000" w:themeColor="text1"/>
          <w:sz w:val="24"/>
          <w:szCs w:val="24"/>
        </w:rPr>
        <w:t xml:space="preserve">he conclusions we draw from our study are quite robust, although we do believe that a larger sample would definitely help </w:t>
      </w:r>
      <w:r w:rsidR="00C06EE0">
        <w:rPr>
          <w:rFonts w:ascii="Times New Roman" w:hAnsi="Times New Roman" w:cs="Times New Roman"/>
          <w:color w:val="000000" w:themeColor="text1"/>
          <w:sz w:val="24"/>
          <w:szCs w:val="24"/>
        </w:rPr>
        <w:t>draw additional</w:t>
      </w:r>
      <w:r w:rsidR="00FF41BC">
        <w:rPr>
          <w:rFonts w:ascii="Times New Roman" w:hAnsi="Times New Roman" w:cs="Times New Roman"/>
          <w:color w:val="000000" w:themeColor="text1"/>
          <w:sz w:val="24"/>
          <w:szCs w:val="24"/>
        </w:rPr>
        <w:t xml:space="preserve"> insights.</w:t>
      </w:r>
      <w:bookmarkEnd w:id="25"/>
      <w:r w:rsidR="00FF41BC">
        <w:rPr>
          <w:rFonts w:ascii="Times New Roman" w:hAnsi="Times New Roman" w:cs="Times New Roman"/>
          <w:color w:val="000000" w:themeColor="text1"/>
          <w:sz w:val="24"/>
          <w:szCs w:val="24"/>
        </w:rPr>
        <w:t xml:space="preserve"> </w:t>
      </w:r>
      <w:bookmarkStart w:id="28" w:name="_Hlk133655031"/>
      <w:r w:rsidR="005F581C">
        <w:rPr>
          <w:rFonts w:ascii="Times New Roman" w:hAnsi="Times New Roman" w:cs="Times New Roman"/>
          <w:sz w:val="24"/>
          <w:szCs w:val="24"/>
        </w:rPr>
        <w:t xml:space="preserve">Fourth, investigating telework arrangements and COVID effects in different geographic areas of the country would be a fruitful avenue for further research. </w:t>
      </w:r>
      <w:bookmarkEnd w:id="20"/>
      <w:bookmarkEnd w:id="26"/>
      <w:bookmarkEnd w:id="27"/>
      <w:r w:rsidR="005F581C">
        <w:rPr>
          <w:rFonts w:ascii="Times New Roman" w:hAnsi="Times New Roman" w:cs="Times New Roman"/>
          <w:sz w:val="24"/>
          <w:szCs w:val="24"/>
        </w:rPr>
        <w:t xml:space="preserve">While </w:t>
      </w:r>
      <w:r w:rsidR="005D7357">
        <w:rPr>
          <w:rFonts w:ascii="Times New Roman" w:hAnsi="Times New Roman" w:cs="Times New Roman"/>
          <w:sz w:val="24"/>
          <w:szCs w:val="24"/>
        </w:rPr>
        <w:t>telework</w:t>
      </w:r>
      <w:r w:rsidR="00107ACC" w:rsidRPr="007E29DC">
        <w:rPr>
          <w:rFonts w:ascii="Times New Roman" w:hAnsi="Times New Roman" w:cs="Times New Roman"/>
          <w:sz w:val="24"/>
          <w:szCs w:val="24"/>
        </w:rPr>
        <w:t xml:space="preserve"> rates are nearly identical between Texas and the rest of the country</w:t>
      </w:r>
      <w:r w:rsidR="005F581C">
        <w:rPr>
          <w:rFonts w:ascii="Times New Roman" w:hAnsi="Times New Roman" w:cs="Times New Roman"/>
          <w:sz w:val="24"/>
          <w:szCs w:val="24"/>
        </w:rPr>
        <w:t xml:space="preserve"> (see </w:t>
      </w:r>
      <w:r w:rsidR="00107ACC" w:rsidRPr="00192874">
        <w:rPr>
          <w:rFonts w:ascii="Times New Roman" w:hAnsi="Times New Roman" w:cs="Times New Roman"/>
          <w:sz w:val="24"/>
          <w:szCs w:val="24"/>
        </w:rPr>
        <w:t>Cobler, 2022)</w:t>
      </w:r>
      <w:r w:rsidR="005F581C">
        <w:rPr>
          <w:rFonts w:ascii="Times New Roman" w:hAnsi="Times New Roman" w:cs="Times New Roman"/>
          <w:sz w:val="24"/>
          <w:szCs w:val="24"/>
        </w:rPr>
        <w:t>, this does not necessarily imply transferability of model estimates. The effects of exogenous variables can be quite different based on such c</w:t>
      </w:r>
      <w:r w:rsidR="00107ACC">
        <w:rPr>
          <w:rFonts w:ascii="Times New Roman" w:hAnsi="Times New Roman" w:cs="Times New Roman"/>
          <w:sz w:val="24"/>
          <w:szCs w:val="24"/>
        </w:rPr>
        <w:t>ontext-specific variable</w:t>
      </w:r>
      <w:r w:rsidR="005F581C">
        <w:rPr>
          <w:rFonts w:ascii="Times New Roman" w:hAnsi="Times New Roman" w:cs="Times New Roman"/>
          <w:sz w:val="24"/>
          <w:szCs w:val="24"/>
        </w:rPr>
        <w:t>s</w:t>
      </w:r>
      <w:r w:rsidR="00107ACC">
        <w:rPr>
          <w:rFonts w:ascii="Times New Roman" w:hAnsi="Times New Roman" w:cs="Times New Roman"/>
          <w:sz w:val="24"/>
          <w:szCs w:val="24"/>
        </w:rPr>
        <w:t xml:space="preserve"> as </w:t>
      </w:r>
      <w:r w:rsidR="005F581C">
        <w:rPr>
          <w:rFonts w:ascii="Times New Roman" w:hAnsi="Times New Roman" w:cs="Times New Roman"/>
          <w:sz w:val="24"/>
          <w:szCs w:val="24"/>
        </w:rPr>
        <w:t xml:space="preserve">the local </w:t>
      </w:r>
      <w:r w:rsidR="00107ACC">
        <w:rPr>
          <w:rFonts w:ascii="Times New Roman" w:hAnsi="Times New Roman" w:cs="Times New Roman"/>
          <w:sz w:val="24"/>
          <w:szCs w:val="24"/>
        </w:rPr>
        <w:t xml:space="preserve">government’s </w:t>
      </w:r>
      <w:r w:rsidR="005F581C">
        <w:rPr>
          <w:rFonts w:ascii="Times New Roman" w:hAnsi="Times New Roman" w:cs="Times New Roman"/>
          <w:sz w:val="24"/>
          <w:szCs w:val="24"/>
        </w:rPr>
        <w:t>policies</w:t>
      </w:r>
      <w:r w:rsidR="00107ACC">
        <w:rPr>
          <w:rFonts w:ascii="Times New Roman" w:hAnsi="Times New Roman" w:cs="Times New Roman"/>
          <w:sz w:val="24"/>
          <w:szCs w:val="24"/>
        </w:rPr>
        <w:t xml:space="preserve">, </w:t>
      </w:r>
      <w:r w:rsidR="005F581C">
        <w:rPr>
          <w:rFonts w:ascii="Times New Roman" w:hAnsi="Times New Roman" w:cs="Times New Roman"/>
          <w:sz w:val="24"/>
          <w:szCs w:val="24"/>
        </w:rPr>
        <w:t xml:space="preserve">the </w:t>
      </w:r>
      <w:r w:rsidR="00107ACC">
        <w:rPr>
          <w:rFonts w:ascii="Times New Roman" w:hAnsi="Times New Roman" w:cs="Times New Roman"/>
          <w:sz w:val="24"/>
          <w:szCs w:val="24"/>
        </w:rPr>
        <w:t xml:space="preserve">economic </w:t>
      </w:r>
      <w:r w:rsidR="005F581C">
        <w:rPr>
          <w:rFonts w:ascii="Times New Roman" w:hAnsi="Times New Roman" w:cs="Times New Roman"/>
          <w:sz w:val="24"/>
          <w:szCs w:val="24"/>
        </w:rPr>
        <w:t xml:space="preserve">conditions in </w:t>
      </w:r>
      <w:r w:rsidR="00107ACC">
        <w:rPr>
          <w:rFonts w:ascii="Times New Roman" w:hAnsi="Times New Roman" w:cs="Times New Roman"/>
          <w:sz w:val="24"/>
          <w:szCs w:val="24"/>
        </w:rPr>
        <w:t xml:space="preserve">the region, </w:t>
      </w:r>
      <w:r w:rsidR="005F581C">
        <w:rPr>
          <w:rFonts w:ascii="Times New Roman" w:hAnsi="Times New Roman" w:cs="Times New Roman"/>
          <w:sz w:val="24"/>
          <w:szCs w:val="24"/>
        </w:rPr>
        <w:t xml:space="preserve">and </w:t>
      </w:r>
      <w:r w:rsidR="00107ACC">
        <w:rPr>
          <w:rFonts w:ascii="Times New Roman" w:hAnsi="Times New Roman" w:cs="Times New Roman"/>
          <w:sz w:val="24"/>
          <w:szCs w:val="24"/>
        </w:rPr>
        <w:t>people’s attitudes</w:t>
      </w:r>
      <w:r w:rsidR="005F581C">
        <w:rPr>
          <w:rFonts w:ascii="Times New Roman" w:hAnsi="Times New Roman" w:cs="Times New Roman"/>
          <w:sz w:val="24"/>
          <w:szCs w:val="24"/>
        </w:rPr>
        <w:t>.</w:t>
      </w:r>
      <w:r w:rsidR="00107ACC">
        <w:rPr>
          <w:rFonts w:ascii="Times New Roman" w:hAnsi="Times New Roman" w:cs="Times New Roman"/>
          <w:sz w:val="24"/>
          <w:szCs w:val="24"/>
        </w:rPr>
        <w:t xml:space="preserve"> </w:t>
      </w:r>
      <w:r w:rsidR="005F581C">
        <w:rPr>
          <w:rFonts w:ascii="Times New Roman" w:hAnsi="Times New Roman" w:cs="Times New Roman"/>
          <w:sz w:val="24"/>
          <w:szCs w:val="24"/>
        </w:rPr>
        <w:t>Thus, additional investigations in different geographic contexts as well as over time can provide important insights about spatial-temporal variations in telework uptake</w:t>
      </w:r>
      <w:r w:rsidR="003E5AC6">
        <w:rPr>
          <w:rFonts w:ascii="Times New Roman" w:hAnsi="Times New Roman" w:cs="Times New Roman"/>
          <w:sz w:val="24"/>
          <w:szCs w:val="24"/>
        </w:rPr>
        <w:t xml:space="preserve">, frequency, and location </w:t>
      </w:r>
      <w:r w:rsidR="005F581C">
        <w:rPr>
          <w:rFonts w:ascii="Times New Roman" w:hAnsi="Times New Roman" w:cs="Times New Roman"/>
          <w:sz w:val="24"/>
          <w:szCs w:val="24"/>
        </w:rPr>
        <w:t xml:space="preserve">preferences. </w:t>
      </w:r>
      <w:bookmarkEnd w:id="28"/>
    </w:p>
    <w:p w14:paraId="20EA7AE6" w14:textId="77777777" w:rsidR="00107ACC" w:rsidRDefault="00107ACC" w:rsidP="00E1729F">
      <w:pPr>
        <w:spacing w:after="0" w:line="276" w:lineRule="auto"/>
        <w:rPr>
          <w:rFonts w:ascii="Times New Roman" w:hAnsi="Times New Roman" w:cs="Times New Roman"/>
          <w:b/>
          <w:sz w:val="24"/>
          <w:szCs w:val="24"/>
        </w:rPr>
      </w:pPr>
    </w:p>
    <w:p w14:paraId="3DCB7786" w14:textId="53EC078C" w:rsidR="00252BAB" w:rsidRPr="00837F9C" w:rsidRDefault="00ED3739" w:rsidP="00E1729F">
      <w:pPr>
        <w:spacing w:after="0" w:line="276" w:lineRule="auto"/>
        <w:rPr>
          <w:rFonts w:ascii="Times New Roman" w:hAnsi="Times New Roman" w:cs="Times New Roman"/>
          <w:sz w:val="24"/>
          <w:szCs w:val="24"/>
        </w:rPr>
      </w:pPr>
      <w:r w:rsidRPr="00837F9C">
        <w:rPr>
          <w:rFonts w:ascii="Times New Roman" w:hAnsi="Times New Roman" w:cs="Times New Roman"/>
          <w:b/>
          <w:sz w:val="24"/>
          <w:szCs w:val="24"/>
        </w:rPr>
        <w:t>ACKNOWLEDGEMENT</w:t>
      </w:r>
    </w:p>
    <w:p w14:paraId="15567A18" w14:textId="3A88E381" w:rsidR="00276838" w:rsidRPr="00407E53" w:rsidRDefault="00276838" w:rsidP="00E1729F">
      <w:pPr>
        <w:spacing w:after="0" w:line="276" w:lineRule="auto"/>
        <w:rPr>
          <w:rFonts w:ascii="Times New Roman" w:hAnsi="Times New Roman" w:cs="Times New Roman"/>
          <w:sz w:val="24"/>
          <w:szCs w:val="24"/>
        </w:rPr>
      </w:pPr>
      <w:r w:rsidRPr="00407E53">
        <w:rPr>
          <w:rFonts w:ascii="Times New Roman" w:hAnsi="Times New Roman" w:cs="Times New Roman"/>
          <w:sz w:val="24"/>
          <w:szCs w:val="24"/>
        </w:rPr>
        <w:t>This</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research</w:t>
      </w:r>
      <w:r w:rsidR="00B17E6D" w:rsidRPr="00407E53">
        <w:rPr>
          <w:rFonts w:ascii="Times New Roman" w:hAnsi="Times New Roman" w:cs="Times New Roman"/>
          <w:sz w:val="24"/>
          <w:szCs w:val="24"/>
        </w:rPr>
        <w:t xml:space="preserve"> </w:t>
      </w:r>
      <w:r w:rsidRPr="00407E53">
        <w:rPr>
          <w:rFonts w:ascii="Times New Roman" w:hAnsi="Times New Roman" w:cs="Times New Roman"/>
          <w:sz w:val="24"/>
          <w:szCs w:val="24"/>
        </w:rPr>
        <w:t>was</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partially</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supported</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by</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the</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Center</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for</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Teaching</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Old</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Models</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New</w:t>
      </w:r>
      <w:r w:rsidR="00620958" w:rsidRPr="00407E53">
        <w:rPr>
          <w:rFonts w:ascii="Times New Roman" w:hAnsi="Times New Roman" w:cs="Times New Roman"/>
          <w:sz w:val="24"/>
          <w:szCs w:val="24"/>
        </w:rPr>
        <w:t xml:space="preserve"> </w:t>
      </w:r>
      <w:r w:rsidRPr="00407E53">
        <w:rPr>
          <w:rFonts w:ascii="Times New Roman" w:hAnsi="Times New Roman" w:cs="Times New Roman"/>
          <w:sz w:val="24"/>
          <w:szCs w:val="24"/>
        </w:rPr>
        <w:t>Tricks</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(TOMNET</w:t>
      </w:r>
      <w:r w:rsidR="00124189" w:rsidRPr="00407E53">
        <w:rPr>
          <w:rFonts w:ascii="Times New Roman" w:hAnsi="Times New Roman" w:cs="Times New Roman"/>
          <w:sz w:val="24"/>
          <w:szCs w:val="24"/>
        </w:rPr>
        <w:t xml:space="preserve">), a </w:t>
      </w:r>
      <w:r w:rsidRPr="00407E53">
        <w:rPr>
          <w:rFonts w:ascii="Times New Roman" w:hAnsi="Times New Roman" w:cs="Times New Roman"/>
          <w:sz w:val="24"/>
          <w:szCs w:val="24"/>
        </w:rPr>
        <w:t>Tier</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1</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University</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Transportation</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Center</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sponsored</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by</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the</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US</w:t>
      </w:r>
      <w:r w:rsidR="00187C2A" w:rsidRPr="00407E53">
        <w:rPr>
          <w:rFonts w:ascii="Times New Roman" w:hAnsi="Times New Roman" w:cs="Times New Roman"/>
          <w:sz w:val="24"/>
          <w:szCs w:val="24"/>
        </w:rPr>
        <w:t xml:space="preserve"> </w:t>
      </w:r>
      <w:r w:rsidRPr="00407E53">
        <w:rPr>
          <w:rFonts w:ascii="Times New Roman" w:hAnsi="Times New Roman" w:cs="Times New Roman"/>
          <w:sz w:val="24"/>
          <w:szCs w:val="24"/>
        </w:rPr>
        <w:t>Department of Transportation</w:t>
      </w:r>
      <w:r w:rsidR="00C74D28" w:rsidRPr="00407E53">
        <w:rPr>
          <w:rFonts w:ascii="Times New Roman" w:hAnsi="Times New Roman" w:cs="Times New Roman"/>
          <w:sz w:val="24"/>
          <w:szCs w:val="24"/>
        </w:rPr>
        <w:t xml:space="preserve"> under grant 69A3551747116</w:t>
      </w:r>
      <w:r w:rsidR="007A662C" w:rsidRPr="00407E53">
        <w:rPr>
          <w:rFonts w:ascii="Times New Roman" w:hAnsi="Times New Roman" w:cs="Times New Roman"/>
          <w:sz w:val="24"/>
          <w:szCs w:val="24"/>
        </w:rPr>
        <w:t xml:space="preserve">, as well as by the Center for Understanding the Future of Travel Behavior and Demand (TBD), a National University Transportation Center also sponsored by the US Department of Transportation under grant </w:t>
      </w:r>
      <w:r w:rsidR="00407E53" w:rsidRPr="00407E53">
        <w:rPr>
          <w:rFonts w:ascii="Times New Roman" w:hAnsi="Times New Roman" w:cs="Times New Roman"/>
          <w:sz w:val="24"/>
          <w:szCs w:val="24"/>
        </w:rPr>
        <w:t>69A3552344815 and 69A3552348320</w:t>
      </w:r>
      <w:r w:rsidR="00917D17" w:rsidRPr="00407E53">
        <w:rPr>
          <w:rFonts w:ascii="Times New Roman" w:hAnsi="Times New Roman" w:cs="Times New Roman"/>
          <w:sz w:val="24"/>
          <w:szCs w:val="24"/>
        </w:rPr>
        <w:t xml:space="preserve">. The data used in this paper </w:t>
      </w:r>
      <w:r w:rsidR="00623B75" w:rsidRPr="00407E53">
        <w:rPr>
          <w:rFonts w:ascii="Times New Roman" w:hAnsi="Times New Roman" w:cs="Times New Roman"/>
          <w:sz w:val="24"/>
          <w:szCs w:val="24"/>
        </w:rPr>
        <w:t>was</w:t>
      </w:r>
      <w:r w:rsidR="00917D17" w:rsidRPr="00407E53">
        <w:rPr>
          <w:rFonts w:ascii="Times New Roman" w:hAnsi="Times New Roman" w:cs="Times New Roman"/>
          <w:sz w:val="24"/>
          <w:szCs w:val="24"/>
        </w:rPr>
        <w:t xml:space="preserve"> collected as part of a survey funded by the Texas Department of Transportation. </w:t>
      </w:r>
      <w:r w:rsidR="00947005" w:rsidRPr="00407E53">
        <w:rPr>
          <w:rFonts w:ascii="Times New Roman" w:hAnsi="Times New Roman" w:cs="Times New Roman"/>
          <w:sz w:val="24"/>
          <w:szCs w:val="24"/>
        </w:rPr>
        <w:t>The authors are grateful to Lisa Macias for her help in formatting this document</w:t>
      </w:r>
      <w:r w:rsidR="0069504D" w:rsidRPr="00407E53">
        <w:rPr>
          <w:rFonts w:ascii="Times New Roman" w:hAnsi="Times New Roman" w:cs="Times New Roman"/>
          <w:sz w:val="24"/>
          <w:szCs w:val="24"/>
        </w:rPr>
        <w:t xml:space="preserve">, and to </w:t>
      </w:r>
      <w:r w:rsidR="0069504D" w:rsidRPr="00407E53">
        <w:rPr>
          <w:rFonts w:ascii="Times New Roman" w:hAnsi="Times New Roman" w:cs="Times New Roman"/>
          <w:bCs/>
          <w:sz w:val="24"/>
          <w:szCs w:val="24"/>
        </w:rPr>
        <w:t>three anonymous reviewers who provided useful comments and suggestions on an earlier version of this paper.</w:t>
      </w:r>
      <w:r w:rsidR="007A662C" w:rsidRPr="00407E53">
        <w:rPr>
          <w:rFonts w:ascii="Times New Roman" w:hAnsi="Times New Roman" w:cs="Times New Roman"/>
          <w:bCs/>
          <w:sz w:val="24"/>
          <w:szCs w:val="24"/>
        </w:rPr>
        <w:t xml:space="preserve"> Special thanks also to Elisabetta Cherchi for her wise counsel and guidance in improving the paper. </w:t>
      </w:r>
    </w:p>
    <w:p w14:paraId="1B50FD81" w14:textId="77777777" w:rsidR="00190215" w:rsidRPr="00837F9C" w:rsidRDefault="00190215" w:rsidP="00E1729F">
      <w:pPr>
        <w:spacing w:after="0" w:line="276" w:lineRule="auto"/>
        <w:rPr>
          <w:rFonts w:ascii="Times New Roman" w:hAnsi="Times New Roman" w:cs="Times New Roman"/>
          <w:sz w:val="24"/>
          <w:szCs w:val="24"/>
        </w:rPr>
      </w:pPr>
      <w:bookmarkStart w:id="29" w:name="_Hlk110093388"/>
    </w:p>
    <w:p w14:paraId="2C37C5B9" w14:textId="77777777" w:rsidR="007337DC" w:rsidRPr="0069504D" w:rsidRDefault="007337DC" w:rsidP="0069504D">
      <w:pPr>
        <w:spacing w:afterLines="40" w:after="96" w:line="240" w:lineRule="auto"/>
        <w:ind w:left="540" w:hanging="540"/>
        <w:rPr>
          <w:rFonts w:ascii="Times New Roman" w:hAnsi="Times New Roman" w:cs="Times New Roman"/>
          <w:b/>
          <w:noProof/>
          <w:sz w:val="24"/>
          <w:szCs w:val="24"/>
        </w:rPr>
      </w:pPr>
      <w:bookmarkStart w:id="30" w:name="_Hlk61872668"/>
      <w:r w:rsidRPr="0069504D">
        <w:rPr>
          <w:rFonts w:ascii="Times New Roman" w:hAnsi="Times New Roman" w:cs="Times New Roman"/>
          <w:b/>
          <w:noProof/>
          <w:sz w:val="24"/>
          <w:szCs w:val="24"/>
        </w:rPr>
        <w:t>REFERENCES</w:t>
      </w:r>
    </w:p>
    <w:bookmarkEnd w:id="29"/>
    <w:bookmarkEnd w:id="30"/>
    <w:p w14:paraId="19C1CC08"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Ahmadi, F., </w:t>
      </w:r>
      <w:proofErr w:type="spellStart"/>
      <w:r w:rsidRPr="0069504D">
        <w:rPr>
          <w:rFonts w:ascii="Times New Roman" w:hAnsi="Times New Roman" w:cs="Times New Roman"/>
          <w:sz w:val="24"/>
          <w:szCs w:val="24"/>
          <w:shd w:val="clear" w:color="auto" w:fill="FFFFFF"/>
        </w:rPr>
        <w:t>Zandi</w:t>
      </w:r>
      <w:proofErr w:type="spellEnd"/>
      <w:r w:rsidRPr="0069504D">
        <w:rPr>
          <w:rFonts w:ascii="Times New Roman" w:hAnsi="Times New Roman" w:cs="Times New Roman"/>
          <w:sz w:val="24"/>
          <w:szCs w:val="24"/>
          <w:shd w:val="clear" w:color="auto" w:fill="FFFFFF"/>
        </w:rPr>
        <w:t xml:space="preserve">, S., </w:t>
      </w:r>
      <w:proofErr w:type="spellStart"/>
      <w:r w:rsidRPr="0069504D">
        <w:rPr>
          <w:rFonts w:ascii="Times New Roman" w:hAnsi="Times New Roman" w:cs="Times New Roman"/>
          <w:sz w:val="24"/>
          <w:szCs w:val="24"/>
          <w:shd w:val="clear" w:color="auto" w:fill="FFFFFF"/>
        </w:rPr>
        <w:t>Cetrez</w:t>
      </w:r>
      <w:proofErr w:type="spellEnd"/>
      <w:r w:rsidRPr="0069504D">
        <w:rPr>
          <w:rFonts w:ascii="Times New Roman" w:hAnsi="Times New Roman" w:cs="Times New Roman"/>
          <w:sz w:val="24"/>
          <w:szCs w:val="24"/>
          <w:shd w:val="clear" w:color="auto" w:fill="FFFFFF"/>
        </w:rPr>
        <w:t xml:space="preserve">, Ö.A., and </w:t>
      </w:r>
      <w:proofErr w:type="spellStart"/>
      <w:r w:rsidRPr="0069504D">
        <w:rPr>
          <w:rFonts w:ascii="Times New Roman" w:hAnsi="Times New Roman" w:cs="Times New Roman"/>
          <w:sz w:val="24"/>
          <w:szCs w:val="24"/>
          <w:shd w:val="clear" w:color="auto" w:fill="FFFFFF"/>
        </w:rPr>
        <w:t>Akhavan</w:t>
      </w:r>
      <w:proofErr w:type="spellEnd"/>
      <w:r w:rsidRPr="0069504D">
        <w:rPr>
          <w:rFonts w:ascii="Times New Roman" w:hAnsi="Times New Roman" w:cs="Times New Roman"/>
          <w:sz w:val="24"/>
          <w:szCs w:val="24"/>
          <w:shd w:val="clear" w:color="auto" w:fill="FFFFFF"/>
        </w:rPr>
        <w:t>, S. (2022). Job satisfaction and challenges of working from home during the COVID-19 pandemic: A study in a Swedish academic setting. </w:t>
      </w:r>
      <w:r w:rsidRPr="0069504D">
        <w:rPr>
          <w:rFonts w:ascii="Times New Roman" w:hAnsi="Times New Roman" w:cs="Times New Roman"/>
          <w:i/>
          <w:iCs/>
          <w:sz w:val="24"/>
          <w:szCs w:val="24"/>
          <w:shd w:val="clear" w:color="auto" w:fill="FFFFFF"/>
        </w:rPr>
        <w:t>Work</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71</w:t>
      </w:r>
      <w:r w:rsidRPr="0069504D">
        <w:rPr>
          <w:rFonts w:ascii="Times New Roman" w:hAnsi="Times New Roman" w:cs="Times New Roman"/>
          <w:sz w:val="24"/>
          <w:szCs w:val="24"/>
          <w:shd w:val="clear" w:color="auto" w:fill="FFFFFF"/>
        </w:rPr>
        <w:t>(2), 357-370.</w:t>
      </w:r>
    </w:p>
    <w:p w14:paraId="3ABD1EEE" w14:textId="2D73C9D0"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lastRenderedPageBreak/>
        <w:t xml:space="preserve">Ahmed Kamal, M., Ismail, Z., Shehata, I. M., </w:t>
      </w:r>
      <w:proofErr w:type="spellStart"/>
      <w:r w:rsidRPr="0069504D">
        <w:rPr>
          <w:rFonts w:ascii="Times New Roman" w:hAnsi="Times New Roman" w:cs="Times New Roman"/>
          <w:color w:val="222222"/>
          <w:sz w:val="24"/>
          <w:szCs w:val="24"/>
          <w:shd w:val="clear" w:color="auto" w:fill="FFFFFF"/>
        </w:rPr>
        <w:t>Djirar</w:t>
      </w:r>
      <w:proofErr w:type="spellEnd"/>
      <w:r w:rsidRPr="0069504D">
        <w:rPr>
          <w:rFonts w:ascii="Times New Roman" w:hAnsi="Times New Roman" w:cs="Times New Roman"/>
          <w:color w:val="222222"/>
          <w:sz w:val="24"/>
          <w:szCs w:val="24"/>
          <w:shd w:val="clear" w:color="auto" w:fill="FFFFFF"/>
        </w:rPr>
        <w:t xml:space="preserve">, S., Talbot, N. C., </w:t>
      </w:r>
      <w:proofErr w:type="spellStart"/>
      <w:r w:rsidRPr="0069504D">
        <w:rPr>
          <w:rFonts w:ascii="Times New Roman" w:hAnsi="Times New Roman" w:cs="Times New Roman"/>
          <w:color w:val="222222"/>
          <w:sz w:val="24"/>
          <w:szCs w:val="24"/>
          <w:shd w:val="clear" w:color="auto" w:fill="FFFFFF"/>
        </w:rPr>
        <w:t>Ahmadzadeh</w:t>
      </w:r>
      <w:proofErr w:type="spellEnd"/>
      <w:r w:rsidRPr="0069504D">
        <w:rPr>
          <w:rFonts w:ascii="Times New Roman" w:hAnsi="Times New Roman" w:cs="Times New Roman"/>
          <w:color w:val="222222"/>
          <w:sz w:val="24"/>
          <w:szCs w:val="24"/>
          <w:shd w:val="clear" w:color="auto" w:fill="FFFFFF"/>
        </w:rPr>
        <w:t xml:space="preserve">, S., </w:t>
      </w:r>
      <w:proofErr w:type="spellStart"/>
      <w:r w:rsidRPr="0069504D">
        <w:rPr>
          <w:rFonts w:ascii="Times New Roman" w:hAnsi="Times New Roman" w:cs="Times New Roman"/>
          <w:color w:val="222222"/>
          <w:sz w:val="24"/>
          <w:szCs w:val="24"/>
          <w:shd w:val="clear" w:color="auto" w:fill="FFFFFF"/>
        </w:rPr>
        <w:t>Shekoohi</w:t>
      </w:r>
      <w:proofErr w:type="spellEnd"/>
      <w:r w:rsidRPr="0069504D">
        <w:rPr>
          <w:rFonts w:ascii="Times New Roman" w:hAnsi="Times New Roman" w:cs="Times New Roman"/>
          <w:color w:val="222222"/>
          <w:sz w:val="24"/>
          <w:szCs w:val="24"/>
          <w:shd w:val="clear" w:color="auto" w:fill="FFFFFF"/>
        </w:rPr>
        <w:t xml:space="preserve">, S., Cornett, E.M., Fox, C.J, and Kaye, A. D. (2023). Telemedicine, </w:t>
      </w:r>
      <w:r w:rsidR="004A3702" w:rsidRPr="0069504D">
        <w:rPr>
          <w:rFonts w:ascii="Times New Roman" w:hAnsi="Times New Roman" w:cs="Times New Roman"/>
          <w:color w:val="222222"/>
          <w:sz w:val="24"/>
          <w:szCs w:val="24"/>
          <w:shd w:val="clear" w:color="auto" w:fill="FFFFFF"/>
        </w:rPr>
        <w:t>e</w:t>
      </w:r>
      <w:r w:rsidRPr="0069504D">
        <w:rPr>
          <w:rFonts w:ascii="Times New Roman" w:hAnsi="Times New Roman" w:cs="Times New Roman"/>
          <w:color w:val="222222"/>
          <w:sz w:val="24"/>
          <w:szCs w:val="24"/>
          <w:shd w:val="clear" w:color="auto" w:fill="FFFFFF"/>
        </w:rPr>
        <w:t>-</w:t>
      </w:r>
      <w:r w:rsidR="004A3702" w:rsidRPr="0069504D">
        <w:rPr>
          <w:rFonts w:ascii="Times New Roman" w:hAnsi="Times New Roman" w:cs="Times New Roman"/>
          <w:color w:val="222222"/>
          <w:sz w:val="24"/>
          <w:szCs w:val="24"/>
          <w:shd w:val="clear" w:color="auto" w:fill="FFFFFF"/>
        </w:rPr>
        <w:t>h</w:t>
      </w:r>
      <w:r w:rsidRPr="0069504D">
        <w:rPr>
          <w:rFonts w:ascii="Times New Roman" w:hAnsi="Times New Roman" w:cs="Times New Roman"/>
          <w:color w:val="222222"/>
          <w:sz w:val="24"/>
          <w:szCs w:val="24"/>
          <w:shd w:val="clear" w:color="auto" w:fill="FFFFFF"/>
        </w:rPr>
        <w:t xml:space="preserve">ealth, and </w:t>
      </w:r>
      <w:r w:rsidR="004A3702" w:rsidRPr="0069504D">
        <w:rPr>
          <w:rFonts w:ascii="Times New Roman" w:hAnsi="Times New Roman" w:cs="Times New Roman"/>
          <w:color w:val="222222"/>
          <w:sz w:val="24"/>
          <w:szCs w:val="24"/>
          <w:shd w:val="clear" w:color="auto" w:fill="FFFFFF"/>
        </w:rPr>
        <w:t>m</w:t>
      </w:r>
      <w:r w:rsidRPr="0069504D">
        <w:rPr>
          <w:rFonts w:ascii="Times New Roman" w:hAnsi="Times New Roman" w:cs="Times New Roman"/>
          <w:color w:val="222222"/>
          <w:sz w:val="24"/>
          <w:szCs w:val="24"/>
          <w:shd w:val="clear" w:color="auto" w:fill="FFFFFF"/>
        </w:rPr>
        <w:t>ulti-</w:t>
      </w:r>
      <w:r w:rsidR="004A3702" w:rsidRPr="0069504D">
        <w:rPr>
          <w:rFonts w:ascii="Times New Roman" w:hAnsi="Times New Roman" w:cs="Times New Roman"/>
          <w:color w:val="222222"/>
          <w:sz w:val="24"/>
          <w:szCs w:val="24"/>
          <w:shd w:val="clear" w:color="auto" w:fill="FFFFFF"/>
        </w:rPr>
        <w:t>a</w:t>
      </w:r>
      <w:r w:rsidRPr="0069504D">
        <w:rPr>
          <w:rFonts w:ascii="Times New Roman" w:hAnsi="Times New Roman" w:cs="Times New Roman"/>
          <w:color w:val="222222"/>
          <w:sz w:val="24"/>
          <w:szCs w:val="24"/>
          <w:shd w:val="clear" w:color="auto" w:fill="FFFFFF"/>
        </w:rPr>
        <w:t xml:space="preserve">gent </w:t>
      </w:r>
      <w:r w:rsidR="004A3702" w:rsidRPr="0069504D">
        <w:rPr>
          <w:rFonts w:ascii="Times New Roman" w:hAnsi="Times New Roman" w:cs="Times New Roman"/>
          <w:color w:val="222222"/>
          <w:sz w:val="24"/>
          <w:szCs w:val="24"/>
          <w:shd w:val="clear" w:color="auto" w:fill="FFFFFF"/>
        </w:rPr>
        <w:t>s</w:t>
      </w:r>
      <w:r w:rsidRPr="0069504D">
        <w:rPr>
          <w:rFonts w:ascii="Times New Roman" w:hAnsi="Times New Roman" w:cs="Times New Roman"/>
          <w:color w:val="222222"/>
          <w:sz w:val="24"/>
          <w:szCs w:val="24"/>
          <w:shd w:val="clear" w:color="auto" w:fill="FFFFFF"/>
        </w:rPr>
        <w:t xml:space="preserve">ystems for </w:t>
      </w:r>
      <w:r w:rsidR="004A3702"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 xml:space="preserve">hronic </w:t>
      </w:r>
      <w:r w:rsidR="004A3702" w:rsidRPr="0069504D">
        <w:rPr>
          <w:rFonts w:ascii="Times New Roman" w:hAnsi="Times New Roman" w:cs="Times New Roman"/>
          <w:color w:val="222222"/>
          <w:sz w:val="24"/>
          <w:szCs w:val="24"/>
          <w:shd w:val="clear" w:color="auto" w:fill="FFFFFF"/>
        </w:rPr>
        <w:t>p</w:t>
      </w:r>
      <w:r w:rsidRPr="0069504D">
        <w:rPr>
          <w:rFonts w:ascii="Times New Roman" w:hAnsi="Times New Roman" w:cs="Times New Roman"/>
          <w:color w:val="222222"/>
          <w:sz w:val="24"/>
          <w:szCs w:val="24"/>
          <w:shd w:val="clear" w:color="auto" w:fill="FFFFFF"/>
        </w:rPr>
        <w:t xml:space="preserve">ain </w:t>
      </w:r>
      <w:r w:rsidR="004A3702" w:rsidRPr="0069504D">
        <w:rPr>
          <w:rFonts w:ascii="Times New Roman" w:hAnsi="Times New Roman" w:cs="Times New Roman"/>
          <w:color w:val="222222"/>
          <w:sz w:val="24"/>
          <w:szCs w:val="24"/>
          <w:shd w:val="clear" w:color="auto" w:fill="FFFFFF"/>
        </w:rPr>
        <w:t>m</w:t>
      </w:r>
      <w:r w:rsidRPr="0069504D">
        <w:rPr>
          <w:rFonts w:ascii="Times New Roman" w:hAnsi="Times New Roman" w:cs="Times New Roman"/>
          <w:color w:val="222222"/>
          <w:sz w:val="24"/>
          <w:szCs w:val="24"/>
          <w:shd w:val="clear" w:color="auto" w:fill="FFFFFF"/>
        </w:rPr>
        <w:t>anagement. </w:t>
      </w:r>
      <w:r w:rsidRPr="0069504D">
        <w:rPr>
          <w:rFonts w:ascii="Times New Roman" w:hAnsi="Times New Roman" w:cs="Times New Roman"/>
          <w:i/>
          <w:iCs/>
          <w:color w:val="222222"/>
          <w:sz w:val="24"/>
          <w:szCs w:val="24"/>
          <w:shd w:val="clear" w:color="auto" w:fill="FFFFFF"/>
        </w:rPr>
        <w:t>Clinics and Practice</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13</w:t>
      </w:r>
      <w:r w:rsidRPr="0069504D">
        <w:rPr>
          <w:rFonts w:ascii="Times New Roman" w:hAnsi="Times New Roman" w:cs="Times New Roman"/>
          <w:color w:val="222222"/>
          <w:sz w:val="24"/>
          <w:szCs w:val="24"/>
          <w:shd w:val="clear" w:color="auto" w:fill="FFFFFF"/>
        </w:rPr>
        <w:t>(2), 470-482.</w:t>
      </w:r>
    </w:p>
    <w:p w14:paraId="04586A01"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Appel-Meulenbroek, R., Kemperman, A., van de Water, A., Weijs-Perrée, M., and Verhaegh, J. (2022). How to attract employees back to the office? A stated choice study on hybrid working preferences. </w:t>
      </w:r>
      <w:r w:rsidRPr="0069504D">
        <w:rPr>
          <w:rFonts w:ascii="Times New Roman" w:hAnsi="Times New Roman" w:cs="Times New Roman"/>
          <w:i/>
          <w:iCs/>
          <w:sz w:val="24"/>
          <w:szCs w:val="24"/>
          <w:shd w:val="clear" w:color="auto" w:fill="FFFFFF"/>
        </w:rPr>
        <w:t>Journal of Environmental Psychology</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81</w:t>
      </w:r>
      <w:r w:rsidRPr="0069504D">
        <w:rPr>
          <w:rFonts w:ascii="Times New Roman" w:hAnsi="Times New Roman" w:cs="Times New Roman"/>
          <w:sz w:val="24"/>
          <w:szCs w:val="24"/>
          <w:shd w:val="clear" w:color="auto" w:fill="FFFFFF"/>
        </w:rPr>
        <w:t>, 101784.</w:t>
      </w:r>
    </w:p>
    <w:p w14:paraId="4EE75E29"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rPr>
        <w:t>Aptech (2022). Gauss (21) [Computer Software]. Aptech Systems.</w:t>
      </w:r>
    </w:p>
    <w:p w14:paraId="1D1434C5"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Asfaw, A. (2022). </w:t>
      </w:r>
      <w:r w:rsidRPr="0069504D">
        <w:rPr>
          <w:rFonts w:ascii="Times New Roman" w:hAnsi="Times New Roman" w:cs="Times New Roman"/>
          <w:color w:val="222222"/>
          <w:sz w:val="24"/>
          <w:szCs w:val="24"/>
          <w:shd w:val="clear" w:color="auto" w:fill="FFFFFF"/>
        </w:rPr>
        <w:t>Racial and ethnic disparities in teleworking due to the COVID-19 pandemic in the United States: A mediation analysis</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International Journal of Environmental Research and Public Health</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19</w:t>
      </w:r>
      <w:r w:rsidRPr="0069504D">
        <w:rPr>
          <w:rFonts w:ascii="Times New Roman" w:hAnsi="Times New Roman" w:cs="Times New Roman"/>
          <w:sz w:val="24"/>
          <w:szCs w:val="24"/>
          <w:shd w:val="clear" w:color="auto" w:fill="FFFFFF"/>
        </w:rPr>
        <w:t>(8), 4680.</w:t>
      </w:r>
    </w:p>
    <w:p w14:paraId="2B39364B"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Asmussen, K.E., Mondal, A., Bhat, C.R., and Pendyala, R.M. (2023). On modeling future workplace location decisions: An analysis of Texas employees. </w:t>
      </w:r>
      <w:r w:rsidRPr="0069504D">
        <w:rPr>
          <w:rFonts w:ascii="Times New Roman" w:hAnsi="Times New Roman" w:cs="Times New Roman"/>
          <w:i/>
          <w:sz w:val="24"/>
          <w:szCs w:val="24"/>
          <w:shd w:val="clear" w:color="auto" w:fill="FFFFFF"/>
        </w:rPr>
        <w:t>Transportation Research Part A</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172</w:t>
      </w:r>
      <w:r w:rsidRPr="0069504D">
        <w:rPr>
          <w:rFonts w:ascii="Times New Roman" w:hAnsi="Times New Roman" w:cs="Times New Roman"/>
          <w:sz w:val="24"/>
          <w:szCs w:val="24"/>
          <w:shd w:val="clear" w:color="auto" w:fill="FFFFFF"/>
        </w:rPr>
        <w:t>, 103671.</w:t>
      </w:r>
    </w:p>
    <w:p w14:paraId="4CE4B516"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bookmarkStart w:id="31" w:name="_Toc99017836"/>
      <w:r w:rsidRPr="0069504D">
        <w:rPr>
          <w:rFonts w:ascii="Times New Roman" w:hAnsi="Times New Roman" w:cs="Times New Roman"/>
          <w:sz w:val="24"/>
          <w:szCs w:val="24"/>
          <w:shd w:val="clear" w:color="auto" w:fill="FFFFFF"/>
        </w:rPr>
        <w:t>Astroza, S., Tirachini, A., Hurtubia, R., Carrasco, J.A., Guevara, A., Munizaga, M., Figueroa, M., and Torres, V. (2020). Mobility changes, teleworking, and remote communication during the COVID-19 pandemic in Chile. </w:t>
      </w:r>
      <w:r w:rsidRPr="0069504D">
        <w:rPr>
          <w:rFonts w:ascii="Times New Roman" w:hAnsi="Times New Roman" w:cs="Times New Roman"/>
          <w:i/>
          <w:iCs/>
          <w:sz w:val="24"/>
          <w:szCs w:val="24"/>
          <w:shd w:val="clear" w:color="auto" w:fill="FFFFFF"/>
        </w:rPr>
        <w:t>Findings</w:t>
      </w:r>
      <w:r w:rsidRPr="0069504D">
        <w:rPr>
          <w:rFonts w:ascii="Times New Roman" w:hAnsi="Times New Roman" w:cs="Times New Roman"/>
          <w:sz w:val="24"/>
          <w:szCs w:val="24"/>
          <w:shd w:val="clear" w:color="auto" w:fill="FFFFFF"/>
        </w:rPr>
        <w:t>, 13489.</w:t>
      </w:r>
      <w:bookmarkEnd w:id="31"/>
    </w:p>
    <w:p w14:paraId="7D03DEA9" w14:textId="210132D0"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Bauer, A., </w:t>
      </w:r>
      <w:proofErr w:type="spellStart"/>
      <w:r w:rsidRPr="0069504D">
        <w:rPr>
          <w:rFonts w:ascii="Times New Roman" w:hAnsi="Times New Roman" w:cs="Times New Roman"/>
          <w:sz w:val="24"/>
          <w:szCs w:val="24"/>
          <w:shd w:val="clear" w:color="auto" w:fill="FFFFFF"/>
        </w:rPr>
        <w:t>Keveloh</w:t>
      </w:r>
      <w:proofErr w:type="spellEnd"/>
      <w:r w:rsidRPr="0069504D">
        <w:rPr>
          <w:rFonts w:ascii="Times New Roman" w:hAnsi="Times New Roman" w:cs="Times New Roman"/>
          <w:sz w:val="24"/>
          <w:szCs w:val="24"/>
          <w:shd w:val="clear" w:color="auto" w:fill="FFFFFF"/>
        </w:rPr>
        <w:t xml:space="preserve">, K., </w:t>
      </w:r>
      <w:proofErr w:type="spellStart"/>
      <w:r w:rsidRPr="0069504D">
        <w:rPr>
          <w:rFonts w:ascii="Times New Roman" w:hAnsi="Times New Roman" w:cs="Times New Roman"/>
          <w:sz w:val="24"/>
          <w:szCs w:val="24"/>
          <w:shd w:val="clear" w:color="auto" w:fill="FFFFFF"/>
        </w:rPr>
        <w:t>Mamertino</w:t>
      </w:r>
      <w:proofErr w:type="spellEnd"/>
      <w:r w:rsidRPr="0069504D">
        <w:rPr>
          <w:rFonts w:ascii="Times New Roman" w:hAnsi="Times New Roman" w:cs="Times New Roman"/>
          <w:sz w:val="24"/>
          <w:szCs w:val="24"/>
          <w:shd w:val="clear" w:color="auto" w:fill="FFFFFF"/>
        </w:rPr>
        <w:t xml:space="preserve">, M., and Weber, E. (2020). </w:t>
      </w:r>
      <w:r w:rsidRPr="0069504D">
        <w:rPr>
          <w:rFonts w:ascii="Times New Roman" w:hAnsi="Times New Roman" w:cs="Times New Roman"/>
          <w:i/>
          <w:sz w:val="24"/>
          <w:szCs w:val="24"/>
          <w:shd w:val="clear" w:color="auto" w:fill="FFFFFF"/>
        </w:rPr>
        <w:t xml:space="preserve">Competing for </w:t>
      </w:r>
      <w:r w:rsidR="004A3702" w:rsidRPr="0069504D">
        <w:rPr>
          <w:rFonts w:ascii="Times New Roman" w:hAnsi="Times New Roman" w:cs="Times New Roman"/>
          <w:i/>
          <w:sz w:val="24"/>
          <w:szCs w:val="24"/>
          <w:shd w:val="clear" w:color="auto" w:fill="FFFFFF"/>
        </w:rPr>
        <w:t>j</w:t>
      </w:r>
      <w:r w:rsidRPr="0069504D">
        <w:rPr>
          <w:rFonts w:ascii="Times New Roman" w:hAnsi="Times New Roman" w:cs="Times New Roman"/>
          <w:i/>
          <w:sz w:val="24"/>
          <w:szCs w:val="24"/>
          <w:shd w:val="clear" w:color="auto" w:fill="FFFFFF"/>
        </w:rPr>
        <w:t xml:space="preserve">obs: How COVID-19 changes search </w:t>
      </w:r>
      <w:proofErr w:type="spellStart"/>
      <w:r w:rsidRPr="0069504D">
        <w:rPr>
          <w:rFonts w:ascii="Times New Roman" w:hAnsi="Times New Roman" w:cs="Times New Roman"/>
          <w:i/>
          <w:sz w:val="24"/>
          <w:szCs w:val="24"/>
          <w:shd w:val="clear" w:color="auto" w:fill="FFFFFF"/>
        </w:rPr>
        <w:t>behaviour</w:t>
      </w:r>
      <w:proofErr w:type="spellEnd"/>
      <w:r w:rsidRPr="0069504D">
        <w:rPr>
          <w:rFonts w:ascii="Times New Roman" w:hAnsi="Times New Roman" w:cs="Times New Roman"/>
          <w:i/>
          <w:sz w:val="24"/>
          <w:szCs w:val="24"/>
          <w:shd w:val="clear" w:color="auto" w:fill="FFFFFF"/>
        </w:rPr>
        <w:t xml:space="preserve"> in the </w:t>
      </w:r>
      <w:proofErr w:type="spellStart"/>
      <w:r w:rsidRPr="0069504D">
        <w:rPr>
          <w:rFonts w:ascii="Times New Roman" w:hAnsi="Times New Roman" w:cs="Times New Roman"/>
          <w:i/>
          <w:sz w:val="24"/>
          <w:szCs w:val="24"/>
          <w:shd w:val="clear" w:color="auto" w:fill="FFFFFF"/>
        </w:rPr>
        <w:t>labour</w:t>
      </w:r>
      <w:proofErr w:type="spellEnd"/>
      <w:r w:rsidRPr="0069504D">
        <w:rPr>
          <w:rFonts w:ascii="Times New Roman" w:hAnsi="Times New Roman" w:cs="Times New Roman"/>
          <w:i/>
          <w:sz w:val="24"/>
          <w:szCs w:val="24"/>
          <w:shd w:val="clear" w:color="auto" w:fill="FFFFFF"/>
        </w:rPr>
        <w:t xml:space="preserve"> market</w:t>
      </w:r>
      <w:r w:rsidRPr="0069504D">
        <w:rPr>
          <w:rFonts w:ascii="Times New Roman" w:hAnsi="Times New Roman" w:cs="Times New Roman"/>
          <w:sz w:val="24"/>
          <w:szCs w:val="24"/>
          <w:shd w:val="clear" w:color="auto" w:fill="FFFFFF"/>
        </w:rPr>
        <w:t xml:space="preserve"> (No. 33/2020). IAB-Discussion Paper.</w:t>
      </w:r>
    </w:p>
    <w:p w14:paraId="1881F926" w14:textId="1A8D4CCB" w:rsidR="00E84401" w:rsidRPr="0069504D" w:rsidRDefault="00E84401" w:rsidP="0069504D">
      <w:pPr>
        <w:shd w:val="clear" w:color="auto" w:fill="FFFFFF"/>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 xml:space="preserve">Bauerly, B. C., McCord, R. F., Hulkower, R., and Pepin, D. (2019). Broadband access as a public health issue: </w:t>
      </w:r>
      <w:r w:rsidR="004A3702"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he role of law in expanding broadband access and connecting underserved communities for better health outcomes. </w:t>
      </w:r>
      <w:r w:rsidRPr="0069504D">
        <w:rPr>
          <w:rFonts w:ascii="Times New Roman" w:hAnsi="Times New Roman" w:cs="Times New Roman"/>
          <w:i/>
          <w:iCs/>
          <w:color w:val="222222"/>
          <w:sz w:val="24"/>
          <w:szCs w:val="24"/>
          <w:shd w:val="clear" w:color="auto" w:fill="FFFFFF"/>
        </w:rPr>
        <w:t>The Journal of Law, Medicine and Ethics</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47</w:t>
      </w:r>
      <w:r w:rsidRPr="0069504D">
        <w:rPr>
          <w:rFonts w:ascii="Times New Roman" w:hAnsi="Times New Roman" w:cs="Times New Roman"/>
          <w:color w:val="222222"/>
          <w:sz w:val="24"/>
          <w:szCs w:val="24"/>
          <w:shd w:val="clear" w:color="auto" w:fill="FFFFFF"/>
        </w:rPr>
        <w:t>(2_suppl), 39-42.</w:t>
      </w:r>
    </w:p>
    <w:p w14:paraId="29AADF88"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Bhat, C.R. (2018). New matrix-based methods for the analytic evaluation of the multivariate cumulative normal distribution function. </w:t>
      </w:r>
      <w:r w:rsidRPr="0069504D">
        <w:rPr>
          <w:rFonts w:ascii="Times New Roman" w:hAnsi="Times New Roman" w:cs="Times New Roman"/>
          <w:i/>
          <w:iCs/>
          <w:sz w:val="24"/>
          <w:szCs w:val="24"/>
          <w:shd w:val="clear" w:color="auto" w:fill="FFFFFF"/>
        </w:rPr>
        <w:t>Transportation Research Part B</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109</w:t>
      </w:r>
      <w:r w:rsidRPr="0069504D">
        <w:rPr>
          <w:rFonts w:ascii="Times New Roman" w:hAnsi="Times New Roman" w:cs="Times New Roman"/>
          <w:sz w:val="24"/>
          <w:szCs w:val="24"/>
          <w:shd w:val="clear" w:color="auto" w:fill="FFFFFF"/>
        </w:rPr>
        <w:t>, 238-256.</w:t>
      </w:r>
    </w:p>
    <w:p w14:paraId="1B4E2C44" w14:textId="39F2EA88" w:rsidR="00E84401"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Bhat, C.R., and Mondal, A. (2021). On the almost exact-equivalence of the radial and spherical unconstrained Cholesky-based parameterization methods for correlation matrices. Technical Paper, Department of Civil, Architectural and Environmental Engineering, The University of Texas at Austin.</w:t>
      </w:r>
    </w:p>
    <w:p w14:paraId="371C4184" w14:textId="174BED1E" w:rsidR="00B14032" w:rsidRPr="00194389" w:rsidRDefault="00B14032" w:rsidP="00194389">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0F7085">
        <w:rPr>
          <w:rFonts w:ascii="Times New Roman" w:hAnsi="Times New Roman" w:cs="Times New Roman"/>
          <w:color w:val="222222"/>
          <w:sz w:val="24"/>
          <w:szCs w:val="24"/>
          <w:shd w:val="clear" w:color="auto" w:fill="FFFFFF"/>
        </w:rPr>
        <w:t>Bhat, C. R., and Sardesai, R. (2006). The impact of stop-making and travel time reliability on commute mode choice. </w:t>
      </w:r>
      <w:r w:rsidRPr="000F7085">
        <w:rPr>
          <w:rFonts w:ascii="Times New Roman" w:hAnsi="Times New Roman" w:cs="Times New Roman"/>
          <w:i/>
          <w:iCs/>
          <w:color w:val="222222"/>
          <w:sz w:val="24"/>
          <w:szCs w:val="24"/>
          <w:shd w:val="clear" w:color="auto" w:fill="FFFFFF"/>
        </w:rPr>
        <w:t>Transportation Research Part B</w:t>
      </w:r>
      <w:r w:rsidRPr="000F7085">
        <w:rPr>
          <w:rFonts w:ascii="Times New Roman" w:hAnsi="Times New Roman" w:cs="Times New Roman"/>
          <w:color w:val="222222"/>
          <w:sz w:val="24"/>
          <w:szCs w:val="24"/>
          <w:shd w:val="clear" w:color="auto" w:fill="FFFFFF"/>
        </w:rPr>
        <w:t>, </w:t>
      </w:r>
      <w:r w:rsidRPr="000F7085">
        <w:rPr>
          <w:rFonts w:ascii="Times New Roman" w:hAnsi="Times New Roman" w:cs="Times New Roman"/>
          <w:i/>
          <w:iCs/>
          <w:color w:val="222222"/>
          <w:sz w:val="24"/>
          <w:szCs w:val="24"/>
          <w:shd w:val="clear" w:color="auto" w:fill="FFFFFF"/>
        </w:rPr>
        <w:t>40</w:t>
      </w:r>
      <w:r w:rsidRPr="000F7085">
        <w:rPr>
          <w:rFonts w:ascii="Times New Roman" w:hAnsi="Times New Roman" w:cs="Times New Roman"/>
          <w:color w:val="222222"/>
          <w:sz w:val="24"/>
          <w:szCs w:val="24"/>
          <w:shd w:val="clear" w:color="auto" w:fill="FFFFFF"/>
        </w:rPr>
        <w:t>(9), 709-730.</w:t>
      </w:r>
    </w:p>
    <w:p w14:paraId="2104E799" w14:textId="351DF604"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 xml:space="preserve">Bick, A., </w:t>
      </w:r>
      <w:proofErr w:type="spellStart"/>
      <w:r w:rsidRPr="0069504D">
        <w:rPr>
          <w:rFonts w:ascii="Times New Roman" w:hAnsi="Times New Roman" w:cs="Times New Roman"/>
          <w:color w:val="222222"/>
          <w:sz w:val="24"/>
          <w:szCs w:val="24"/>
          <w:shd w:val="clear" w:color="auto" w:fill="FFFFFF"/>
        </w:rPr>
        <w:t>Blandin</w:t>
      </w:r>
      <w:proofErr w:type="spellEnd"/>
      <w:r w:rsidRPr="0069504D">
        <w:rPr>
          <w:rFonts w:ascii="Times New Roman" w:hAnsi="Times New Roman" w:cs="Times New Roman"/>
          <w:color w:val="222222"/>
          <w:sz w:val="24"/>
          <w:szCs w:val="24"/>
          <w:shd w:val="clear" w:color="auto" w:fill="FFFFFF"/>
        </w:rPr>
        <w:t>, A., and Mertens, K. (2021). Work from home before and after the Covid-19 outbreak. </w:t>
      </w:r>
      <w:r w:rsidRPr="0069504D">
        <w:rPr>
          <w:rFonts w:ascii="Times New Roman" w:hAnsi="Times New Roman" w:cs="Times New Roman"/>
          <w:i/>
          <w:iCs/>
          <w:color w:val="222222"/>
          <w:sz w:val="24"/>
          <w:szCs w:val="24"/>
          <w:shd w:val="clear" w:color="auto" w:fill="FFFFFF"/>
        </w:rPr>
        <w:t>Available at SSRN 3786142</w:t>
      </w:r>
      <w:r w:rsidRPr="0069504D">
        <w:rPr>
          <w:rFonts w:ascii="Times New Roman" w:hAnsi="Times New Roman" w:cs="Times New Roman"/>
          <w:color w:val="222222"/>
          <w:sz w:val="24"/>
          <w:szCs w:val="24"/>
          <w:shd w:val="clear" w:color="auto" w:fill="FFFFFF"/>
        </w:rPr>
        <w:t>.</w:t>
      </w:r>
    </w:p>
    <w:p w14:paraId="5973BE8F" w14:textId="0F3EE8B9" w:rsidR="00D75938" w:rsidRDefault="00D75938"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color w:val="222222"/>
          <w:sz w:val="24"/>
          <w:szCs w:val="24"/>
          <w:shd w:val="clear" w:color="auto" w:fill="FFFFFF"/>
        </w:rPr>
        <w:t xml:space="preserve">Boland, B., De Smet, A., Palter, R., and Sanghvi, A. (2020). Reimagining the office and work life after COVID-19. McKinsey &amp; Company. Available at: </w:t>
      </w:r>
      <w:hyperlink r:id="rId223" w:history="1">
        <w:r w:rsidRPr="0069504D">
          <w:rPr>
            <w:rStyle w:val="Hyperlink"/>
            <w:rFonts w:ascii="Times New Roman" w:hAnsi="Times New Roman" w:cs="Times New Roman"/>
            <w:sz w:val="24"/>
            <w:szCs w:val="24"/>
            <w:shd w:val="clear" w:color="auto" w:fill="FFFFFF"/>
          </w:rPr>
          <w:t>https://www.mckinsey.com/capabilities/people-and-organizational-performance/our-insights/reimagining-the-office-and-work-life-after-covid-19</w:t>
        </w:r>
      </w:hyperlink>
      <w:r w:rsidRPr="0069504D">
        <w:rPr>
          <w:rFonts w:ascii="Times New Roman" w:hAnsi="Times New Roman" w:cs="Times New Roman"/>
          <w:color w:val="222222"/>
          <w:sz w:val="24"/>
          <w:szCs w:val="24"/>
          <w:shd w:val="clear" w:color="auto" w:fill="FFFFFF"/>
        </w:rPr>
        <w:t xml:space="preserve">. </w:t>
      </w:r>
      <w:r w:rsidRPr="0069504D">
        <w:rPr>
          <w:rFonts w:ascii="Times New Roman" w:hAnsi="Times New Roman" w:cs="Times New Roman"/>
          <w:sz w:val="24"/>
          <w:szCs w:val="24"/>
          <w:shd w:val="clear" w:color="auto" w:fill="FFFFFF"/>
        </w:rPr>
        <w:t>Accessed on April 23, 2023.</w:t>
      </w:r>
    </w:p>
    <w:p w14:paraId="7B72ACBD" w14:textId="6F6508BC" w:rsidR="00B14032" w:rsidRDefault="00B14032">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0F7085">
        <w:rPr>
          <w:rFonts w:ascii="Times New Roman" w:hAnsi="Times New Roman" w:cs="Times New Roman"/>
          <w:color w:val="222222"/>
          <w:sz w:val="24"/>
          <w:szCs w:val="24"/>
          <w:shd w:val="clear" w:color="auto" w:fill="FFFFFF"/>
        </w:rPr>
        <w:t xml:space="preserve">Blazanin, G., Mondal, A., Asmussen, K. E., and Bhat, C. R. (2022). E-scooter sharing and </w:t>
      </w:r>
      <w:proofErr w:type="spellStart"/>
      <w:r w:rsidRPr="000F7085">
        <w:rPr>
          <w:rFonts w:ascii="Times New Roman" w:hAnsi="Times New Roman" w:cs="Times New Roman"/>
          <w:color w:val="222222"/>
          <w:sz w:val="24"/>
          <w:szCs w:val="24"/>
          <w:shd w:val="clear" w:color="auto" w:fill="FFFFFF"/>
        </w:rPr>
        <w:t>bikesharing</w:t>
      </w:r>
      <w:proofErr w:type="spellEnd"/>
      <w:r w:rsidRPr="000F7085">
        <w:rPr>
          <w:rFonts w:ascii="Times New Roman" w:hAnsi="Times New Roman" w:cs="Times New Roman"/>
          <w:color w:val="222222"/>
          <w:sz w:val="24"/>
          <w:szCs w:val="24"/>
          <w:shd w:val="clear" w:color="auto" w:fill="FFFFFF"/>
        </w:rPr>
        <w:t xml:space="preserve"> systems: An individual-level analysis of factors affecting first-use and use frequency. </w:t>
      </w:r>
      <w:r w:rsidRPr="000F7085">
        <w:rPr>
          <w:rFonts w:ascii="Times New Roman" w:hAnsi="Times New Roman" w:cs="Times New Roman"/>
          <w:i/>
          <w:iCs/>
          <w:color w:val="222222"/>
          <w:sz w:val="24"/>
          <w:szCs w:val="24"/>
          <w:shd w:val="clear" w:color="auto" w:fill="FFFFFF"/>
        </w:rPr>
        <w:t xml:space="preserve">Transportation </w:t>
      </w:r>
      <w:r w:rsidR="002A04F4">
        <w:rPr>
          <w:rFonts w:ascii="Times New Roman" w:hAnsi="Times New Roman" w:cs="Times New Roman"/>
          <w:i/>
          <w:iCs/>
          <w:color w:val="222222"/>
          <w:sz w:val="24"/>
          <w:szCs w:val="24"/>
          <w:shd w:val="clear" w:color="auto" w:fill="FFFFFF"/>
        </w:rPr>
        <w:t>R</w:t>
      </w:r>
      <w:r w:rsidRPr="000F7085">
        <w:rPr>
          <w:rFonts w:ascii="Times New Roman" w:hAnsi="Times New Roman" w:cs="Times New Roman"/>
          <w:i/>
          <w:iCs/>
          <w:color w:val="222222"/>
          <w:sz w:val="24"/>
          <w:szCs w:val="24"/>
          <w:shd w:val="clear" w:color="auto" w:fill="FFFFFF"/>
        </w:rPr>
        <w:t xml:space="preserve">esearch </w:t>
      </w:r>
      <w:r w:rsidR="002A04F4">
        <w:rPr>
          <w:rFonts w:ascii="Times New Roman" w:hAnsi="Times New Roman" w:cs="Times New Roman"/>
          <w:i/>
          <w:iCs/>
          <w:color w:val="222222"/>
          <w:sz w:val="24"/>
          <w:szCs w:val="24"/>
          <w:shd w:val="clear" w:color="auto" w:fill="FFFFFF"/>
        </w:rPr>
        <w:t>P</w:t>
      </w:r>
      <w:r w:rsidRPr="000F7085">
        <w:rPr>
          <w:rFonts w:ascii="Times New Roman" w:hAnsi="Times New Roman" w:cs="Times New Roman"/>
          <w:i/>
          <w:iCs/>
          <w:color w:val="222222"/>
          <w:sz w:val="24"/>
          <w:szCs w:val="24"/>
          <w:shd w:val="clear" w:color="auto" w:fill="FFFFFF"/>
        </w:rPr>
        <w:t>art C</w:t>
      </w:r>
      <w:r w:rsidRPr="000F7085">
        <w:rPr>
          <w:rFonts w:ascii="Times New Roman" w:hAnsi="Times New Roman" w:cs="Times New Roman"/>
          <w:color w:val="222222"/>
          <w:sz w:val="24"/>
          <w:szCs w:val="24"/>
          <w:shd w:val="clear" w:color="auto" w:fill="FFFFFF"/>
        </w:rPr>
        <w:t>, </w:t>
      </w:r>
      <w:r w:rsidRPr="000F7085">
        <w:rPr>
          <w:rFonts w:ascii="Times New Roman" w:hAnsi="Times New Roman" w:cs="Times New Roman"/>
          <w:i/>
          <w:iCs/>
          <w:color w:val="222222"/>
          <w:sz w:val="24"/>
          <w:szCs w:val="24"/>
          <w:shd w:val="clear" w:color="auto" w:fill="FFFFFF"/>
        </w:rPr>
        <w:t>135</w:t>
      </w:r>
      <w:r w:rsidRPr="000F7085">
        <w:rPr>
          <w:rFonts w:ascii="Times New Roman" w:hAnsi="Times New Roman" w:cs="Times New Roman"/>
          <w:color w:val="222222"/>
          <w:sz w:val="24"/>
          <w:szCs w:val="24"/>
          <w:shd w:val="clear" w:color="auto" w:fill="FFFFFF"/>
        </w:rPr>
        <w:t>, 103515.</w:t>
      </w:r>
    </w:p>
    <w:p w14:paraId="4E40C3EF" w14:textId="626CD672" w:rsidR="00516530" w:rsidRPr="00194389" w:rsidRDefault="00516530" w:rsidP="00194389">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194389">
        <w:rPr>
          <w:rFonts w:ascii="Times New Roman" w:hAnsi="Times New Roman" w:cs="Times New Roman"/>
          <w:color w:val="222222"/>
          <w:sz w:val="24"/>
          <w:szCs w:val="24"/>
          <w:shd w:val="clear" w:color="auto" w:fill="FFFFFF"/>
        </w:rPr>
        <w:t xml:space="preserve">Brennan, A., Angus, C., Pryce, R., </w:t>
      </w:r>
      <w:proofErr w:type="spellStart"/>
      <w:r w:rsidRPr="00194389">
        <w:rPr>
          <w:rFonts w:ascii="Times New Roman" w:hAnsi="Times New Roman" w:cs="Times New Roman"/>
          <w:color w:val="222222"/>
          <w:sz w:val="24"/>
          <w:szCs w:val="24"/>
          <w:shd w:val="clear" w:color="auto" w:fill="FFFFFF"/>
        </w:rPr>
        <w:t>Buykx</w:t>
      </w:r>
      <w:proofErr w:type="spellEnd"/>
      <w:r w:rsidRPr="00194389">
        <w:rPr>
          <w:rFonts w:ascii="Times New Roman" w:hAnsi="Times New Roman" w:cs="Times New Roman"/>
          <w:color w:val="222222"/>
          <w:sz w:val="24"/>
          <w:szCs w:val="24"/>
          <w:shd w:val="clear" w:color="auto" w:fill="FFFFFF"/>
        </w:rPr>
        <w:t xml:space="preserve">, P., </w:t>
      </w:r>
      <w:proofErr w:type="spellStart"/>
      <w:r w:rsidRPr="00194389">
        <w:rPr>
          <w:rFonts w:ascii="Times New Roman" w:hAnsi="Times New Roman" w:cs="Times New Roman"/>
          <w:color w:val="222222"/>
          <w:sz w:val="24"/>
          <w:szCs w:val="24"/>
          <w:shd w:val="clear" w:color="auto" w:fill="FFFFFF"/>
        </w:rPr>
        <w:t>Henney</w:t>
      </w:r>
      <w:proofErr w:type="spellEnd"/>
      <w:r w:rsidRPr="00194389">
        <w:rPr>
          <w:rFonts w:ascii="Times New Roman" w:hAnsi="Times New Roman" w:cs="Times New Roman"/>
          <w:color w:val="222222"/>
          <w:sz w:val="24"/>
          <w:szCs w:val="24"/>
          <w:shd w:val="clear" w:color="auto" w:fill="FFFFFF"/>
        </w:rPr>
        <w:t>, M., Gillespie, D., Holmes, J., and Meier, P. S. (2021). Potential effects of minimum unit pricing at local authority level on alcohol-attributed harms in North West and North East England: a modelling study. </w:t>
      </w:r>
      <w:r w:rsidRPr="00194389">
        <w:rPr>
          <w:rFonts w:ascii="Times New Roman" w:hAnsi="Times New Roman" w:cs="Times New Roman"/>
          <w:i/>
          <w:iCs/>
          <w:color w:val="222222"/>
          <w:sz w:val="24"/>
          <w:szCs w:val="24"/>
          <w:shd w:val="clear" w:color="auto" w:fill="FFFFFF"/>
        </w:rPr>
        <w:t>Public Health Research</w:t>
      </w:r>
      <w:r w:rsidRPr="00194389">
        <w:rPr>
          <w:rFonts w:ascii="Times New Roman" w:hAnsi="Times New Roman" w:cs="Times New Roman"/>
          <w:color w:val="222222"/>
          <w:sz w:val="24"/>
          <w:szCs w:val="24"/>
          <w:shd w:val="clear" w:color="auto" w:fill="FFFFFF"/>
        </w:rPr>
        <w:t>, </w:t>
      </w:r>
      <w:r w:rsidRPr="00194389">
        <w:rPr>
          <w:rFonts w:ascii="Times New Roman" w:hAnsi="Times New Roman" w:cs="Times New Roman"/>
          <w:i/>
          <w:iCs/>
          <w:color w:val="222222"/>
          <w:sz w:val="24"/>
          <w:szCs w:val="24"/>
          <w:shd w:val="clear" w:color="auto" w:fill="FFFFFF"/>
        </w:rPr>
        <w:t>9</w:t>
      </w:r>
      <w:r w:rsidRPr="00194389">
        <w:rPr>
          <w:rFonts w:ascii="Times New Roman" w:hAnsi="Times New Roman" w:cs="Times New Roman"/>
          <w:color w:val="222222"/>
          <w:sz w:val="24"/>
          <w:szCs w:val="24"/>
          <w:shd w:val="clear" w:color="auto" w:fill="FFFFFF"/>
        </w:rPr>
        <w:t>(4).</w:t>
      </w:r>
    </w:p>
    <w:p w14:paraId="5435A994"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rPr>
        <w:lastRenderedPageBreak/>
        <w:t xml:space="preserve">Bunch, D.S. (1991). Estimability in the multinomial probit model. </w:t>
      </w:r>
      <w:r w:rsidRPr="0069504D">
        <w:rPr>
          <w:rFonts w:ascii="Times New Roman" w:hAnsi="Times New Roman" w:cs="Times New Roman"/>
          <w:i/>
          <w:sz w:val="24"/>
          <w:szCs w:val="24"/>
        </w:rPr>
        <w:t>Transportation Research Part B</w:t>
      </w:r>
      <w:r w:rsidRPr="0069504D">
        <w:rPr>
          <w:rFonts w:ascii="Times New Roman" w:hAnsi="Times New Roman" w:cs="Times New Roman"/>
          <w:sz w:val="24"/>
          <w:szCs w:val="24"/>
        </w:rPr>
        <w:t xml:space="preserve">, </w:t>
      </w:r>
      <w:r w:rsidRPr="0069504D">
        <w:rPr>
          <w:rFonts w:ascii="Times New Roman" w:hAnsi="Times New Roman" w:cs="Times New Roman"/>
          <w:i/>
          <w:sz w:val="24"/>
          <w:szCs w:val="24"/>
        </w:rPr>
        <w:t>25</w:t>
      </w:r>
      <w:r w:rsidRPr="0069504D">
        <w:rPr>
          <w:rFonts w:ascii="Times New Roman" w:hAnsi="Times New Roman" w:cs="Times New Roman"/>
          <w:sz w:val="24"/>
          <w:szCs w:val="24"/>
        </w:rPr>
        <w:t xml:space="preserve">(1), 1-12. </w:t>
      </w:r>
    </w:p>
    <w:p w14:paraId="29B77A2B"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Cheng, Y.T., Lavieri, P.S., and Astroza, S. (2022). </w:t>
      </w:r>
      <w:r w:rsidRPr="0069504D">
        <w:rPr>
          <w:rFonts w:ascii="Times New Roman" w:hAnsi="Times New Roman" w:cs="Times New Roman"/>
          <w:color w:val="222222"/>
          <w:sz w:val="24"/>
          <w:szCs w:val="24"/>
          <w:shd w:val="clear" w:color="auto" w:fill="FFFFFF"/>
        </w:rPr>
        <w:t>How did the COVID-19 pandemic impact the location and duration of work activities? A latent class time-use study</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Findings</w:t>
      </w:r>
      <w:r w:rsidRPr="0069504D">
        <w:rPr>
          <w:rFonts w:ascii="Times New Roman" w:hAnsi="Times New Roman" w:cs="Times New Roman"/>
          <w:sz w:val="24"/>
          <w:szCs w:val="24"/>
          <w:shd w:val="clear" w:color="auto" w:fill="FFFFFF"/>
        </w:rPr>
        <w:t>, 35621.</w:t>
      </w:r>
    </w:p>
    <w:p w14:paraId="7ED69092" w14:textId="69E2F35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rPr>
        <w:t xml:space="preserve">Coate, P. (2021). Remote </w:t>
      </w:r>
      <w:r w:rsidR="004A3702" w:rsidRPr="0069504D">
        <w:rPr>
          <w:rFonts w:ascii="Times New Roman" w:hAnsi="Times New Roman" w:cs="Times New Roman"/>
          <w:sz w:val="24"/>
          <w:szCs w:val="24"/>
        </w:rPr>
        <w:t>w</w:t>
      </w:r>
      <w:r w:rsidRPr="0069504D">
        <w:rPr>
          <w:rFonts w:ascii="Times New Roman" w:hAnsi="Times New Roman" w:cs="Times New Roman"/>
          <w:sz w:val="24"/>
          <w:szCs w:val="24"/>
        </w:rPr>
        <w:t xml:space="preserve">ork </w:t>
      </w:r>
      <w:r w:rsidR="004A3702" w:rsidRPr="0069504D">
        <w:rPr>
          <w:rFonts w:ascii="Times New Roman" w:hAnsi="Times New Roman" w:cs="Times New Roman"/>
          <w:sz w:val="24"/>
          <w:szCs w:val="24"/>
        </w:rPr>
        <w:t>b</w:t>
      </w:r>
      <w:r w:rsidRPr="0069504D">
        <w:rPr>
          <w:rFonts w:ascii="Times New Roman" w:hAnsi="Times New Roman" w:cs="Times New Roman"/>
          <w:sz w:val="24"/>
          <w:szCs w:val="24"/>
        </w:rPr>
        <w:t xml:space="preserve">efore, </w:t>
      </w:r>
      <w:r w:rsidR="004A3702" w:rsidRPr="0069504D">
        <w:rPr>
          <w:rFonts w:ascii="Times New Roman" w:hAnsi="Times New Roman" w:cs="Times New Roman"/>
          <w:sz w:val="24"/>
          <w:szCs w:val="24"/>
        </w:rPr>
        <w:t>d</w:t>
      </w:r>
      <w:r w:rsidRPr="0069504D">
        <w:rPr>
          <w:rFonts w:ascii="Times New Roman" w:hAnsi="Times New Roman" w:cs="Times New Roman"/>
          <w:sz w:val="24"/>
          <w:szCs w:val="24"/>
        </w:rPr>
        <w:t xml:space="preserve">uring, and </w:t>
      </w:r>
      <w:r w:rsidR="004A3702" w:rsidRPr="0069504D">
        <w:rPr>
          <w:rFonts w:ascii="Times New Roman" w:hAnsi="Times New Roman" w:cs="Times New Roman"/>
          <w:sz w:val="24"/>
          <w:szCs w:val="24"/>
        </w:rPr>
        <w:t>a</w:t>
      </w:r>
      <w:r w:rsidRPr="0069504D">
        <w:rPr>
          <w:rFonts w:ascii="Times New Roman" w:hAnsi="Times New Roman" w:cs="Times New Roman"/>
          <w:sz w:val="24"/>
          <w:szCs w:val="24"/>
        </w:rPr>
        <w:t xml:space="preserve">fter the </w:t>
      </w:r>
      <w:r w:rsidR="004A3702" w:rsidRPr="0069504D">
        <w:rPr>
          <w:rFonts w:ascii="Times New Roman" w:hAnsi="Times New Roman" w:cs="Times New Roman"/>
          <w:sz w:val="24"/>
          <w:szCs w:val="24"/>
        </w:rPr>
        <w:t>p</w:t>
      </w:r>
      <w:r w:rsidRPr="0069504D">
        <w:rPr>
          <w:rFonts w:ascii="Times New Roman" w:hAnsi="Times New Roman" w:cs="Times New Roman"/>
          <w:sz w:val="24"/>
          <w:szCs w:val="24"/>
        </w:rPr>
        <w:t xml:space="preserve">andemic. NCCI. Available at: </w:t>
      </w:r>
      <w:hyperlink r:id="rId224" w:history="1">
        <w:r w:rsidRPr="0069504D">
          <w:rPr>
            <w:rStyle w:val="Hyperlink"/>
            <w:rFonts w:ascii="Times New Roman" w:hAnsi="Times New Roman" w:cs="Times New Roman"/>
            <w:sz w:val="24"/>
            <w:szCs w:val="24"/>
          </w:rPr>
          <w:t>https://www.ncci.com/SecureDocuments/QEB/QEB_Q4_2020_RemoteWork.html</w:t>
        </w:r>
      </w:hyperlink>
      <w:r w:rsidRPr="0069504D">
        <w:rPr>
          <w:rFonts w:ascii="Times New Roman" w:hAnsi="Times New Roman" w:cs="Times New Roman"/>
          <w:sz w:val="24"/>
          <w:szCs w:val="24"/>
        </w:rPr>
        <w:t xml:space="preserve">. </w:t>
      </w:r>
      <w:r w:rsidRPr="0069504D">
        <w:rPr>
          <w:rFonts w:ascii="Times New Roman" w:hAnsi="Times New Roman" w:cs="Times New Roman"/>
          <w:sz w:val="24"/>
          <w:szCs w:val="24"/>
          <w:shd w:val="clear" w:color="auto" w:fill="FFFFFF"/>
        </w:rPr>
        <w:t>Accessed on April 23, 2023.</w:t>
      </w:r>
    </w:p>
    <w:p w14:paraId="08751FC9" w14:textId="1133A3AE"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rPr>
        <w:t xml:space="preserve">Cobler, N. (2022). More Texans are working from home, U.S. Census survey shows. </w:t>
      </w:r>
      <w:proofErr w:type="spellStart"/>
      <w:r w:rsidRPr="0069504D">
        <w:rPr>
          <w:rFonts w:ascii="Times New Roman" w:hAnsi="Times New Roman" w:cs="Times New Roman"/>
          <w:i/>
          <w:sz w:val="24"/>
          <w:szCs w:val="24"/>
        </w:rPr>
        <w:t>Axios</w:t>
      </w:r>
      <w:proofErr w:type="spellEnd"/>
      <w:r w:rsidRPr="0069504D">
        <w:rPr>
          <w:rFonts w:ascii="Times New Roman" w:hAnsi="Times New Roman" w:cs="Times New Roman"/>
          <w:i/>
          <w:sz w:val="24"/>
          <w:szCs w:val="24"/>
        </w:rPr>
        <w:t xml:space="preserve"> Austin.</w:t>
      </w:r>
      <w:r w:rsidR="004A6EFD" w:rsidRPr="0069504D">
        <w:rPr>
          <w:rFonts w:ascii="Times New Roman" w:hAnsi="Times New Roman" w:cs="Times New Roman"/>
          <w:i/>
          <w:sz w:val="24"/>
          <w:szCs w:val="24"/>
        </w:rPr>
        <w:t xml:space="preserve"> </w:t>
      </w:r>
      <w:r w:rsidR="004A6EFD" w:rsidRPr="0069504D">
        <w:rPr>
          <w:rFonts w:ascii="Times New Roman" w:hAnsi="Times New Roman" w:cs="Times New Roman"/>
          <w:sz w:val="24"/>
          <w:szCs w:val="24"/>
        </w:rPr>
        <w:t>Available at:</w:t>
      </w:r>
      <w:r w:rsidRPr="0069504D">
        <w:rPr>
          <w:rFonts w:ascii="Times New Roman" w:hAnsi="Times New Roman" w:cs="Times New Roman"/>
          <w:sz w:val="24"/>
          <w:szCs w:val="24"/>
        </w:rPr>
        <w:t xml:space="preserve"> </w:t>
      </w:r>
      <w:hyperlink r:id="rId225" w:history="1">
        <w:r w:rsidRPr="0069504D">
          <w:rPr>
            <w:rStyle w:val="Hyperlink"/>
            <w:rFonts w:ascii="Times New Roman" w:hAnsi="Times New Roman" w:cs="Times New Roman"/>
            <w:sz w:val="24"/>
            <w:szCs w:val="24"/>
          </w:rPr>
          <w:t>https://www.axios.com/local/austin/2022/09/16/more-texans-working-from-home-census</w:t>
        </w:r>
      </w:hyperlink>
      <w:r w:rsidRPr="0069504D">
        <w:rPr>
          <w:rFonts w:ascii="Times New Roman" w:hAnsi="Times New Roman" w:cs="Times New Roman"/>
          <w:sz w:val="24"/>
          <w:szCs w:val="24"/>
        </w:rPr>
        <w:t xml:space="preserve">. </w:t>
      </w:r>
      <w:r w:rsidR="004A6EFD" w:rsidRPr="0069504D">
        <w:rPr>
          <w:rFonts w:ascii="Times New Roman" w:hAnsi="Times New Roman" w:cs="Times New Roman"/>
          <w:sz w:val="24"/>
          <w:szCs w:val="24"/>
        </w:rPr>
        <w:t>Accessed April 11, 2022.</w:t>
      </w:r>
    </w:p>
    <w:p w14:paraId="1051277B"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Danalet, A., Justen, A., and Mathys, N.A. (2021, September). Working from home in Switzerland, 2015-2050. In </w:t>
      </w:r>
      <w:r w:rsidRPr="0069504D">
        <w:rPr>
          <w:rFonts w:ascii="Times New Roman" w:hAnsi="Times New Roman" w:cs="Times New Roman"/>
          <w:i/>
          <w:iCs/>
          <w:sz w:val="24"/>
          <w:szCs w:val="24"/>
          <w:shd w:val="clear" w:color="auto" w:fill="FFFFFF"/>
        </w:rPr>
        <w:t>21st Swiss Transport Research Conference</w:t>
      </w:r>
      <w:r w:rsidRPr="0069504D">
        <w:rPr>
          <w:rFonts w:ascii="Times New Roman" w:hAnsi="Times New Roman" w:cs="Times New Roman"/>
          <w:iCs/>
          <w:sz w:val="24"/>
          <w:szCs w:val="24"/>
          <w:shd w:val="clear" w:color="auto" w:fill="FFFFFF"/>
        </w:rPr>
        <w:t>, September</w:t>
      </w:r>
      <w:r w:rsidRPr="0069504D">
        <w:rPr>
          <w:rFonts w:ascii="Times New Roman" w:hAnsi="Times New Roman" w:cs="Times New Roman"/>
          <w:sz w:val="24"/>
          <w:szCs w:val="24"/>
          <w:shd w:val="clear" w:color="auto" w:fill="FFFFFF"/>
        </w:rPr>
        <w:t>.</w:t>
      </w:r>
    </w:p>
    <w:p w14:paraId="14645BC6"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Dansie, B.R. (1985). Parameter </w:t>
      </w:r>
      <w:proofErr w:type="spellStart"/>
      <w:r w:rsidRPr="0069504D">
        <w:rPr>
          <w:rFonts w:ascii="Times New Roman" w:hAnsi="Times New Roman" w:cs="Times New Roman"/>
          <w:sz w:val="24"/>
          <w:szCs w:val="24"/>
          <w:shd w:val="clear" w:color="auto" w:fill="FFFFFF"/>
        </w:rPr>
        <w:t>estimability</w:t>
      </w:r>
      <w:proofErr w:type="spellEnd"/>
      <w:r w:rsidRPr="0069504D">
        <w:rPr>
          <w:rFonts w:ascii="Times New Roman" w:hAnsi="Times New Roman" w:cs="Times New Roman"/>
          <w:sz w:val="24"/>
          <w:szCs w:val="24"/>
          <w:shd w:val="clear" w:color="auto" w:fill="FFFFFF"/>
        </w:rPr>
        <w:t xml:space="preserve"> in the multinomial probit model. </w:t>
      </w:r>
      <w:r w:rsidRPr="0069504D">
        <w:rPr>
          <w:rFonts w:ascii="Times New Roman" w:hAnsi="Times New Roman" w:cs="Times New Roman"/>
          <w:i/>
          <w:sz w:val="24"/>
          <w:szCs w:val="24"/>
          <w:shd w:val="clear" w:color="auto" w:fill="FFFFFF"/>
        </w:rPr>
        <w:t>Transportation Research Part B</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19</w:t>
      </w:r>
      <w:r w:rsidRPr="0069504D">
        <w:rPr>
          <w:rFonts w:ascii="Times New Roman" w:hAnsi="Times New Roman" w:cs="Times New Roman"/>
          <w:sz w:val="24"/>
          <w:szCs w:val="24"/>
          <w:shd w:val="clear" w:color="auto" w:fill="FFFFFF"/>
        </w:rPr>
        <w:t>(6), 526-528.</w:t>
      </w:r>
    </w:p>
    <w:p w14:paraId="69217658" w14:textId="5DAFF0DE" w:rsidR="00E84401"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Dauth, W., </w:t>
      </w:r>
      <w:proofErr w:type="spellStart"/>
      <w:r w:rsidRPr="0069504D">
        <w:rPr>
          <w:rFonts w:ascii="Times New Roman" w:hAnsi="Times New Roman" w:cs="Times New Roman"/>
          <w:sz w:val="24"/>
          <w:szCs w:val="24"/>
          <w:shd w:val="clear" w:color="auto" w:fill="FFFFFF"/>
        </w:rPr>
        <w:t>Findeisen</w:t>
      </w:r>
      <w:proofErr w:type="spellEnd"/>
      <w:r w:rsidRPr="0069504D">
        <w:rPr>
          <w:rFonts w:ascii="Times New Roman" w:hAnsi="Times New Roman" w:cs="Times New Roman"/>
          <w:sz w:val="24"/>
          <w:szCs w:val="24"/>
          <w:shd w:val="clear" w:color="auto" w:fill="FFFFFF"/>
        </w:rPr>
        <w:t xml:space="preserve">, S., and </w:t>
      </w:r>
      <w:proofErr w:type="spellStart"/>
      <w:r w:rsidRPr="0069504D">
        <w:rPr>
          <w:rFonts w:ascii="Times New Roman" w:hAnsi="Times New Roman" w:cs="Times New Roman"/>
          <w:sz w:val="24"/>
          <w:szCs w:val="24"/>
          <w:shd w:val="clear" w:color="auto" w:fill="FFFFFF"/>
        </w:rPr>
        <w:t>Suedekum</w:t>
      </w:r>
      <w:proofErr w:type="spellEnd"/>
      <w:r w:rsidRPr="0069504D">
        <w:rPr>
          <w:rFonts w:ascii="Times New Roman" w:hAnsi="Times New Roman" w:cs="Times New Roman"/>
          <w:sz w:val="24"/>
          <w:szCs w:val="24"/>
          <w:shd w:val="clear" w:color="auto" w:fill="FFFFFF"/>
        </w:rPr>
        <w:t>, J. (2017). Trade and manufacturing jobs in Germany</w:t>
      </w:r>
      <w:r w:rsidRPr="0069504D">
        <w:rPr>
          <w:rFonts w:ascii="Times New Roman" w:hAnsi="Times New Roman" w:cs="Times New Roman"/>
          <w:i/>
          <w:sz w:val="24"/>
          <w:szCs w:val="24"/>
          <w:shd w:val="clear" w:color="auto" w:fill="FFFFFF"/>
        </w:rPr>
        <w:t>. American Economic Review</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107</w:t>
      </w:r>
      <w:r w:rsidRPr="0069504D">
        <w:rPr>
          <w:rFonts w:ascii="Times New Roman" w:hAnsi="Times New Roman" w:cs="Times New Roman"/>
          <w:sz w:val="24"/>
          <w:szCs w:val="24"/>
          <w:shd w:val="clear" w:color="auto" w:fill="FFFFFF"/>
        </w:rPr>
        <w:t>(5), 337-342.</w:t>
      </w:r>
    </w:p>
    <w:p w14:paraId="43C60FBF" w14:textId="6B1ECAAC" w:rsidR="00E84401" w:rsidRPr="0069504D" w:rsidRDefault="00E84401" w:rsidP="0069504D">
      <w:pPr>
        <w:keepLines/>
        <w:spacing w:afterLines="20" w:after="48" w:line="240" w:lineRule="auto"/>
        <w:ind w:left="540" w:hanging="540"/>
        <w:rPr>
          <w:rFonts w:ascii="Times New Roman" w:hAnsi="Times New Roman" w:cs="Times New Roman"/>
          <w:sz w:val="24"/>
          <w:szCs w:val="24"/>
          <w:shd w:val="clear" w:color="auto" w:fill="FFFFFF"/>
        </w:rPr>
      </w:pPr>
      <w:proofErr w:type="spellStart"/>
      <w:r w:rsidRPr="0069504D">
        <w:rPr>
          <w:rFonts w:ascii="Times New Roman" w:hAnsi="Times New Roman" w:cs="Times New Roman"/>
          <w:sz w:val="24"/>
          <w:szCs w:val="24"/>
          <w:shd w:val="clear" w:color="auto" w:fill="FFFFFF"/>
        </w:rPr>
        <w:t>Dua</w:t>
      </w:r>
      <w:proofErr w:type="spellEnd"/>
      <w:r w:rsidRPr="0069504D">
        <w:rPr>
          <w:rFonts w:ascii="Times New Roman" w:hAnsi="Times New Roman" w:cs="Times New Roman"/>
          <w:sz w:val="24"/>
          <w:szCs w:val="24"/>
          <w:shd w:val="clear" w:color="auto" w:fill="FFFFFF"/>
        </w:rPr>
        <w:t xml:space="preserve">, A., Ellingrud, K., Kirschner, P., Kwok, A., Luby, R., Palter, R., and Pemberton, S. (2022). Americans are embracing flexible work—and they want more of it. </w:t>
      </w:r>
      <w:r w:rsidRPr="0069504D">
        <w:rPr>
          <w:rFonts w:ascii="Times New Roman" w:hAnsi="Times New Roman" w:cs="Times New Roman"/>
          <w:i/>
          <w:sz w:val="24"/>
          <w:szCs w:val="24"/>
          <w:shd w:val="clear" w:color="auto" w:fill="FFFFFF"/>
        </w:rPr>
        <w:t>McKinsey and Company</w:t>
      </w:r>
      <w:r w:rsidRPr="0069504D">
        <w:rPr>
          <w:rFonts w:ascii="Times New Roman" w:hAnsi="Times New Roman" w:cs="Times New Roman"/>
          <w:sz w:val="24"/>
          <w:szCs w:val="24"/>
          <w:shd w:val="clear" w:color="auto" w:fill="FFFFFF"/>
        </w:rPr>
        <w:t xml:space="preserve">. Available at: </w:t>
      </w:r>
      <w:hyperlink r:id="rId226" w:history="1">
        <w:r w:rsidR="004A3702" w:rsidRPr="0069504D">
          <w:rPr>
            <w:rStyle w:val="Hyperlink"/>
            <w:rFonts w:ascii="Times New Roman" w:hAnsi="Times New Roman" w:cs="Times New Roman"/>
            <w:sz w:val="24"/>
            <w:szCs w:val="24"/>
            <w:shd w:val="clear" w:color="auto" w:fill="FFFFFF"/>
          </w:rPr>
          <w:t>https://www.mckinsey.com/industries/real-estate/our-insights/americans-are-embracing-flexible-work-and-they-want-more-of-it</w:t>
        </w:r>
      </w:hyperlink>
      <w:r w:rsidRPr="0069504D">
        <w:rPr>
          <w:rFonts w:ascii="Times New Roman" w:hAnsi="Times New Roman" w:cs="Times New Roman"/>
          <w:sz w:val="24"/>
          <w:szCs w:val="24"/>
          <w:shd w:val="clear" w:color="auto" w:fill="FFFFFF"/>
        </w:rPr>
        <w:t>.</w:t>
      </w:r>
      <w:r w:rsidR="004A3702"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sz w:val="24"/>
          <w:szCs w:val="24"/>
          <w:shd w:val="clear" w:color="auto" w:fill="FFFFFF"/>
        </w:rPr>
        <w:t xml:space="preserve">Accessed on October 13, 2022. </w:t>
      </w:r>
    </w:p>
    <w:p w14:paraId="2056DCF1" w14:textId="77777777"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bookmarkStart w:id="32" w:name="_Hlk106299022"/>
      <w:r w:rsidRPr="0069504D">
        <w:rPr>
          <w:rFonts w:ascii="Times New Roman" w:hAnsi="Times New Roman" w:cs="Times New Roman"/>
          <w:color w:val="222222"/>
          <w:sz w:val="24"/>
          <w:szCs w:val="24"/>
          <w:shd w:val="clear" w:color="auto" w:fill="FFFFFF"/>
        </w:rPr>
        <w:t xml:space="preserve">e Silva, J. D. A., and Melo, P. C. (2018). </w:t>
      </w:r>
      <w:bookmarkEnd w:id="32"/>
      <w:r w:rsidRPr="0069504D">
        <w:rPr>
          <w:rFonts w:ascii="Times New Roman" w:hAnsi="Times New Roman" w:cs="Times New Roman"/>
          <w:color w:val="222222"/>
          <w:sz w:val="24"/>
          <w:szCs w:val="24"/>
          <w:shd w:val="clear" w:color="auto" w:fill="FFFFFF"/>
        </w:rPr>
        <w:t>Does home-based telework reduce household total travel? A path analysis using single and two worker British households. </w:t>
      </w:r>
      <w:r w:rsidRPr="0069504D">
        <w:rPr>
          <w:rFonts w:ascii="Times New Roman" w:hAnsi="Times New Roman" w:cs="Times New Roman"/>
          <w:i/>
          <w:iCs/>
          <w:color w:val="222222"/>
          <w:sz w:val="24"/>
          <w:szCs w:val="24"/>
          <w:shd w:val="clear" w:color="auto" w:fill="FFFFFF"/>
        </w:rPr>
        <w:t>Journal of Transport Geography</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73</w:t>
      </w:r>
      <w:r w:rsidRPr="0069504D">
        <w:rPr>
          <w:rFonts w:ascii="Times New Roman" w:hAnsi="Times New Roman" w:cs="Times New Roman"/>
          <w:color w:val="222222"/>
          <w:sz w:val="24"/>
          <w:szCs w:val="24"/>
          <w:shd w:val="clear" w:color="auto" w:fill="FFFFFF"/>
        </w:rPr>
        <w:t>, 148-162.</w:t>
      </w:r>
    </w:p>
    <w:p w14:paraId="3F66D920"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Elldér, E. (2020). Telework and daily travel: New evidence from Sweden. </w:t>
      </w:r>
      <w:r w:rsidRPr="0069504D">
        <w:rPr>
          <w:rFonts w:ascii="Times New Roman" w:hAnsi="Times New Roman" w:cs="Times New Roman"/>
          <w:i/>
          <w:iCs/>
          <w:sz w:val="24"/>
          <w:szCs w:val="24"/>
          <w:shd w:val="clear" w:color="auto" w:fill="FFFFFF"/>
        </w:rPr>
        <w:t>Journal of Transport Geography</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86</w:t>
      </w:r>
      <w:r w:rsidRPr="0069504D">
        <w:rPr>
          <w:rFonts w:ascii="Times New Roman" w:hAnsi="Times New Roman" w:cs="Times New Roman"/>
          <w:sz w:val="24"/>
          <w:szCs w:val="24"/>
          <w:shd w:val="clear" w:color="auto" w:fill="FFFFFF"/>
        </w:rPr>
        <w:t>, 102777.</w:t>
      </w:r>
    </w:p>
    <w:p w14:paraId="67A476B7"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Ettema, D. (2010). The impact of telecommuting on residential relocation and residential preferences: A latent class modeling approach. </w:t>
      </w:r>
      <w:r w:rsidRPr="0069504D">
        <w:rPr>
          <w:rFonts w:ascii="Times New Roman" w:hAnsi="Times New Roman" w:cs="Times New Roman"/>
          <w:i/>
          <w:iCs/>
          <w:color w:val="222222"/>
          <w:sz w:val="24"/>
          <w:szCs w:val="24"/>
          <w:shd w:val="clear" w:color="auto" w:fill="FFFFFF"/>
        </w:rPr>
        <w:t>Journal of Transport and Land Use</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3</w:t>
      </w:r>
      <w:r w:rsidRPr="0069504D">
        <w:rPr>
          <w:rFonts w:ascii="Times New Roman" w:hAnsi="Times New Roman" w:cs="Times New Roman"/>
          <w:color w:val="222222"/>
          <w:sz w:val="24"/>
          <w:szCs w:val="24"/>
          <w:shd w:val="clear" w:color="auto" w:fill="FFFFFF"/>
        </w:rPr>
        <w:t>(1), 7-24.</w:t>
      </w:r>
    </w:p>
    <w:p w14:paraId="2B6B3F5F" w14:textId="1981C0AD"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rPr>
        <w:t xml:space="preserve">Flynn, J. (2022). 25 </w:t>
      </w:r>
      <w:r w:rsidR="004A3702" w:rsidRPr="0069504D">
        <w:rPr>
          <w:rFonts w:ascii="Times New Roman" w:hAnsi="Times New Roman" w:cs="Times New Roman"/>
          <w:sz w:val="24"/>
          <w:szCs w:val="24"/>
        </w:rPr>
        <w:t xml:space="preserve">Trending remote work statistics </w:t>
      </w:r>
      <w:r w:rsidRPr="0069504D">
        <w:rPr>
          <w:rFonts w:ascii="Times New Roman" w:hAnsi="Times New Roman" w:cs="Times New Roman"/>
          <w:sz w:val="24"/>
          <w:szCs w:val="24"/>
        </w:rPr>
        <w:t xml:space="preserve">[2023]: </w:t>
      </w:r>
      <w:r w:rsidR="004A3702" w:rsidRPr="0069504D">
        <w:rPr>
          <w:rFonts w:ascii="Times New Roman" w:hAnsi="Times New Roman" w:cs="Times New Roman"/>
          <w:sz w:val="24"/>
          <w:szCs w:val="24"/>
        </w:rPr>
        <w:t>Facts</w:t>
      </w:r>
      <w:r w:rsidRPr="0069504D">
        <w:rPr>
          <w:rFonts w:ascii="Times New Roman" w:hAnsi="Times New Roman" w:cs="Times New Roman"/>
          <w:sz w:val="24"/>
          <w:szCs w:val="24"/>
        </w:rPr>
        <w:t xml:space="preserve">, </w:t>
      </w:r>
      <w:r w:rsidR="004A3702" w:rsidRPr="0069504D">
        <w:rPr>
          <w:rFonts w:ascii="Times New Roman" w:hAnsi="Times New Roman" w:cs="Times New Roman"/>
          <w:sz w:val="24"/>
          <w:szCs w:val="24"/>
        </w:rPr>
        <w:t>trends</w:t>
      </w:r>
      <w:r w:rsidRPr="0069504D">
        <w:rPr>
          <w:rFonts w:ascii="Times New Roman" w:hAnsi="Times New Roman" w:cs="Times New Roman"/>
          <w:sz w:val="24"/>
          <w:szCs w:val="24"/>
        </w:rPr>
        <w:t xml:space="preserve">, </w:t>
      </w:r>
      <w:r w:rsidR="004A3702" w:rsidRPr="0069504D">
        <w:rPr>
          <w:rFonts w:ascii="Times New Roman" w:hAnsi="Times New Roman" w:cs="Times New Roman"/>
          <w:sz w:val="24"/>
          <w:szCs w:val="24"/>
        </w:rPr>
        <w:t>and projections</w:t>
      </w:r>
      <w:r w:rsidRPr="0069504D">
        <w:rPr>
          <w:rFonts w:ascii="Times New Roman" w:hAnsi="Times New Roman" w:cs="Times New Roman"/>
          <w:sz w:val="24"/>
          <w:szCs w:val="24"/>
        </w:rPr>
        <w:t xml:space="preserve">. Zippia. Available at: </w:t>
      </w:r>
      <w:hyperlink r:id="rId227" w:history="1">
        <w:r w:rsidRPr="0069504D">
          <w:rPr>
            <w:rStyle w:val="Hyperlink"/>
            <w:rFonts w:ascii="Times New Roman" w:hAnsi="Times New Roman" w:cs="Times New Roman"/>
            <w:sz w:val="24"/>
            <w:szCs w:val="24"/>
          </w:rPr>
          <w:t>https://www.zippia.com/advice/remote-work-statistics/</w:t>
        </w:r>
      </w:hyperlink>
      <w:r w:rsidRPr="0069504D">
        <w:rPr>
          <w:rFonts w:ascii="Times New Roman" w:hAnsi="Times New Roman" w:cs="Times New Roman"/>
          <w:sz w:val="24"/>
          <w:szCs w:val="24"/>
        </w:rPr>
        <w:t xml:space="preserve">. </w:t>
      </w:r>
      <w:r w:rsidRPr="0069504D">
        <w:rPr>
          <w:rFonts w:ascii="Times New Roman" w:hAnsi="Times New Roman" w:cs="Times New Roman"/>
          <w:sz w:val="24"/>
          <w:szCs w:val="24"/>
          <w:shd w:val="clear" w:color="auto" w:fill="FFFFFF"/>
        </w:rPr>
        <w:t>Accessed on April 23, 2023.</w:t>
      </w:r>
    </w:p>
    <w:p w14:paraId="4C6AE0C6"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color w:val="222222"/>
          <w:sz w:val="24"/>
          <w:szCs w:val="24"/>
          <w:shd w:val="clear" w:color="auto" w:fill="FFFFFF"/>
        </w:rPr>
        <w:t>Forrester, P.J., and Zhang, J. (2020). Parametrising correlation matrices. </w:t>
      </w:r>
      <w:r w:rsidRPr="0069504D">
        <w:rPr>
          <w:rFonts w:ascii="Times New Roman" w:hAnsi="Times New Roman" w:cs="Times New Roman"/>
          <w:i/>
          <w:iCs/>
          <w:color w:val="222222"/>
          <w:sz w:val="24"/>
          <w:szCs w:val="24"/>
          <w:shd w:val="clear" w:color="auto" w:fill="FFFFFF"/>
        </w:rPr>
        <w:t>Journal of Multivariate Analysis</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178</w:t>
      </w:r>
      <w:r w:rsidRPr="0069504D">
        <w:rPr>
          <w:rFonts w:ascii="Times New Roman" w:hAnsi="Times New Roman" w:cs="Times New Roman"/>
          <w:color w:val="222222"/>
          <w:sz w:val="24"/>
          <w:szCs w:val="24"/>
          <w:shd w:val="clear" w:color="auto" w:fill="FFFFFF"/>
        </w:rPr>
        <w:t>, 104619.</w:t>
      </w:r>
    </w:p>
    <w:p w14:paraId="3B3DEDC9"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Galasso, V., and Foucault, M. (2020). Working during COVID-19: Cross-country evidence from real-time survey data. </w:t>
      </w:r>
      <w:r w:rsidRPr="0069504D">
        <w:rPr>
          <w:rFonts w:ascii="Times New Roman" w:hAnsi="Times New Roman" w:cs="Times New Roman"/>
          <w:i/>
          <w:iCs/>
          <w:color w:val="000000"/>
          <w:sz w:val="24"/>
          <w:szCs w:val="24"/>
        </w:rPr>
        <w:t>OECD Social, Employment and Migration Working Papers</w:t>
      </w:r>
      <w:r w:rsidRPr="0069504D">
        <w:rPr>
          <w:rFonts w:ascii="Times New Roman" w:hAnsi="Times New Roman" w:cs="Times New Roman"/>
          <w:color w:val="000000"/>
          <w:sz w:val="24"/>
          <w:szCs w:val="24"/>
        </w:rPr>
        <w:t>, No. 246, OECD Publishing, Paris.</w:t>
      </w:r>
    </w:p>
    <w:p w14:paraId="51D81A66" w14:textId="4ED2BF94" w:rsidR="00E84401" w:rsidRPr="0069504D" w:rsidRDefault="00E84401" w:rsidP="0069504D">
      <w:pPr>
        <w:spacing w:afterLines="20" w:after="48" w:line="240" w:lineRule="auto"/>
        <w:ind w:left="540" w:hanging="540"/>
        <w:rPr>
          <w:rFonts w:ascii="Times New Roman" w:eastAsia="Times New Roman" w:hAnsi="Times New Roman" w:cs="Times New Roman"/>
          <w:sz w:val="24"/>
          <w:szCs w:val="24"/>
        </w:rPr>
      </w:pPr>
      <w:r w:rsidRPr="0069504D">
        <w:rPr>
          <w:rFonts w:ascii="Times New Roman" w:hAnsi="Times New Roman" w:cs="Times New Roman"/>
          <w:sz w:val="24"/>
          <w:szCs w:val="24"/>
          <w:shd w:val="clear" w:color="auto" w:fill="FFFFFF"/>
        </w:rPr>
        <w:t xml:space="preserve">Gallup (2020). </w:t>
      </w:r>
      <w:r w:rsidRPr="0069504D">
        <w:rPr>
          <w:rFonts w:ascii="Times New Roman" w:eastAsia="Times New Roman" w:hAnsi="Times New Roman" w:cs="Times New Roman"/>
          <w:sz w:val="24"/>
          <w:szCs w:val="24"/>
        </w:rPr>
        <w:t>COVID-19: A leader ’s guide to developing a work-from-home strategy. Available at:</w:t>
      </w:r>
      <w:r w:rsidR="00D3023D" w:rsidRPr="0069504D">
        <w:rPr>
          <w:rFonts w:ascii="Times New Roman" w:eastAsia="Times New Roman" w:hAnsi="Times New Roman" w:cs="Times New Roman"/>
          <w:sz w:val="24"/>
          <w:szCs w:val="24"/>
        </w:rPr>
        <w:t xml:space="preserve"> </w:t>
      </w:r>
      <w:hyperlink r:id="rId228" w:history="1">
        <w:r w:rsidR="00D3023D" w:rsidRPr="0069504D">
          <w:rPr>
            <w:rStyle w:val="Hyperlink"/>
            <w:rFonts w:ascii="Times New Roman" w:eastAsia="Times New Roman" w:hAnsi="Times New Roman" w:cs="Times New Roman"/>
            <w:sz w:val="24"/>
            <w:szCs w:val="24"/>
          </w:rPr>
          <w:t>https://www.gallup.com/workplace/310988/covid-19-working-from-home-guide.aspx</w:t>
        </w:r>
      </w:hyperlink>
      <w:r w:rsidRPr="0069504D">
        <w:rPr>
          <w:rFonts w:ascii="Times New Roman" w:eastAsia="Times New Roman" w:hAnsi="Times New Roman" w:cs="Times New Roman"/>
          <w:sz w:val="24"/>
          <w:szCs w:val="24"/>
        </w:rPr>
        <w:t>.</w:t>
      </w:r>
      <w:r w:rsidR="00D3023D" w:rsidRPr="0069504D">
        <w:rPr>
          <w:rFonts w:ascii="Times New Roman" w:eastAsia="Times New Roman" w:hAnsi="Times New Roman" w:cs="Times New Roman"/>
          <w:sz w:val="24"/>
          <w:szCs w:val="24"/>
        </w:rPr>
        <w:t xml:space="preserve"> </w:t>
      </w:r>
      <w:r w:rsidRPr="0069504D">
        <w:rPr>
          <w:rFonts w:ascii="Times New Roman" w:eastAsia="Times New Roman" w:hAnsi="Times New Roman" w:cs="Times New Roman"/>
          <w:sz w:val="24"/>
          <w:szCs w:val="24"/>
        </w:rPr>
        <w:t xml:space="preserve"> Accessed March 11, 2022.</w:t>
      </w:r>
    </w:p>
    <w:p w14:paraId="6A79A7D9" w14:textId="77777777" w:rsidR="00E84401" w:rsidRPr="0069504D" w:rsidRDefault="00E84401" w:rsidP="0069504D">
      <w:pPr>
        <w:spacing w:afterLines="20" w:after="48" w:line="240" w:lineRule="auto"/>
        <w:ind w:left="540" w:hanging="540"/>
        <w:rPr>
          <w:rFonts w:ascii="Times New Roman" w:eastAsia="Times New Roman" w:hAnsi="Times New Roman" w:cs="Times New Roman"/>
          <w:sz w:val="24"/>
          <w:szCs w:val="24"/>
        </w:rPr>
      </w:pPr>
      <w:r w:rsidRPr="0069504D">
        <w:rPr>
          <w:rFonts w:ascii="Times New Roman" w:eastAsia="Times New Roman" w:hAnsi="Times New Roman" w:cs="Times New Roman"/>
          <w:sz w:val="24"/>
          <w:szCs w:val="24"/>
        </w:rPr>
        <w:t xml:space="preserve">Gebbels, M., </w:t>
      </w:r>
      <w:proofErr w:type="spellStart"/>
      <w:r w:rsidRPr="0069504D">
        <w:rPr>
          <w:rFonts w:ascii="Times New Roman" w:eastAsia="Times New Roman" w:hAnsi="Times New Roman" w:cs="Times New Roman"/>
          <w:sz w:val="24"/>
          <w:szCs w:val="24"/>
        </w:rPr>
        <w:t>Pantelidis</w:t>
      </w:r>
      <w:proofErr w:type="spellEnd"/>
      <w:r w:rsidRPr="0069504D">
        <w:rPr>
          <w:rFonts w:ascii="Times New Roman" w:eastAsia="Times New Roman" w:hAnsi="Times New Roman" w:cs="Times New Roman"/>
          <w:sz w:val="24"/>
          <w:szCs w:val="24"/>
        </w:rPr>
        <w:t xml:space="preserve">, I.S., and Goss-Turner, S. (2020). </w:t>
      </w:r>
      <w:proofErr w:type="spellStart"/>
      <w:r w:rsidRPr="0069504D">
        <w:rPr>
          <w:rFonts w:ascii="Times New Roman" w:eastAsia="Times New Roman" w:hAnsi="Times New Roman" w:cs="Times New Roman"/>
          <w:sz w:val="24"/>
          <w:szCs w:val="24"/>
        </w:rPr>
        <w:t>Conceptualising</w:t>
      </w:r>
      <w:proofErr w:type="spellEnd"/>
      <w:r w:rsidRPr="0069504D">
        <w:rPr>
          <w:rFonts w:ascii="Times New Roman" w:eastAsia="Times New Roman" w:hAnsi="Times New Roman" w:cs="Times New Roman"/>
          <w:sz w:val="24"/>
          <w:szCs w:val="24"/>
        </w:rPr>
        <w:t xml:space="preserve"> patterns of career commitment: The leaving process in hospitality. </w:t>
      </w:r>
      <w:r w:rsidRPr="0069504D">
        <w:rPr>
          <w:rFonts w:ascii="Times New Roman" w:eastAsia="Times New Roman" w:hAnsi="Times New Roman" w:cs="Times New Roman"/>
          <w:i/>
          <w:sz w:val="24"/>
          <w:szCs w:val="24"/>
        </w:rPr>
        <w:t>International Journal of Contemporary Hospitality Management, 32</w:t>
      </w:r>
      <w:r w:rsidRPr="0069504D">
        <w:rPr>
          <w:rFonts w:ascii="Times New Roman" w:eastAsia="Times New Roman" w:hAnsi="Times New Roman" w:cs="Times New Roman"/>
          <w:sz w:val="24"/>
          <w:szCs w:val="24"/>
        </w:rPr>
        <w:t>(1), 126-147.</w:t>
      </w:r>
    </w:p>
    <w:p w14:paraId="58292625"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lastRenderedPageBreak/>
        <w:t>Groen, B.A., Van Triest, S.P., Coers, M., and Wtenweerde, N. (2018). Managing flexible work arrangements: Teleworking and output controls. </w:t>
      </w:r>
      <w:r w:rsidRPr="0069504D">
        <w:rPr>
          <w:rFonts w:ascii="Times New Roman" w:hAnsi="Times New Roman" w:cs="Times New Roman"/>
          <w:i/>
          <w:iCs/>
          <w:sz w:val="24"/>
          <w:szCs w:val="24"/>
          <w:shd w:val="clear" w:color="auto" w:fill="FFFFFF"/>
        </w:rPr>
        <w:t>European Management Journal</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36</w:t>
      </w:r>
      <w:r w:rsidRPr="0069504D">
        <w:rPr>
          <w:rFonts w:ascii="Times New Roman" w:hAnsi="Times New Roman" w:cs="Times New Roman"/>
          <w:sz w:val="24"/>
          <w:szCs w:val="24"/>
          <w:shd w:val="clear" w:color="auto" w:fill="FFFFFF"/>
        </w:rPr>
        <w:t>(6), 727-735.</w:t>
      </w:r>
    </w:p>
    <w:p w14:paraId="3DA92C03" w14:textId="24465E81" w:rsidR="00E84401"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color w:val="222222"/>
          <w:sz w:val="24"/>
          <w:szCs w:val="24"/>
          <w:shd w:val="clear" w:color="auto" w:fill="FFFFFF"/>
        </w:rPr>
        <w:t>Haider, M., and Anwar, A. I. (2023). The prevalence of telework under Covid-19 in Canada. </w:t>
      </w:r>
      <w:r w:rsidRPr="0069504D">
        <w:rPr>
          <w:rFonts w:ascii="Times New Roman" w:hAnsi="Times New Roman" w:cs="Times New Roman"/>
          <w:i/>
          <w:iCs/>
          <w:color w:val="222222"/>
          <w:sz w:val="24"/>
          <w:szCs w:val="24"/>
          <w:shd w:val="clear" w:color="auto" w:fill="FFFFFF"/>
        </w:rPr>
        <w:t>Information Technology and People</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36</w:t>
      </w:r>
      <w:r w:rsidRPr="0069504D">
        <w:rPr>
          <w:rFonts w:ascii="Times New Roman" w:hAnsi="Times New Roman" w:cs="Times New Roman"/>
          <w:color w:val="222222"/>
          <w:sz w:val="24"/>
          <w:szCs w:val="24"/>
          <w:shd w:val="clear" w:color="auto" w:fill="FFFFFF"/>
        </w:rPr>
        <w:t>(1), 196-223.</w:t>
      </w:r>
      <w:r w:rsidRPr="0069504D">
        <w:rPr>
          <w:rFonts w:ascii="Times New Roman" w:hAnsi="Times New Roman" w:cs="Times New Roman"/>
          <w:sz w:val="24"/>
          <w:szCs w:val="24"/>
          <w:shd w:val="clear" w:color="auto" w:fill="FFFFFF"/>
        </w:rPr>
        <w:t xml:space="preserve"> </w:t>
      </w:r>
    </w:p>
    <w:p w14:paraId="3AA452C1" w14:textId="42BC020F" w:rsidR="00B14032" w:rsidRPr="00194389" w:rsidRDefault="00B14032" w:rsidP="00194389">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0F7085">
        <w:rPr>
          <w:rFonts w:ascii="Times New Roman" w:hAnsi="Times New Roman" w:cs="Times New Roman"/>
          <w:color w:val="222222"/>
          <w:sz w:val="24"/>
          <w:szCs w:val="24"/>
          <w:shd w:val="clear" w:color="auto" w:fill="FFFFFF"/>
        </w:rPr>
        <w:t xml:space="preserve">Hamed, M. M., and Mannering, F. L. (1993). Modeling travelers' </w:t>
      </w:r>
      <w:proofErr w:type="spellStart"/>
      <w:r w:rsidRPr="000F7085">
        <w:rPr>
          <w:rFonts w:ascii="Times New Roman" w:hAnsi="Times New Roman" w:cs="Times New Roman"/>
          <w:color w:val="222222"/>
          <w:sz w:val="24"/>
          <w:szCs w:val="24"/>
          <w:shd w:val="clear" w:color="auto" w:fill="FFFFFF"/>
        </w:rPr>
        <w:t>postwork</w:t>
      </w:r>
      <w:proofErr w:type="spellEnd"/>
      <w:r w:rsidRPr="000F7085">
        <w:rPr>
          <w:rFonts w:ascii="Times New Roman" w:hAnsi="Times New Roman" w:cs="Times New Roman"/>
          <w:color w:val="222222"/>
          <w:sz w:val="24"/>
          <w:szCs w:val="24"/>
          <w:shd w:val="clear" w:color="auto" w:fill="FFFFFF"/>
        </w:rPr>
        <w:t xml:space="preserve"> activity involvement: toward a new methodology. </w:t>
      </w:r>
      <w:r w:rsidRPr="000F7085">
        <w:rPr>
          <w:rFonts w:ascii="Times New Roman" w:hAnsi="Times New Roman" w:cs="Times New Roman"/>
          <w:i/>
          <w:iCs/>
          <w:color w:val="222222"/>
          <w:sz w:val="24"/>
          <w:szCs w:val="24"/>
          <w:shd w:val="clear" w:color="auto" w:fill="FFFFFF"/>
        </w:rPr>
        <w:t>Transportation science</w:t>
      </w:r>
      <w:r w:rsidRPr="000F7085">
        <w:rPr>
          <w:rFonts w:ascii="Times New Roman" w:hAnsi="Times New Roman" w:cs="Times New Roman"/>
          <w:color w:val="222222"/>
          <w:sz w:val="24"/>
          <w:szCs w:val="24"/>
          <w:shd w:val="clear" w:color="auto" w:fill="FFFFFF"/>
        </w:rPr>
        <w:t>, </w:t>
      </w:r>
      <w:r w:rsidRPr="000F7085">
        <w:rPr>
          <w:rFonts w:ascii="Times New Roman" w:hAnsi="Times New Roman" w:cs="Times New Roman"/>
          <w:i/>
          <w:iCs/>
          <w:color w:val="222222"/>
          <w:sz w:val="24"/>
          <w:szCs w:val="24"/>
          <w:shd w:val="clear" w:color="auto" w:fill="FFFFFF"/>
        </w:rPr>
        <w:t>27</w:t>
      </w:r>
      <w:r w:rsidRPr="000F7085">
        <w:rPr>
          <w:rFonts w:ascii="Times New Roman" w:hAnsi="Times New Roman" w:cs="Times New Roman"/>
          <w:color w:val="222222"/>
          <w:sz w:val="24"/>
          <w:szCs w:val="24"/>
          <w:shd w:val="clear" w:color="auto" w:fill="FFFFFF"/>
        </w:rPr>
        <w:t>(4), 381-394.</w:t>
      </w:r>
    </w:p>
    <w:p w14:paraId="1E0A4F60"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Heiden, M., Widar, L., Wiitavaara, B., and Boman, E. (2021). Telework in academia: associations with health and well-being among staff. </w:t>
      </w:r>
      <w:r w:rsidRPr="0069504D">
        <w:rPr>
          <w:rFonts w:ascii="Times New Roman" w:hAnsi="Times New Roman" w:cs="Times New Roman"/>
          <w:i/>
          <w:iCs/>
          <w:sz w:val="24"/>
          <w:szCs w:val="24"/>
          <w:shd w:val="clear" w:color="auto" w:fill="FFFFFF"/>
        </w:rPr>
        <w:t>Higher Education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81</w:t>
      </w:r>
      <w:r w:rsidRPr="0069504D">
        <w:rPr>
          <w:rFonts w:ascii="Times New Roman" w:hAnsi="Times New Roman" w:cs="Times New Roman"/>
          <w:sz w:val="24"/>
          <w:szCs w:val="24"/>
          <w:shd w:val="clear" w:color="auto" w:fill="FFFFFF"/>
        </w:rPr>
        <w:t>(4), 707-722.</w:t>
      </w:r>
    </w:p>
    <w:p w14:paraId="0C93D904" w14:textId="17909F0C"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bookmarkStart w:id="33" w:name="_Hlk101517317"/>
      <w:r w:rsidRPr="0069504D">
        <w:rPr>
          <w:rFonts w:ascii="Times New Roman" w:hAnsi="Times New Roman" w:cs="Times New Roman"/>
          <w:color w:val="222222"/>
          <w:sz w:val="24"/>
          <w:szCs w:val="24"/>
          <w:shd w:val="clear" w:color="auto" w:fill="FFFFFF"/>
        </w:rPr>
        <w:t>Henshe</w:t>
      </w:r>
      <w:bookmarkEnd w:id="33"/>
      <w:r w:rsidRPr="0069504D">
        <w:rPr>
          <w:rFonts w:ascii="Times New Roman" w:hAnsi="Times New Roman" w:cs="Times New Roman"/>
          <w:color w:val="222222"/>
          <w:sz w:val="24"/>
          <w:szCs w:val="24"/>
          <w:shd w:val="clear" w:color="auto" w:fill="FFFFFF"/>
        </w:rPr>
        <w:t>r, D. A., Beck, M. J., and Wei, E. (2021). Working from home and its implications for strategic transport modelling based on the early days of the COVID-19</w:t>
      </w:r>
      <w:r w:rsidR="00D3023D" w:rsidRPr="0069504D">
        <w:rPr>
          <w:rFonts w:ascii="Times New Roman" w:hAnsi="Times New Roman" w:cs="Times New Roman"/>
          <w:color w:val="222222"/>
          <w:sz w:val="24"/>
          <w:szCs w:val="24"/>
          <w:shd w:val="clear" w:color="auto" w:fill="FFFFFF"/>
        </w:rPr>
        <w:t xml:space="preserve"> pandemic. </w:t>
      </w:r>
      <w:r w:rsidRPr="0069504D">
        <w:rPr>
          <w:rFonts w:ascii="Times New Roman" w:hAnsi="Times New Roman" w:cs="Times New Roman"/>
          <w:i/>
          <w:iCs/>
          <w:color w:val="222222"/>
          <w:sz w:val="24"/>
          <w:szCs w:val="24"/>
          <w:shd w:val="clear" w:color="auto" w:fill="FFFFFF"/>
        </w:rPr>
        <w:t>Transportation Research Part A</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148</w:t>
      </w:r>
      <w:r w:rsidRPr="0069504D">
        <w:rPr>
          <w:rFonts w:ascii="Times New Roman" w:hAnsi="Times New Roman" w:cs="Times New Roman"/>
          <w:color w:val="222222"/>
          <w:sz w:val="24"/>
          <w:szCs w:val="24"/>
          <w:shd w:val="clear" w:color="auto" w:fill="FFFFFF"/>
        </w:rPr>
        <w:t>, 64-78.</w:t>
      </w:r>
    </w:p>
    <w:p w14:paraId="1EF91857" w14:textId="414EC9E2"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shd w:val="clear" w:color="auto" w:fill="FFFFFF"/>
        </w:rPr>
        <w:t xml:space="preserve">Hopkins, J.C., and Figaro, K.A. (2021). The great resignation: </w:t>
      </w:r>
      <w:r w:rsidR="004A3702" w:rsidRPr="0069504D">
        <w:rPr>
          <w:rFonts w:ascii="Times New Roman" w:hAnsi="Times New Roman" w:cs="Times New Roman"/>
          <w:sz w:val="24"/>
          <w:szCs w:val="24"/>
          <w:shd w:val="clear" w:color="auto" w:fill="FFFFFF"/>
        </w:rPr>
        <w:t>A</w:t>
      </w:r>
      <w:r w:rsidRPr="0069504D">
        <w:rPr>
          <w:rFonts w:ascii="Times New Roman" w:hAnsi="Times New Roman" w:cs="Times New Roman"/>
          <w:sz w:val="24"/>
          <w:szCs w:val="24"/>
          <w:shd w:val="clear" w:color="auto" w:fill="FFFFFF"/>
        </w:rPr>
        <w:t>n argument for hybrid leadership. </w:t>
      </w:r>
      <w:r w:rsidRPr="0069504D">
        <w:rPr>
          <w:rFonts w:ascii="Times New Roman" w:hAnsi="Times New Roman" w:cs="Times New Roman"/>
          <w:i/>
          <w:iCs/>
          <w:sz w:val="24"/>
          <w:szCs w:val="24"/>
          <w:shd w:val="clear" w:color="auto" w:fill="FFFFFF"/>
        </w:rPr>
        <w:t>International Journal of Business and Management Research</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9</w:t>
      </w:r>
      <w:r w:rsidRPr="0069504D">
        <w:rPr>
          <w:rFonts w:ascii="Times New Roman" w:hAnsi="Times New Roman" w:cs="Times New Roman"/>
          <w:sz w:val="24"/>
          <w:szCs w:val="24"/>
          <w:shd w:val="clear" w:color="auto" w:fill="FFFFFF"/>
        </w:rPr>
        <w:t>(4), 393-400.</w:t>
      </w:r>
    </w:p>
    <w:p w14:paraId="68D9F4BC" w14:textId="4D2087AE"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proofErr w:type="spellStart"/>
      <w:r w:rsidRPr="0069504D">
        <w:rPr>
          <w:rFonts w:ascii="Times New Roman" w:hAnsi="Times New Roman" w:cs="Times New Roman"/>
          <w:color w:val="222222"/>
          <w:sz w:val="24"/>
          <w:szCs w:val="24"/>
          <w:shd w:val="clear" w:color="auto" w:fill="FFFFFF"/>
        </w:rPr>
        <w:t>Hotopp</w:t>
      </w:r>
      <w:proofErr w:type="spellEnd"/>
      <w:r w:rsidRPr="0069504D">
        <w:rPr>
          <w:rFonts w:ascii="Times New Roman" w:hAnsi="Times New Roman" w:cs="Times New Roman"/>
          <w:color w:val="222222"/>
          <w:sz w:val="24"/>
          <w:szCs w:val="24"/>
          <w:shd w:val="clear" w:color="auto" w:fill="FFFFFF"/>
        </w:rPr>
        <w:t>, U. (2002). Teleworking in the UK. </w:t>
      </w:r>
      <w:proofErr w:type="spellStart"/>
      <w:r w:rsidRPr="0069504D">
        <w:rPr>
          <w:rFonts w:ascii="Times New Roman" w:hAnsi="Times New Roman" w:cs="Times New Roman"/>
          <w:i/>
          <w:iCs/>
          <w:color w:val="222222"/>
          <w:sz w:val="24"/>
          <w:szCs w:val="24"/>
          <w:shd w:val="clear" w:color="auto" w:fill="FFFFFF"/>
        </w:rPr>
        <w:t>Labour</w:t>
      </w:r>
      <w:proofErr w:type="spellEnd"/>
      <w:r w:rsidRPr="0069504D">
        <w:rPr>
          <w:rFonts w:ascii="Times New Roman" w:hAnsi="Times New Roman" w:cs="Times New Roman"/>
          <w:i/>
          <w:iCs/>
          <w:color w:val="222222"/>
          <w:sz w:val="24"/>
          <w:szCs w:val="24"/>
          <w:shd w:val="clear" w:color="auto" w:fill="FFFFFF"/>
        </w:rPr>
        <w:t xml:space="preserve"> </w:t>
      </w:r>
      <w:r w:rsidR="00D3023D" w:rsidRPr="0069504D">
        <w:rPr>
          <w:rFonts w:ascii="Times New Roman" w:hAnsi="Times New Roman" w:cs="Times New Roman"/>
          <w:i/>
          <w:iCs/>
          <w:color w:val="222222"/>
          <w:sz w:val="24"/>
          <w:szCs w:val="24"/>
          <w:shd w:val="clear" w:color="auto" w:fill="FFFFFF"/>
        </w:rPr>
        <w:t>M</w:t>
      </w:r>
      <w:r w:rsidRPr="0069504D">
        <w:rPr>
          <w:rFonts w:ascii="Times New Roman" w:hAnsi="Times New Roman" w:cs="Times New Roman"/>
          <w:i/>
          <w:iCs/>
          <w:color w:val="222222"/>
          <w:sz w:val="24"/>
          <w:szCs w:val="24"/>
          <w:shd w:val="clear" w:color="auto" w:fill="FFFFFF"/>
        </w:rPr>
        <w:t xml:space="preserve">arket </w:t>
      </w:r>
      <w:r w:rsidR="00D3023D" w:rsidRPr="0069504D">
        <w:rPr>
          <w:rFonts w:ascii="Times New Roman" w:hAnsi="Times New Roman" w:cs="Times New Roman"/>
          <w:i/>
          <w:iCs/>
          <w:color w:val="222222"/>
          <w:sz w:val="24"/>
          <w:szCs w:val="24"/>
          <w:shd w:val="clear" w:color="auto" w:fill="FFFFFF"/>
        </w:rPr>
        <w:t>T</w:t>
      </w:r>
      <w:r w:rsidRPr="0069504D">
        <w:rPr>
          <w:rFonts w:ascii="Times New Roman" w:hAnsi="Times New Roman" w:cs="Times New Roman"/>
          <w:i/>
          <w:iCs/>
          <w:color w:val="222222"/>
          <w:sz w:val="24"/>
          <w:szCs w:val="24"/>
          <w:shd w:val="clear" w:color="auto" w:fill="FFFFFF"/>
        </w:rPr>
        <w:t>rends</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110</w:t>
      </w:r>
      <w:r w:rsidRPr="0069504D">
        <w:rPr>
          <w:rFonts w:ascii="Times New Roman" w:hAnsi="Times New Roman" w:cs="Times New Roman"/>
          <w:color w:val="222222"/>
          <w:sz w:val="24"/>
          <w:szCs w:val="24"/>
          <w:shd w:val="clear" w:color="auto" w:fill="FFFFFF"/>
        </w:rPr>
        <w:t>(6), 311-318.</w:t>
      </w:r>
    </w:p>
    <w:p w14:paraId="0C8EBB4C" w14:textId="5A118163"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proofErr w:type="spellStart"/>
      <w:r w:rsidRPr="0069504D">
        <w:rPr>
          <w:rFonts w:ascii="Times New Roman" w:hAnsi="Times New Roman" w:cs="Times New Roman"/>
          <w:sz w:val="24"/>
          <w:szCs w:val="24"/>
          <w:shd w:val="clear" w:color="auto" w:fill="FFFFFF"/>
        </w:rPr>
        <w:t>Irawan</w:t>
      </w:r>
      <w:proofErr w:type="spellEnd"/>
      <w:r w:rsidRPr="0069504D">
        <w:rPr>
          <w:rFonts w:ascii="Times New Roman" w:hAnsi="Times New Roman" w:cs="Times New Roman"/>
          <w:sz w:val="24"/>
          <w:szCs w:val="24"/>
          <w:shd w:val="clear" w:color="auto" w:fill="FFFFFF"/>
        </w:rPr>
        <w:t xml:space="preserve">, M.Z., </w:t>
      </w:r>
      <w:proofErr w:type="spellStart"/>
      <w:r w:rsidRPr="0069504D">
        <w:rPr>
          <w:rFonts w:ascii="Times New Roman" w:hAnsi="Times New Roman" w:cs="Times New Roman"/>
          <w:sz w:val="24"/>
          <w:szCs w:val="24"/>
          <w:shd w:val="clear" w:color="auto" w:fill="FFFFFF"/>
        </w:rPr>
        <w:t>Belgiawan</w:t>
      </w:r>
      <w:proofErr w:type="spellEnd"/>
      <w:r w:rsidRPr="0069504D">
        <w:rPr>
          <w:rFonts w:ascii="Times New Roman" w:hAnsi="Times New Roman" w:cs="Times New Roman"/>
          <w:sz w:val="24"/>
          <w:szCs w:val="24"/>
          <w:shd w:val="clear" w:color="auto" w:fill="FFFFFF"/>
        </w:rPr>
        <w:t xml:space="preserve">, P.F., </w:t>
      </w:r>
      <w:proofErr w:type="spellStart"/>
      <w:r w:rsidRPr="0069504D">
        <w:rPr>
          <w:rFonts w:ascii="Times New Roman" w:hAnsi="Times New Roman" w:cs="Times New Roman"/>
          <w:sz w:val="24"/>
          <w:szCs w:val="24"/>
          <w:shd w:val="clear" w:color="auto" w:fill="FFFFFF"/>
        </w:rPr>
        <w:t>Joewono</w:t>
      </w:r>
      <w:proofErr w:type="spellEnd"/>
      <w:r w:rsidRPr="0069504D">
        <w:rPr>
          <w:rFonts w:ascii="Times New Roman" w:hAnsi="Times New Roman" w:cs="Times New Roman"/>
          <w:sz w:val="24"/>
          <w:szCs w:val="24"/>
          <w:shd w:val="clear" w:color="auto" w:fill="FFFFFF"/>
        </w:rPr>
        <w:t xml:space="preserve">, T.B., </w:t>
      </w:r>
      <w:proofErr w:type="spellStart"/>
      <w:r w:rsidRPr="0069504D">
        <w:rPr>
          <w:rFonts w:ascii="Times New Roman" w:hAnsi="Times New Roman" w:cs="Times New Roman"/>
          <w:sz w:val="24"/>
          <w:szCs w:val="24"/>
          <w:shd w:val="clear" w:color="auto" w:fill="FFFFFF"/>
        </w:rPr>
        <w:t>Bastarianto</w:t>
      </w:r>
      <w:proofErr w:type="spellEnd"/>
      <w:r w:rsidRPr="0069504D">
        <w:rPr>
          <w:rFonts w:ascii="Times New Roman" w:hAnsi="Times New Roman" w:cs="Times New Roman"/>
          <w:sz w:val="24"/>
          <w:szCs w:val="24"/>
          <w:shd w:val="clear" w:color="auto" w:fill="FFFFFF"/>
        </w:rPr>
        <w:t xml:space="preserve">, F.F., </w:t>
      </w:r>
      <w:proofErr w:type="spellStart"/>
      <w:r w:rsidRPr="0069504D">
        <w:rPr>
          <w:rFonts w:ascii="Times New Roman" w:hAnsi="Times New Roman" w:cs="Times New Roman"/>
          <w:sz w:val="24"/>
          <w:szCs w:val="24"/>
          <w:shd w:val="clear" w:color="auto" w:fill="FFFFFF"/>
        </w:rPr>
        <w:t>Rizki</w:t>
      </w:r>
      <w:proofErr w:type="spellEnd"/>
      <w:r w:rsidRPr="0069504D">
        <w:rPr>
          <w:rFonts w:ascii="Times New Roman" w:hAnsi="Times New Roman" w:cs="Times New Roman"/>
          <w:sz w:val="24"/>
          <w:szCs w:val="24"/>
          <w:shd w:val="clear" w:color="auto" w:fill="FFFFFF"/>
        </w:rPr>
        <w:t xml:space="preserve">, M., and </w:t>
      </w:r>
      <w:proofErr w:type="spellStart"/>
      <w:r w:rsidRPr="0069504D">
        <w:rPr>
          <w:rFonts w:ascii="Times New Roman" w:hAnsi="Times New Roman" w:cs="Times New Roman"/>
          <w:sz w:val="24"/>
          <w:szCs w:val="24"/>
          <w:shd w:val="clear" w:color="auto" w:fill="FFFFFF"/>
        </w:rPr>
        <w:t>Ilahi</w:t>
      </w:r>
      <w:proofErr w:type="spellEnd"/>
      <w:r w:rsidRPr="0069504D">
        <w:rPr>
          <w:rFonts w:ascii="Times New Roman" w:hAnsi="Times New Roman" w:cs="Times New Roman"/>
          <w:sz w:val="24"/>
          <w:szCs w:val="24"/>
          <w:shd w:val="clear" w:color="auto" w:fill="FFFFFF"/>
        </w:rPr>
        <w:t>, A. (2022). Exploring activity-travel behavior changes during the beginning of COVID-19 pandemic in Indonesia. </w:t>
      </w:r>
      <w:r w:rsidRPr="0069504D">
        <w:rPr>
          <w:rFonts w:ascii="Times New Roman" w:hAnsi="Times New Roman" w:cs="Times New Roman"/>
          <w:i/>
          <w:iCs/>
          <w:sz w:val="24"/>
          <w:szCs w:val="24"/>
          <w:shd w:val="clear" w:color="auto" w:fill="FFFFFF"/>
        </w:rPr>
        <w:t>Transportation</w:t>
      </w:r>
      <w:r w:rsidRPr="0069504D">
        <w:rPr>
          <w:rFonts w:ascii="Times New Roman" w:hAnsi="Times New Roman" w:cs="Times New Roman"/>
          <w:sz w:val="24"/>
          <w:szCs w:val="24"/>
          <w:shd w:val="clear" w:color="auto" w:fill="FFFFFF"/>
        </w:rPr>
        <w:t>,</w:t>
      </w:r>
      <w:r w:rsidRPr="0069504D">
        <w:rPr>
          <w:rFonts w:ascii="Times New Roman" w:hAnsi="Times New Roman" w:cs="Times New Roman"/>
          <w:i/>
          <w:sz w:val="24"/>
          <w:szCs w:val="24"/>
          <w:shd w:val="clear" w:color="auto" w:fill="FFFFFF"/>
        </w:rPr>
        <w:t xml:space="preserve"> 49</w:t>
      </w:r>
      <w:r w:rsidRPr="0069504D">
        <w:rPr>
          <w:rFonts w:ascii="Times New Roman" w:hAnsi="Times New Roman" w:cs="Times New Roman"/>
          <w:sz w:val="24"/>
          <w:szCs w:val="24"/>
          <w:shd w:val="clear" w:color="auto" w:fill="FFFFFF"/>
        </w:rPr>
        <w:t>, 529-553.</w:t>
      </w:r>
    </w:p>
    <w:p w14:paraId="6C9D8DC7" w14:textId="0AFA77DF" w:rsidR="004A6EFD" w:rsidRPr="0069504D" w:rsidRDefault="004A6EFD"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Jain, T., Currie, G., and Aston, L. (2022). COVID and working from home: Long-term impacts and psycho-social determinants. </w:t>
      </w:r>
      <w:r w:rsidRPr="0069504D">
        <w:rPr>
          <w:rFonts w:ascii="Times New Roman" w:hAnsi="Times New Roman" w:cs="Times New Roman"/>
          <w:i/>
          <w:iCs/>
          <w:sz w:val="24"/>
          <w:szCs w:val="24"/>
          <w:shd w:val="clear" w:color="auto" w:fill="FFFFFF"/>
        </w:rPr>
        <w:t>Transportation Research Part A</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156</w:t>
      </w:r>
      <w:r w:rsidRPr="0069504D">
        <w:rPr>
          <w:rFonts w:ascii="Times New Roman" w:hAnsi="Times New Roman" w:cs="Times New Roman"/>
          <w:sz w:val="24"/>
          <w:szCs w:val="24"/>
          <w:shd w:val="clear" w:color="auto" w:fill="FFFFFF"/>
        </w:rPr>
        <w:t>, 52-68.</w:t>
      </w:r>
    </w:p>
    <w:p w14:paraId="5AB414C5"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Kazekami, S. (2020). Mechanisms to improve labor productivity by performing telework. </w:t>
      </w:r>
      <w:r w:rsidRPr="0069504D">
        <w:rPr>
          <w:rFonts w:ascii="Times New Roman" w:hAnsi="Times New Roman" w:cs="Times New Roman"/>
          <w:i/>
          <w:iCs/>
          <w:color w:val="222222"/>
          <w:sz w:val="24"/>
          <w:szCs w:val="24"/>
          <w:shd w:val="clear" w:color="auto" w:fill="FFFFFF"/>
        </w:rPr>
        <w:t>Telecommunications Policy</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44</w:t>
      </w:r>
      <w:r w:rsidRPr="0069504D">
        <w:rPr>
          <w:rFonts w:ascii="Times New Roman" w:hAnsi="Times New Roman" w:cs="Times New Roman"/>
          <w:color w:val="222222"/>
          <w:sz w:val="24"/>
          <w:szCs w:val="24"/>
          <w:shd w:val="clear" w:color="auto" w:fill="FFFFFF"/>
        </w:rPr>
        <w:t>(2), 101868.</w:t>
      </w:r>
    </w:p>
    <w:p w14:paraId="498DB251" w14:textId="5388903B"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Lachapelle, U., </w:t>
      </w:r>
      <w:proofErr w:type="spellStart"/>
      <w:r w:rsidRPr="0069504D">
        <w:rPr>
          <w:rFonts w:ascii="Times New Roman" w:hAnsi="Times New Roman" w:cs="Times New Roman"/>
          <w:sz w:val="24"/>
          <w:szCs w:val="24"/>
          <w:shd w:val="clear" w:color="auto" w:fill="FFFFFF"/>
        </w:rPr>
        <w:t>Tanguay</w:t>
      </w:r>
      <w:proofErr w:type="spellEnd"/>
      <w:r w:rsidRPr="0069504D">
        <w:rPr>
          <w:rFonts w:ascii="Times New Roman" w:hAnsi="Times New Roman" w:cs="Times New Roman"/>
          <w:sz w:val="24"/>
          <w:szCs w:val="24"/>
          <w:shd w:val="clear" w:color="auto" w:fill="FFFFFF"/>
        </w:rPr>
        <w:t xml:space="preserve">, G.A., and </w:t>
      </w:r>
      <w:proofErr w:type="spellStart"/>
      <w:r w:rsidRPr="0069504D">
        <w:rPr>
          <w:rFonts w:ascii="Times New Roman" w:hAnsi="Times New Roman" w:cs="Times New Roman"/>
          <w:sz w:val="24"/>
          <w:szCs w:val="24"/>
          <w:shd w:val="clear" w:color="auto" w:fill="FFFFFF"/>
        </w:rPr>
        <w:t>Neumark</w:t>
      </w:r>
      <w:proofErr w:type="spellEnd"/>
      <w:r w:rsidRPr="0069504D">
        <w:rPr>
          <w:rFonts w:ascii="Times New Roman" w:hAnsi="Times New Roman" w:cs="Times New Roman"/>
          <w:sz w:val="24"/>
          <w:szCs w:val="24"/>
          <w:shd w:val="clear" w:color="auto" w:fill="FFFFFF"/>
        </w:rPr>
        <w:t xml:space="preserve">-Gaudet, L. (2018). Telecommuting and sustainable travel: </w:t>
      </w:r>
      <w:r w:rsidR="004A3702" w:rsidRPr="0069504D">
        <w:rPr>
          <w:rFonts w:ascii="Times New Roman" w:hAnsi="Times New Roman" w:cs="Times New Roman"/>
          <w:sz w:val="24"/>
          <w:szCs w:val="24"/>
          <w:shd w:val="clear" w:color="auto" w:fill="FFFFFF"/>
        </w:rPr>
        <w:t>R</w:t>
      </w:r>
      <w:r w:rsidRPr="0069504D">
        <w:rPr>
          <w:rFonts w:ascii="Times New Roman" w:hAnsi="Times New Roman" w:cs="Times New Roman"/>
          <w:sz w:val="24"/>
          <w:szCs w:val="24"/>
          <w:shd w:val="clear" w:color="auto" w:fill="FFFFFF"/>
        </w:rPr>
        <w:t>eduction of overall travel time, increases in non-</w:t>
      </w:r>
      <w:proofErr w:type="spellStart"/>
      <w:r w:rsidRPr="0069504D">
        <w:rPr>
          <w:rFonts w:ascii="Times New Roman" w:hAnsi="Times New Roman" w:cs="Times New Roman"/>
          <w:sz w:val="24"/>
          <w:szCs w:val="24"/>
          <w:shd w:val="clear" w:color="auto" w:fill="FFFFFF"/>
        </w:rPr>
        <w:t>motorised</w:t>
      </w:r>
      <w:proofErr w:type="spellEnd"/>
      <w:r w:rsidRPr="0069504D">
        <w:rPr>
          <w:rFonts w:ascii="Times New Roman" w:hAnsi="Times New Roman" w:cs="Times New Roman"/>
          <w:sz w:val="24"/>
          <w:szCs w:val="24"/>
          <w:shd w:val="clear" w:color="auto" w:fill="FFFFFF"/>
        </w:rPr>
        <w:t xml:space="preserve"> travel and congestion relief? </w:t>
      </w:r>
      <w:r w:rsidRPr="0069504D">
        <w:rPr>
          <w:rFonts w:ascii="Times New Roman" w:hAnsi="Times New Roman" w:cs="Times New Roman"/>
          <w:i/>
          <w:iCs/>
          <w:sz w:val="24"/>
          <w:szCs w:val="24"/>
          <w:shd w:val="clear" w:color="auto" w:fill="FFFFFF"/>
        </w:rPr>
        <w:t>Urban Studies</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55</w:t>
      </w:r>
      <w:r w:rsidRPr="0069504D">
        <w:rPr>
          <w:rFonts w:ascii="Times New Roman" w:hAnsi="Times New Roman" w:cs="Times New Roman"/>
          <w:sz w:val="24"/>
          <w:szCs w:val="24"/>
          <w:shd w:val="clear" w:color="auto" w:fill="FFFFFF"/>
        </w:rPr>
        <w:t>(10), 2226-2244.</w:t>
      </w:r>
    </w:p>
    <w:p w14:paraId="5BFEA4B7"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LaMondia, J.J., and Bhat, C.R. (2012). A conceptual and methodological framework of leisure activity loyalty accommodating the travel context. </w:t>
      </w:r>
      <w:r w:rsidRPr="0069504D">
        <w:rPr>
          <w:rFonts w:ascii="Times New Roman" w:hAnsi="Times New Roman" w:cs="Times New Roman"/>
          <w:i/>
          <w:iCs/>
          <w:sz w:val="24"/>
          <w:szCs w:val="24"/>
          <w:shd w:val="clear" w:color="auto" w:fill="FFFFFF"/>
        </w:rPr>
        <w:t>Transportation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39</w:t>
      </w:r>
      <w:r w:rsidRPr="0069504D">
        <w:rPr>
          <w:rFonts w:ascii="Times New Roman" w:hAnsi="Times New Roman" w:cs="Times New Roman"/>
          <w:sz w:val="24"/>
          <w:szCs w:val="24"/>
          <w:shd w:val="clear" w:color="auto" w:fill="FFFFFF"/>
        </w:rPr>
        <w:t>(2), 321-349.</w:t>
      </w:r>
    </w:p>
    <w:p w14:paraId="5301F1C5"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Lavieri, P.S., Dai, Q., and Bhat, C.R. (2018). Using virtual accessibility and physical accessibility as joint predictors of activity-travel behavior. </w:t>
      </w:r>
      <w:r w:rsidRPr="0069504D">
        <w:rPr>
          <w:rFonts w:ascii="Times New Roman" w:hAnsi="Times New Roman" w:cs="Times New Roman"/>
          <w:i/>
          <w:sz w:val="24"/>
          <w:szCs w:val="24"/>
          <w:shd w:val="clear" w:color="auto" w:fill="FFFFFF"/>
        </w:rPr>
        <w:t>Transportation Research Part A</w:t>
      </w:r>
      <w:r w:rsidRPr="0069504D">
        <w:rPr>
          <w:rFonts w:ascii="Times New Roman" w:hAnsi="Times New Roman" w:cs="Times New Roman"/>
          <w:sz w:val="24"/>
          <w:szCs w:val="24"/>
          <w:shd w:val="clear" w:color="auto" w:fill="FFFFFF"/>
        </w:rPr>
        <w:t xml:space="preserve">, </w:t>
      </w:r>
      <w:r w:rsidRPr="0069504D">
        <w:rPr>
          <w:rFonts w:ascii="Times New Roman" w:hAnsi="Times New Roman" w:cs="Times New Roman"/>
          <w:i/>
          <w:sz w:val="24"/>
          <w:szCs w:val="24"/>
          <w:shd w:val="clear" w:color="auto" w:fill="FFFFFF"/>
        </w:rPr>
        <w:t>118</w:t>
      </w:r>
      <w:r w:rsidRPr="0069504D">
        <w:rPr>
          <w:rFonts w:ascii="Times New Roman" w:hAnsi="Times New Roman" w:cs="Times New Roman"/>
          <w:sz w:val="24"/>
          <w:szCs w:val="24"/>
          <w:shd w:val="clear" w:color="auto" w:fill="FFFFFF"/>
        </w:rPr>
        <w:t>, 527-544.</w:t>
      </w:r>
    </w:p>
    <w:p w14:paraId="0CA504FC" w14:textId="5C6ABB43"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 xml:space="preserve">Lila, P. C., and Anjaneyulu, M. V. L. R. (2013). Modeling the </w:t>
      </w:r>
      <w:r w:rsidR="004A3702"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 xml:space="preserve">hoice of </w:t>
      </w:r>
      <w:r w:rsidR="004A3702"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 xml:space="preserve">ele-work and its </w:t>
      </w:r>
      <w:r w:rsidR="004A3702" w:rsidRPr="0069504D">
        <w:rPr>
          <w:rFonts w:ascii="Times New Roman" w:hAnsi="Times New Roman" w:cs="Times New Roman"/>
          <w:color w:val="222222"/>
          <w:sz w:val="24"/>
          <w:szCs w:val="24"/>
          <w:shd w:val="clear" w:color="auto" w:fill="FFFFFF"/>
        </w:rPr>
        <w:t>e</w:t>
      </w:r>
      <w:r w:rsidRPr="0069504D">
        <w:rPr>
          <w:rFonts w:ascii="Times New Roman" w:hAnsi="Times New Roman" w:cs="Times New Roman"/>
          <w:color w:val="222222"/>
          <w:sz w:val="24"/>
          <w:szCs w:val="24"/>
          <w:shd w:val="clear" w:color="auto" w:fill="FFFFFF"/>
        </w:rPr>
        <w:t xml:space="preserve">ffects on </w:t>
      </w:r>
      <w:r w:rsidR="004A3702"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 xml:space="preserve">ravel </w:t>
      </w:r>
      <w:proofErr w:type="spellStart"/>
      <w:r w:rsidR="004A3702" w:rsidRPr="0069504D">
        <w:rPr>
          <w:rFonts w:ascii="Times New Roman" w:hAnsi="Times New Roman" w:cs="Times New Roman"/>
          <w:color w:val="222222"/>
          <w:sz w:val="24"/>
          <w:szCs w:val="24"/>
          <w:shd w:val="clear" w:color="auto" w:fill="FFFFFF"/>
        </w:rPr>
        <w:t>b</w:t>
      </w:r>
      <w:r w:rsidRPr="0069504D">
        <w:rPr>
          <w:rFonts w:ascii="Times New Roman" w:hAnsi="Times New Roman" w:cs="Times New Roman"/>
          <w:color w:val="222222"/>
          <w:sz w:val="24"/>
          <w:szCs w:val="24"/>
          <w:shd w:val="clear" w:color="auto" w:fill="FFFFFF"/>
        </w:rPr>
        <w:t>ehaviour</w:t>
      </w:r>
      <w:proofErr w:type="spellEnd"/>
      <w:r w:rsidRPr="0069504D">
        <w:rPr>
          <w:rFonts w:ascii="Times New Roman" w:hAnsi="Times New Roman" w:cs="Times New Roman"/>
          <w:color w:val="222222"/>
          <w:sz w:val="24"/>
          <w:szCs w:val="24"/>
          <w:shd w:val="clear" w:color="auto" w:fill="FFFFFF"/>
        </w:rPr>
        <w:t xml:space="preserve"> in Indian context. </w:t>
      </w:r>
      <w:r w:rsidRPr="0069504D">
        <w:rPr>
          <w:rFonts w:ascii="Times New Roman" w:hAnsi="Times New Roman" w:cs="Times New Roman"/>
          <w:i/>
          <w:iCs/>
          <w:color w:val="222222"/>
          <w:sz w:val="24"/>
          <w:szCs w:val="24"/>
          <w:shd w:val="clear" w:color="auto" w:fill="FFFFFF"/>
        </w:rPr>
        <w:t>Procedia-Social and Behavioral</w:t>
      </w:r>
      <w:r w:rsidR="00D3023D" w:rsidRPr="0069504D">
        <w:rPr>
          <w:rFonts w:ascii="Times New Roman" w:hAnsi="Times New Roman" w:cs="Times New Roman"/>
          <w:i/>
          <w:iCs/>
          <w:color w:val="222222"/>
          <w:sz w:val="24"/>
          <w:szCs w:val="24"/>
          <w:shd w:val="clear" w:color="auto" w:fill="FFFFFF"/>
        </w:rPr>
        <w:t xml:space="preserve"> </w:t>
      </w:r>
      <w:r w:rsidRPr="0069504D">
        <w:rPr>
          <w:rFonts w:ascii="Times New Roman" w:hAnsi="Times New Roman" w:cs="Times New Roman"/>
          <w:i/>
          <w:iCs/>
          <w:color w:val="222222"/>
          <w:sz w:val="24"/>
          <w:szCs w:val="24"/>
          <w:shd w:val="clear" w:color="auto" w:fill="FFFFFF"/>
        </w:rPr>
        <w:t>Sciences</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104</w:t>
      </w:r>
      <w:r w:rsidRPr="0069504D">
        <w:rPr>
          <w:rFonts w:ascii="Times New Roman" w:hAnsi="Times New Roman" w:cs="Times New Roman"/>
          <w:color w:val="222222"/>
          <w:sz w:val="24"/>
          <w:szCs w:val="24"/>
          <w:shd w:val="clear" w:color="auto" w:fill="FFFFFF"/>
        </w:rPr>
        <w:t>, 553-562.</w:t>
      </w:r>
    </w:p>
    <w:p w14:paraId="31BCF909"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Lister, K., and Harnish, T. (2011). The state of telework in the US: How individuals, business, and government benefit. </w:t>
      </w:r>
      <w:r w:rsidRPr="0069504D">
        <w:rPr>
          <w:rFonts w:ascii="Times New Roman" w:hAnsi="Times New Roman" w:cs="Times New Roman"/>
          <w:i/>
          <w:iCs/>
          <w:color w:val="222222"/>
          <w:sz w:val="24"/>
          <w:szCs w:val="24"/>
          <w:shd w:val="clear" w:color="auto" w:fill="FFFFFF"/>
        </w:rPr>
        <w:t>Telework Research Network</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w:t>
      </w:r>
      <w:r w:rsidRPr="0069504D">
        <w:rPr>
          <w:rFonts w:ascii="Times New Roman" w:hAnsi="Times New Roman" w:cs="Times New Roman"/>
          <w:color w:val="222222"/>
          <w:sz w:val="24"/>
          <w:szCs w:val="24"/>
          <w:shd w:val="clear" w:color="auto" w:fill="FFFFFF"/>
        </w:rPr>
        <w:t>, 1-27.</w:t>
      </w:r>
    </w:p>
    <w:p w14:paraId="39AA9EAB"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López Soler, J.R., </w:t>
      </w:r>
      <w:proofErr w:type="spellStart"/>
      <w:r w:rsidRPr="0069504D">
        <w:rPr>
          <w:rFonts w:ascii="Times New Roman" w:hAnsi="Times New Roman" w:cs="Times New Roman"/>
          <w:sz w:val="24"/>
          <w:szCs w:val="24"/>
          <w:shd w:val="clear" w:color="auto" w:fill="FFFFFF"/>
        </w:rPr>
        <w:t>Christidis</w:t>
      </w:r>
      <w:proofErr w:type="spellEnd"/>
      <w:r w:rsidRPr="0069504D">
        <w:rPr>
          <w:rFonts w:ascii="Times New Roman" w:hAnsi="Times New Roman" w:cs="Times New Roman"/>
          <w:sz w:val="24"/>
          <w:szCs w:val="24"/>
          <w:shd w:val="clear" w:color="auto" w:fill="FFFFFF"/>
        </w:rPr>
        <w:t>, P., and Vassallo, J.M. (2021). Teleworking and online shopping: Socio-economic factors affecting their impact on transport demand. </w:t>
      </w:r>
      <w:r w:rsidRPr="0069504D">
        <w:rPr>
          <w:rFonts w:ascii="Times New Roman" w:hAnsi="Times New Roman" w:cs="Times New Roman"/>
          <w:i/>
          <w:iCs/>
          <w:sz w:val="24"/>
          <w:szCs w:val="24"/>
          <w:shd w:val="clear" w:color="auto" w:fill="FFFFFF"/>
        </w:rPr>
        <w:t>Sustainability</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13</w:t>
      </w:r>
      <w:r w:rsidRPr="0069504D">
        <w:rPr>
          <w:rFonts w:ascii="Times New Roman" w:hAnsi="Times New Roman" w:cs="Times New Roman"/>
          <w:sz w:val="24"/>
          <w:szCs w:val="24"/>
          <w:shd w:val="clear" w:color="auto" w:fill="FFFFFF"/>
        </w:rPr>
        <w:t>(13), 7211.</w:t>
      </w:r>
    </w:p>
    <w:p w14:paraId="6195DC23" w14:textId="10820F12" w:rsidR="00E84401"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López-Igual, P., and Rodríguez-Modroño, P. (2020). Who is teleworking and where from? Exploring the main determinants of telework in Europe. </w:t>
      </w:r>
      <w:r w:rsidRPr="0069504D">
        <w:rPr>
          <w:rFonts w:ascii="Times New Roman" w:hAnsi="Times New Roman" w:cs="Times New Roman"/>
          <w:i/>
          <w:iCs/>
          <w:sz w:val="24"/>
          <w:szCs w:val="24"/>
          <w:shd w:val="clear" w:color="auto" w:fill="FFFFFF"/>
        </w:rPr>
        <w:t>Sustainability</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12</w:t>
      </w:r>
      <w:r w:rsidRPr="0069504D">
        <w:rPr>
          <w:rFonts w:ascii="Times New Roman" w:hAnsi="Times New Roman" w:cs="Times New Roman"/>
          <w:sz w:val="24"/>
          <w:szCs w:val="24"/>
          <w:shd w:val="clear" w:color="auto" w:fill="FFFFFF"/>
        </w:rPr>
        <w:t>(21), 8797.</w:t>
      </w:r>
    </w:p>
    <w:p w14:paraId="6888D20B" w14:textId="79EAA5A0" w:rsidR="00516530" w:rsidRPr="00516530" w:rsidRDefault="00516530" w:rsidP="0069504D">
      <w:pPr>
        <w:spacing w:afterLines="20" w:after="48" w:line="240" w:lineRule="auto"/>
        <w:ind w:left="540" w:hanging="540"/>
        <w:rPr>
          <w:rFonts w:ascii="Times New Roman" w:hAnsi="Times New Roman" w:cs="Times New Roman"/>
          <w:sz w:val="24"/>
          <w:szCs w:val="24"/>
          <w:shd w:val="clear" w:color="auto" w:fill="FFFFFF"/>
        </w:rPr>
      </w:pPr>
      <w:r w:rsidRPr="00194389">
        <w:rPr>
          <w:rFonts w:ascii="Times New Roman" w:hAnsi="Times New Roman" w:cs="Times New Roman"/>
          <w:color w:val="222222"/>
          <w:sz w:val="24"/>
          <w:szCs w:val="24"/>
          <w:shd w:val="clear" w:color="auto" w:fill="FFFFFF"/>
        </w:rPr>
        <w:t>Lu, X., and White, H. (2014). Robustness checks and robustness tests in applied economics. </w:t>
      </w:r>
      <w:r w:rsidRPr="00194389">
        <w:rPr>
          <w:rFonts w:ascii="Times New Roman" w:hAnsi="Times New Roman" w:cs="Times New Roman"/>
          <w:i/>
          <w:iCs/>
          <w:color w:val="222222"/>
          <w:sz w:val="24"/>
          <w:szCs w:val="24"/>
          <w:shd w:val="clear" w:color="auto" w:fill="FFFFFF"/>
        </w:rPr>
        <w:t xml:space="preserve">Journal of </w:t>
      </w:r>
      <w:r w:rsidR="002A04F4">
        <w:rPr>
          <w:rFonts w:ascii="Times New Roman" w:hAnsi="Times New Roman" w:cs="Times New Roman"/>
          <w:i/>
          <w:iCs/>
          <w:color w:val="222222"/>
          <w:sz w:val="24"/>
          <w:szCs w:val="24"/>
          <w:shd w:val="clear" w:color="auto" w:fill="FFFFFF"/>
        </w:rPr>
        <w:t>E</w:t>
      </w:r>
      <w:r w:rsidRPr="00194389">
        <w:rPr>
          <w:rFonts w:ascii="Times New Roman" w:hAnsi="Times New Roman" w:cs="Times New Roman"/>
          <w:i/>
          <w:iCs/>
          <w:color w:val="222222"/>
          <w:sz w:val="24"/>
          <w:szCs w:val="24"/>
          <w:shd w:val="clear" w:color="auto" w:fill="FFFFFF"/>
        </w:rPr>
        <w:t>conometrics</w:t>
      </w:r>
      <w:r w:rsidRPr="00194389">
        <w:rPr>
          <w:rFonts w:ascii="Times New Roman" w:hAnsi="Times New Roman" w:cs="Times New Roman"/>
          <w:color w:val="222222"/>
          <w:sz w:val="24"/>
          <w:szCs w:val="24"/>
          <w:shd w:val="clear" w:color="auto" w:fill="FFFFFF"/>
        </w:rPr>
        <w:t>, </w:t>
      </w:r>
      <w:r w:rsidRPr="00194389">
        <w:rPr>
          <w:rFonts w:ascii="Times New Roman" w:hAnsi="Times New Roman" w:cs="Times New Roman"/>
          <w:i/>
          <w:iCs/>
          <w:color w:val="222222"/>
          <w:sz w:val="24"/>
          <w:szCs w:val="24"/>
          <w:shd w:val="clear" w:color="auto" w:fill="FFFFFF"/>
        </w:rPr>
        <w:t>178</w:t>
      </w:r>
      <w:r w:rsidRPr="00194389">
        <w:rPr>
          <w:rFonts w:ascii="Times New Roman" w:hAnsi="Times New Roman" w:cs="Times New Roman"/>
          <w:color w:val="222222"/>
          <w:sz w:val="24"/>
          <w:szCs w:val="24"/>
          <w:shd w:val="clear" w:color="auto" w:fill="FFFFFF"/>
        </w:rPr>
        <w:t>, 194-206.</w:t>
      </w:r>
    </w:p>
    <w:p w14:paraId="4D2B18A2"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Martin, L., </w:t>
      </w:r>
      <w:proofErr w:type="spellStart"/>
      <w:r w:rsidRPr="0069504D">
        <w:rPr>
          <w:rFonts w:ascii="Times New Roman" w:hAnsi="Times New Roman" w:cs="Times New Roman"/>
          <w:sz w:val="24"/>
          <w:szCs w:val="24"/>
          <w:shd w:val="clear" w:color="auto" w:fill="FFFFFF"/>
        </w:rPr>
        <w:t>Hauret</w:t>
      </w:r>
      <w:proofErr w:type="spellEnd"/>
      <w:r w:rsidRPr="0069504D">
        <w:rPr>
          <w:rFonts w:ascii="Times New Roman" w:hAnsi="Times New Roman" w:cs="Times New Roman"/>
          <w:sz w:val="24"/>
          <w:szCs w:val="24"/>
          <w:shd w:val="clear" w:color="auto" w:fill="FFFFFF"/>
        </w:rPr>
        <w:t>, L., and Fuhrer, C. (2022). Digitally transformed home office impacts on job satisfaction, job stress and job productivity. COVID-19 findings. </w:t>
      </w:r>
      <w:proofErr w:type="spellStart"/>
      <w:r w:rsidRPr="0069504D">
        <w:rPr>
          <w:rFonts w:ascii="Times New Roman" w:hAnsi="Times New Roman" w:cs="Times New Roman"/>
          <w:i/>
          <w:iCs/>
          <w:sz w:val="24"/>
          <w:szCs w:val="24"/>
          <w:shd w:val="clear" w:color="auto" w:fill="FFFFFF"/>
        </w:rPr>
        <w:t>Plos</w:t>
      </w:r>
      <w:proofErr w:type="spellEnd"/>
      <w:r w:rsidRPr="0069504D">
        <w:rPr>
          <w:rFonts w:ascii="Times New Roman" w:hAnsi="Times New Roman" w:cs="Times New Roman"/>
          <w:i/>
          <w:iCs/>
          <w:sz w:val="24"/>
          <w:szCs w:val="24"/>
          <w:shd w:val="clear" w:color="auto" w:fill="FFFFFF"/>
        </w:rPr>
        <w:t xml:space="preserve"> one</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17</w:t>
      </w:r>
      <w:r w:rsidRPr="0069504D">
        <w:rPr>
          <w:rFonts w:ascii="Times New Roman" w:hAnsi="Times New Roman" w:cs="Times New Roman"/>
          <w:sz w:val="24"/>
          <w:szCs w:val="24"/>
          <w:shd w:val="clear" w:color="auto" w:fill="FFFFFF"/>
        </w:rPr>
        <w:t>(3), e0265131.</w:t>
      </w:r>
    </w:p>
    <w:p w14:paraId="4CA0D110" w14:textId="3720E81E"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lastRenderedPageBreak/>
        <w:t>Melo, P. C., and e Silva, J. D. A. (2017). Home telework and household commuting patterns in Great Britain. </w:t>
      </w:r>
      <w:r w:rsidRPr="0069504D">
        <w:rPr>
          <w:rFonts w:ascii="Times New Roman" w:hAnsi="Times New Roman" w:cs="Times New Roman"/>
          <w:i/>
          <w:iCs/>
          <w:color w:val="222222"/>
          <w:sz w:val="24"/>
          <w:szCs w:val="24"/>
          <w:shd w:val="clear" w:color="auto" w:fill="FFFFFF"/>
        </w:rPr>
        <w:t>Transportation Research Part A</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103</w:t>
      </w:r>
      <w:r w:rsidRPr="0069504D">
        <w:rPr>
          <w:rFonts w:ascii="Times New Roman" w:hAnsi="Times New Roman" w:cs="Times New Roman"/>
          <w:color w:val="222222"/>
          <w:sz w:val="24"/>
          <w:szCs w:val="24"/>
          <w:shd w:val="clear" w:color="auto" w:fill="FFFFFF"/>
        </w:rPr>
        <w:t>, 1-24.</w:t>
      </w:r>
    </w:p>
    <w:p w14:paraId="508138B7"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Moeckel, R. (2017). Working from home: Modeling the impact of telework on transportation and land use. </w:t>
      </w:r>
      <w:r w:rsidRPr="0069504D">
        <w:rPr>
          <w:rFonts w:ascii="Times New Roman" w:hAnsi="Times New Roman" w:cs="Times New Roman"/>
          <w:i/>
          <w:iCs/>
          <w:sz w:val="24"/>
          <w:szCs w:val="24"/>
          <w:shd w:val="clear" w:color="auto" w:fill="FFFFFF"/>
        </w:rPr>
        <w:t>Transportation Research Procedia</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26</w:t>
      </w:r>
      <w:r w:rsidRPr="0069504D">
        <w:rPr>
          <w:rFonts w:ascii="Times New Roman" w:hAnsi="Times New Roman" w:cs="Times New Roman"/>
          <w:sz w:val="24"/>
          <w:szCs w:val="24"/>
          <w:shd w:val="clear" w:color="auto" w:fill="FFFFFF"/>
        </w:rPr>
        <w:t>, 207-214.</w:t>
      </w:r>
    </w:p>
    <w:p w14:paraId="08699F86"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Mohammadi, M., Rahimi, E., </w:t>
      </w:r>
      <w:proofErr w:type="spellStart"/>
      <w:r w:rsidRPr="0069504D">
        <w:rPr>
          <w:rFonts w:ascii="Times New Roman" w:hAnsi="Times New Roman" w:cs="Times New Roman"/>
          <w:sz w:val="24"/>
          <w:szCs w:val="24"/>
          <w:shd w:val="clear" w:color="auto" w:fill="FFFFFF"/>
        </w:rPr>
        <w:t>Davatgari</w:t>
      </w:r>
      <w:proofErr w:type="spellEnd"/>
      <w:r w:rsidRPr="0069504D">
        <w:rPr>
          <w:rFonts w:ascii="Times New Roman" w:hAnsi="Times New Roman" w:cs="Times New Roman"/>
          <w:sz w:val="24"/>
          <w:szCs w:val="24"/>
          <w:shd w:val="clear" w:color="auto" w:fill="FFFFFF"/>
        </w:rPr>
        <w:t xml:space="preserve">, A., </w:t>
      </w:r>
      <w:proofErr w:type="spellStart"/>
      <w:r w:rsidRPr="0069504D">
        <w:rPr>
          <w:rFonts w:ascii="Times New Roman" w:hAnsi="Times New Roman" w:cs="Times New Roman"/>
          <w:sz w:val="24"/>
          <w:szCs w:val="24"/>
          <w:shd w:val="clear" w:color="auto" w:fill="FFFFFF"/>
        </w:rPr>
        <w:t>Javadinasr</w:t>
      </w:r>
      <w:proofErr w:type="spellEnd"/>
      <w:r w:rsidRPr="0069504D">
        <w:rPr>
          <w:rFonts w:ascii="Times New Roman" w:hAnsi="Times New Roman" w:cs="Times New Roman"/>
          <w:sz w:val="24"/>
          <w:szCs w:val="24"/>
          <w:shd w:val="clear" w:color="auto" w:fill="FFFFFF"/>
        </w:rPr>
        <w:t>, M., Mohammadian, A., Bhagat-Conway, M.W., Salon, D., Derrible, S., Pendyala, R.M., and Khoeini, S. (2022). Examining the persistence of telecommuting after the COVID-19 pandemic. </w:t>
      </w:r>
      <w:r w:rsidRPr="0069504D">
        <w:rPr>
          <w:rFonts w:ascii="Times New Roman" w:hAnsi="Times New Roman" w:cs="Times New Roman"/>
          <w:i/>
          <w:iCs/>
          <w:sz w:val="24"/>
          <w:szCs w:val="24"/>
          <w:shd w:val="clear" w:color="auto" w:fill="FFFFFF"/>
        </w:rPr>
        <w:t>Transportation Letters</w:t>
      </w:r>
      <w:r w:rsidRPr="0069504D">
        <w:rPr>
          <w:rFonts w:ascii="Times New Roman" w:hAnsi="Times New Roman" w:cs="Times New Roman"/>
          <w:sz w:val="24"/>
          <w:szCs w:val="24"/>
          <w:shd w:val="clear" w:color="auto" w:fill="FFFFFF"/>
        </w:rPr>
        <w:t>, 1-14.</w:t>
      </w:r>
    </w:p>
    <w:p w14:paraId="57197F64"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Mokhtarian, P. (2009). If telecommunication is such a good substitute for travel, why does congestion continue to get worse? </w:t>
      </w:r>
      <w:r w:rsidRPr="0069504D">
        <w:rPr>
          <w:rFonts w:ascii="Times New Roman" w:hAnsi="Times New Roman" w:cs="Times New Roman"/>
          <w:i/>
          <w:iCs/>
          <w:sz w:val="24"/>
          <w:szCs w:val="24"/>
          <w:shd w:val="clear" w:color="auto" w:fill="FFFFFF"/>
        </w:rPr>
        <w:t>Transportation Letters</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w:t>
      </w:r>
      <w:r w:rsidRPr="0069504D">
        <w:rPr>
          <w:rFonts w:ascii="Times New Roman" w:hAnsi="Times New Roman" w:cs="Times New Roman"/>
          <w:sz w:val="24"/>
          <w:szCs w:val="24"/>
          <w:shd w:val="clear" w:color="auto" w:fill="FFFFFF"/>
        </w:rPr>
        <w:t>(1), 1-17.</w:t>
      </w:r>
    </w:p>
    <w:p w14:paraId="08390383"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rPr>
        <w:t>Nguyen, M.H. (2021). Factors influencing home-based telework in Hanoi (Vietnam) during and after the COVID-19 era. </w:t>
      </w:r>
      <w:r w:rsidRPr="0069504D">
        <w:rPr>
          <w:rFonts w:ascii="Times New Roman" w:hAnsi="Times New Roman" w:cs="Times New Roman"/>
          <w:i/>
          <w:sz w:val="24"/>
          <w:szCs w:val="24"/>
        </w:rPr>
        <w:t>Transportation</w:t>
      </w:r>
      <w:r w:rsidRPr="0069504D">
        <w:rPr>
          <w:rFonts w:ascii="Times New Roman" w:hAnsi="Times New Roman" w:cs="Times New Roman"/>
          <w:sz w:val="24"/>
          <w:szCs w:val="24"/>
        </w:rPr>
        <w:t>, </w:t>
      </w:r>
      <w:r w:rsidRPr="0069504D">
        <w:rPr>
          <w:rFonts w:ascii="Times New Roman" w:hAnsi="Times New Roman" w:cs="Times New Roman"/>
          <w:i/>
          <w:sz w:val="24"/>
          <w:szCs w:val="24"/>
        </w:rPr>
        <w:t>48</w:t>
      </w:r>
      <w:r w:rsidRPr="0069504D">
        <w:rPr>
          <w:rFonts w:ascii="Times New Roman" w:hAnsi="Times New Roman" w:cs="Times New Roman"/>
          <w:sz w:val="24"/>
          <w:szCs w:val="24"/>
        </w:rPr>
        <w:t>(6), 3207-3238</w:t>
      </w:r>
    </w:p>
    <w:p w14:paraId="0E486673" w14:textId="77777777" w:rsidR="00E84401" w:rsidRPr="0069504D" w:rsidRDefault="00E84401" w:rsidP="0069504D">
      <w:pPr>
        <w:pStyle w:val="ListParagraph"/>
        <w:shd w:val="clear" w:color="auto" w:fill="FFFFFF"/>
        <w:spacing w:afterLines="20" w:after="48" w:line="240" w:lineRule="auto"/>
        <w:ind w:left="540" w:hanging="540"/>
        <w:contextualSpacing w:val="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Office of the Texas Governor (2021, March 2). </w:t>
      </w:r>
      <w:r w:rsidRPr="0069504D">
        <w:rPr>
          <w:rFonts w:ascii="Times New Roman" w:hAnsi="Times New Roman" w:cs="Times New Roman"/>
          <w:i/>
          <w:sz w:val="24"/>
          <w:szCs w:val="24"/>
          <w:shd w:val="clear" w:color="auto" w:fill="FFFFFF"/>
        </w:rPr>
        <w:t>Relating to the opening of Texas in response to the COVID-19 disaster</w:t>
      </w:r>
      <w:r w:rsidRPr="0069504D">
        <w:rPr>
          <w:rFonts w:ascii="Times New Roman" w:hAnsi="Times New Roman" w:cs="Times New Roman"/>
          <w:sz w:val="24"/>
          <w:szCs w:val="24"/>
          <w:shd w:val="clear" w:color="auto" w:fill="FFFFFF"/>
        </w:rPr>
        <w:t xml:space="preserve"> [Press release]. </w:t>
      </w:r>
      <w:hyperlink r:id="rId229" w:history="1">
        <w:r w:rsidRPr="0069504D">
          <w:rPr>
            <w:rStyle w:val="Hyperlink"/>
            <w:rFonts w:ascii="Times New Roman" w:hAnsi="Times New Roman" w:cs="Times New Roman"/>
            <w:sz w:val="24"/>
            <w:szCs w:val="24"/>
            <w:shd w:val="clear" w:color="auto" w:fill="FFFFFF"/>
          </w:rPr>
          <w:t>https://gov.texas.gov/news/post/governor-abbott-lifts-mask-mandate-opens-texas-100-percent</w:t>
        </w:r>
      </w:hyperlink>
      <w:r w:rsidRPr="0069504D">
        <w:rPr>
          <w:rFonts w:ascii="Times New Roman" w:hAnsi="Times New Roman" w:cs="Times New Roman"/>
          <w:sz w:val="24"/>
          <w:szCs w:val="24"/>
          <w:shd w:val="clear" w:color="auto" w:fill="FFFFFF"/>
        </w:rPr>
        <w:t xml:space="preserve">. </w:t>
      </w:r>
    </w:p>
    <w:p w14:paraId="0A8F038D" w14:textId="50B75AE5"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bookmarkStart w:id="34" w:name="_Hlk110064201"/>
      <w:proofErr w:type="spellStart"/>
      <w:r w:rsidRPr="0069504D">
        <w:rPr>
          <w:rFonts w:ascii="Times New Roman" w:hAnsi="Times New Roman" w:cs="Times New Roman"/>
          <w:color w:val="222222"/>
          <w:sz w:val="24"/>
          <w:szCs w:val="24"/>
          <w:shd w:val="clear" w:color="auto" w:fill="FFFFFF"/>
        </w:rPr>
        <w:t>Omboni</w:t>
      </w:r>
      <w:proofErr w:type="spellEnd"/>
      <w:r w:rsidRPr="0069504D">
        <w:rPr>
          <w:rFonts w:ascii="Times New Roman" w:hAnsi="Times New Roman" w:cs="Times New Roman"/>
          <w:color w:val="222222"/>
          <w:sz w:val="24"/>
          <w:szCs w:val="24"/>
          <w:shd w:val="clear" w:color="auto" w:fill="FFFFFF"/>
        </w:rPr>
        <w:t xml:space="preserve">, S., Padwal, R. S., Alessa, T., </w:t>
      </w:r>
      <w:proofErr w:type="spellStart"/>
      <w:r w:rsidRPr="0069504D">
        <w:rPr>
          <w:rFonts w:ascii="Times New Roman" w:hAnsi="Times New Roman" w:cs="Times New Roman"/>
          <w:color w:val="222222"/>
          <w:sz w:val="24"/>
          <w:szCs w:val="24"/>
          <w:shd w:val="clear" w:color="auto" w:fill="FFFFFF"/>
        </w:rPr>
        <w:t>Benczúr</w:t>
      </w:r>
      <w:proofErr w:type="spellEnd"/>
      <w:r w:rsidRPr="0069504D">
        <w:rPr>
          <w:rFonts w:ascii="Times New Roman" w:hAnsi="Times New Roman" w:cs="Times New Roman"/>
          <w:color w:val="222222"/>
          <w:sz w:val="24"/>
          <w:szCs w:val="24"/>
          <w:shd w:val="clear" w:color="auto" w:fill="FFFFFF"/>
        </w:rPr>
        <w:t xml:space="preserve">, B., Green, B. B., Hubbard, I., </w:t>
      </w:r>
      <w:proofErr w:type="spellStart"/>
      <w:r w:rsidRPr="0069504D">
        <w:rPr>
          <w:rFonts w:ascii="Times New Roman" w:hAnsi="Times New Roman" w:cs="Times New Roman"/>
          <w:color w:val="222222"/>
          <w:sz w:val="24"/>
          <w:szCs w:val="24"/>
          <w:shd w:val="clear" w:color="auto" w:fill="FFFFFF"/>
        </w:rPr>
        <w:t>Kario</w:t>
      </w:r>
      <w:proofErr w:type="spellEnd"/>
      <w:r w:rsidRPr="0069504D">
        <w:rPr>
          <w:rFonts w:ascii="Times New Roman" w:hAnsi="Times New Roman" w:cs="Times New Roman"/>
          <w:color w:val="222222"/>
          <w:sz w:val="24"/>
          <w:szCs w:val="24"/>
          <w:shd w:val="clear" w:color="auto" w:fill="FFFFFF"/>
        </w:rPr>
        <w:t xml:space="preserve">, K., Khan, N.A, </w:t>
      </w:r>
      <w:proofErr w:type="spellStart"/>
      <w:r w:rsidRPr="0069504D">
        <w:rPr>
          <w:rFonts w:ascii="Times New Roman" w:hAnsi="Times New Roman" w:cs="Times New Roman"/>
          <w:color w:val="222222"/>
          <w:sz w:val="24"/>
          <w:szCs w:val="24"/>
          <w:shd w:val="clear" w:color="auto" w:fill="FFFFFF"/>
        </w:rPr>
        <w:t>Konradi</w:t>
      </w:r>
      <w:proofErr w:type="spellEnd"/>
      <w:r w:rsidRPr="0069504D">
        <w:rPr>
          <w:rFonts w:ascii="Times New Roman" w:hAnsi="Times New Roman" w:cs="Times New Roman"/>
          <w:color w:val="222222"/>
          <w:sz w:val="24"/>
          <w:szCs w:val="24"/>
          <w:shd w:val="clear" w:color="auto" w:fill="FFFFFF"/>
        </w:rPr>
        <w:t xml:space="preserve">, A., Logan, A. G., Lu, Y., Mars, M., McManus, R.J., Melville, S., Neumann, C.L., </w:t>
      </w:r>
      <w:proofErr w:type="spellStart"/>
      <w:r w:rsidRPr="0069504D">
        <w:rPr>
          <w:rFonts w:ascii="Times New Roman" w:hAnsi="Times New Roman" w:cs="Times New Roman"/>
          <w:color w:val="222222"/>
          <w:sz w:val="24"/>
          <w:szCs w:val="24"/>
          <w:shd w:val="clear" w:color="auto" w:fill="FFFFFF"/>
        </w:rPr>
        <w:t>Parati</w:t>
      </w:r>
      <w:proofErr w:type="spellEnd"/>
      <w:r w:rsidRPr="0069504D">
        <w:rPr>
          <w:rFonts w:ascii="Times New Roman" w:hAnsi="Times New Roman" w:cs="Times New Roman"/>
          <w:color w:val="222222"/>
          <w:sz w:val="24"/>
          <w:szCs w:val="24"/>
          <w:shd w:val="clear" w:color="auto" w:fill="FFFFFF"/>
        </w:rPr>
        <w:t xml:space="preserve">, G., Renna, N.F. </w:t>
      </w:r>
      <w:proofErr w:type="spellStart"/>
      <w:r w:rsidRPr="0069504D">
        <w:rPr>
          <w:rFonts w:ascii="Times New Roman" w:hAnsi="Times New Roman" w:cs="Times New Roman"/>
          <w:color w:val="222222"/>
          <w:sz w:val="24"/>
          <w:szCs w:val="24"/>
          <w:shd w:val="clear" w:color="auto" w:fill="FFFFFF"/>
        </w:rPr>
        <w:t>Ryvlin</w:t>
      </w:r>
      <w:proofErr w:type="spellEnd"/>
      <w:r w:rsidRPr="0069504D">
        <w:rPr>
          <w:rFonts w:ascii="Times New Roman" w:hAnsi="Times New Roman" w:cs="Times New Roman"/>
          <w:color w:val="222222"/>
          <w:sz w:val="24"/>
          <w:szCs w:val="24"/>
          <w:shd w:val="clear" w:color="auto" w:fill="FFFFFF"/>
        </w:rPr>
        <w:t xml:space="preserve">, P., Saner, H., Schutte, A.E., and Wang, J. (2022). The worldwide impact of telemedicine during COVID-19: </w:t>
      </w:r>
      <w:r w:rsidR="00CA15F2"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urrent evidence and recommendations for the future. </w:t>
      </w:r>
      <w:r w:rsidRPr="0069504D">
        <w:rPr>
          <w:rFonts w:ascii="Times New Roman" w:hAnsi="Times New Roman" w:cs="Times New Roman"/>
          <w:i/>
          <w:iCs/>
          <w:color w:val="222222"/>
          <w:sz w:val="24"/>
          <w:szCs w:val="24"/>
          <w:shd w:val="clear" w:color="auto" w:fill="FFFFFF"/>
        </w:rPr>
        <w:t xml:space="preserve">Connected </w:t>
      </w:r>
      <w:r w:rsidR="00CA15F2" w:rsidRPr="0069504D">
        <w:rPr>
          <w:rFonts w:ascii="Times New Roman" w:hAnsi="Times New Roman" w:cs="Times New Roman"/>
          <w:i/>
          <w:iCs/>
          <w:color w:val="222222"/>
          <w:sz w:val="24"/>
          <w:szCs w:val="24"/>
          <w:shd w:val="clear" w:color="auto" w:fill="FFFFFF"/>
        </w:rPr>
        <w:t>H</w:t>
      </w:r>
      <w:r w:rsidRPr="0069504D">
        <w:rPr>
          <w:rFonts w:ascii="Times New Roman" w:hAnsi="Times New Roman" w:cs="Times New Roman"/>
          <w:i/>
          <w:iCs/>
          <w:color w:val="222222"/>
          <w:sz w:val="24"/>
          <w:szCs w:val="24"/>
          <w:shd w:val="clear" w:color="auto" w:fill="FFFFFF"/>
        </w:rPr>
        <w:t>ealth</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w:t>
      </w:r>
      <w:r w:rsidRPr="0069504D">
        <w:rPr>
          <w:rFonts w:ascii="Times New Roman" w:hAnsi="Times New Roman" w:cs="Times New Roman"/>
          <w:color w:val="222222"/>
          <w:sz w:val="24"/>
          <w:szCs w:val="24"/>
          <w:shd w:val="clear" w:color="auto" w:fill="FFFFFF"/>
        </w:rPr>
        <w:t>, 7</w:t>
      </w:r>
      <w:r w:rsidR="00CA15F2" w:rsidRPr="0069504D">
        <w:rPr>
          <w:rFonts w:ascii="Times New Roman" w:hAnsi="Times New Roman" w:cs="Times New Roman"/>
          <w:color w:val="222222"/>
          <w:sz w:val="24"/>
          <w:szCs w:val="24"/>
          <w:shd w:val="clear" w:color="auto" w:fill="FFFFFF"/>
        </w:rPr>
        <w:t>-35</w:t>
      </w:r>
      <w:r w:rsidRPr="0069504D">
        <w:rPr>
          <w:rFonts w:ascii="Times New Roman" w:hAnsi="Times New Roman" w:cs="Times New Roman"/>
          <w:color w:val="222222"/>
          <w:sz w:val="24"/>
          <w:szCs w:val="24"/>
          <w:shd w:val="clear" w:color="auto" w:fill="FFFFFF"/>
        </w:rPr>
        <w:t>.</w:t>
      </w:r>
    </w:p>
    <w:p w14:paraId="2B87ED6C"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Ono, H., and Mori, T. (2021). COVID-19 and telework: An international comparison. </w:t>
      </w:r>
      <w:r w:rsidRPr="0069504D">
        <w:rPr>
          <w:rFonts w:ascii="Times New Roman" w:hAnsi="Times New Roman" w:cs="Times New Roman"/>
          <w:i/>
          <w:iCs/>
          <w:sz w:val="24"/>
          <w:szCs w:val="24"/>
          <w:shd w:val="clear" w:color="auto" w:fill="FFFFFF"/>
        </w:rPr>
        <w:t>Journal of Quantitative Description: Digital Media</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w:t>
      </w:r>
      <w:r w:rsidRPr="0069504D">
        <w:rPr>
          <w:rFonts w:ascii="Times New Roman" w:hAnsi="Times New Roman" w:cs="Times New Roman"/>
          <w:sz w:val="24"/>
          <w:szCs w:val="24"/>
          <w:shd w:val="clear" w:color="auto" w:fill="FFFFFF"/>
        </w:rPr>
        <w:t>.</w:t>
      </w:r>
    </w:p>
    <w:bookmarkEnd w:id="34"/>
    <w:p w14:paraId="18AC20BA"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color w:val="222222"/>
          <w:sz w:val="24"/>
          <w:szCs w:val="24"/>
          <w:shd w:val="clear" w:color="auto" w:fill="FFFFFF"/>
        </w:rPr>
        <w:t>Ory, D. T., and Mokhtarian, P. L. (2006). Which came first, the telecommuting or the residential relocation? An empirical analysis of causality. </w:t>
      </w:r>
      <w:r w:rsidRPr="0069504D">
        <w:rPr>
          <w:rFonts w:ascii="Times New Roman" w:hAnsi="Times New Roman" w:cs="Times New Roman"/>
          <w:i/>
          <w:iCs/>
          <w:color w:val="222222"/>
          <w:sz w:val="24"/>
          <w:szCs w:val="24"/>
          <w:shd w:val="clear" w:color="auto" w:fill="FFFFFF"/>
        </w:rPr>
        <w:t>Urban Geography</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27</w:t>
      </w:r>
      <w:r w:rsidRPr="0069504D">
        <w:rPr>
          <w:rFonts w:ascii="Times New Roman" w:hAnsi="Times New Roman" w:cs="Times New Roman"/>
          <w:color w:val="222222"/>
          <w:sz w:val="24"/>
          <w:szCs w:val="24"/>
          <w:shd w:val="clear" w:color="auto" w:fill="FFFFFF"/>
        </w:rPr>
        <w:t>(7), 590-609.</w:t>
      </w:r>
    </w:p>
    <w:p w14:paraId="1E7046E8"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Paleti, R., Bhat, C.R., and Pendyala, R.M. (2013). Integrated model of residential location, work location, vehicle ownership, and commute tour characteristics. </w:t>
      </w:r>
      <w:r w:rsidRPr="0069504D">
        <w:rPr>
          <w:rFonts w:ascii="Times New Roman" w:hAnsi="Times New Roman" w:cs="Times New Roman"/>
          <w:i/>
          <w:iCs/>
          <w:sz w:val="24"/>
          <w:szCs w:val="24"/>
          <w:shd w:val="clear" w:color="auto" w:fill="FFFFFF"/>
        </w:rPr>
        <w:t>Transportation Research Record</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2382</w:t>
      </w:r>
      <w:r w:rsidRPr="0069504D">
        <w:rPr>
          <w:rFonts w:ascii="Times New Roman" w:hAnsi="Times New Roman" w:cs="Times New Roman"/>
          <w:sz w:val="24"/>
          <w:szCs w:val="24"/>
          <w:shd w:val="clear" w:color="auto" w:fill="FFFFFF"/>
        </w:rPr>
        <w:t>(1), 162-172.</w:t>
      </w:r>
    </w:p>
    <w:p w14:paraId="545CE2C2" w14:textId="20A17380" w:rsidR="00E84401" w:rsidRPr="0069504D" w:rsidRDefault="00E84401" w:rsidP="0069504D">
      <w:pPr>
        <w:keepLines/>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eastAsia="Times New Roman" w:hAnsi="Times New Roman" w:cs="Times New Roman"/>
          <w:sz w:val="24"/>
          <w:szCs w:val="24"/>
        </w:rPr>
        <w:t xml:space="preserve">Parker, K., Horowitz, J.M., and Minkin, R. (2022). COVID-19 </w:t>
      </w:r>
      <w:r w:rsidR="00CA15F2" w:rsidRPr="0069504D">
        <w:rPr>
          <w:rFonts w:ascii="Times New Roman" w:eastAsia="Times New Roman" w:hAnsi="Times New Roman" w:cs="Times New Roman"/>
          <w:sz w:val="24"/>
          <w:szCs w:val="24"/>
        </w:rPr>
        <w:t>p</w:t>
      </w:r>
      <w:r w:rsidRPr="0069504D">
        <w:rPr>
          <w:rFonts w:ascii="Times New Roman" w:eastAsia="Times New Roman" w:hAnsi="Times New Roman" w:cs="Times New Roman"/>
          <w:sz w:val="24"/>
          <w:szCs w:val="24"/>
        </w:rPr>
        <w:t xml:space="preserve">andemic </w:t>
      </w:r>
      <w:r w:rsidR="00CA15F2" w:rsidRPr="0069504D">
        <w:rPr>
          <w:rFonts w:ascii="Times New Roman" w:eastAsia="Times New Roman" w:hAnsi="Times New Roman" w:cs="Times New Roman"/>
          <w:sz w:val="24"/>
          <w:szCs w:val="24"/>
        </w:rPr>
        <w:t>c</w:t>
      </w:r>
      <w:r w:rsidRPr="0069504D">
        <w:rPr>
          <w:rFonts w:ascii="Times New Roman" w:eastAsia="Times New Roman" w:hAnsi="Times New Roman" w:cs="Times New Roman"/>
          <w:sz w:val="24"/>
          <w:szCs w:val="24"/>
        </w:rPr>
        <w:t xml:space="preserve">ontinues </w:t>
      </w:r>
      <w:r w:rsidR="00CA15F2" w:rsidRPr="0069504D">
        <w:rPr>
          <w:rFonts w:ascii="Times New Roman" w:eastAsia="Times New Roman" w:hAnsi="Times New Roman" w:cs="Times New Roman"/>
          <w:sz w:val="24"/>
          <w:szCs w:val="24"/>
        </w:rPr>
        <w:t>t</w:t>
      </w:r>
      <w:r w:rsidRPr="0069504D">
        <w:rPr>
          <w:rFonts w:ascii="Times New Roman" w:eastAsia="Times New Roman" w:hAnsi="Times New Roman" w:cs="Times New Roman"/>
          <w:sz w:val="24"/>
          <w:szCs w:val="24"/>
        </w:rPr>
        <w:t xml:space="preserve">o </w:t>
      </w:r>
      <w:r w:rsidR="00CA15F2" w:rsidRPr="0069504D">
        <w:rPr>
          <w:rFonts w:ascii="Times New Roman" w:eastAsia="Times New Roman" w:hAnsi="Times New Roman" w:cs="Times New Roman"/>
          <w:sz w:val="24"/>
          <w:szCs w:val="24"/>
        </w:rPr>
        <w:t>r</w:t>
      </w:r>
      <w:r w:rsidRPr="0069504D">
        <w:rPr>
          <w:rFonts w:ascii="Times New Roman" w:eastAsia="Times New Roman" w:hAnsi="Times New Roman" w:cs="Times New Roman"/>
          <w:sz w:val="24"/>
          <w:szCs w:val="24"/>
        </w:rPr>
        <w:t xml:space="preserve">eshape </w:t>
      </w:r>
      <w:r w:rsidR="00CA15F2" w:rsidRPr="0069504D">
        <w:rPr>
          <w:rFonts w:ascii="Times New Roman" w:eastAsia="Times New Roman" w:hAnsi="Times New Roman" w:cs="Times New Roman"/>
          <w:sz w:val="24"/>
          <w:szCs w:val="24"/>
        </w:rPr>
        <w:t>w</w:t>
      </w:r>
      <w:r w:rsidRPr="0069504D">
        <w:rPr>
          <w:rFonts w:ascii="Times New Roman" w:eastAsia="Times New Roman" w:hAnsi="Times New Roman" w:cs="Times New Roman"/>
          <w:sz w:val="24"/>
          <w:szCs w:val="24"/>
        </w:rPr>
        <w:t xml:space="preserve">ork in America. </w:t>
      </w:r>
      <w:r w:rsidRPr="0069504D">
        <w:rPr>
          <w:rFonts w:ascii="Times New Roman" w:eastAsia="Times New Roman" w:hAnsi="Times New Roman" w:cs="Times New Roman"/>
          <w:i/>
          <w:sz w:val="24"/>
          <w:szCs w:val="24"/>
        </w:rPr>
        <w:t>Pew Research Center</w:t>
      </w:r>
      <w:r w:rsidRPr="0069504D">
        <w:rPr>
          <w:rFonts w:ascii="Times New Roman" w:eastAsia="Times New Roman" w:hAnsi="Times New Roman" w:cs="Times New Roman"/>
          <w:sz w:val="24"/>
          <w:szCs w:val="24"/>
        </w:rPr>
        <w:t xml:space="preserve">. Available at: </w:t>
      </w:r>
      <w:hyperlink r:id="rId230" w:history="1">
        <w:r w:rsidR="004A3702" w:rsidRPr="0069504D">
          <w:rPr>
            <w:rStyle w:val="Hyperlink"/>
            <w:rFonts w:ascii="Times New Roman" w:eastAsia="Times New Roman" w:hAnsi="Times New Roman" w:cs="Times New Roman"/>
            <w:sz w:val="24"/>
            <w:szCs w:val="24"/>
          </w:rPr>
          <w:t>https://www.pewresearch.org/social-trends/2022/02/16/covid-19-pandemic-continues-to-reshape-work-in-america/</w:t>
        </w:r>
      </w:hyperlink>
      <w:r w:rsidRPr="0069504D">
        <w:rPr>
          <w:rFonts w:ascii="Times New Roman" w:eastAsia="Times New Roman" w:hAnsi="Times New Roman" w:cs="Times New Roman"/>
          <w:sz w:val="24"/>
          <w:szCs w:val="24"/>
        </w:rPr>
        <w:t>.</w:t>
      </w:r>
      <w:r w:rsidR="004A3702" w:rsidRPr="0069504D">
        <w:rPr>
          <w:rFonts w:ascii="Times New Roman" w:eastAsia="Times New Roman" w:hAnsi="Times New Roman" w:cs="Times New Roman"/>
          <w:sz w:val="24"/>
          <w:szCs w:val="24"/>
        </w:rPr>
        <w:t xml:space="preserve"> </w:t>
      </w:r>
      <w:r w:rsidRPr="0069504D">
        <w:rPr>
          <w:rFonts w:ascii="Times New Roman" w:hAnsi="Times New Roman" w:cs="Times New Roman"/>
          <w:sz w:val="24"/>
          <w:szCs w:val="24"/>
          <w:shd w:val="clear" w:color="auto" w:fill="FFFFFF"/>
        </w:rPr>
        <w:t>Accessed on June 20, 2022.</w:t>
      </w:r>
    </w:p>
    <w:p w14:paraId="0A741A53" w14:textId="77777777" w:rsidR="00E84401" w:rsidRPr="0069504D" w:rsidRDefault="00E84401" w:rsidP="0069504D">
      <w:pPr>
        <w:shd w:val="clear" w:color="auto" w:fill="FFFFFF"/>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Phillipson, J., Gorton, M., Turner, R., Shucksmith, M., Aitken-McDermott, K., Areal, F., Cowie, P., Hubbard, C., Maioli, S., McAreavey, R., Souza-Monteiro, D., Newbery, R., Panzone, L., Rowe, F., and Shortall, S. (2020). The COVID-19 pandemic and its implications for rural economies. </w:t>
      </w:r>
      <w:r w:rsidRPr="0069504D">
        <w:rPr>
          <w:rFonts w:ascii="Times New Roman" w:hAnsi="Times New Roman" w:cs="Times New Roman"/>
          <w:i/>
          <w:iCs/>
          <w:color w:val="222222"/>
          <w:sz w:val="24"/>
          <w:szCs w:val="24"/>
          <w:shd w:val="clear" w:color="auto" w:fill="FFFFFF"/>
        </w:rPr>
        <w:t>Sustainability</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12</w:t>
      </w:r>
      <w:r w:rsidRPr="0069504D">
        <w:rPr>
          <w:rFonts w:ascii="Times New Roman" w:hAnsi="Times New Roman" w:cs="Times New Roman"/>
          <w:color w:val="222222"/>
          <w:sz w:val="24"/>
          <w:szCs w:val="24"/>
          <w:shd w:val="clear" w:color="auto" w:fill="FFFFFF"/>
        </w:rPr>
        <w:t>(10), 3973.</w:t>
      </w:r>
    </w:p>
    <w:p w14:paraId="2322A092" w14:textId="59660034"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 xml:space="preserve">Popuri, Y. D., and Bhat, </w:t>
      </w:r>
      <w:r w:rsidR="004A6EFD"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 R. (2001). On modeling choice and frequency of home-based telecommuting.</w:t>
      </w:r>
      <w:r w:rsidR="0090311B" w:rsidRPr="0069504D">
        <w:rPr>
          <w:rFonts w:ascii="Times New Roman" w:hAnsi="Times New Roman" w:cs="Times New Roman"/>
          <w:color w:val="222222"/>
          <w:sz w:val="24"/>
          <w:szCs w:val="24"/>
          <w:shd w:val="clear" w:color="auto" w:fill="FFFFFF"/>
        </w:rPr>
        <w:t xml:space="preserve"> </w:t>
      </w:r>
      <w:r w:rsidR="0090311B" w:rsidRPr="0069504D">
        <w:rPr>
          <w:rFonts w:ascii="Times New Roman" w:hAnsi="Times New Roman" w:cs="Times New Roman"/>
          <w:i/>
          <w:sz w:val="24"/>
          <w:szCs w:val="24"/>
        </w:rPr>
        <w:t>Transportation Research Record</w:t>
      </w:r>
      <w:r w:rsidR="0090311B" w:rsidRPr="0069504D">
        <w:rPr>
          <w:rFonts w:ascii="Times New Roman" w:hAnsi="Times New Roman" w:cs="Times New Roman"/>
          <w:sz w:val="24"/>
          <w:szCs w:val="24"/>
        </w:rPr>
        <w:t xml:space="preserve">, </w:t>
      </w:r>
      <w:r w:rsidR="0090311B" w:rsidRPr="0069504D">
        <w:rPr>
          <w:rFonts w:ascii="Times New Roman" w:hAnsi="Times New Roman" w:cs="Times New Roman"/>
          <w:i/>
          <w:sz w:val="24"/>
          <w:szCs w:val="24"/>
        </w:rPr>
        <w:t>1858</w:t>
      </w:r>
      <w:r w:rsidR="0090311B" w:rsidRPr="0069504D">
        <w:rPr>
          <w:rFonts w:ascii="Times New Roman" w:hAnsi="Times New Roman" w:cs="Times New Roman"/>
          <w:sz w:val="24"/>
          <w:szCs w:val="24"/>
        </w:rPr>
        <w:t>, 55-60.</w:t>
      </w:r>
    </w:p>
    <w:p w14:paraId="0276C048" w14:textId="50E9679D"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rPr>
        <w:t xml:space="preserve">Ramsey, K., and Bell, A. (2014). Smart Location Database, Version 2.0 User Guide. Available at: </w:t>
      </w:r>
      <w:hyperlink r:id="rId231" w:history="1">
        <w:r w:rsidR="0090311B" w:rsidRPr="0069504D">
          <w:rPr>
            <w:rStyle w:val="Hyperlink"/>
            <w:rFonts w:ascii="Times New Roman" w:hAnsi="Times New Roman" w:cs="Times New Roman"/>
            <w:sz w:val="24"/>
            <w:szCs w:val="24"/>
          </w:rPr>
          <w:t>https://www.epa.gov/sites/production/files/2014-03/documents/sld_userguide.pdf</w:t>
        </w:r>
      </w:hyperlink>
      <w:r w:rsidRPr="0069504D">
        <w:rPr>
          <w:rFonts w:ascii="Times New Roman" w:hAnsi="Times New Roman" w:cs="Times New Roman"/>
          <w:sz w:val="24"/>
          <w:szCs w:val="24"/>
        </w:rPr>
        <w:t>.</w:t>
      </w:r>
      <w:r w:rsidR="0090311B" w:rsidRPr="0069504D">
        <w:rPr>
          <w:rFonts w:ascii="Times New Roman" w:hAnsi="Times New Roman" w:cs="Times New Roman"/>
          <w:sz w:val="24"/>
          <w:szCs w:val="24"/>
        </w:rPr>
        <w:t xml:space="preserve"> </w:t>
      </w:r>
      <w:r w:rsidRPr="0069504D">
        <w:rPr>
          <w:rFonts w:ascii="Times New Roman" w:hAnsi="Times New Roman" w:cs="Times New Roman"/>
          <w:sz w:val="24"/>
          <w:szCs w:val="24"/>
        </w:rPr>
        <w:t xml:space="preserve"> Accessed on May 15, 2022.</w:t>
      </w:r>
    </w:p>
    <w:p w14:paraId="20BB4953" w14:textId="6A9138D8" w:rsidR="00E84401"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Rodríguez-Modroño, P. (2021). Non-standard work in unconventional workspaces: Self-employed women in home-based businesses and coworking spaces. </w:t>
      </w:r>
      <w:r w:rsidRPr="0069504D">
        <w:rPr>
          <w:rFonts w:ascii="Times New Roman" w:hAnsi="Times New Roman" w:cs="Times New Roman"/>
          <w:i/>
          <w:iCs/>
          <w:color w:val="222222"/>
          <w:sz w:val="24"/>
          <w:szCs w:val="24"/>
          <w:shd w:val="clear" w:color="auto" w:fill="FFFFFF"/>
        </w:rPr>
        <w:t>Urban Studies</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58</w:t>
      </w:r>
      <w:r w:rsidRPr="0069504D">
        <w:rPr>
          <w:rFonts w:ascii="Times New Roman" w:hAnsi="Times New Roman" w:cs="Times New Roman"/>
          <w:color w:val="222222"/>
          <w:sz w:val="24"/>
          <w:szCs w:val="24"/>
          <w:shd w:val="clear" w:color="auto" w:fill="FFFFFF"/>
        </w:rPr>
        <w:t>(11), 2258-2275.</w:t>
      </w:r>
    </w:p>
    <w:p w14:paraId="603E958D" w14:textId="03D930E4" w:rsidR="00B14032" w:rsidRPr="0069504D" w:rsidRDefault="00B14032" w:rsidP="00194389">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0F7085">
        <w:rPr>
          <w:rFonts w:ascii="Times New Roman" w:hAnsi="Times New Roman" w:cs="Times New Roman"/>
          <w:color w:val="222222"/>
          <w:sz w:val="24"/>
          <w:szCs w:val="24"/>
          <w:shd w:val="clear" w:color="auto" w:fill="FFFFFF"/>
        </w:rPr>
        <w:t>Rossetti, T., Guevara, C. A., Galilea, P., and Hurtubia, R. (2018). Modeling safety as a perceptual latent variable to assess cycling infrastructure. </w:t>
      </w:r>
      <w:r w:rsidRPr="000F7085">
        <w:rPr>
          <w:rFonts w:ascii="Times New Roman" w:hAnsi="Times New Roman" w:cs="Times New Roman"/>
          <w:i/>
          <w:iCs/>
          <w:color w:val="222222"/>
          <w:sz w:val="24"/>
          <w:szCs w:val="24"/>
          <w:shd w:val="clear" w:color="auto" w:fill="FFFFFF"/>
        </w:rPr>
        <w:t>Transportation Research Part A</w:t>
      </w:r>
      <w:r w:rsidRPr="000F7085">
        <w:rPr>
          <w:rFonts w:ascii="Times New Roman" w:hAnsi="Times New Roman" w:cs="Times New Roman"/>
          <w:color w:val="222222"/>
          <w:sz w:val="24"/>
          <w:szCs w:val="24"/>
          <w:shd w:val="clear" w:color="auto" w:fill="FFFFFF"/>
        </w:rPr>
        <w:t>, </w:t>
      </w:r>
      <w:r w:rsidRPr="000F7085">
        <w:rPr>
          <w:rFonts w:ascii="Times New Roman" w:hAnsi="Times New Roman" w:cs="Times New Roman"/>
          <w:i/>
          <w:iCs/>
          <w:color w:val="222222"/>
          <w:sz w:val="24"/>
          <w:szCs w:val="24"/>
          <w:shd w:val="clear" w:color="auto" w:fill="FFFFFF"/>
        </w:rPr>
        <w:t>111</w:t>
      </w:r>
      <w:r w:rsidRPr="000F7085">
        <w:rPr>
          <w:rFonts w:ascii="Times New Roman" w:hAnsi="Times New Roman" w:cs="Times New Roman"/>
          <w:color w:val="222222"/>
          <w:sz w:val="24"/>
          <w:szCs w:val="24"/>
          <w:shd w:val="clear" w:color="auto" w:fill="FFFFFF"/>
        </w:rPr>
        <w:t>, 252-265.</w:t>
      </w:r>
    </w:p>
    <w:p w14:paraId="4BF8AD5A" w14:textId="4973D818"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rPr>
        <w:lastRenderedPageBreak/>
        <w:t>Saad, L</w:t>
      </w:r>
      <w:r w:rsidR="004A6EFD" w:rsidRPr="0069504D">
        <w:rPr>
          <w:rFonts w:ascii="Times New Roman" w:hAnsi="Times New Roman" w:cs="Times New Roman"/>
          <w:sz w:val="24"/>
          <w:szCs w:val="24"/>
        </w:rPr>
        <w:t>.</w:t>
      </w:r>
      <w:r w:rsidRPr="0069504D">
        <w:rPr>
          <w:rFonts w:ascii="Times New Roman" w:hAnsi="Times New Roman" w:cs="Times New Roman"/>
          <w:sz w:val="24"/>
          <w:szCs w:val="24"/>
        </w:rPr>
        <w:t>, and Wigert, B</w:t>
      </w:r>
      <w:r w:rsidR="004A6EFD" w:rsidRPr="0069504D">
        <w:rPr>
          <w:rFonts w:ascii="Times New Roman" w:hAnsi="Times New Roman" w:cs="Times New Roman"/>
          <w:sz w:val="24"/>
          <w:szCs w:val="24"/>
        </w:rPr>
        <w:t>.</w:t>
      </w:r>
      <w:r w:rsidRPr="0069504D">
        <w:rPr>
          <w:rFonts w:ascii="Times New Roman" w:hAnsi="Times New Roman" w:cs="Times New Roman"/>
          <w:sz w:val="24"/>
          <w:szCs w:val="24"/>
        </w:rPr>
        <w:t xml:space="preserve"> (2021). Remote </w:t>
      </w:r>
      <w:r w:rsidR="0090311B" w:rsidRPr="0069504D">
        <w:rPr>
          <w:rFonts w:ascii="Times New Roman" w:hAnsi="Times New Roman" w:cs="Times New Roman"/>
          <w:sz w:val="24"/>
          <w:szCs w:val="24"/>
        </w:rPr>
        <w:t>w</w:t>
      </w:r>
      <w:r w:rsidRPr="0069504D">
        <w:rPr>
          <w:rFonts w:ascii="Times New Roman" w:hAnsi="Times New Roman" w:cs="Times New Roman"/>
          <w:sz w:val="24"/>
          <w:szCs w:val="24"/>
        </w:rPr>
        <w:t xml:space="preserve">ork </w:t>
      </w:r>
      <w:r w:rsidR="0090311B" w:rsidRPr="0069504D">
        <w:rPr>
          <w:rFonts w:ascii="Times New Roman" w:hAnsi="Times New Roman" w:cs="Times New Roman"/>
          <w:sz w:val="24"/>
          <w:szCs w:val="24"/>
        </w:rPr>
        <w:t>p</w:t>
      </w:r>
      <w:r w:rsidRPr="0069504D">
        <w:rPr>
          <w:rFonts w:ascii="Times New Roman" w:hAnsi="Times New Roman" w:cs="Times New Roman"/>
          <w:sz w:val="24"/>
          <w:szCs w:val="24"/>
        </w:rPr>
        <w:t xml:space="preserve">ersisting and </w:t>
      </w:r>
      <w:r w:rsidR="0090311B" w:rsidRPr="0069504D">
        <w:rPr>
          <w:rFonts w:ascii="Times New Roman" w:hAnsi="Times New Roman" w:cs="Times New Roman"/>
          <w:sz w:val="24"/>
          <w:szCs w:val="24"/>
        </w:rPr>
        <w:t>t</w:t>
      </w:r>
      <w:r w:rsidRPr="0069504D">
        <w:rPr>
          <w:rFonts w:ascii="Times New Roman" w:hAnsi="Times New Roman" w:cs="Times New Roman"/>
          <w:sz w:val="24"/>
          <w:szCs w:val="24"/>
        </w:rPr>
        <w:t xml:space="preserve">rending </w:t>
      </w:r>
      <w:r w:rsidR="0090311B" w:rsidRPr="0069504D">
        <w:rPr>
          <w:rFonts w:ascii="Times New Roman" w:hAnsi="Times New Roman" w:cs="Times New Roman"/>
          <w:sz w:val="24"/>
          <w:szCs w:val="24"/>
        </w:rPr>
        <w:t>p</w:t>
      </w:r>
      <w:r w:rsidRPr="0069504D">
        <w:rPr>
          <w:rFonts w:ascii="Times New Roman" w:hAnsi="Times New Roman" w:cs="Times New Roman"/>
          <w:sz w:val="24"/>
          <w:szCs w:val="24"/>
        </w:rPr>
        <w:t xml:space="preserve">ermanent. Gallup. Available at: </w:t>
      </w:r>
      <w:hyperlink r:id="rId232" w:history="1">
        <w:r w:rsidRPr="0069504D">
          <w:rPr>
            <w:rStyle w:val="Hyperlink"/>
            <w:rFonts w:ascii="Times New Roman" w:hAnsi="Times New Roman" w:cs="Times New Roman"/>
            <w:sz w:val="24"/>
            <w:szCs w:val="24"/>
          </w:rPr>
          <w:t>https://news.gallup.com/poll/355907/remote-work-persisting-trending-permanent.aspx</w:t>
        </w:r>
      </w:hyperlink>
      <w:r w:rsidRPr="0069504D">
        <w:rPr>
          <w:rFonts w:ascii="Times New Roman" w:hAnsi="Times New Roman" w:cs="Times New Roman"/>
          <w:sz w:val="24"/>
          <w:szCs w:val="24"/>
        </w:rPr>
        <w:t xml:space="preserve">. </w:t>
      </w:r>
      <w:r w:rsidRPr="0069504D">
        <w:rPr>
          <w:rFonts w:ascii="Times New Roman" w:hAnsi="Times New Roman" w:cs="Times New Roman"/>
          <w:sz w:val="24"/>
          <w:szCs w:val="24"/>
          <w:shd w:val="clear" w:color="auto" w:fill="FFFFFF"/>
        </w:rPr>
        <w:t>Accessed on April 23, 2023.</w:t>
      </w:r>
    </w:p>
    <w:p w14:paraId="1E1F2905" w14:textId="77777777" w:rsidR="00E84401" w:rsidRPr="0069504D" w:rsidDel="008B38CA" w:rsidRDefault="00E84401" w:rsidP="0069504D">
      <w:pPr>
        <w:spacing w:afterLines="20" w:after="48" w:line="240" w:lineRule="auto"/>
        <w:ind w:left="540" w:hanging="540"/>
        <w:rPr>
          <w:rFonts w:ascii="Times New Roman" w:eastAsia="Times New Roman" w:hAnsi="Times New Roman" w:cs="Times New Roman"/>
          <w:sz w:val="24"/>
          <w:szCs w:val="24"/>
        </w:rPr>
      </w:pPr>
      <w:r w:rsidRPr="0069504D">
        <w:rPr>
          <w:rFonts w:ascii="Times New Roman" w:hAnsi="Times New Roman" w:cs="Times New Roman"/>
          <w:color w:val="222222"/>
          <w:sz w:val="24"/>
          <w:szCs w:val="24"/>
          <w:shd w:val="clear" w:color="auto" w:fill="FFFFFF"/>
        </w:rPr>
        <w:t>Saxena, S., Pinjari, A. R., Bhat, C. R., and Mondal, A. (2023). A flexible multiple discrete–continuous probit (MDCP) model: application to analysis of expenditure patterns of domestic tourists in India. </w:t>
      </w:r>
      <w:r w:rsidRPr="0069504D">
        <w:rPr>
          <w:rFonts w:ascii="Times New Roman" w:hAnsi="Times New Roman" w:cs="Times New Roman"/>
          <w:i/>
          <w:iCs/>
          <w:color w:val="222222"/>
          <w:sz w:val="24"/>
          <w:szCs w:val="24"/>
          <w:shd w:val="clear" w:color="auto" w:fill="FFFFFF"/>
        </w:rPr>
        <w:t>Transportation</w:t>
      </w:r>
      <w:r w:rsidRPr="0069504D">
        <w:rPr>
          <w:rFonts w:ascii="Times New Roman" w:hAnsi="Times New Roman" w:cs="Times New Roman"/>
          <w:color w:val="222222"/>
          <w:sz w:val="24"/>
          <w:szCs w:val="24"/>
          <w:shd w:val="clear" w:color="auto" w:fill="FFFFFF"/>
        </w:rPr>
        <w:t>, 1-28.</w:t>
      </w:r>
      <w:r w:rsidRPr="0069504D" w:rsidDel="008B38CA">
        <w:rPr>
          <w:rFonts w:ascii="Times New Roman" w:eastAsia="Times New Roman" w:hAnsi="Times New Roman" w:cs="Times New Roman"/>
          <w:sz w:val="24"/>
          <w:szCs w:val="24"/>
        </w:rPr>
        <w:t xml:space="preserve"> </w:t>
      </w:r>
    </w:p>
    <w:p w14:paraId="2C7557B2" w14:textId="77777777"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Sener, I. N., and Bhat, C. R. (2011). A copula-based sample selection model of telecommuting choice and frequency. </w:t>
      </w:r>
      <w:r w:rsidRPr="0069504D">
        <w:rPr>
          <w:rFonts w:ascii="Times New Roman" w:hAnsi="Times New Roman" w:cs="Times New Roman"/>
          <w:i/>
          <w:iCs/>
          <w:color w:val="222222"/>
          <w:sz w:val="24"/>
          <w:szCs w:val="24"/>
          <w:shd w:val="clear" w:color="auto" w:fill="FFFFFF"/>
        </w:rPr>
        <w:t>Environment and Planning A</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43</w:t>
      </w:r>
      <w:r w:rsidRPr="0069504D">
        <w:rPr>
          <w:rFonts w:ascii="Times New Roman" w:hAnsi="Times New Roman" w:cs="Times New Roman"/>
          <w:color w:val="222222"/>
          <w:sz w:val="24"/>
          <w:szCs w:val="24"/>
          <w:shd w:val="clear" w:color="auto" w:fill="FFFFFF"/>
        </w:rPr>
        <w:t>(1), 126-145.</w:t>
      </w:r>
    </w:p>
    <w:p w14:paraId="2CB207F4" w14:textId="286250DF"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Shabanpour, R., Golshani, N., </w:t>
      </w:r>
      <w:proofErr w:type="spellStart"/>
      <w:r w:rsidRPr="0069504D">
        <w:rPr>
          <w:rFonts w:ascii="Times New Roman" w:hAnsi="Times New Roman" w:cs="Times New Roman"/>
          <w:sz w:val="24"/>
          <w:szCs w:val="24"/>
          <w:shd w:val="clear" w:color="auto" w:fill="FFFFFF"/>
        </w:rPr>
        <w:t>Tayarani</w:t>
      </w:r>
      <w:proofErr w:type="spellEnd"/>
      <w:r w:rsidRPr="0069504D">
        <w:rPr>
          <w:rFonts w:ascii="Times New Roman" w:hAnsi="Times New Roman" w:cs="Times New Roman"/>
          <w:sz w:val="24"/>
          <w:szCs w:val="24"/>
          <w:shd w:val="clear" w:color="auto" w:fill="FFFFFF"/>
        </w:rPr>
        <w:t xml:space="preserve">, M., Auld, J., and Mohammadian, A.K. (2018). Analysis of telecommuting behavior and impacts on travel demand and the </w:t>
      </w:r>
      <w:r w:rsidR="0090311B" w:rsidRPr="0069504D">
        <w:rPr>
          <w:rFonts w:ascii="Times New Roman" w:hAnsi="Times New Roman" w:cs="Times New Roman"/>
          <w:sz w:val="24"/>
          <w:szCs w:val="24"/>
          <w:shd w:val="clear" w:color="auto" w:fill="FFFFFF"/>
        </w:rPr>
        <w:t xml:space="preserve">environment. </w:t>
      </w:r>
      <w:r w:rsidRPr="0069504D">
        <w:rPr>
          <w:rFonts w:ascii="Times New Roman" w:hAnsi="Times New Roman" w:cs="Times New Roman"/>
          <w:i/>
          <w:iCs/>
          <w:sz w:val="24"/>
          <w:szCs w:val="24"/>
          <w:shd w:val="clear" w:color="auto" w:fill="FFFFFF"/>
        </w:rPr>
        <w:t>Transportation Research Part D</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62</w:t>
      </w:r>
      <w:r w:rsidRPr="0069504D">
        <w:rPr>
          <w:rFonts w:ascii="Times New Roman" w:hAnsi="Times New Roman" w:cs="Times New Roman"/>
          <w:sz w:val="24"/>
          <w:szCs w:val="24"/>
          <w:shd w:val="clear" w:color="auto" w:fill="FFFFFF"/>
        </w:rPr>
        <w:t>, 563-576.</w:t>
      </w:r>
    </w:p>
    <w:p w14:paraId="44E7EFA3"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sz w:val="24"/>
          <w:szCs w:val="24"/>
          <w:shd w:val="clear" w:color="auto" w:fill="FFFFFF"/>
        </w:rPr>
        <w:t>Sheather, J., and Slattery, D. (2021). The great resignation—how do we support and retain staff already stretched to their limit?. </w:t>
      </w:r>
      <w:r w:rsidRPr="0069504D">
        <w:rPr>
          <w:rFonts w:ascii="Times New Roman" w:hAnsi="Times New Roman" w:cs="Times New Roman"/>
          <w:i/>
          <w:iCs/>
          <w:sz w:val="24"/>
          <w:szCs w:val="24"/>
          <w:shd w:val="clear" w:color="auto" w:fill="FFFFFF"/>
        </w:rPr>
        <w:t xml:space="preserve"> British Medical Journal</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375</w:t>
      </w:r>
      <w:r w:rsidRPr="0069504D">
        <w:rPr>
          <w:rFonts w:ascii="Times New Roman" w:hAnsi="Times New Roman" w:cs="Times New Roman"/>
          <w:sz w:val="24"/>
          <w:szCs w:val="24"/>
        </w:rPr>
        <w:t>, n2533.</w:t>
      </w:r>
    </w:p>
    <w:p w14:paraId="10E10B72" w14:textId="7617726B" w:rsidR="00E84401"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Singh, P., Paleti, R., Jenkins, S., and Bhat, C.R. (2013). On modeling telecommuting behavior: Option, choice, and frequency. </w:t>
      </w:r>
      <w:r w:rsidRPr="0069504D">
        <w:rPr>
          <w:rFonts w:ascii="Times New Roman" w:hAnsi="Times New Roman" w:cs="Times New Roman"/>
          <w:i/>
          <w:iCs/>
          <w:sz w:val="24"/>
          <w:szCs w:val="24"/>
          <w:shd w:val="clear" w:color="auto" w:fill="FFFFFF"/>
        </w:rPr>
        <w:t>Transportation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40</w:t>
      </w:r>
      <w:r w:rsidRPr="0069504D">
        <w:rPr>
          <w:rFonts w:ascii="Times New Roman" w:hAnsi="Times New Roman" w:cs="Times New Roman"/>
          <w:sz w:val="24"/>
          <w:szCs w:val="24"/>
          <w:shd w:val="clear" w:color="auto" w:fill="FFFFFF"/>
        </w:rPr>
        <w:t>(2), 373-396.</w:t>
      </w:r>
    </w:p>
    <w:p w14:paraId="7C8D7C96" w14:textId="226ABE11" w:rsidR="00516530" w:rsidRPr="00516530" w:rsidRDefault="00516530" w:rsidP="0069504D">
      <w:pPr>
        <w:spacing w:afterLines="20" w:after="48" w:line="240" w:lineRule="auto"/>
        <w:ind w:left="540" w:hanging="540"/>
        <w:rPr>
          <w:rFonts w:ascii="Times New Roman" w:hAnsi="Times New Roman" w:cs="Times New Roman"/>
          <w:sz w:val="24"/>
          <w:szCs w:val="24"/>
          <w:shd w:val="clear" w:color="auto" w:fill="FFFFFF"/>
        </w:rPr>
      </w:pPr>
      <w:r w:rsidRPr="00194389">
        <w:rPr>
          <w:rFonts w:ascii="Times New Roman" w:hAnsi="Times New Roman" w:cs="Times New Roman"/>
          <w:color w:val="222222"/>
          <w:sz w:val="24"/>
          <w:szCs w:val="24"/>
          <w:shd w:val="clear" w:color="auto" w:fill="FFFFFF"/>
        </w:rPr>
        <w:t xml:space="preserve">Srivastava, A., Van Passel, S., and </w:t>
      </w:r>
      <w:proofErr w:type="spellStart"/>
      <w:r w:rsidRPr="00194389">
        <w:rPr>
          <w:rFonts w:ascii="Times New Roman" w:hAnsi="Times New Roman" w:cs="Times New Roman"/>
          <w:color w:val="222222"/>
          <w:sz w:val="24"/>
          <w:szCs w:val="24"/>
          <w:shd w:val="clear" w:color="auto" w:fill="FFFFFF"/>
        </w:rPr>
        <w:t>Laes</w:t>
      </w:r>
      <w:proofErr w:type="spellEnd"/>
      <w:r w:rsidRPr="00194389">
        <w:rPr>
          <w:rFonts w:ascii="Times New Roman" w:hAnsi="Times New Roman" w:cs="Times New Roman"/>
          <w:color w:val="222222"/>
          <w:sz w:val="24"/>
          <w:szCs w:val="24"/>
          <w:shd w:val="clear" w:color="auto" w:fill="FFFFFF"/>
        </w:rPr>
        <w:t>, E. (2018). Assessing the success of electricity demand response programs: A meta-analysis. </w:t>
      </w:r>
      <w:r w:rsidRPr="00194389">
        <w:rPr>
          <w:rFonts w:ascii="Times New Roman" w:hAnsi="Times New Roman" w:cs="Times New Roman"/>
          <w:i/>
          <w:iCs/>
          <w:color w:val="222222"/>
          <w:sz w:val="24"/>
          <w:szCs w:val="24"/>
          <w:shd w:val="clear" w:color="auto" w:fill="FFFFFF"/>
        </w:rPr>
        <w:t xml:space="preserve">Energy </w:t>
      </w:r>
      <w:r w:rsidR="002A04F4">
        <w:rPr>
          <w:rFonts w:ascii="Times New Roman" w:hAnsi="Times New Roman" w:cs="Times New Roman"/>
          <w:i/>
          <w:iCs/>
          <w:color w:val="222222"/>
          <w:sz w:val="24"/>
          <w:szCs w:val="24"/>
          <w:shd w:val="clear" w:color="auto" w:fill="FFFFFF"/>
        </w:rPr>
        <w:t>R</w:t>
      </w:r>
      <w:r w:rsidRPr="00194389">
        <w:rPr>
          <w:rFonts w:ascii="Times New Roman" w:hAnsi="Times New Roman" w:cs="Times New Roman"/>
          <w:i/>
          <w:iCs/>
          <w:color w:val="222222"/>
          <w:sz w:val="24"/>
          <w:szCs w:val="24"/>
          <w:shd w:val="clear" w:color="auto" w:fill="FFFFFF"/>
        </w:rPr>
        <w:t xml:space="preserve">esearch &amp; </w:t>
      </w:r>
      <w:r w:rsidR="002A04F4">
        <w:rPr>
          <w:rFonts w:ascii="Times New Roman" w:hAnsi="Times New Roman" w:cs="Times New Roman"/>
          <w:i/>
          <w:iCs/>
          <w:color w:val="222222"/>
          <w:sz w:val="24"/>
          <w:szCs w:val="24"/>
          <w:shd w:val="clear" w:color="auto" w:fill="FFFFFF"/>
        </w:rPr>
        <w:t>S</w:t>
      </w:r>
      <w:r w:rsidRPr="00194389">
        <w:rPr>
          <w:rFonts w:ascii="Times New Roman" w:hAnsi="Times New Roman" w:cs="Times New Roman"/>
          <w:i/>
          <w:iCs/>
          <w:color w:val="222222"/>
          <w:sz w:val="24"/>
          <w:szCs w:val="24"/>
          <w:shd w:val="clear" w:color="auto" w:fill="FFFFFF"/>
        </w:rPr>
        <w:t xml:space="preserve">ocial </w:t>
      </w:r>
      <w:r w:rsidR="002A04F4">
        <w:rPr>
          <w:rFonts w:ascii="Times New Roman" w:hAnsi="Times New Roman" w:cs="Times New Roman"/>
          <w:i/>
          <w:iCs/>
          <w:color w:val="222222"/>
          <w:sz w:val="24"/>
          <w:szCs w:val="24"/>
          <w:shd w:val="clear" w:color="auto" w:fill="FFFFFF"/>
        </w:rPr>
        <w:t>S</w:t>
      </w:r>
      <w:r w:rsidRPr="00194389">
        <w:rPr>
          <w:rFonts w:ascii="Times New Roman" w:hAnsi="Times New Roman" w:cs="Times New Roman"/>
          <w:i/>
          <w:iCs/>
          <w:color w:val="222222"/>
          <w:sz w:val="24"/>
          <w:szCs w:val="24"/>
          <w:shd w:val="clear" w:color="auto" w:fill="FFFFFF"/>
        </w:rPr>
        <w:t>cience</w:t>
      </w:r>
      <w:r w:rsidRPr="00194389">
        <w:rPr>
          <w:rFonts w:ascii="Times New Roman" w:hAnsi="Times New Roman" w:cs="Times New Roman"/>
          <w:color w:val="222222"/>
          <w:sz w:val="24"/>
          <w:szCs w:val="24"/>
          <w:shd w:val="clear" w:color="auto" w:fill="FFFFFF"/>
        </w:rPr>
        <w:t>, </w:t>
      </w:r>
      <w:r w:rsidRPr="00194389">
        <w:rPr>
          <w:rFonts w:ascii="Times New Roman" w:hAnsi="Times New Roman" w:cs="Times New Roman"/>
          <w:i/>
          <w:iCs/>
          <w:color w:val="222222"/>
          <w:sz w:val="24"/>
          <w:szCs w:val="24"/>
          <w:shd w:val="clear" w:color="auto" w:fill="FFFFFF"/>
        </w:rPr>
        <w:t>40</w:t>
      </w:r>
      <w:r w:rsidRPr="00194389">
        <w:rPr>
          <w:rFonts w:ascii="Times New Roman" w:hAnsi="Times New Roman" w:cs="Times New Roman"/>
          <w:color w:val="222222"/>
          <w:sz w:val="24"/>
          <w:szCs w:val="24"/>
          <w:shd w:val="clear" w:color="auto" w:fill="FFFFFF"/>
        </w:rPr>
        <w:t>, 110-117.</w:t>
      </w:r>
    </w:p>
    <w:p w14:paraId="2480D5FA" w14:textId="5F450A3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Stiles, J., and Smart, M.J. (2021). Working at home and elsewhere: </w:t>
      </w:r>
      <w:r w:rsidR="00CA15F2" w:rsidRPr="0069504D">
        <w:rPr>
          <w:rFonts w:ascii="Times New Roman" w:hAnsi="Times New Roman" w:cs="Times New Roman"/>
          <w:sz w:val="24"/>
          <w:szCs w:val="24"/>
          <w:shd w:val="clear" w:color="auto" w:fill="FFFFFF"/>
        </w:rPr>
        <w:t>D</w:t>
      </w:r>
      <w:r w:rsidRPr="0069504D">
        <w:rPr>
          <w:rFonts w:ascii="Times New Roman" w:hAnsi="Times New Roman" w:cs="Times New Roman"/>
          <w:sz w:val="24"/>
          <w:szCs w:val="24"/>
          <w:shd w:val="clear" w:color="auto" w:fill="FFFFFF"/>
        </w:rPr>
        <w:t>aily work location, telework, and travel among United States knowledge workers. </w:t>
      </w:r>
      <w:r w:rsidRPr="0069504D">
        <w:rPr>
          <w:rFonts w:ascii="Times New Roman" w:hAnsi="Times New Roman" w:cs="Times New Roman"/>
          <w:i/>
          <w:iCs/>
          <w:sz w:val="24"/>
          <w:szCs w:val="24"/>
          <w:shd w:val="clear" w:color="auto" w:fill="FFFFFF"/>
        </w:rPr>
        <w:t>Transportation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48</w:t>
      </w:r>
      <w:r w:rsidRPr="0069504D">
        <w:rPr>
          <w:rFonts w:ascii="Times New Roman" w:hAnsi="Times New Roman" w:cs="Times New Roman"/>
          <w:sz w:val="24"/>
          <w:szCs w:val="24"/>
          <w:shd w:val="clear" w:color="auto" w:fill="FFFFFF"/>
        </w:rPr>
        <w:t>(5), 2461-2491.</w:t>
      </w:r>
    </w:p>
    <w:p w14:paraId="7D9DAF2F" w14:textId="4FF5F20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Tahlyan, D., Said, M., Mahmassani, H., Stathopoulos, A., Walker, J., and Shaheen, S. (2022). For whom did telework not work during the pandemic? </w:t>
      </w:r>
      <w:r w:rsidR="00CA15F2" w:rsidRPr="0069504D">
        <w:rPr>
          <w:rFonts w:ascii="Times New Roman" w:hAnsi="Times New Roman" w:cs="Times New Roman"/>
          <w:sz w:val="24"/>
          <w:szCs w:val="24"/>
          <w:shd w:val="clear" w:color="auto" w:fill="FFFFFF"/>
        </w:rPr>
        <w:t>U</w:t>
      </w:r>
      <w:r w:rsidRPr="0069504D">
        <w:rPr>
          <w:rFonts w:ascii="Times New Roman" w:hAnsi="Times New Roman" w:cs="Times New Roman"/>
          <w:sz w:val="24"/>
          <w:szCs w:val="24"/>
          <w:shd w:val="clear" w:color="auto" w:fill="FFFFFF"/>
        </w:rPr>
        <w:t>nderstanding the factors impacting telework satisfaction in the US using a multiple indicator multiple cause (MIMIC) model. </w:t>
      </w:r>
      <w:r w:rsidRPr="0069504D">
        <w:rPr>
          <w:rFonts w:ascii="Times New Roman" w:hAnsi="Times New Roman" w:cs="Times New Roman"/>
          <w:i/>
          <w:iCs/>
          <w:sz w:val="24"/>
          <w:szCs w:val="24"/>
          <w:shd w:val="clear" w:color="auto" w:fill="FFFFFF"/>
        </w:rPr>
        <w:t>Transportation Research Part A</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155</w:t>
      </w:r>
      <w:r w:rsidRPr="0069504D">
        <w:rPr>
          <w:rFonts w:ascii="Times New Roman" w:hAnsi="Times New Roman" w:cs="Times New Roman"/>
          <w:sz w:val="24"/>
          <w:szCs w:val="24"/>
          <w:shd w:val="clear" w:color="auto" w:fill="FFFFFF"/>
        </w:rPr>
        <w:t>, 387-402.</w:t>
      </w:r>
    </w:p>
    <w:p w14:paraId="25569656" w14:textId="3412050E"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Ton, D., </w:t>
      </w:r>
      <w:proofErr w:type="spellStart"/>
      <w:r w:rsidRPr="0069504D">
        <w:rPr>
          <w:rFonts w:ascii="Times New Roman" w:hAnsi="Times New Roman" w:cs="Times New Roman"/>
          <w:sz w:val="24"/>
          <w:szCs w:val="24"/>
          <w:shd w:val="clear" w:color="auto" w:fill="FFFFFF"/>
        </w:rPr>
        <w:t>Arendsen</w:t>
      </w:r>
      <w:proofErr w:type="spellEnd"/>
      <w:r w:rsidRPr="0069504D">
        <w:rPr>
          <w:rFonts w:ascii="Times New Roman" w:hAnsi="Times New Roman" w:cs="Times New Roman"/>
          <w:sz w:val="24"/>
          <w:szCs w:val="24"/>
          <w:shd w:val="clear" w:color="auto" w:fill="FFFFFF"/>
        </w:rPr>
        <w:t xml:space="preserve">, K., de </w:t>
      </w:r>
      <w:proofErr w:type="spellStart"/>
      <w:r w:rsidRPr="0069504D">
        <w:rPr>
          <w:rFonts w:ascii="Times New Roman" w:hAnsi="Times New Roman" w:cs="Times New Roman"/>
          <w:sz w:val="24"/>
          <w:szCs w:val="24"/>
          <w:shd w:val="clear" w:color="auto" w:fill="FFFFFF"/>
        </w:rPr>
        <w:t>Bruyn</w:t>
      </w:r>
      <w:proofErr w:type="spellEnd"/>
      <w:r w:rsidRPr="0069504D">
        <w:rPr>
          <w:rFonts w:ascii="Times New Roman" w:hAnsi="Times New Roman" w:cs="Times New Roman"/>
          <w:sz w:val="24"/>
          <w:szCs w:val="24"/>
          <w:shd w:val="clear" w:color="auto" w:fill="FFFFFF"/>
        </w:rPr>
        <w:t xml:space="preserve">, M., </w:t>
      </w:r>
      <w:proofErr w:type="spellStart"/>
      <w:r w:rsidRPr="0069504D">
        <w:rPr>
          <w:rFonts w:ascii="Times New Roman" w:hAnsi="Times New Roman" w:cs="Times New Roman"/>
          <w:sz w:val="24"/>
          <w:szCs w:val="24"/>
          <w:shd w:val="clear" w:color="auto" w:fill="FFFFFF"/>
        </w:rPr>
        <w:t>Severens</w:t>
      </w:r>
      <w:proofErr w:type="spellEnd"/>
      <w:r w:rsidRPr="0069504D">
        <w:rPr>
          <w:rFonts w:ascii="Times New Roman" w:hAnsi="Times New Roman" w:cs="Times New Roman"/>
          <w:sz w:val="24"/>
          <w:szCs w:val="24"/>
          <w:shd w:val="clear" w:color="auto" w:fill="FFFFFF"/>
        </w:rPr>
        <w:t xml:space="preserve">, V., van Hagen, M., van Oort, N., and </w:t>
      </w:r>
      <w:proofErr w:type="spellStart"/>
      <w:r w:rsidRPr="0069504D">
        <w:rPr>
          <w:rFonts w:ascii="Times New Roman" w:hAnsi="Times New Roman" w:cs="Times New Roman"/>
          <w:sz w:val="24"/>
          <w:szCs w:val="24"/>
          <w:shd w:val="clear" w:color="auto" w:fill="FFFFFF"/>
        </w:rPr>
        <w:t>Duives</w:t>
      </w:r>
      <w:proofErr w:type="spellEnd"/>
      <w:r w:rsidRPr="0069504D">
        <w:rPr>
          <w:rFonts w:ascii="Times New Roman" w:hAnsi="Times New Roman" w:cs="Times New Roman"/>
          <w:sz w:val="24"/>
          <w:szCs w:val="24"/>
          <w:shd w:val="clear" w:color="auto" w:fill="FFFFFF"/>
        </w:rPr>
        <w:t xml:space="preserve">, D. (2022). Teleworking during COVID-19 in the Netherlands: Understanding </w:t>
      </w:r>
      <w:proofErr w:type="spellStart"/>
      <w:r w:rsidRPr="0069504D">
        <w:rPr>
          <w:rFonts w:ascii="Times New Roman" w:hAnsi="Times New Roman" w:cs="Times New Roman"/>
          <w:sz w:val="24"/>
          <w:szCs w:val="24"/>
          <w:shd w:val="clear" w:color="auto" w:fill="FFFFFF"/>
        </w:rPr>
        <w:t>behaviour</w:t>
      </w:r>
      <w:proofErr w:type="spellEnd"/>
      <w:r w:rsidRPr="0069504D">
        <w:rPr>
          <w:rFonts w:ascii="Times New Roman" w:hAnsi="Times New Roman" w:cs="Times New Roman"/>
          <w:sz w:val="24"/>
          <w:szCs w:val="24"/>
          <w:shd w:val="clear" w:color="auto" w:fill="FFFFFF"/>
        </w:rPr>
        <w:t xml:space="preserve">, attitudes, and future intentions of train </w:t>
      </w:r>
      <w:proofErr w:type="spellStart"/>
      <w:r w:rsidRPr="0069504D">
        <w:rPr>
          <w:rFonts w:ascii="Times New Roman" w:hAnsi="Times New Roman" w:cs="Times New Roman"/>
          <w:sz w:val="24"/>
          <w:szCs w:val="24"/>
          <w:shd w:val="clear" w:color="auto" w:fill="FFFFFF"/>
        </w:rPr>
        <w:t>travellers</w:t>
      </w:r>
      <w:proofErr w:type="spellEnd"/>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Transportation Research Part A</w:t>
      </w:r>
      <w:r w:rsidR="0090311B" w:rsidRPr="0069504D">
        <w:rPr>
          <w:rFonts w:ascii="Times New Roman" w:hAnsi="Times New Roman" w:cs="Times New Roman"/>
          <w:iCs/>
          <w:sz w:val="24"/>
          <w:szCs w:val="24"/>
          <w:shd w:val="clear" w:color="auto" w:fill="FFFFFF"/>
        </w:rPr>
        <w:t xml:space="preserve">, </w:t>
      </w:r>
      <w:r w:rsidR="0090311B" w:rsidRPr="0069504D">
        <w:rPr>
          <w:rFonts w:ascii="Times New Roman" w:hAnsi="Times New Roman" w:cs="Times New Roman"/>
          <w:i/>
          <w:iCs/>
          <w:sz w:val="24"/>
          <w:szCs w:val="24"/>
          <w:shd w:val="clear" w:color="auto" w:fill="FFFFFF"/>
        </w:rPr>
        <w:t>159</w:t>
      </w:r>
      <w:r w:rsidR="0090311B" w:rsidRPr="0069504D">
        <w:rPr>
          <w:rFonts w:ascii="Times New Roman" w:hAnsi="Times New Roman" w:cs="Times New Roman"/>
          <w:iCs/>
          <w:sz w:val="24"/>
          <w:szCs w:val="24"/>
          <w:shd w:val="clear" w:color="auto" w:fill="FFFFFF"/>
        </w:rPr>
        <w:t>, 55-73</w:t>
      </w:r>
      <w:r w:rsidRPr="0069504D">
        <w:rPr>
          <w:rFonts w:ascii="Times New Roman" w:hAnsi="Times New Roman" w:cs="Times New Roman"/>
          <w:sz w:val="24"/>
          <w:szCs w:val="24"/>
          <w:shd w:val="clear" w:color="auto" w:fill="FFFFFF"/>
        </w:rPr>
        <w:t>.</w:t>
      </w:r>
    </w:p>
    <w:p w14:paraId="05D22941"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Tursunbayeva, A., Di </w:t>
      </w:r>
      <w:proofErr w:type="spellStart"/>
      <w:r w:rsidRPr="0069504D">
        <w:rPr>
          <w:rFonts w:ascii="Times New Roman" w:hAnsi="Times New Roman" w:cs="Times New Roman"/>
          <w:sz w:val="24"/>
          <w:szCs w:val="24"/>
          <w:shd w:val="clear" w:color="auto" w:fill="FFFFFF"/>
        </w:rPr>
        <w:t>Lauro</w:t>
      </w:r>
      <w:proofErr w:type="spellEnd"/>
      <w:r w:rsidRPr="0069504D">
        <w:rPr>
          <w:rFonts w:ascii="Times New Roman" w:hAnsi="Times New Roman" w:cs="Times New Roman"/>
          <w:sz w:val="24"/>
          <w:szCs w:val="24"/>
          <w:shd w:val="clear" w:color="auto" w:fill="FFFFFF"/>
        </w:rPr>
        <w:t>, S., and Antonelli, G. (2022). Remote work at the time of COVID-19 pandemic and beyond: A scoping review. </w:t>
      </w:r>
      <w:r w:rsidRPr="0069504D">
        <w:rPr>
          <w:rFonts w:ascii="Times New Roman" w:hAnsi="Times New Roman" w:cs="Times New Roman"/>
          <w:sz w:val="24"/>
          <w:szCs w:val="24"/>
        </w:rPr>
        <w:t>In Mondal, S.R., Di Virgilio, F., Das, S. (eds) </w:t>
      </w:r>
      <w:r w:rsidRPr="0069504D">
        <w:rPr>
          <w:rFonts w:ascii="Times New Roman" w:hAnsi="Times New Roman" w:cs="Times New Roman"/>
          <w:i/>
          <w:sz w:val="24"/>
          <w:szCs w:val="24"/>
        </w:rPr>
        <w:t>HR Analytics and Digital HR Practices</w:t>
      </w:r>
      <w:r w:rsidRPr="0069504D">
        <w:rPr>
          <w:rFonts w:ascii="Times New Roman" w:hAnsi="Times New Roman" w:cs="Times New Roman"/>
          <w:sz w:val="24"/>
          <w:szCs w:val="24"/>
        </w:rPr>
        <w:t>, 127-169, Palgrave Macmillan, Singapore</w:t>
      </w:r>
      <w:r w:rsidRPr="0069504D">
        <w:rPr>
          <w:rFonts w:ascii="Times New Roman" w:hAnsi="Times New Roman" w:cs="Times New Roman"/>
          <w:sz w:val="24"/>
          <w:szCs w:val="24"/>
          <w:shd w:val="clear" w:color="auto" w:fill="FFFFFF"/>
        </w:rPr>
        <w:t>.</w:t>
      </w:r>
    </w:p>
    <w:p w14:paraId="6A854514" w14:textId="77777777"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 xml:space="preserve">Vaddadi, B., </w:t>
      </w:r>
      <w:proofErr w:type="spellStart"/>
      <w:r w:rsidRPr="0069504D">
        <w:rPr>
          <w:rFonts w:ascii="Times New Roman" w:hAnsi="Times New Roman" w:cs="Times New Roman"/>
          <w:color w:val="222222"/>
          <w:sz w:val="24"/>
          <w:szCs w:val="24"/>
          <w:shd w:val="clear" w:color="auto" w:fill="FFFFFF"/>
        </w:rPr>
        <w:t>Ringenson</w:t>
      </w:r>
      <w:proofErr w:type="spellEnd"/>
      <w:r w:rsidRPr="0069504D">
        <w:rPr>
          <w:rFonts w:ascii="Times New Roman" w:hAnsi="Times New Roman" w:cs="Times New Roman"/>
          <w:color w:val="222222"/>
          <w:sz w:val="24"/>
          <w:szCs w:val="24"/>
          <w:shd w:val="clear" w:color="auto" w:fill="FFFFFF"/>
        </w:rPr>
        <w:t xml:space="preserve">, T., </w:t>
      </w:r>
      <w:proofErr w:type="spellStart"/>
      <w:r w:rsidRPr="0069504D">
        <w:rPr>
          <w:rFonts w:ascii="Times New Roman" w:hAnsi="Times New Roman" w:cs="Times New Roman"/>
          <w:color w:val="222222"/>
          <w:sz w:val="24"/>
          <w:szCs w:val="24"/>
          <w:shd w:val="clear" w:color="auto" w:fill="FFFFFF"/>
        </w:rPr>
        <w:t>Sjöman</w:t>
      </w:r>
      <w:proofErr w:type="spellEnd"/>
      <w:r w:rsidRPr="0069504D">
        <w:rPr>
          <w:rFonts w:ascii="Times New Roman" w:hAnsi="Times New Roman" w:cs="Times New Roman"/>
          <w:color w:val="222222"/>
          <w:sz w:val="24"/>
          <w:szCs w:val="24"/>
          <w:shd w:val="clear" w:color="auto" w:fill="FFFFFF"/>
        </w:rPr>
        <w:t xml:space="preserve">, M., </w:t>
      </w:r>
      <w:proofErr w:type="spellStart"/>
      <w:r w:rsidRPr="0069504D">
        <w:rPr>
          <w:rFonts w:ascii="Times New Roman" w:hAnsi="Times New Roman" w:cs="Times New Roman"/>
          <w:color w:val="222222"/>
          <w:sz w:val="24"/>
          <w:szCs w:val="24"/>
          <w:shd w:val="clear" w:color="auto" w:fill="FFFFFF"/>
        </w:rPr>
        <w:t>Hesselgren</w:t>
      </w:r>
      <w:proofErr w:type="spellEnd"/>
      <w:r w:rsidRPr="0069504D">
        <w:rPr>
          <w:rFonts w:ascii="Times New Roman" w:hAnsi="Times New Roman" w:cs="Times New Roman"/>
          <w:color w:val="222222"/>
          <w:sz w:val="24"/>
          <w:szCs w:val="24"/>
          <w:shd w:val="clear" w:color="auto" w:fill="FFFFFF"/>
        </w:rPr>
        <w:t xml:space="preserve">, M., and </w:t>
      </w:r>
      <w:proofErr w:type="spellStart"/>
      <w:r w:rsidRPr="0069504D">
        <w:rPr>
          <w:rFonts w:ascii="Times New Roman" w:hAnsi="Times New Roman" w:cs="Times New Roman"/>
          <w:color w:val="222222"/>
          <w:sz w:val="24"/>
          <w:szCs w:val="24"/>
          <w:shd w:val="clear" w:color="auto" w:fill="FFFFFF"/>
        </w:rPr>
        <w:t>Kramers</w:t>
      </w:r>
      <w:proofErr w:type="spellEnd"/>
      <w:r w:rsidRPr="0069504D">
        <w:rPr>
          <w:rFonts w:ascii="Times New Roman" w:hAnsi="Times New Roman" w:cs="Times New Roman"/>
          <w:color w:val="222222"/>
          <w:sz w:val="24"/>
          <w:szCs w:val="24"/>
          <w:shd w:val="clear" w:color="auto" w:fill="FFFFFF"/>
        </w:rPr>
        <w:t xml:space="preserve">, A. (2022). Do they work? Exploring possible potentials of </w:t>
      </w:r>
      <w:proofErr w:type="spellStart"/>
      <w:r w:rsidRPr="0069504D">
        <w:rPr>
          <w:rFonts w:ascii="Times New Roman" w:hAnsi="Times New Roman" w:cs="Times New Roman"/>
          <w:color w:val="222222"/>
          <w:sz w:val="24"/>
          <w:szCs w:val="24"/>
          <w:shd w:val="clear" w:color="auto" w:fill="FFFFFF"/>
        </w:rPr>
        <w:t>neighbourhood</w:t>
      </w:r>
      <w:proofErr w:type="spellEnd"/>
      <w:r w:rsidRPr="0069504D">
        <w:rPr>
          <w:rFonts w:ascii="Times New Roman" w:hAnsi="Times New Roman" w:cs="Times New Roman"/>
          <w:color w:val="222222"/>
          <w:sz w:val="24"/>
          <w:szCs w:val="24"/>
          <w:shd w:val="clear" w:color="auto" w:fill="FFFFFF"/>
        </w:rPr>
        <w:t xml:space="preserve"> Telecommuting </w:t>
      </w:r>
      <w:proofErr w:type="spellStart"/>
      <w:r w:rsidRPr="0069504D">
        <w:rPr>
          <w:rFonts w:ascii="Times New Roman" w:hAnsi="Times New Roman" w:cs="Times New Roman"/>
          <w:color w:val="222222"/>
          <w:sz w:val="24"/>
          <w:szCs w:val="24"/>
          <w:shd w:val="clear" w:color="auto" w:fill="FFFFFF"/>
        </w:rPr>
        <w:t>centres</w:t>
      </w:r>
      <w:proofErr w:type="spellEnd"/>
      <w:r w:rsidRPr="0069504D">
        <w:rPr>
          <w:rFonts w:ascii="Times New Roman" w:hAnsi="Times New Roman" w:cs="Times New Roman"/>
          <w:color w:val="222222"/>
          <w:sz w:val="24"/>
          <w:szCs w:val="24"/>
          <w:shd w:val="clear" w:color="auto" w:fill="FFFFFF"/>
        </w:rPr>
        <w:t xml:space="preserve"> in supporting sustainable travel. </w:t>
      </w:r>
      <w:r w:rsidRPr="0069504D">
        <w:rPr>
          <w:rFonts w:ascii="Times New Roman" w:hAnsi="Times New Roman" w:cs="Times New Roman"/>
          <w:i/>
          <w:iCs/>
          <w:color w:val="222222"/>
          <w:sz w:val="24"/>
          <w:szCs w:val="24"/>
          <w:shd w:val="clear" w:color="auto" w:fill="FFFFFF"/>
        </w:rPr>
        <w:t>Travel Behaviour and Society</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29</w:t>
      </w:r>
      <w:r w:rsidRPr="0069504D">
        <w:rPr>
          <w:rFonts w:ascii="Times New Roman" w:hAnsi="Times New Roman" w:cs="Times New Roman"/>
          <w:color w:val="222222"/>
          <w:sz w:val="24"/>
          <w:szCs w:val="24"/>
          <w:shd w:val="clear" w:color="auto" w:fill="FFFFFF"/>
        </w:rPr>
        <w:t>, 34-41.</w:t>
      </w:r>
    </w:p>
    <w:p w14:paraId="15B7FF63" w14:textId="098B990D"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Vana, P., Bhat, C. R., and Mokhtarian, P. L. (2008). On modeling the choices of work</w:t>
      </w:r>
      <w:r w:rsidR="0090311B" w:rsidRPr="0069504D">
        <w:rPr>
          <w:rFonts w:ascii="Times New Roman" w:hAnsi="Times New Roman" w:cs="Times New Roman"/>
          <w:color w:val="222222"/>
          <w:sz w:val="24"/>
          <w:szCs w:val="24"/>
          <w:shd w:val="clear" w:color="auto" w:fill="FFFFFF"/>
        </w:rPr>
        <w:t xml:space="preserve"> </w:t>
      </w:r>
      <w:r w:rsidRPr="0069504D">
        <w:rPr>
          <w:rFonts w:ascii="Times New Roman" w:hAnsi="Times New Roman" w:cs="Times New Roman"/>
          <w:color w:val="222222"/>
          <w:sz w:val="24"/>
          <w:szCs w:val="24"/>
          <w:shd w:val="clear" w:color="auto" w:fill="FFFFFF"/>
        </w:rPr>
        <w:t xml:space="preserve">hour arrangement, location, and frequency of telecommuting. </w:t>
      </w:r>
      <w:r w:rsidR="0090311B" w:rsidRPr="0069504D">
        <w:rPr>
          <w:rFonts w:ascii="Times New Roman" w:hAnsi="Times New Roman" w:cs="Times New Roman"/>
          <w:color w:val="222222"/>
          <w:sz w:val="24"/>
          <w:szCs w:val="24"/>
          <w:shd w:val="clear" w:color="auto" w:fill="FFFFFF"/>
        </w:rPr>
        <w:t>Presented at the</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87th Annual Meeting of the Transport Research Board (TRB)</w:t>
      </w:r>
      <w:r w:rsidRPr="0069504D">
        <w:rPr>
          <w:rFonts w:ascii="Times New Roman" w:hAnsi="Times New Roman" w:cs="Times New Roman"/>
          <w:iCs/>
          <w:color w:val="222222"/>
          <w:sz w:val="24"/>
          <w:szCs w:val="24"/>
          <w:shd w:val="clear" w:color="auto" w:fill="FFFFFF"/>
        </w:rPr>
        <w:t>, Washington, DC</w:t>
      </w:r>
      <w:r w:rsidR="0090311B" w:rsidRPr="0069504D">
        <w:rPr>
          <w:rFonts w:ascii="Times New Roman" w:hAnsi="Times New Roman" w:cs="Times New Roman"/>
          <w:iCs/>
          <w:color w:val="222222"/>
          <w:sz w:val="24"/>
          <w:szCs w:val="24"/>
          <w:shd w:val="clear" w:color="auto" w:fill="FFFFFF"/>
        </w:rPr>
        <w:t>, January</w:t>
      </w:r>
      <w:r w:rsidRPr="0069504D">
        <w:rPr>
          <w:rFonts w:ascii="Times New Roman" w:hAnsi="Times New Roman" w:cs="Times New Roman"/>
          <w:color w:val="222222"/>
          <w:sz w:val="24"/>
          <w:szCs w:val="24"/>
          <w:shd w:val="clear" w:color="auto" w:fill="FFFFFF"/>
        </w:rPr>
        <w:t>.</w:t>
      </w:r>
    </w:p>
    <w:p w14:paraId="4ECD3AC0"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Wang, K., and Ozbilen, B. (2020). Synergistic and threshold effects of telework and residential location choice on travel time allocation. </w:t>
      </w:r>
      <w:r w:rsidRPr="0069504D">
        <w:rPr>
          <w:rFonts w:ascii="Times New Roman" w:hAnsi="Times New Roman" w:cs="Times New Roman"/>
          <w:i/>
          <w:iCs/>
          <w:sz w:val="24"/>
          <w:szCs w:val="24"/>
          <w:shd w:val="clear" w:color="auto" w:fill="FFFFFF"/>
        </w:rPr>
        <w:t>Sustainable Cities and Society</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63</w:t>
      </w:r>
      <w:r w:rsidRPr="0069504D">
        <w:rPr>
          <w:rFonts w:ascii="Times New Roman" w:hAnsi="Times New Roman" w:cs="Times New Roman"/>
          <w:sz w:val="24"/>
          <w:szCs w:val="24"/>
          <w:shd w:val="clear" w:color="auto" w:fill="FFFFFF"/>
        </w:rPr>
        <w:t>, 102468.</w:t>
      </w:r>
    </w:p>
    <w:p w14:paraId="3253C406" w14:textId="725C833C" w:rsidR="00E84401"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bookmarkStart w:id="35" w:name="_Hlk106299124"/>
      <w:r w:rsidRPr="0069504D">
        <w:rPr>
          <w:rFonts w:ascii="Times New Roman" w:hAnsi="Times New Roman" w:cs="Times New Roman"/>
          <w:color w:val="222222"/>
          <w:sz w:val="24"/>
          <w:szCs w:val="24"/>
          <w:shd w:val="clear" w:color="auto" w:fill="FFFFFF"/>
        </w:rPr>
        <w:t>Webster-Trotman</w:t>
      </w:r>
      <w:bookmarkEnd w:id="35"/>
      <w:r w:rsidRPr="0069504D">
        <w:rPr>
          <w:rFonts w:ascii="Times New Roman" w:hAnsi="Times New Roman" w:cs="Times New Roman"/>
          <w:color w:val="222222"/>
          <w:sz w:val="24"/>
          <w:szCs w:val="24"/>
          <w:shd w:val="clear" w:color="auto" w:fill="FFFFFF"/>
        </w:rPr>
        <w:t xml:space="preserve">, S. P. (2010). A </w:t>
      </w:r>
      <w:r w:rsidR="0090311B"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 xml:space="preserve">orrelational </w:t>
      </w:r>
      <w:r w:rsidR="0090311B" w:rsidRPr="0069504D">
        <w:rPr>
          <w:rFonts w:ascii="Times New Roman" w:hAnsi="Times New Roman" w:cs="Times New Roman"/>
          <w:color w:val="222222"/>
          <w:sz w:val="24"/>
          <w:szCs w:val="24"/>
          <w:shd w:val="clear" w:color="auto" w:fill="FFFFFF"/>
        </w:rPr>
        <w:t>s</w:t>
      </w:r>
      <w:r w:rsidRPr="0069504D">
        <w:rPr>
          <w:rFonts w:ascii="Times New Roman" w:hAnsi="Times New Roman" w:cs="Times New Roman"/>
          <w:color w:val="222222"/>
          <w:sz w:val="24"/>
          <w:szCs w:val="24"/>
          <w:shd w:val="clear" w:color="auto" w:fill="FFFFFF"/>
        </w:rPr>
        <w:t xml:space="preserve">tudy of </w:t>
      </w:r>
      <w:r w:rsidR="0090311B"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 xml:space="preserve">elework </w:t>
      </w:r>
      <w:r w:rsidR="0090311B" w:rsidRPr="0069504D">
        <w:rPr>
          <w:rFonts w:ascii="Times New Roman" w:hAnsi="Times New Roman" w:cs="Times New Roman"/>
          <w:color w:val="222222"/>
          <w:sz w:val="24"/>
          <w:szCs w:val="24"/>
          <w:shd w:val="clear" w:color="auto" w:fill="FFFFFF"/>
        </w:rPr>
        <w:t>f</w:t>
      </w:r>
      <w:r w:rsidRPr="0069504D">
        <w:rPr>
          <w:rFonts w:ascii="Times New Roman" w:hAnsi="Times New Roman" w:cs="Times New Roman"/>
          <w:color w:val="222222"/>
          <w:sz w:val="24"/>
          <w:szCs w:val="24"/>
          <w:shd w:val="clear" w:color="auto" w:fill="FFFFFF"/>
        </w:rPr>
        <w:t xml:space="preserve">requency, </w:t>
      </w:r>
      <w:r w:rsidR="0090311B" w:rsidRPr="0069504D">
        <w:rPr>
          <w:rFonts w:ascii="Times New Roman" w:hAnsi="Times New Roman" w:cs="Times New Roman"/>
          <w:color w:val="222222"/>
          <w:sz w:val="24"/>
          <w:szCs w:val="24"/>
          <w:shd w:val="clear" w:color="auto" w:fill="FFFFFF"/>
        </w:rPr>
        <w:t>i</w:t>
      </w:r>
      <w:r w:rsidRPr="0069504D">
        <w:rPr>
          <w:rFonts w:ascii="Times New Roman" w:hAnsi="Times New Roman" w:cs="Times New Roman"/>
          <w:color w:val="222222"/>
          <w:sz w:val="24"/>
          <w:szCs w:val="24"/>
          <w:shd w:val="clear" w:color="auto" w:fill="FFFFFF"/>
        </w:rPr>
        <w:t xml:space="preserve">nformation </w:t>
      </w:r>
      <w:r w:rsidR="0090311B" w:rsidRPr="0069504D">
        <w:rPr>
          <w:rFonts w:ascii="Times New Roman" w:hAnsi="Times New Roman" w:cs="Times New Roman"/>
          <w:color w:val="222222"/>
          <w:sz w:val="24"/>
          <w:szCs w:val="24"/>
          <w:shd w:val="clear" w:color="auto" w:fill="FFFFFF"/>
        </w:rPr>
        <w:t>c</w:t>
      </w:r>
      <w:r w:rsidRPr="0069504D">
        <w:rPr>
          <w:rFonts w:ascii="Times New Roman" w:hAnsi="Times New Roman" w:cs="Times New Roman"/>
          <w:color w:val="222222"/>
          <w:sz w:val="24"/>
          <w:szCs w:val="24"/>
          <w:shd w:val="clear" w:color="auto" w:fill="FFFFFF"/>
        </w:rPr>
        <w:t xml:space="preserve">ommunication </w:t>
      </w:r>
      <w:r w:rsidR="0090311B"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 xml:space="preserve">echnology, and </w:t>
      </w:r>
      <w:r w:rsidR="0090311B" w:rsidRPr="0069504D">
        <w:rPr>
          <w:rFonts w:ascii="Times New Roman" w:hAnsi="Times New Roman" w:cs="Times New Roman"/>
          <w:color w:val="222222"/>
          <w:sz w:val="24"/>
          <w:szCs w:val="24"/>
          <w:shd w:val="clear" w:color="auto" w:fill="FFFFFF"/>
        </w:rPr>
        <w:t>j</w:t>
      </w:r>
      <w:r w:rsidRPr="0069504D">
        <w:rPr>
          <w:rFonts w:ascii="Times New Roman" w:hAnsi="Times New Roman" w:cs="Times New Roman"/>
          <w:color w:val="222222"/>
          <w:sz w:val="24"/>
          <w:szCs w:val="24"/>
          <w:shd w:val="clear" w:color="auto" w:fill="FFFFFF"/>
        </w:rPr>
        <w:t xml:space="preserve">ob </w:t>
      </w:r>
      <w:r w:rsidR="0090311B" w:rsidRPr="0069504D">
        <w:rPr>
          <w:rFonts w:ascii="Times New Roman" w:hAnsi="Times New Roman" w:cs="Times New Roman"/>
          <w:color w:val="222222"/>
          <w:sz w:val="24"/>
          <w:szCs w:val="24"/>
          <w:shd w:val="clear" w:color="auto" w:fill="FFFFFF"/>
        </w:rPr>
        <w:t>s</w:t>
      </w:r>
      <w:r w:rsidRPr="0069504D">
        <w:rPr>
          <w:rFonts w:ascii="Times New Roman" w:hAnsi="Times New Roman" w:cs="Times New Roman"/>
          <w:color w:val="222222"/>
          <w:sz w:val="24"/>
          <w:szCs w:val="24"/>
          <w:shd w:val="clear" w:color="auto" w:fill="FFFFFF"/>
        </w:rPr>
        <w:t xml:space="preserve">atisfaction of </w:t>
      </w:r>
      <w:r w:rsidR="0090311B" w:rsidRPr="0069504D">
        <w:rPr>
          <w:rFonts w:ascii="Times New Roman" w:hAnsi="Times New Roman" w:cs="Times New Roman"/>
          <w:color w:val="222222"/>
          <w:sz w:val="24"/>
          <w:szCs w:val="24"/>
          <w:shd w:val="clear" w:color="auto" w:fill="FFFFFF"/>
        </w:rPr>
        <w:t>h</w:t>
      </w:r>
      <w:r w:rsidRPr="0069504D">
        <w:rPr>
          <w:rFonts w:ascii="Times New Roman" w:hAnsi="Times New Roman" w:cs="Times New Roman"/>
          <w:color w:val="222222"/>
          <w:sz w:val="24"/>
          <w:szCs w:val="24"/>
          <w:shd w:val="clear" w:color="auto" w:fill="FFFFFF"/>
        </w:rPr>
        <w:t>ome-</w:t>
      </w:r>
      <w:r w:rsidR="0090311B" w:rsidRPr="0069504D">
        <w:rPr>
          <w:rFonts w:ascii="Times New Roman" w:hAnsi="Times New Roman" w:cs="Times New Roman"/>
          <w:color w:val="222222"/>
          <w:sz w:val="24"/>
          <w:szCs w:val="24"/>
          <w:shd w:val="clear" w:color="auto" w:fill="FFFFFF"/>
        </w:rPr>
        <w:t>b</w:t>
      </w:r>
      <w:r w:rsidRPr="0069504D">
        <w:rPr>
          <w:rFonts w:ascii="Times New Roman" w:hAnsi="Times New Roman" w:cs="Times New Roman"/>
          <w:color w:val="222222"/>
          <w:sz w:val="24"/>
          <w:szCs w:val="24"/>
          <w:shd w:val="clear" w:color="auto" w:fill="FFFFFF"/>
        </w:rPr>
        <w:t xml:space="preserve">ased </w:t>
      </w:r>
      <w:r w:rsidR="0090311B" w:rsidRPr="0069504D">
        <w:rPr>
          <w:rFonts w:ascii="Times New Roman" w:hAnsi="Times New Roman" w:cs="Times New Roman"/>
          <w:color w:val="222222"/>
          <w:sz w:val="24"/>
          <w:szCs w:val="24"/>
          <w:shd w:val="clear" w:color="auto" w:fill="FFFFFF"/>
        </w:rPr>
        <w:t>t</w:t>
      </w:r>
      <w:r w:rsidRPr="0069504D">
        <w:rPr>
          <w:rFonts w:ascii="Times New Roman" w:hAnsi="Times New Roman" w:cs="Times New Roman"/>
          <w:color w:val="222222"/>
          <w:sz w:val="24"/>
          <w:szCs w:val="24"/>
          <w:shd w:val="clear" w:color="auto" w:fill="FFFFFF"/>
        </w:rPr>
        <w:t>eleworkers. </w:t>
      </w:r>
      <w:r w:rsidR="00CA15F2" w:rsidRPr="0069504D">
        <w:rPr>
          <w:rFonts w:ascii="Times New Roman" w:hAnsi="Times New Roman" w:cs="Times New Roman"/>
          <w:i/>
          <w:iCs/>
          <w:color w:val="222222"/>
          <w:sz w:val="24"/>
          <w:szCs w:val="24"/>
          <w:shd w:val="clear" w:color="auto" w:fill="FFFFFF"/>
        </w:rPr>
        <w:t>Doctoral dissertation</w:t>
      </w:r>
      <w:r w:rsidR="00CA15F2" w:rsidRPr="0069504D">
        <w:rPr>
          <w:rFonts w:ascii="Times New Roman" w:hAnsi="Times New Roman" w:cs="Times New Roman"/>
          <w:iCs/>
          <w:color w:val="222222"/>
          <w:sz w:val="24"/>
          <w:szCs w:val="24"/>
          <w:shd w:val="clear" w:color="auto" w:fill="FFFFFF"/>
        </w:rPr>
        <w:t>, College of Management and Technology, Walden University</w:t>
      </w:r>
      <w:r w:rsidRPr="0069504D">
        <w:rPr>
          <w:rFonts w:ascii="Times New Roman" w:hAnsi="Times New Roman" w:cs="Times New Roman"/>
          <w:color w:val="222222"/>
          <w:sz w:val="24"/>
          <w:szCs w:val="24"/>
          <w:shd w:val="clear" w:color="auto" w:fill="FFFFFF"/>
        </w:rPr>
        <w:t>.</w:t>
      </w:r>
    </w:p>
    <w:p w14:paraId="62239872" w14:textId="6486F6DF" w:rsidR="00B14032" w:rsidRPr="00194389" w:rsidRDefault="00B14032" w:rsidP="00194389">
      <w:pPr>
        <w:shd w:val="clear" w:color="auto" w:fill="FFFFFF"/>
        <w:spacing w:after="0" w:line="240" w:lineRule="auto"/>
        <w:ind w:left="540" w:hanging="540"/>
        <w:rPr>
          <w:rFonts w:ascii="Times New Roman" w:hAnsi="Times New Roman" w:cs="Times New Roman"/>
          <w:color w:val="222222"/>
          <w:sz w:val="24"/>
          <w:szCs w:val="24"/>
          <w:shd w:val="clear" w:color="auto" w:fill="FFFFFF"/>
        </w:rPr>
      </w:pPr>
      <w:r w:rsidRPr="000F7085">
        <w:rPr>
          <w:rFonts w:ascii="Times New Roman" w:hAnsi="Times New Roman" w:cs="Times New Roman"/>
          <w:color w:val="222222"/>
          <w:sz w:val="24"/>
          <w:szCs w:val="24"/>
          <w:shd w:val="clear" w:color="auto" w:fill="FFFFFF"/>
        </w:rPr>
        <w:t>Wen, C. H., and Koppelman, F. S. (1999). Integrated model system of stop generation and tour formation for analysis of activity and travel patterns. </w:t>
      </w:r>
      <w:r w:rsidRPr="000F7085">
        <w:rPr>
          <w:rFonts w:ascii="Times New Roman" w:hAnsi="Times New Roman" w:cs="Times New Roman"/>
          <w:i/>
          <w:iCs/>
          <w:color w:val="222222"/>
          <w:sz w:val="24"/>
          <w:szCs w:val="24"/>
          <w:shd w:val="clear" w:color="auto" w:fill="FFFFFF"/>
        </w:rPr>
        <w:t>Transportation Research Record</w:t>
      </w:r>
      <w:r w:rsidRPr="000F7085">
        <w:rPr>
          <w:rFonts w:ascii="Times New Roman" w:hAnsi="Times New Roman" w:cs="Times New Roman"/>
          <w:color w:val="222222"/>
          <w:sz w:val="24"/>
          <w:szCs w:val="24"/>
          <w:shd w:val="clear" w:color="auto" w:fill="FFFFFF"/>
        </w:rPr>
        <w:t>, </w:t>
      </w:r>
      <w:r w:rsidRPr="000F7085">
        <w:rPr>
          <w:rFonts w:ascii="Times New Roman" w:hAnsi="Times New Roman" w:cs="Times New Roman"/>
          <w:i/>
          <w:iCs/>
          <w:color w:val="222222"/>
          <w:sz w:val="24"/>
          <w:szCs w:val="24"/>
          <w:shd w:val="clear" w:color="auto" w:fill="FFFFFF"/>
        </w:rPr>
        <w:t>1676</w:t>
      </w:r>
      <w:r w:rsidRPr="000F7085">
        <w:rPr>
          <w:rFonts w:ascii="Times New Roman" w:hAnsi="Times New Roman" w:cs="Times New Roman"/>
          <w:color w:val="222222"/>
          <w:sz w:val="24"/>
          <w:szCs w:val="24"/>
          <w:shd w:val="clear" w:color="auto" w:fill="FFFFFF"/>
        </w:rPr>
        <w:t>(1), 136-144.</w:t>
      </w:r>
    </w:p>
    <w:p w14:paraId="5293DFB6" w14:textId="2424E194" w:rsidR="00E84401" w:rsidRPr="0069504D" w:rsidRDefault="00E84401" w:rsidP="0069504D">
      <w:pPr>
        <w:spacing w:afterLines="20" w:after="48" w:line="240" w:lineRule="auto"/>
        <w:ind w:left="540" w:hanging="540"/>
        <w:rPr>
          <w:rFonts w:ascii="Times New Roman" w:hAnsi="Times New Roman" w:cs="Times New Roman"/>
          <w:noProof/>
          <w:sz w:val="24"/>
          <w:szCs w:val="24"/>
        </w:rPr>
      </w:pPr>
      <w:r w:rsidRPr="0069504D">
        <w:rPr>
          <w:rFonts w:ascii="Times New Roman" w:hAnsi="Times New Roman" w:cs="Times New Roman"/>
          <w:noProof/>
          <w:sz w:val="24"/>
          <w:szCs w:val="24"/>
        </w:rPr>
        <w:lastRenderedPageBreak/>
        <w:t xml:space="preserve">Wigert, B. (2022). The </w:t>
      </w:r>
      <w:r w:rsidR="0090311B" w:rsidRPr="0069504D">
        <w:rPr>
          <w:rFonts w:ascii="Times New Roman" w:hAnsi="Times New Roman" w:cs="Times New Roman"/>
          <w:noProof/>
          <w:sz w:val="24"/>
          <w:szCs w:val="24"/>
        </w:rPr>
        <w:t>f</w:t>
      </w:r>
      <w:r w:rsidRPr="0069504D">
        <w:rPr>
          <w:rFonts w:ascii="Times New Roman" w:hAnsi="Times New Roman" w:cs="Times New Roman"/>
          <w:noProof/>
          <w:sz w:val="24"/>
          <w:szCs w:val="24"/>
        </w:rPr>
        <w:t xml:space="preserve">uture of </w:t>
      </w:r>
      <w:r w:rsidR="0090311B" w:rsidRPr="0069504D">
        <w:rPr>
          <w:rFonts w:ascii="Times New Roman" w:hAnsi="Times New Roman" w:cs="Times New Roman"/>
          <w:noProof/>
          <w:sz w:val="24"/>
          <w:szCs w:val="24"/>
        </w:rPr>
        <w:t>h</w:t>
      </w:r>
      <w:r w:rsidRPr="0069504D">
        <w:rPr>
          <w:rFonts w:ascii="Times New Roman" w:hAnsi="Times New Roman" w:cs="Times New Roman"/>
          <w:noProof/>
          <w:sz w:val="24"/>
          <w:szCs w:val="24"/>
        </w:rPr>
        <w:t xml:space="preserve">ybrid </w:t>
      </w:r>
      <w:r w:rsidR="0090311B" w:rsidRPr="0069504D">
        <w:rPr>
          <w:rFonts w:ascii="Times New Roman" w:hAnsi="Times New Roman" w:cs="Times New Roman"/>
          <w:noProof/>
          <w:sz w:val="24"/>
          <w:szCs w:val="24"/>
        </w:rPr>
        <w:t>w</w:t>
      </w:r>
      <w:r w:rsidRPr="0069504D">
        <w:rPr>
          <w:rFonts w:ascii="Times New Roman" w:hAnsi="Times New Roman" w:cs="Times New Roman"/>
          <w:noProof/>
          <w:sz w:val="24"/>
          <w:szCs w:val="24"/>
        </w:rPr>
        <w:t xml:space="preserve">ork: 5 </w:t>
      </w:r>
      <w:r w:rsidR="0090311B" w:rsidRPr="0069504D">
        <w:rPr>
          <w:rFonts w:ascii="Times New Roman" w:hAnsi="Times New Roman" w:cs="Times New Roman"/>
          <w:noProof/>
          <w:sz w:val="24"/>
          <w:szCs w:val="24"/>
        </w:rPr>
        <w:t>k</w:t>
      </w:r>
      <w:r w:rsidRPr="0069504D">
        <w:rPr>
          <w:rFonts w:ascii="Times New Roman" w:hAnsi="Times New Roman" w:cs="Times New Roman"/>
          <w:noProof/>
          <w:sz w:val="24"/>
          <w:szCs w:val="24"/>
        </w:rPr>
        <w:t xml:space="preserve">ey </w:t>
      </w:r>
      <w:r w:rsidR="0090311B" w:rsidRPr="0069504D">
        <w:rPr>
          <w:rFonts w:ascii="Times New Roman" w:hAnsi="Times New Roman" w:cs="Times New Roman"/>
          <w:noProof/>
          <w:sz w:val="24"/>
          <w:szCs w:val="24"/>
        </w:rPr>
        <w:t>q</w:t>
      </w:r>
      <w:r w:rsidRPr="0069504D">
        <w:rPr>
          <w:rFonts w:ascii="Times New Roman" w:hAnsi="Times New Roman" w:cs="Times New Roman"/>
          <w:noProof/>
          <w:sz w:val="24"/>
          <w:szCs w:val="24"/>
        </w:rPr>
        <w:t xml:space="preserve">uestions </w:t>
      </w:r>
      <w:r w:rsidR="0090311B" w:rsidRPr="0069504D">
        <w:rPr>
          <w:rFonts w:ascii="Times New Roman" w:hAnsi="Times New Roman" w:cs="Times New Roman"/>
          <w:noProof/>
          <w:sz w:val="24"/>
          <w:szCs w:val="24"/>
        </w:rPr>
        <w:t>a</w:t>
      </w:r>
      <w:r w:rsidRPr="0069504D">
        <w:rPr>
          <w:rFonts w:ascii="Times New Roman" w:hAnsi="Times New Roman" w:cs="Times New Roman"/>
          <w:noProof/>
          <w:sz w:val="24"/>
          <w:szCs w:val="24"/>
        </w:rPr>
        <w:t xml:space="preserve">nswered </w:t>
      </w:r>
      <w:r w:rsidR="0090311B" w:rsidRPr="0069504D">
        <w:rPr>
          <w:rFonts w:ascii="Times New Roman" w:hAnsi="Times New Roman" w:cs="Times New Roman"/>
          <w:noProof/>
          <w:sz w:val="24"/>
          <w:szCs w:val="24"/>
        </w:rPr>
        <w:t>w</w:t>
      </w:r>
      <w:r w:rsidRPr="0069504D">
        <w:rPr>
          <w:rFonts w:ascii="Times New Roman" w:hAnsi="Times New Roman" w:cs="Times New Roman"/>
          <w:noProof/>
          <w:sz w:val="24"/>
          <w:szCs w:val="24"/>
        </w:rPr>
        <w:t xml:space="preserve">ith </w:t>
      </w:r>
      <w:r w:rsidR="0090311B" w:rsidRPr="0069504D">
        <w:rPr>
          <w:rFonts w:ascii="Times New Roman" w:hAnsi="Times New Roman" w:cs="Times New Roman"/>
          <w:noProof/>
          <w:sz w:val="24"/>
          <w:szCs w:val="24"/>
        </w:rPr>
        <w:t>d</w:t>
      </w:r>
      <w:r w:rsidRPr="0069504D">
        <w:rPr>
          <w:rFonts w:ascii="Times New Roman" w:hAnsi="Times New Roman" w:cs="Times New Roman"/>
          <w:noProof/>
          <w:sz w:val="24"/>
          <w:szCs w:val="24"/>
        </w:rPr>
        <w:t xml:space="preserve">ata. </w:t>
      </w:r>
      <w:r w:rsidRPr="0069504D">
        <w:rPr>
          <w:rFonts w:ascii="Times New Roman" w:hAnsi="Times New Roman" w:cs="Times New Roman"/>
          <w:i/>
          <w:noProof/>
          <w:sz w:val="24"/>
          <w:szCs w:val="24"/>
        </w:rPr>
        <w:t>Gallup</w:t>
      </w:r>
      <w:r w:rsidRPr="0069504D">
        <w:rPr>
          <w:rFonts w:ascii="Times New Roman" w:hAnsi="Times New Roman" w:cs="Times New Roman"/>
          <w:noProof/>
          <w:sz w:val="24"/>
          <w:szCs w:val="24"/>
        </w:rPr>
        <w:t xml:space="preserve">. Available at: </w:t>
      </w:r>
      <w:hyperlink r:id="rId233" w:history="1">
        <w:r w:rsidR="0090311B" w:rsidRPr="0069504D">
          <w:rPr>
            <w:rStyle w:val="Hyperlink"/>
            <w:rFonts w:ascii="Times New Roman" w:hAnsi="Times New Roman" w:cs="Times New Roman"/>
            <w:noProof/>
            <w:sz w:val="24"/>
            <w:szCs w:val="24"/>
          </w:rPr>
          <w:t>https://www.gallup.com/workplace/390632/future-hybrid-work-key-questions-answered-data.aspx</w:t>
        </w:r>
      </w:hyperlink>
      <w:r w:rsidRPr="0069504D">
        <w:rPr>
          <w:rFonts w:ascii="Times New Roman" w:hAnsi="Times New Roman" w:cs="Times New Roman"/>
          <w:noProof/>
          <w:sz w:val="24"/>
          <w:szCs w:val="24"/>
        </w:rPr>
        <w:t>.</w:t>
      </w:r>
      <w:r w:rsidR="0090311B" w:rsidRPr="0069504D">
        <w:rPr>
          <w:rFonts w:ascii="Times New Roman" w:hAnsi="Times New Roman" w:cs="Times New Roman"/>
          <w:noProof/>
          <w:sz w:val="24"/>
          <w:szCs w:val="24"/>
        </w:rPr>
        <w:t xml:space="preserve"> </w:t>
      </w:r>
      <w:r w:rsidRPr="0069504D">
        <w:rPr>
          <w:rFonts w:ascii="Times New Roman" w:hAnsi="Times New Roman" w:cs="Times New Roman"/>
          <w:noProof/>
          <w:sz w:val="24"/>
          <w:szCs w:val="24"/>
        </w:rPr>
        <w:t>Accessed on October 11, 2022.</w:t>
      </w:r>
    </w:p>
    <w:p w14:paraId="0DFA388A"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 xml:space="preserve">Wosik, J., </w:t>
      </w:r>
      <w:proofErr w:type="spellStart"/>
      <w:r w:rsidRPr="0069504D">
        <w:rPr>
          <w:rFonts w:ascii="Times New Roman" w:hAnsi="Times New Roman" w:cs="Times New Roman"/>
          <w:sz w:val="24"/>
          <w:szCs w:val="24"/>
          <w:shd w:val="clear" w:color="auto" w:fill="FFFFFF"/>
        </w:rPr>
        <w:t>Fudim</w:t>
      </w:r>
      <w:proofErr w:type="spellEnd"/>
      <w:r w:rsidRPr="0069504D">
        <w:rPr>
          <w:rFonts w:ascii="Times New Roman" w:hAnsi="Times New Roman" w:cs="Times New Roman"/>
          <w:sz w:val="24"/>
          <w:szCs w:val="24"/>
          <w:shd w:val="clear" w:color="auto" w:fill="FFFFFF"/>
        </w:rPr>
        <w:t xml:space="preserve">, M., Cameron, B., </w:t>
      </w:r>
      <w:proofErr w:type="spellStart"/>
      <w:r w:rsidRPr="0069504D">
        <w:rPr>
          <w:rFonts w:ascii="Times New Roman" w:hAnsi="Times New Roman" w:cs="Times New Roman"/>
          <w:sz w:val="24"/>
          <w:szCs w:val="24"/>
          <w:shd w:val="clear" w:color="auto" w:fill="FFFFFF"/>
        </w:rPr>
        <w:t>Gellad</w:t>
      </w:r>
      <w:proofErr w:type="spellEnd"/>
      <w:r w:rsidRPr="0069504D">
        <w:rPr>
          <w:rFonts w:ascii="Times New Roman" w:hAnsi="Times New Roman" w:cs="Times New Roman"/>
          <w:sz w:val="24"/>
          <w:szCs w:val="24"/>
          <w:shd w:val="clear" w:color="auto" w:fill="FFFFFF"/>
        </w:rPr>
        <w:t xml:space="preserve">, Z.F., Cho, A., Phinney, D., Curtis, S., Roman, M., Poon, E.G., Ferranti, J., Katz, J.N., and </w:t>
      </w:r>
      <w:proofErr w:type="spellStart"/>
      <w:r w:rsidRPr="0069504D">
        <w:rPr>
          <w:rFonts w:ascii="Times New Roman" w:hAnsi="Times New Roman" w:cs="Times New Roman"/>
          <w:sz w:val="24"/>
          <w:szCs w:val="24"/>
          <w:shd w:val="clear" w:color="auto" w:fill="FFFFFF"/>
        </w:rPr>
        <w:t>Tcheng</w:t>
      </w:r>
      <w:proofErr w:type="spellEnd"/>
      <w:r w:rsidRPr="0069504D">
        <w:rPr>
          <w:rFonts w:ascii="Times New Roman" w:hAnsi="Times New Roman" w:cs="Times New Roman"/>
          <w:sz w:val="24"/>
          <w:szCs w:val="24"/>
          <w:shd w:val="clear" w:color="auto" w:fill="FFFFFF"/>
        </w:rPr>
        <w:t>, J. (2020). Telehealth transformation: COVID-19 and the rise of virtual care. </w:t>
      </w:r>
      <w:r w:rsidRPr="0069504D">
        <w:rPr>
          <w:rFonts w:ascii="Times New Roman" w:hAnsi="Times New Roman" w:cs="Times New Roman"/>
          <w:i/>
          <w:iCs/>
          <w:sz w:val="24"/>
          <w:szCs w:val="24"/>
          <w:shd w:val="clear" w:color="auto" w:fill="FFFFFF"/>
        </w:rPr>
        <w:t>Journal of the American Medical Informatics Association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27</w:t>
      </w:r>
      <w:r w:rsidRPr="0069504D">
        <w:rPr>
          <w:rFonts w:ascii="Times New Roman" w:hAnsi="Times New Roman" w:cs="Times New Roman"/>
          <w:sz w:val="24"/>
          <w:szCs w:val="24"/>
          <w:shd w:val="clear" w:color="auto" w:fill="FFFFFF"/>
        </w:rPr>
        <w:t>(6), 957-962.</w:t>
      </w:r>
    </w:p>
    <w:p w14:paraId="5357BD6E" w14:textId="6CAA638D" w:rsidR="00E84401" w:rsidRPr="0069504D" w:rsidRDefault="00E84401" w:rsidP="0069504D">
      <w:pPr>
        <w:spacing w:afterLines="20" w:after="48" w:line="240" w:lineRule="auto"/>
        <w:ind w:left="540" w:hanging="540"/>
        <w:rPr>
          <w:rFonts w:ascii="Times New Roman" w:hAnsi="Times New Roman" w:cs="Times New Roman"/>
          <w:sz w:val="24"/>
          <w:szCs w:val="24"/>
        </w:rPr>
      </w:pPr>
      <w:r w:rsidRPr="0069504D">
        <w:rPr>
          <w:rFonts w:ascii="Times New Roman" w:hAnsi="Times New Roman" w:cs="Times New Roman"/>
          <w:color w:val="222222"/>
          <w:sz w:val="24"/>
          <w:szCs w:val="24"/>
          <w:shd w:val="clear" w:color="auto" w:fill="FFFFFF"/>
        </w:rPr>
        <w:t xml:space="preserve">Yamashita, S., Ishimaru, T., Nagata, T., </w:t>
      </w:r>
      <w:proofErr w:type="spellStart"/>
      <w:r w:rsidRPr="0069504D">
        <w:rPr>
          <w:rFonts w:ascii="Times New Roman" w:hAnsi="Times New Roman" w:cs="Times New Roman"/>
          <w:color w:val="222222"/>
          <w:sz w:val="24"/>
          <w:szCs w:val="24"/>
          <w:shd w:val="clear" w:color="auto" w:fill="FFFFFF"/>
        </w:rPr>
        <w:t>Tateishi</w:t>
      </w:r>
      <w:proofErr w:type="spellEnd"/>
      <w:r w:rsidRPr="0069504D">
        <w:rPr>
          <w:rFonts w:ascii="Times New Roman" w:hAnsi="Times New Roman" w:cs="Times New Roman"/>
          <w:color w:val="222222"/>
          <w:sz w:val="24"/>
          <w:szCs w:val="24"/>
          <w:shd w:val="clear" w:color="auto" w:fill="FFFFFF"/>
        </w:rPr>
        <w:t xml:space="preserve">, S., Hino, A., Tsuji, M., ... and </w:t>
      </w:r>
      <w:proofErr w:type="spellStart"/>
      <w:r w:rsidRPr="0069504D">
        <w:rPr>
          <w:rFonts w:ascii="Times New Roman" w:hAnsi="Times New Roman" w:cs="Times New Roman"/>
          <w:color w:val="222222"/>
          <w:sz w:val="24"/>
          <w:szCs w:val="24"/>
          <w:shd w:val="clear" w:color="auto" w:fill="FFFFFF"/>
        </w:rPr>
        <w:t>Fujino</w:t>
      </w:r>
      <w:proofErr w:type="spellEnd"/>
      <w:r w:rsidRPr="0069504D">
        <w:rPr>
          <w:rFonts w:ascii="Times New Roman" w:hAnsi="Times New Roman" w:cs="Times New Roman"/>
          <w:color w:val="222222"/>
          <w:sz w:val="24"/>
          <w:szCs w:val="24"/>
          <w:shd w:val="clear" w:color="auto" w:fill="FFFFFF"/>
        </w:rPr>
        <w:t>, Y. (2022). Association of preference and frequency of teleworking with work functioning impairment: a nationwide cross-sectional study of Japanese full-time employees. </w:t>
      </w:r>
      <w:r w:rsidRPr="0069504D">
        <w:rPr>
          <w:rFonts w:ascii="Times New Roman" w:hAnsi="Times New Roman" w:cs="Times New Roman"/>
          <w:i/>
          <w:iCs/>
          <w:color w:val="222222"/>
          <w:sz w:val="24"/>
          <w:szCs w:val="24"/>
          <w:shd w:val="clear" w:color="auto" w:fill="FFFFFF"/>
        </w:rPr>
        <w:t>Journal of Occupational and Environmental Medicine</w:t>
      </w:r>
      <w:r w:rsidRPr="0069504D">
        <w:rPr>
          <w:rFonts w:ascii="Times New Roman" w:hAnsi="Times New Roman" w:cs="Times New Roman"/>
          <w:color w:val="222222"/>
          <w:sz w:val="24"/>
          <w:szCs w:val="24"/>
          <w:shd w:val="clear" w:color="auto" w:fill="FFFFFF"/>
        </w:rPr>
        <w:t xml:space="preserve">, </w:t>
      </w:r>
      <w:r w:rsidR="0090311B" w:rsidRPr="0069504D">
        <w:rPr>
          <w:rFonts w:ascii="Times New Roman" w:hAnsi="Times New Roman" w:cs="Times New Roman"/>
          <w:i/>
          <w:sz w:val="24"/>
          <w:szCs w:val="24"/>
        </w:rPr>
        <w:t>64</w:t>
      </w:r>
      <w:r w:rsidR="0090311B" w:rsidRPr="0069504D">
        <w:rPr>
          <w:rFonts w:ascii="Times New Roman" w:hAnsi="Times New Roman" w:cs="Times New Roman"/>
          <w:sz w:val="24"/>
          <w:szCs w:val="24"/>
        </w:rPr>
        <w:t>(6), e363-e368</w:t>
      </w:r>
      <w:r w:rsidRPr="0069504D">
        <w:rPr>
          <w:rFonts w:ascii="Times New Roman" w:hAnsi="Times New Roman" w:cs="Times New Roman"/>
          <w:color w:val="222222"/>
          <w:sz w:val="24"/>
          <w:szCs w:val="24"/>
          <w:shd w:val="clear" w:color="auto" w:fill="FFFFFF"/>
        </w:rPr>
        <w:t>.</w:t>
      </w:r>
    </w:p>
    <w:p w14:paraId="680B00BF" w14:textId="77777777" w:rsidR="00E84401" w:rsidRPr="0069504D" w:rsidRDefault="00E84401" w:rsidP="0069504D">
      <w:pPr>
        <w:spacing w:afterLines="20" w:after="48" w:line="240" w:lineRule="auto"/>
        <w:ind w:left="540" w:hanging="540"/>
        <w:rPr>
          <w:rFonts w:ascii="Times New Roman" w:hAnsi="Times New Roman" w:cs="Times New Roman"/>
          <w:color w:val="222222"/>
          <w:sz w:val="24"/>
          <w:szCs w:val="24"/>
          <w:shd w:val="clear" w:color="auto" w:fill="FFFFFF"/>
        </w:rPr>
      </w:pPr>
      <w:proofErr w:type="spellStart"/>
      <w:r w:rsidRPr="0069504D">
        <w:rPr>
          <w:rFonts w:ascii="Times New Roman" w:hAnsi="Times New Roman" w:cs="Times New Roman"/>
          <w:color w:val="222222"/>
          <w:sz w:val="24"/>
          <w:szCs w:val="24"/>
          <w:shd w:val="clear" w:color="auto" w:fill="FFFFFF"/>
        </w:rPr>
        <w:t>Zamarro</w:t>
      </w:r>
      <w:proofErr w:type="spellEnd"/>
      <w:r w:rsidRPr="0069504D">
        <w:rPr>
          <w:rFonts w:ascii="Times New Roman" w:hAnsi="Times New Roman" w:cs="Times New Roman"/>
          <w:color w:val="222222"/>
          <w:sz w:val="24"/>
          <w:szCs w:val="24"/>
          <w:shd w:val="clear" w:color="auto" w:fill="FFFFFF"/>
        </w:rPr>
        <w:t xml:space="preserve">, G., and </w:t>
      </w:r>
      <w:proofErr w:type="spellStart"/>
      <w:r w:rsidRPr="0069504D">
        <w:rPr>
          <w:rFonts w:ascii="Times New Roman" w:hAnsi="Times New Roman" w:cs="Times New Roman"/>
          <w:color w:val="222222"/>
          <w:sz w:val="24"/>
          <w:szCs w:val="24"/>
          <w:shd w:val="clear" w:color="auto" w:fill="FFFFFF"/>
        </w:rPr>
        <w:t>Prados</w:t>
      </w:r>
      <w:proofErr w:type="spellEnd"/>
      <w:r w:rsidRPr="0069504D">
        <w:rPr>
          <w:rFonts w:ascii="Times New Roman" w:hAnsi="Times New Roman" w:cs="Times New Roman"/>
          <w:color w:val="222222"/>
          <w:sz w:val="24"/>
          <w:szCs w:val="24"/>
          <w:shd w:val="clear" w:color="auto" w:fill="FFFFFF"/>
        </w:rPr>
        <w:t>, M. J. (2021). Gender differences in couples’ division of childcare, work and mental health during COVID-19. </w:t>
      </w:r>
      <w:r w:rsidRPr="0069504D">
        <w:rPr>
          <w:rFonts w:ascii="Times New Roman" w:hAnsi="Times New Roman" w:cs="Times New Roman"/>
          <w:i/>
          <w:iCs/>
          <w:color w:val="222222"/>
          <w:sz w:val="24"/>
          <w:szCs w:val="24"/>
          <w:shd w:val="clear" w:color="auto" w:fill="FFFFFF"/>
        </w:rPr>
        <w:t>Review of Economics of the Household</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19</w:t>
      </w:r>
      <w:r w:rsidRPr="0069504D">
        <w:rPr>
          <w:rFonts w:ascii="Times New Roman" w:hAnsi="Times New Roman" w:cs="Times New Roman"/>
          <w:color w:val="222222"/>
          <w:sz w:val="24"/>
          <w:szCs w:val="24"/>
          <w:shd w:val="clear" w:color="auto" w:fill="FFFFFF"/>
        </w:rPr>
        <w:t>(1), 11-40.</w:t>
      </w:r>
    </w:p>
    <w:p w14:paraId="09288CC9" w14:textId="77777777" w:rsidR="00E84401" w:rsidRPr="0069504D"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Zhang, S., Moeckel, R., Moreno, A.T., Shuai, B., and Gao, J. (2020). A work-life conflict perspective on telework. </w:t>
      </w:r>
      <w:r w:rsidRPr="0069504D">
        <w:rPr>
          <w:rFonts w:ascii="Times New Roman" w:hAnsi="Times New Roman" w:cs="Times New Roman"/>
          <w:i/>
          <w:iCs/>
          <w:sz w:val="24"/>
          <w:szCs w:val="24"/>
          <w:shd w:val="clear" w:color="auto" w:fill="FFFFFF"/>
        </w:rPr>
        <w:t>Transportation Research Part A</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141</w:t>
      </w:r>
      <w:r w:rsidRPr="0069504D">
        <w:rPr>
          <w:rFonts w:ascii="Times New Roman" w:hAnsi="Times New Roman" w:cs="Times New Roman"/>
          <w:sz w:val="24"/>
          <w:szCs w:val="24"/>
          <w:shd w:val="clear" w:color="auto" w:fill="FFFFFF"/>
        </w:rPr>
        <w:t>, 51-68.</w:t>
      </w:r>
    </w:p>
    <w:p w14:paraId="73ADB5FC" w14:textId="2EC6EE4B" w:rsidR="00E84401" w:rsidRPr="0069504D" w:rsidRDefault="00E84401" w:rsidP="0069504D">
      <w:pPr>
        <w:shd w:val="clear" w:color="auto" w:fill="FFFFFF"/>
        <w:spacing w:afterLines="20" w:after="48" w:line="240" w:lineRule="auto"/>
        <w:ind w:left="540" w:hanging="540"/>
        <w:rPr>
          <w:rFonts w:ascii="Times New Roman" w:hAnsi="Times New Roman" w:cs="Times New Roman"/>
          <w:color w:val="222222"/>
          <w:sz w:val="24"/>
          <w:szCs w:val="24"/>
          <w:shd w:val="clear" w:color="auto" w:fill="FFFFFF"/>
        </w:rPr>
      </w:pPr>
      <w:r w:rsidRPr="0069504D">
        <w:rPr>
          <w:rFonts w:ascii="Times New Roman" w:hAnsi="Times New Roman" w:cs="Times New Roman"/>
          <w:color w:val="222222"/>
          <w:sz w:val="24"/>
          <w:szCs w:val="24"/>
          <w:shd w:val="clear" w:color="auto" w:fill="FFFFFF"/>
        </w:rPr>
        <w:t>Zhang, Z., Zhang, W., and Tseng, F. H. (2019). Satellite mobile edge computing: Improving QoS of high-speed satellite-terrestrial networks using edge computing techniques. </w:t>
      </w:r>
      <w:r w:rsidRPr="0069504D">
        <w:rPr>
          <w:rFonts w:ascii="Times New Roman" w:hAnsi="Times New Roman" w:cs="Times New Roman"/>
          <w:i/>
          <w:iCs/>
          <w:color w:val="222222"/>
          <w:sz w:val="24"/>
          <w:szCs w:val="24"/>
          <w:shd w:val="clear" w:color="auto" w:fill="FFFFFF"/>
        </w:rPr>
        <w:t xml:space="preserve">IEEE </w:t>
      </w:r>
      <w:r w:rsidR="00D3023D" w:rsidRPr="0069504D">
        <w:rPr>
          <w:rFonts w:ascii="Times New Roman" w:hAnsi="Times New Roman" w:cs="Times New Roman"/>
          <w:i/>
          <w:iCs/>
          <w:color w:val="222222"/>
          <w:sz w:val="24"/>
          <w:szCs w:val="24"/>
          <w:shd w:val="clear" w:color="auto" w:fill="FFFFFF"/>
        </w:rPr>
        <w:t>N</w:t>
      </w:r>
      <w:r w:rsidRPr="0069504D">
        <w:rPr>
          <w:rFonts w:ascii="Times New Roman" w:hAnsi="Times New Roman" w:cs="Times New Roman"/>
          <w:i/>
          <w:iCs/>
          <w:color w:val="222222"/>
          <w:sz w:val="24"/>
          <w:szCs w:val="24"/>
          <w:shd w:val="clear" w:color="auto" w:fill="FFFFFF"/>
        </w:rPr>
        <w:t>etwork</w:t>
      </w:r>
      <w:r w:rsidRPr="0069504D">
        <w:rPr>
          <w:rFonts w:ascii="Times New Roman" w:hAnsi="Times New Roman" w:cs="Times New Roman"/>
          <w:color w:val="222222"/>
          <w:sz w:val="24"/>
          <w:szCs w:val="24"/>
          <w:shd w:val="clear" w:color="auto" w:fill="FFFFFF"/>
        </w:rPr>
        <w:t>, </w:t>
      </w:r>
      <w:r w:rsidRPr="0069504D">
        <w:rPr>
          <w:rFonts w:ascii="Times New Roman" w:hAnsi="Times New Roman" w:cs="Times New Roman"/>
          <w:i/>
          <w:iCs/>
          <w:color w:val="222222"/>
          <w:sz w:val="24"/>
          <w:szCs w:val="24"/>
          <w:shd w:val="clear" w:color="auto" w:fill="FFFFFF"/>
        </w:rPr>
        <w:t>33</w:t>
      </w:r>
      <w:r w:rsidRPr="0069504D">
        <w:rPr>
          <w:rFonts w:ascii="Times New Roman" w:hAnsi="Times New Roman" w:cs="Times New Roman"/>
          <w:color w:val="222222"/>
          <w:sz w:val="24"/>
          <w:szCs w:val="24"/>
          <w:shd w:val="clear" w:color="auto" w:fill="FFFFFF"/>
        </w:rPr>
        <w:t>(1), 70-76.</w:t>
      </w:r>
    </w:p>
    <w:p w14:paraId="4FB59AA7" w14:textId="3886F8AE" w:rsidR="006535B0" w:rsidRDefault="00E84401" w:rsidP="0069504D">
      <w:pPr>
        <w:spacing w:afterLines="20" w:after="48" w:line="240" w:lineRule="auto"/>
        <w:ind w:left="540" w:hanging="540"/>
        <w:rPr>
          <w:rFonts w:ascii="Times New Roman" w:hAnsi="Times New Roman" w:cs="Times New Roman"/>
          <w:sz w:val="24"/>
          <w:szCs w:val="24"/>
          <w:shd w:val="clear" w:color="auto" w:fill="FFFFFF"/>
        </w:rPr>
      </w:pPr>
      <w:r w:rsidRPr="0069504D">
        <w:rPr>
          <w:rFonts w:ascii="Times New Roman" w:hAnsi="Times New Roman" w:cs="Times New Roman"/>
          <w:sz w:val="24"/>
          <w:szCs w:val="24"/>
          <w:shd w:val="clear" w:color="auto" w:fill="FFFFFF"/>
        </w:rPr>
        <w:t>Zhu, P., Wang, L., Jiang, Y., and Zhou, J. (2018). Metropolitan size and the impacts of telecommuting on personal travel. </w:t>
      </w:r>
      <w:r w:rsidRPr="0069504D">
        <w:rPr>
          <w:rFonts w:ascii="Times New Roman" w:hAnsi="Times New Roman" w:cs="Times New Roman"/>
          <w:i/>
          <w:iCs/>
          <w:sz w:val="24"/>
          <w:szCs w:val="24"/>
          <w:shd w:val="clear" w:color="auto" w:fill="FFFFFF"/>
        </w:rPr>
        <w:t>Transportation</w:t>
      </w:r>
      <w:r w:rsidRPr="0069504D">
        <w:rPr>
          <w:rFonts w:ascii="Times New Roman" w:hAnsi="Times New Roman" w:cs="Times New Roman"/>
          <w:sz w:val="24"/>
          <w:szCs w:val="24"/>
          <w:shd w:val="clear" w:color="auto" w:fill="FFFFFF"/>
        </w:rPr>
        <w:t>, </w:t>
      </w:r>
      <w:r w:rsidRPr="0069504D">
        <w:rPr>
          <w:rFonts w:ascii="Times New Roman" w:hAnsi="Times New Roman" w:cs="Times New Roman"/>
          <w:i/>
          <w:iCs/>
          <w:sz w:val="24"/>
          <w:szCs w:val="24"/>
          <w:shd w:val="clear" w:color="auto" w:fill="FFFFFF"/>
        </w:rPr>
        <w:t>4</w:t>
      </w:r>
      <w:r w:rsidRPr="004A6EFD">
        <w:rPr>
          <w:rFonts w:ascii="Times New Roman" w:hAnsi="Times New Roman" w:cs="Times New Roman"/>
          <w:i/>
          <w:iCs/>
          <w:sz w:val="24"/>
          <w:szCs w:val="24"/>
          <w:shd w:val="clear" w:color="auto" w:fill="FFFFFF"/>
        </w:rPr>
        <w:t>5</w:t>
      </w:r>
      <w:r w:rsidRPr="004A6EFD">
        <w:rPr>
          <w:rFonts w:ascii="Times New Roman" w:hAnsi="Times New Roman" w:cs="Times New Roman"/>
          <w:sz w:val="24"/>
          <w:szCs w:val="24"/>
          <w:shd w:val="clear" w:color="auto" w:fill="FFFFFF"/>
        </w:rPr>
        <w:t>(2), 385-414.</w:t>
      </w:r>
    </w:p>
    <w:p w14:paraId="2CFF08CC" w14:textId="77777777" w:rsidR="006535B0" w:rsidRDefault="006535B0">
      <w:pPr>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982C331" w14:textId="3DB1772E" w:rsidR="003A014C" w:rsidRPr="00194389" w:rsidRDefault="006535B0" w:rsidP="00194389">
      <w:pPr>
        <w:spacing w:afterLines="20" w:after="48" w:line="240" w:lineRule="auto"/>
        <w:ind w:left="540" w:hanging="540"/>
        <w:jc w:val="center"/>
        <w:rPr>
          <w:rFonts w:ascii="Times New Roman" w:hAnsi="Times New Roman" w:cs="Times New Roman"/>
          <w:b/>
          <w:bCs/>
          <w:sz w:val="24"/>
          <w:szCs w:val="24"/>
          <w:shd w:val="clear" w:color="auto" w:fill="FFFFFF"/>
        </w:rPr>
      </w:pPr>
      <w:r w:rsidRPr="006535B0">
        <w:rPr>
          <w:rFonts w:ascii="Times New Roman" w:hAnsi="Times New Roman" w:cs="Times New Roman"/>
          <w:b/>
          <w:bCs/>
          <w:sz w:val="24"/>
          <w:szCs w:val="24"/>
          <w:shd w:val="clear" w:color="auto" w:fill="FFFFFF"/>
        </w:rPr>
        <w:lastRenderedPageBreak/>
        <w:t>APPENDIX</w:t>
      </w:r>
    </w:p>
    <w:p w14:paraId="456D7CDE" w14:textId="77777777" w:rsidR="00407E53" w:rsidRDefault="00407E53" w:rsidP="006535B0">
      <w:pPr>
        <w:pStyle w:val="Heading1"/>
        <w:numPr>
          <w:ilvl w:val="0"/>
          <w:numId w:val="0"/>
        </w:numPr>
        <w:ind w:left="360" w:hanging="360"/>
      </w:pPr>
    </w:p>
    <w:p w14:paraId="1D655753" w14:textId="6368C57F" w:rsidR="006535B0" w:rsidRDefault="006535B0" w:rsidP="006535B0">
      <w:pPr>
        <w:pStyle w:val="Heading1"/>
        <w:numPr>
          <w:ilvl w:val="0"/>
          <w:numId w:val="0"/>
        </w:numPr>
        <w:ind w:left="360" w:hanging="360"/>
      </w:pPr>
      <w:r>
        <w:t>Model Results from Three Independent Models</w:t>
      </w:r>
    </w:p>
    <w:p w14:paraId="355925D1" w14:textId="05043592" w:rsidR="006535B0" w:rsidRPr="00194389" w:rsidRDefault="006535B0" w:rsidP="006535B0">
      <w:pPr>
        <w:rPr>
          <w:rFonts w:ascii="Times New Roman" w:hAnsi="Times New Roman" w:cs="Times New Roman"/>
          <w:sz w:val="24"/>
          <w:szCs w:val="24"/>
        </w:rPr>
      </w:pPr>
      <w:r w:rsidRPr="00194389">
        <w:rPr>
          <w:rFonts w:ascii="Times New Roman" w:hAnsi="Times New Roman" w:cs="Times New Roman"/>
          <w:sz w:val="24"/>
          <w:szCs w:val="24"/>
        </w:rPr>
        <w:t xml:space="preserve">Table </w:t>
      </w:r>
      <w:r>
        <w:rPr>
          <w:rFonts w:ascii="Times New Roman" w:hAnsi="Times New Roman" w:cs="Times New Roman"/>
          <w:sz w:val="24"/>
          <w:szCs w:val="24"/>
        </w:rPr>
        <w:t>A</w:t>
      </w:r>
      <w:r w:rsidRPr="00194389">
        <w:rPr>
          <w:rFonts w:ascii="Times New Roman" w:hAnsi="Times New Roman" w:cs="Times New Roman"/>
          <w:sz w:val="24"/>
          <w:szCs w:val="24"/>
        </w:rPr>
        <w:t xml:space="preserve"> provides the</w:t>
      </w:r>
      <w:r w:rsidR="00496428">
        <w:rPr>
          <w:rFonts w:ascii="Times New Roman" w:hAnsi="Times New Roman" w:cs="Times New Roman"/>
          <w:sz w:val="24"/>
          <w:szCs w:val="24"/>
        </w:rPr>
        <w:t xml:space="preserve"> </w:t>
      </w:r>
      <w:r w:rsidRPr="00194389">
        <w:rPr>
          <w:rFonts w:ascii="Times New Roman" w:hAnsi="Times New Roman" w:cs="Times New Roman"/>
          <w:sz w:val="24"/>
          <w:szCs w:val="24"/>
        </w:rPr>
        <w:t>results for three independent models for the telework dimensions</w:t>
      </w:r>
      <w:r w:rsidR="00496428">
        <w:rPr>
          <w:rFonts w:ascii="Times New Roman" w:hAnsi="Times New Roman" w:cs="Times New Roman"/>
          <w:sz w:val="24"/>
          <w:szCs w:val="24"/>
        </w:rPr>
        <w:t xml:space="preserve"> of </w:t>
      </w:r>
      <w:r w:rsidRPr="00194389">
        <w:rPr>
          <w:rFonts w:ascii="Times New Roman" w:hAnsi="Times New Roman" w:cs="Times New Roman"/>
          <w:sz w:val="24"/>
          <w:szCs w:val="24"/>
        </w:rPr>
        <w:t xml:space="preserve">adoption, frequency, and location. </w:t>
      </w:r>
    </w:p>
    <w:p w14:paraId="7623EDD0" w14:textId="77777777" w:rsidR="006535B0" w:rsidRDefault="006535B0" w:rsidP="006535B0">
      <w:pPr>
        <w:sectPr w:rsidR="006535B0" w:rsidSect="00E1729F">
          <w:pgSz w:w="12240" w:h="15840" w:code="1"/>
          <w:pgMar w:top="1440" w:right="1440" w:bottom="1440" w:left="1440" w:header="720" w:footer="720" w:gutter="0"/>
          <w:cols w:space="720"/>
          <w:docGrid w:linePitch="360"/>
        </w:sectPr>
      </w:pPr>
    </w:p>
    <w:p w14:paraId="3E6C4307" w14:textId="77777777" w:rsidR="00716AAF" w:rsidRPr="006535B0" w:rsidRDefault="00716AAF" w:rsidP="00716AAF">
      <w:pPr>
        <w:spacing w:after="0" w:line="276" w:lineRule="auto"/>
        <w:rPr>
          <w:rFonts w:ascii="Times New Roman" w:eastAsia="Calibri" w:hAnsi="Times New Roman" w:cs="Times New Roman"/>
          <w:b/>
          <w:sz w:val="24"/>
          <w:szCs w:val="24"/>
        </w:rPr>
      </w:pPr>
      <w:r w:rsidRPr="006535B0">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A</w:t>
      </w:r>
      <w:r w:rsidRPr="006535B0">
        <w:rPr>
          <w:rFonts w:ascii="Times New Roman" w:eastAsia="Calibri" w:hAnsi="Times New Roman" w:cs="Times New Roman"/>
          <w:b/>
          <w:sz w:val="24"/>
          <w:szCs w:val="24"/>
        </w:rPr>
        <w:t>. Independent Model Estimation Results</w:t>
      </w:r>
    </w:p>
    <w:tbl>
      <w:tblPr>
        <w:tblpPr w:leftFromText="180" w:rightFromText="180" w:vertAnchor="text" w:horzAnchor="margin" w:tblpY="82"/>
        <w:tblW w:w="12945" w:type="dxa"/>
        <w:tblLayout w:type="fixed"/>
        <w:tblLook w:val="04A0" w:firstRow="1" w:lastRow="0" w:firstColumn="1" w:lastColumn="0" w:noHBand="0" w:noVBand="1"/>
      </w:tblPr>
      <w:tblGrid>
        <w:gridCol w:w="4306"/>
        <w:gridCol w:w="1008"/>
        <w:gridCol w:w="1062"/>
        <w:gridCol w:w="1008"/>
        <w:gridCol w:w="1008"/>
        <w:gridCol w:w="1138"/>
        <w:gridCol w:w="1138"/>
        <w:gridCol w:w="1138"/>
        <w:gridCol w:w="1139"/>
      </w:tblGrid>
      <w:tr w:rsidR="00716AAF" w:rsidRPr="006535B0" w14:paraId="1F3E19FD" w14:textId="77777777" w:rsidTr="002A04F4">
        <w:trPr>
          <w:trHeight w:val="230"/>
        </w:trPr>
        <w:tc>
          <w:tcPr>
            <w:tcW w:w="4306" w:type="dxa"/>
            <w:vMerge w:val="restart"/>
            <w:tcBorders>
              <w:top w:val="double" w:sz="4" w:space="0" w:color="auto"/>
              <w:left w:val="double" w:sz="4" w:space="0" w:color="auto"/>
              <w:right w:val="single" w:sz="12" w:space="0" w:color="auto"/>
            </w:tcBorders>
            <w:shd w:val="clear" w:color="auto" w:fill="auto"/>
            <w:noWrap/>
            <w:vAlign w:val="center"/>
          </w:tcPr>
          <w:p w14:paraId="5A544672"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Exogenous Variables</w:t>
            </w:r>
          </w:p>
          <w:p w14:paraId="6E1F7A9F"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(base category – </w:t>
            </w:r>
            <w:r w:rsidRPr="006535B0">
              <w:rPr>
                <w:rFonts w:ascii="Times New Roman" w:eastAsia="Times New Roman" w:hAnsi="Times New Roman" w:cs="Times New Roman"/>
                <w:b/>
                <w:bCs/>
                <w:i/>
                <w:sz w:val="20"/>
                <w:szCs w:val="20"/>
              </w:rPr>
              <w:t>WITHOUT THE COVID SHIFT EFFECT</w:t>
            </w:r>
            <w:r w:rsidRPr="006535B0">
              <w:rPr>
                <w:rFonts w:ascii="Times New Roman" w:eastAsia="Times New Roman" w:hAnsi="Times New Roman" w:cs="Times New Roman"/>
                <w:b/>
                <w:bCs/>
                <w:sz w:val="20"/>
                <w:szCs w:val="20"/>
              </w:rPr>
              <w:t>)</w:t>
            </w:r>
          </w:p>
        </w:tc>
        <w:tc>
          <w:tcPr>
            <w:tcW w:w="2070" w:type="dxa"/>
            <w:gridSpan w:val="2"/>
            <w:vMerge w:val="restart"/>
            <w:tcBorders>
              <w:top w:val="double" w:sz="4" w:space="0" w:color="auto"/>
              <w:left w:val="single" w:sz="12" w:space="0" w:color="auto"/>
              <w:right w:val="double" w:sz="4" w:space="0" w:color="auto"/>
            </w:tcBorders>
            <w:shd w:val="clear" w:color="auto" w:fill="auto"/>
            <w:noWrap/>
            <w:vAlign w:val="center"/>
          </w:tcPr>
          <w:p w14:paraId="48B02597"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Adoption (Binary) Propensity</w:t>
            </w:r>
          </w:p>
        </w:tc>
        <w:tc>
          <w:tcPr>
            <w:tcW w:w="2016" w:type="dxa"/>
            <w:gridSpan w:val="2"/>
            <w:vMerge w:val="restart"/>
            <w:tcBorders>
              <w:top w:val="double" w:sz="4" w:space="0" w:color="auto"/>
              <w:left w:val="single" w:sz="12" w:space="0" w:color="auto"/>
              <w:right w:val="double" w:sz="4" w:space="0" w:color="auto"/>
            </w:tcBorders>
            <w:shd w:val="clear" w:color="auto" w:fill="auto"/>
            <w:vAlign w:val="center"/>
          </w:tcPr>
          <w:p w14:paraId="289EE733"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Frequency (Ordered) Propensity</w:t>
            </w:r>
          </w:p>
        </w:tc>
        <w:tc>
          <w:tcPr>
            <w:tcW w:w="4553" w:type="dxa"/>
            <w:gridSpan w:val="4"/>
            <w:tcBorders>
              <w:top w:val="double" w:sz="4" w:space="0" w:color="auto"/>
              <w:left w:val="single" w:sz="12" w:space="0" w:color="auto"/>
              <w:bottom w:val="single" w:sz="4" w:space="0" w:color="auto"/>
              <w:right w:val="double" w:sz="4" w:space="0" w:color="auto"/>
            </w:tcBorders>
          </w:tcPr>
          <w:p w14:paraId="73186518"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Location (Multinomial) Propensity </w:t>
            </w:r>
          </w:p>
          <w:p w14:paraId="09EB3432"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(base category – Home Only Utility)</w:t>
            </w:r>
          </w:p>
        </w:tc>
      </w:tr>
      <w:tr w:rsidR="00716AAF" w:rsidRPr="006535B0" w14:paraId="7B5FEE37" w14:textId="77777777" w:rsidTr="002A04F4">
        <w:trPr>
          <w:trHeight w:val="288"/>
        </w:trPr>
        <w:tc>
          <w:tcPr>
            <w:tcW w:w="4306" w:type="dxa"/>
            <w:vMerge/>
            <w:tcBorders>
              <w:left w:val="double" w:sz="4" w:space="0" w:color="auto"/>
              <w:right w:val="single" w:sz="12" w:space="0" w:color="auto"/>
            </w:tcBorders>
            <w:shd w:val="clear" w:color="auto" w:fill="auto"/>
            <w:noWrap/>
            <w:vAlign w:val="center"/>
            <w:hideMark/>
          </w:tcPr>
          <w:p w14:paraId="2C77BEC0"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p>
        </w:tc>
        <w:tc>
          <w:tcPr>
            <w:tcW w:w="2070" w:type="dxa"/>
            <w:gridSpan w:val="2"/>
            <w:vMerge/>
            <w:tcBorders>
              <w:left w:val="single" w:sz="12" w:space="0" w:color="auto"/>
              <w:bottom w:val="single" w:sz="4" w:space="0" w:color="auto"/>
              <w:right w:val="double" w:sz="4" w:space="0" w:color="auto"/>
            </w:tcBorders>
            <w:shd w:val="clear" w:color="auto" w:fill="auto"/>
            <w:noWrap/>
            <w:vAlign w:val="center"/>
            <w:hideMark/>
          </w:tcPr>
          <w:p w14:paraId="08DD9C4D"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p>
        </w:tc>
        <w:tc>
          <w:tcPr>
            <w:tcW w:w="2016" w:type="dxa"/>
            <w:gridSpan w:val="2"/>
            <w:vMerge/>
            <w:tcBorders>
              <w:left w:val="double" w:sz="4" w:space="0" w:color="auto"/>
              <w:bottom w:val="single" w:sz="4" w:space="0" w:color="auto"/>
              <w:right w:val="double" w:sz="4" w:space="0" w:color="auto"/>
            </w:tcBorders>
            <w:shd w:val="clear" w:color="auto" w:fill="auto"/>
            <w:noWrap/>
            <w:vAlign w:val="center"/>
            <w:hideMark/>
          </w:tcPr>
          <w:p w14:paraId="38C1F391"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p>
        </w:tc>
        <w:tc>
          <w:tcPr>
            <w:tcW w:w="2276" w:type="dxa"/>
            <w:gridSpan w:val="2"/>
            <w:tcBorders>
              <w:top w:val="single" w:sz="4" w:space="0" w:color="auto"/>
              <w:left w:val="double" w:sz="4" w:space="0" w:color="auto"/>
              <w:bottom w:val="single" w:sz="4" w:space="0" w:color="auto"/>
              <w:right w:val="double" w:sz="4" w:space="0" w:color="auto"/>
            </w:tcBorders>
            <w:vAlign w:val="center"/>
          </w:tcPr>
          <w:p w14:paraId="03A9C0FF"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Third Location Only Utility</w:t>
            </w:r>
          </w:p>
        </w:tc>
        <w:tc>
          <w:tcPr>
            <w:tcW w:w="2277" w:type="dxa"/>
            <w:gridSpan w:val="2"/>
            <w:tcBorders>
              <w:top w:val="single" w:sz="4" w:space="0" w:color="auto"/>
              <w:left w:val="double" w:sz="4" w:space="0" w:color="auto"/>
              <w:bottom w:val="single" w:sz="4" w:space="0" w:color="auto"/>
              <w:right w:val="double" w:sz="4" w:space="0" w:color="auto"/>
            </w:tcBorders>
            <w:vAlign w:val="center"/>
          </w:tcPr>
          <w:p w14:paraId="225D9669" w14:textId="77777777" w:rsidR="00716AAF" w:rsidRPr="006535B0" w:rsidRDefault="00716AAF" w:rsidP="002A04F4">
            <w:pPr>
              <w:spacing w:after="0" w:line="240"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Both Home and Third Location Utility</w:t>
            </w:r>
          </w:p>
        </w:tc>
      </w:tr>
      <w:tr w:rsidR="00716AAF" w:rsidRPr="006535B0" w14:paraId="2F4641B3" w14:textId="77777777" w:rsidTr="002A04F4">
        <w:trPr>
          <w:trHeight w:val="288"/>
        </w:trPr>
        <w:tc>
          <w:tcPr>
            <w:tcW w:w="4306" w:type="dxa"/>
            <w:vMerge/>
            <w:tcBorders>
              <w:left w:val="double" w:sz="4" w:space="0" w:color="auto"/>
              <w:bottom w:val="double" w:sz="4" w:space="0" w:color="auto"/>
              <w:right w:val="single" w:sz="12" w:space="0" w:color="auto"/>
            </w:tcBorders>
            <w:shd w:val="clear" w:color="auto" w:fill="auto"/>
            <w:noWrap/>
            <w:vAlign w:val="center"/>
            <w:hideMark/>
          </w:tcPr>
          <w:p w14:paraId="2A42BD67"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p>
        </w:tc>
        <w:tc>
          <w:tcPr>
            <w:tcW w:w="1008"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5D68D0FD"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062"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19265912"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1008"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F33D53D"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008"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32886CDD"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1138" w:type="dxa"/>
            <w:tcBorders>
              <w:top w:val="single" w:sz="4" w:space="0" w:color="auto"/>
              <w:left w:val="double" w:sz="4" w:space="0" w:color="auto"/>
              <w:bottom w:val="double" w:sz="4" w:space="0" w:color="auto"/>
              <w:right w:val="single" w:sz="4" w:space="0" w:color="auto"/>
            </w:tcBorders>
            <w:vAlign w:val="center"/>
          </w:tcPr>
          <w:p w14:paraId="36C51CBF"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138" w:type="dxa"/>
            <w:tcBorders>
              <w:top w:val="single" w:sz="4" w:space="0" w:color="auto"/>
              <w:left w:val="single" w:sz="4" w:space="0" w:color="auto"/>
              <w:bottom w:val="double" w:sz="4" w:space="0" w:color="auto"/>
              <w:right w:val="double" w:sz="4" w:space="0" w:color="auto"/>
            </w:tcBorders>
            <w:vAlign w:val="center"/>
          </w:tcPr>
          <w:p w14:paraId="42ECA9A6"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1138" w:type="dxa"/>
            <w:tcBorders>
              <w:top w:val="single" w:sz="4" w:space="0" w:color="auto"/>
              <w:left w:val="double" w:sz="4" w:space="0" w:color="auto"/>
              <w:bottom w:val="double" w:sz="4" w:space="0" w:color="auto"/>
              <w:right w:val="single" w:sz="4" w:space="0" w:color="auto"/>
            </w:tcBorders>
            <w:vAlign w:val="center"/>
          </w:tcPr>
          <w:p w14:paraId="0C350C1E"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139" w:type="dxa"/>
            <w:tcBorders>
              <w:top w:val="single" w:sz="4" w:space="0" w:color="auto"/>
              <w:left w:val="single" w:sz="4" w:space="0" w:color="auto"/>
              <w:bottom w:val="double" w:sz="4" w:space="0" w:color="auto"/>
              <w:right w:val="double" w:sz="4" w:space="0" w:color="auto"/>
            </w:tcBorders>
            <w:vAlign w:val="center"/>
          </w:tcPr>
          <w:p w14:paraId="6A1E80F6" w14:textId="77777777" w:rsidR="00716AAF" w:rsidRPr="006535B0" w:rsidRDefault="00716AAF" w:rsidP="002A04F4">
            <w:pPr>
              <w:spacing w:after="0" w:line="240"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r>
      <w:tr w:rsidR="00716AAF" w:rsidRPr="006535B0" w14:paraId="0163EB70"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5532BD2"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b/>
                <w:bCs/>
                <w:i/>
                <w:iCs/>
                <w:sz w:val="20"/>
                <w:szCs w:val="20"/>
              </w:rPr>
              <w:t>Individual-level Characteristics</w:t>
            </w:r>
          </w:p>
        </w:tc>
        <w:tc>
          <w:tcPr>
            <w:tcW w:w="1008" w:type="dxa"/>
            <w:tcBorders>
              <w:top w:val="nil"/>
              <w:left w:val="single" w:sz="12" w:space="0" w:color="auto"/>
              <w:bottom w:val="nil"/>
              <w:right w:val="single" w:sz="4" w:space="0" w:color="auto"/>
            </w:tcBorders>
            <w:shd w:val="clear" w:color="auto" w:fill="auto"/>
            <w:noWrap/>
            <w:vAlign w:val="center"/>
          </w:tcPr>
          <w:p w14:paraId="52C4EF2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6818940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11F37BA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44DA93F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top w:val="double" w:sz="4" w:space="0" w:color="auto"/>
              <w:left w:val="double" w:sz="4" w:space="0" w:color="auto"/>
              <w:right w:val="single" w:sz="4" w:space="0" w:color="auto"/>
            </w:tcBorders>
            <w:vAlign w:val="center"/>
          </w:tcPr>
          <w:p w14:paraId="106B920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top w:val="double" w:sz="4" w:space="0" w:color="auto"/>
              <w:left w:val="single" w:sz="4" w:space="0" w:color="auto"/>
              <w:right w:val="double" w:sz="4" w:space="0" w:color="auto"/>
            </w:tcBorders>
            <w:vAlign w:val="center"/>
          </w:tcPr>
          <w:p w14:paraId="09CEA0F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top w:val="double" w:sz="4" w:space="0" w:color="auto"/>
              <w:left w:val="double" w:sz="4" w:space="0" w:color="auto"/>
              <w:right w:val="single" w:sz="4" w:space="0" w:color="auto"/>
            </w:tcBorders>
            <w:vAlign w:val="center"/>
          </w:tcPr>
          <w:p w14:paraId="5702E07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top w:val="double" w:sz="4" w:space="0" w:color="auto"/>
              <w:left w:val="single" w:sz="4" w:space="0" w:color="auto"/>
              <w:right w:val="double" w:sz="4" w:space="0" w:color="auto"/>
            </w:tcBorders>
            <w:vAlign w:val="center"/>
          </w:tcPr>
          <w:p w14:paraId="2469941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51B56865"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14BE56D"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Gender (base: men)</w:t>
            </w:r>
          </w:p>
        </w:tc>
        <w:tc>
          <w:tcPr>
            <w:tcW w:w="1008" w:type="dxa"/>
            <w:tcBorders>
              <w:top w:val="nil"/>
              <w:left w:val="single" w:sz="12" w:space="0" w:color="auto"/>
              <w:bottom w:val="nil"/>
              <w:right w:val="single" w:sz="4" w:space="0" w:color="auto"/>
            </w:tcBorders>
            <w:shd w:val="clear" w:color="auto" w:fill="auto"/>
            <w:noWrap/>
            <w:vAlign w:val="center"/>
          </w:tcPr>
          <w:p w14:paraId="07AD7A3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2536597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3113CB2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5F65809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403107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149CCAB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E192AD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068C5C1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651BC58B"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772D192"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Women</w:t>
            </w:r>
          </w:p>
        </w:tc>
        <w:tc>
          <w:tcPr>
            <w:tcW w:w="1008" w:type="dxa"/>
            <w:tcBorders>
              <w:top w:val="nil"/>
              <w:left w:val="single" w:sz="12" w:space="0" w:color="auto"/>
              <w:bottom w:val="nil"/>
              <w:right w:val="single" w:sz="4" w:space="0" w:color="auto"/>
            </w:tcBorders>
            <w:shd w:val="clear" w:color="auto" w:fill="auto"/>
            <w:noWrap/>
            <w:vAlign w:val="bottom"/>
          </w:tcPr>
          <w:p w14:paraId="4ADE9093"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-0.172</w:t>
            </w:r>
          </w:p>
        </w:tc>
        <w:tc>
          <w:tcPr>
            <w:tcW w:w="1062" w:type="dxa"/>
            <w:tcBorders>
              <w:top w:val="nil"/>
              <w:left w:val="single" w:sz="4" w:space="0" w:color="auto"/>
              <w:bottom w:val="nil"/>
              <w:right w:val="double" w:sz="4" w:space="0" w:color="auto"/>
            </w:tcBorders>
            <w:shd w:val="clear" w:color="auto" w:fill="auto"/>
            <w:noWrap/>
            <w:vAlign w:val="bottom"/>
          </w:tcPr>
          <w:p w14:paraId="575D3CA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-2.58</w:t>
            </w:r>
          </w:p>
        </w:tc>
        <w:tc>
          <w:tcPr>
            <w:tcW w:w="1008" w:type="dxa"/>
            <w:tcBorders>
              <w:top w:val="nil"/>
              <w:left w:val="double" w:sz="4" w:space="0" w:color="auto"/>
              <w:bottom w:val="nil"/>
              <w:right w:val="single" w:sz="4" w:space="0" w:color="auto"/>
            </w:tcBorders>
            <w:shd w:val="clear" w:color="auto" w:fill="auto"/>
            <w:noWrap/>
            <w:vAlign w:val="center"/>
          </w:tcPr>
          <w:p w14:paraId="2EEBD58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08" w:type="dxa"/>
            <w:tcBorders>
              <w:top w:val="nil"/>
              <w:left w:val="single" w:sz="4" w:space="0" w:color="auto"/>
              <w:bottom w:val="nil"/>
              <w:right w:val="double" w:sz="4" w:space="0" w:color="auto"/>
            </w:tcBorders>
            <w:shd w:val="clear" w:color="auto" w:fill="auto"/>
            <w:noWrap/>
            <w:vAlign w:val="center"/>
          </w:tcPr>
          <w:p w14:paraId="286BDBF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4CE140A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7879546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61A7CD2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9" w:type="dxa"/>
            <w:tcBorders>
              <w:left w:val="single" w:sz="4" w:space="0" w:color="auto"/>
              <w:right w:val="double" w:sz="4" w:space="0" w:color="auto"/>
            </w:tcBorders>
            <w:vAlign w:val="center"/>
          </w:tcPr>
          <w:p w14:paraId="7D774EE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61468F83"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576519D"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Age (base: 18-29 years </w:t>
            </w:r>
            <w:r w:rsidRPr="006535B0">
              <w:rPr>
                <w:rFonts w:ascii="Times New Roman" w:eastAsia="Times New Roman" w:hAnsi="Times New Roman" w:cs="Times New Roman"/>
                <w:b/>
                <w:bCs/>
                <w:i/>
                <w:sz w:val="20"/>
                <w:szCs w:val="20"/>
              </w:rPr>
              <w:t xml:space="preserve">before </w:t>
            </w:r>
            <w:r w:rsidRPr="006535B0">
              <w:rPr>
                <w:rFonts w:ascii="Times New Roman" w:eastAsia="Times New Roman" w:hAnsi="Times New Roman" w:cs="Times New Roman"/>
                <w:b/>
                <w:bCs/>
                <w:sz w:val="20"/>
                <w:szCs w:val="20"/>
              </w:rPr>
              <w:t>COVID)</w:t>
            </w:r>
          </w:p>
        </w:tc>
        <w:tc>
          <w:tcPr>
            <w:tcW w:w="1008" w:type="dxa"/>
            <w:tcBorders>
              <w:top w:val="nil"/>
              <w:left w:val="single" w:sz="12" w:space="0" w:color="auto"/>
              <w:bottom w:val="nil"/>
              <w:right w:val="single" w:sz="4" w:space="0" w:color="auto"/>
            </w:tcBorders>
            <w:shd w:val="clear" w:color="auto" w:fill="auto"/>
            <w:noWrap/>
            <w:vAlign w:val="center"/>
          </w:tcPr>
          <w:p w14:paraId="5725F85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66B5B2DE"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639BD97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6CF3B7B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CDC253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048BEC1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06EC408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3073B07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6520B0D5"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6AFC8834"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18 to 29 </w:t>
            </w:r>
            <w:r w:rsidRPr="006535B0">
              <w:rPr>
                <w:rFonts w:ascii="Times New Roman" w:eastAsia="Times New Roman" w:hAnsi="Times New Roman" w:cs="Times New Roman"/>
                <w:bCs/>
                <w:i/>
                <w:sz w:val="20"/>
                <w:szCs w:val="20"/>
              </w:rPr>
              <w:t>COVID SHIFT EFFECT</w:t>
            </w:r>
          </w:p>
        </w:tc>
        <w:tc>
          <w:tcPr>
            <w:tcW w:w="1008" w:type="dxa"/>
            <w:tcBorders>
              <w:top w:val="nil"/>
              <w:left w:val="single" w:sz="12" w:space="0" w:color="auto"/>
              <w:bottom w:val="nil"/>
              <w:right w:val="single" w:sz="4" w:space="0" w:color="auto"/>
            </w:tcBorders>
            <w:shd w:val="clear" w:color="auto" w:fill="auto"/>
            <w:noWrap/>
            <w:vAlign w:val="bottom"/>
          </w:tcPr>
          <w:p w14:paraId="7502172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0.473</w:t>
            </w:r>
          </w:p>
        </w:tc>
        <w:tc>
          <w:tcPr>
            <w:tcW w:w="1062" w:type="dxa"/>
            <w:tcBorders>
              <w:top w:val="nil"/>
              <w:left w:val="single" w:sz="4" w:space="0" w:color="auto"/>
              <w:bottom w:val="nil"/>
              <w:right w:val="double" w:sz="4" w:space="0" w:color="auto"/>
            </w:tcBorders>
            <w:shd w:val="clear" w:color="auto" w:fill="auto"/>
            <w:noWrap/>
            <w:vAlign w:val="bottom"/>
          </w:tcPr>
          <w:p w14:paraId="6C3EC1C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1.86</w:t>
            </w:r>
          </w:p>
        </w:tc>
        <w:tc>
          <w:tcPr>
            <w:tcW w:w="1008" w:type="dxa"/>
            <w:tcBorders>
              <w:top w:val="nil"/>
              <w:left w:val="double" w:sz="4" w:space="0" w:color="auto"/>
              <w:bottom w:val="nil"/>
              <w:right w:val="single" w:sz="4" w:space="0" w:color="auto"/>
            </w:tcBorders>
            <w:shd w:val="clear" w:color="auto" w:fill="auto"/>
            <w:noWrap/>
            <w:vAlign w:val="center"/>
          </w:tcPr>
          <w:p w14:paraId="3E9CD95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08" w:type="dxa"/>
            <w:tcBorders>
              <w:top w:val="nil"/>
              <w:left w:val="single" w:sz="4" w:space="0" w:color="auto"/>
              <w:bottom w:val="nil"/>
              <w:right w:val="double" w:sz="4" w:space="0" w:color="auto"/>
            </w:tcBorders>
            <w:shd w:val="clear" w:color="auto" w:fill="auto"/>
            <w:noWrap/>
            <w:vAlign w:val="center"/>
          </w:tcPr>
          <w:p w14:paraId="2249D32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0536CAD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220FCEF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383395C"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9" w:type="dxa"/>
            <w:tcBorders>
              <w:left w:val="single" w:sz="4" w:space="0" w:color="auto"/>
              <w:right w:val="double" w:sz="4" w:space="0" w:color="auto"/>
            </w:tcBorders>
            <w:vAlign w:val="center"/>
          </w:tcPr>
          <w:p w14:paraId="6C3C6CA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3495F15E"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22CD2E4"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30 to 64 years</w:t>
            </w:r>
          </w:p>
        </w:tc>
        <w:tc>
          <w:tcPr>
            <w:tcW w:w="1008" w:type="dxa"/>
            <w:tcBorders>
              <w:top w:val="nil"/>
              <w:left w:val="single" w:sz="12" w:space="0" w:color="auto"/>
              <w:bottom w:val="nil"/>
              <w:right w:val="single" w:sz="4" w:space="0" w:color="auto"/>
            </w:tcBorders>
            <w:shd w:val="clear" w:color="auto" w:fill="auto"/>
            <w:noWrap/>
            <w:vAlign w:val="center"/>
          </w:tcPr>
          <w:p w14:paraId="7CA343C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62" w:type="dxa"/>
            <w:tcBorders>
              <w:top w:val="nil"/>
              <w:left w:val="single" w:sz="4" w:space="0" w:color="auto"/>
              <w:bottom w:val="nil"/>
              <w:right w:val="double" w:sz="4" w:space="0" w:color="auto"/>
            </w:tcBorders>
            <w:shd w:val="clear" w:color="auto" w:fill="auto"/>
            <w:noWrap/>
            <w:vAlign w:val="center"/>
          </w:tcPr>
          <w:p w14:paraId="1E6CFA8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55D4961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08" w:type="dxa"/>
            <w:tcBorders>
              <w:top w:val="nil"/>
              <w:left w:val="single" w:sz="4" w:space="0" w:color="auto"/>
              <w:bottom w:val="nil"/>
              <w:right w:val="double" w:sz="4" w:space="0" w:color="auto"/>
            </w:tcBorders>
            <w:shd w:val="clear" w:color="auto" w:fill="auto"/>
            <w:noWrap/>
            <w:vAlign w:val="center"/>
          </w:tcPr>
          <w:p w14:paraId="578DCF6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765AC2B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12EBC81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bottom"/>
          </w:tcPr>
          <w:p w14:paraId="7A67A810"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-0.285</w:t>
            </w:r>
          </w:p>
        </w:tc>
        <w:tc>
          <w:tcPr>
            <w:tcW w:w="1139" w:type="dxa"/>
            <w:tcBorders>
              <w:left w:val="single" w:sz="4" w:space="0" w:color="auto"/>
              <w:right w:val="double" w:sz="4" w:space="0" w:color="auto"/>
            </w:tcBorders>
            <w:vAlign w:val="bottom"/>
          </w:tcPr>
          <w:p w14:paraId="75A7773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-1.49</w:t>
            </w:r>
          </w:p>
        </w:tc>
      </w:tr>
      <w:tr w:rsidR="00716AAF" w:rsidRPr="006535B0" w14:paraId="3496705D"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7598261"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30 to 64 years </w:t>
            </w:r>
            <w:r w:rsidRPr="006535B0">
              <w:rPr>
                <w:rFonts w:ascii="Times New Roman" w:eastAsia="Times New Roman" w:hAnsi="Times New Roman" w:cs="Times New Roman"/>
                <w:bCs/>
                <w:i/>
                <w:sz w:val="20"/>
                <w:szCs w:val="20"/>
              </w:rPr>
              <w:t>COVID SHIFT EFFECT</w:t>
            </w:r>
          </w:p>
        </w:tc>
        <w:tc>
          <w:tcPr>
            <w:tcW w:w="1008" w:type="dxa"/>
            <w:tcBorders>
              <w:top w:val="nil"/>
              <w:left w:val="single" w:sz="12" w:space="0" w:color="auto"/>
              <w:bottom w:val="nil"/>
              <w:right w:val="single" w:sz="4" w:space="0" w:color="auto"/>
            </w:tcBorders>
            <w:shd w:val="clear" w:color="auto" w:fill="auto"/>
            <w:noWrap/>
            <w:vAlign w:val="bottom"/>
          </w:tcPr>
          <w:p w14:paraId="3FEBBE4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0.208</w:t>
            </w:r>
          </w:p>
        </w:tc>
        <w:tc>
          <w:tcPr>
            <w:tcW w:w="1062" w:type="dxa"/>
            <w:tcBorders>
              <w:top w:val="nil"/>
              <w:left w:val="single" w:sz="4" w:space="0" w:color="auto"/>
              <w:bottom w:val="nil"/>
              <w:right w:val="double" w:sz="4" w:space="0" w:color="auto"/>
            </w:tcBorders>
            <w:shd w:val="clear" w:color="auto" w:fill="auto"/>
            <w:noWrap/>
            <w:vAlign w:val="bottom"/>
          </w:tcPr>
          <w:p w14:paraId="51EF40CC"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1.22</w:t>
            </w:r>
          </w:p>
        </w:tc>
        <w:tc>
          <w:tcPr>
            <w:tcW w:w="1008" w:type="dxa"/>
            <w:tcBorders>
              <w:top w:val="nil"/>
              <w:left w:val="double" w:sz="4" w:space="0" w:color="auto"/>
              <w:bottom w:val="nil"/>
              <w:right w:val="single" w:sz="4" w:space="0" w:color="auto"/>
            </w:tcBorders>
            <w:shd w:val="clear" w:color="auto" w:fill="auto"/>
            <w:noWrap/>
            <w:vAlign w:val="bottom"/>
          </w:tcPr>
          <w:p w14:paraId="6295A2E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0.241</w:t>
            </w:r>
          </w:p>
        </w:tc>
        <w:tc>
          <w:tcPr>
            <w:tcW w:w="1008" w:type="dxa"/>
            <w:tcBorders>
              <w:top w:val="nil"/>
              <w:left w:val="single" w:sz="4" w:space="0" w:color="auto"/>
              <w:bottom w:val="nil"/>
              <w:right w:val="double" w:sz="4" w:space="0" w:color="auto"/>
            </w:tcBorders>
            <w:shd w:val="clear" w:color="auto" w:fill="auto"/>
            <w:noWrap/>
            <w:vAlign w:val="bottom"/>
          </w:tcPr>
          <w:p w14:paraId="21968A9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1.67</w:t>
            </w:r>
          </w:p>
        </w:tc>
        <w:tc>
          <w:tcPr>
            <w:tcW w:w="1138" w:type="dxa"/>
            <w:tcBorders>
              <w:left w:val="double" w:sz="4" w:space="0" w:color="auto"/>
              <w:right w:val="single" w:sz="4" w:space="0" w:color="auto"/>
            </w:tcBorders>
            <w:vAlign w:val="center"/>
          </w:tcPr>
          <w:p w14:paraId="274FE8E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3FA686D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728EA96F"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9" w:type="dxa"/>
            <w:tcBorders>
              <w:left w:val="single" w:sz="4" w:space="0" w:color="auto"/>
              <w:right w:val="double" w:sz="4" w:space="0" w:color="auto"/>
            </w:tcBorders>
            <w:vAlign w:val="center"/>
          </w:tcPr>
          <w:p w14:paraId="6606F94A"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1434FD97"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0A616985"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65 years or older</w:t>
            </w:r>
          </w:p>
        </w:tc>
        <w:tc>
          <w:tcPr>
            <w:tcW w:w="1008" w:type="dxa"/>
            <w:tcBorders>
              <w:top w:val="nil"/>
              <w:left w:val="single" w:sz="12" w:space="0" w:color="auto"/>
              <w:bottom w:val="nil"/>
              <w:right w:val="single" w:sz="4" w:space="0" w:color="auto"/>
            </w:tcBorders>
            <w:shd w:val="clear" w:color="auto" w:fill="auto"/>
            <w:noWrap/>
            <w:vAlign w:val="bottom"/>
          </w:tcPr>
          <w:p w14:paraId="5619BC9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0.253</w:t>
            </w:r>
          </w:p>
        </w:tc>
        <w:tc>
          <w:tcPr>
            <w:tcW w:w="1062" w:type="dxa"/>
            <w:tcBorders>
              <w:top w:val="nil"/>
              <w:left w:val="single" w:sz="4" w:space="0" w:color="auto"/>
              <w:bottom w:val="nil"/>
              <w:right w:val="double" w:sz="4" w:space="0" w:color="auto"/>
            </w:tcBorders>
            <w:shd w:val="clear" w:color="auto" w:fill="auto"/>
            <w:noWrap/>
            <w:vAlign w:val="bottom"/>
          </w:tcPr>
          <w:p w14:paraId="34653D0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2.15</w:t>
            </w:r>
          </w:p>
        </w:tc>
        <w:tc>
          <w:tcPr>
            <w:tcW w:w="1008" w:type="dxa"/>
            <w:tcBorders>
              <w:top w:val="nil"/>
              <w:left w:val="double" w:sz="4" w:space="0" w:color="auto"/>
              <w:bottom w:val="nil"/>
              <w:right w:val="single" w:sz="4" w:space="0" w:color="auto"/>
            </w:tcBorders>
            <w:shd w:val="clear" w:color="auto" w:fill="auto"/>
            <w:noWrap/>
            <w:vAlign w:val="bottom"/>
          </w:tcPr>
          <w:p w14:paraId="2AE2402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0.226</w:t>
            </w:r>
          </w:p>
        </w:tc>
        <w:tc>
          <w:tcPr>
            <w:tcW w:w="1008" w:type="dxa"/>
            <w:tcBorders>
              <w:top w:val="nil"/>
              <w:left w:val="single" w:sz="4" w:space="0" w:color="auto"/>
              <w:bottom w:val="nil"/>
              <w:right w:val="double" w:sz="4" w:space="0" w:color="auto"/>
            </w:tcBorders>
            <w:shd w:val="clear" w:color="auto" w:fill="auto"/>
            <w:noWrap/>
            <w:vAlign w:val="bottom"/>
          </w:tcPr>
          <w:p w14:paraId="44C319F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1.87</w:t>
            </w:r>
          </w:p>
        </w:tc>
        <w:tc>
          <w:tcPr>
            <w:tcW w:w="1138" w:type="dxa"/>
            <w:tcBorders>
              <w:left w:val="double" w:sz="4" w:space="0" w:color="auto"/>
              <w:right w:val="single" w:sz="4" w:space="0" w:color="auto"/>
            </w:tcBorders>
            <w:vAlign w:val="center"/>
          </w:tcPr>
          <w:p w14:paraId="0BC8DD4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33DC87A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bottom"/>
          </w:tcPr>
          <w:p w14:paraId="2E4D4D1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-0.584</w:t>
            </w:r>
          </w:p>
        </w:tc>
        <w:tc>
          <w:tcPr>
            <w:tcW w:w="1139" w:type="dxa"/>
            <w:tcBorders>
              <w:left w:val="single" w:sz="4" w:space="0" w:color="auto"/>
              <w:right w:val="double" w:sz="4" w:space="0" w:color="auto"/>
            </w:tcBorders>
            <w:vAlign w:val="bottom"/>
          </w:tcPr>
          <w:p w14:paraId="6692438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-2.12</w:t>
            </w:r>
          </w:p>
        </w:tc>
      </w:tr>
      <w:tr w:rsidR="00716AAF" w:rsidRPr="006535B0" w14:paraId="20978BB6"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4FF14D24" w14:textId="77777777" w:rsidR="00716AAF" w:rsidRPr="006535B0" w:rsidRDefault="00716AAF" w:rsidP="002A04F4">
            <w:pPr>
              <w:spacing w:after="0" w:line="240" w:lineRule="auto"/>
              <w:jc w:val="left"/>
              <w:rPr>
                <w:rFonts w:ascii="Times New Roman" w:eastAsia="Calibri" w:hAnsi="Times New Roman" w:cs="Times New Roman"/>
                <w:b/>
                <w:sz w:val="20"/>
                <w:szCs w:val="20"/>
              </w:rPr>
            </w:pPr>
            <w:r w:rsidRPr="006535B0">
              <w:rPr>
                <w:rFonts w:ascii="Times New Roman" w:eastAsia="Times New Roman" w:hAnsi="Times New Roman" w:cs="Times New Roman"/>
                <w:b/>
                <w:bCs/>
                <w:sz w:val="20"/>
                <w:szCs w:val="20"/>
              </w:rPr>
              <w:t xml:space="preserve">Education Level (base: </w:t>
            </w:r>
            <w:r w:rsidRPr="006535B0">
              <w:rPr>
                <w:rFonts w:ascii="Times New Roman" w:eastAsia="Calibri" w:hAnsi="Times New Roman" w:cs="Times New Roman"/>
                <w:b/>
                <w:sz w:val="20"/>
                <w:szCs w:val="20"/>
              </w:rPr>
              <w:t xml:space="preserve">undergraduate degree </w:t>
            </w:r>
          </w:p>
          <w:p w14:paraId="77293C43"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r w:rsidRPr="006535B0">
              <w:rPr>
                <w:rFonts w:ascii="Times New Roman" w:eastAsia="Calibri" w:hAnsi="Times New Roman" w:cs="Times New Roman"/>
                <w:b/>
                <w:sz w:val="20"/>
                <w:szCs w:val="20"/>
              </w:rPr>
              <w:t xml:space="preserve">   or less)</w:t>
            </w:r>
          </w:p>
        </w:tc>
        <w:tc>
          <w:tcPr>
            <w:tcW w:w="1008" w:type="dxa"/>
            <w:tcBorders>
              <w:top w:val="nil"/>
              <w:left w:val="single" w:sz="12" w:space="0" w:color="auto"/>
              <w:bottom w:val="nil"/>
              <w:right w:val="single" w:sz="4" w:space="0" w:color="auto"/>
            </w:tcBorders>
            <w:shd w:val="clear" w:color="auto" w:fill="auto"/>
            <w:noWrap/>
            <w:vAlign w:val="center"/>
          </w:tcPr>
          <w:p w14:paraId="03F9BC8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1EC2F10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37A616F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79CB4DF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right w:val="single" w:sz="4" w:space="0" w:color="auto"/>
            </w:tcBorders>
            <w:vAlign w:val="center"/>
          </w:tcPr>
          <w:p w14:paraId="077A762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0012F72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72A0763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9" w:type="dxa"/>
            <w:tcBorders>
              <w:left w:val="single" w:sz="4" w:space="0" w:color="auto"/>
              <w:right w:val="double" w:sz="4" w:space="0" w:color="auto"/>
            </w:tcBorders>
            <w:vAlign w:val="center"/>
          </w:tcPr>
          <w:p w14:paraId="10E4477F"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6C7BD992"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0D77DE9"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Graduate degree</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bottom"/>
          </w:tcPr>
          <w:p w14:paraId="160647B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0.221</w:t>
            </w:r>
          </w:p>
        </w:tc>
        <w:tc>
          <w:tcPr>
            <w:tcW w:w="1062" w:type="dxa"/>
            <w:tcBorders>
              <w:top w:val="nil"/>
              <w:left w:val="single" w:sz="4" w:space="0" w:color="auto"/>
              <w:bottom w:val="nil"/>
              <w:right w:val="double" w:sz="4" w:space="0" w:color="auto"/>
            </w:tcBorders>
            <w:shd w:val="clear" w:color="auto" w:fill="auto"/>
            <w:noWrap/>
            <w:vAlign w:val="bottom"/>
          </w:tcPr>
          <w:p w14:paraId="09F9D28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2.38</w:t>
            </w:r>
          </w:p>
        </w:tc>
        <w:tc>
          <w:tcPr>
            <w:tcW w:w="1008" w:type="dxa"/>
            <w:tcBorders>
              <w:top w:val="nil"/>
              <w:left w:val="double" w:sz="4" w:space="0" w:color="auto"/>
              <w:bottom w:val="nil"/>
              <w:right w:val="single" w:sz="4" w:space="0" w:color="auto"/>
            </w:tcBorders>
            <w:shd w:val="clear" w:color="auto" w:fill="auto"/>
            <w:noWrap/>
            <w:vAlign w:val="center"/>
          </w:tcPr>
          <w:p w14:paraId="500E74D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008" w:type="dxa"/>
            <w:tcBorders>
              <w:top w:val="nil"/>
              <w:left w:val="single" w:sz="4" w:space="0" w:color="auto"/>
              <w:bottom w:val="nil"/>
              <w:right w:val="double" w:sz="4" w:space="0" w:color="auto"/>
            </w:tcBorders>
            <w:shd w:val="clear" w:color="auto" w:fill="auto"/>
            <w:noWrap/>
            <w:vAlign w:val="center"/>
          </w:tcPr>
          <w:p w14:paraId="55A50FE1"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right w:val="single" w:sz="4" w:space="0" w:color="auto"/>
            </w:tcBorders>
            <w:vAlign w:val="center"/>
          </w:tcPr>
          <w:p w14:paraId="385F184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3333716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7933252"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9" w:type="dxa"/>
            <w:tcBorders>
              <w:left w:val="single" w:sz="4" w:space="0" w:color="auto"/>
              <w:right w:val="double" w:sz="4" w:space="0" w:color="auto"/>
            </w:tcBorders>
            <w:vAlign w:val="center"/>
          </w:tcPr>
          <w:p w14:paraId="44FE57D1"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01290792"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66569E6A" w14:textId="77777777" w:rsidR="00716AAF" w:rsidRPr="006535B0" w:rsidRDefault="00716AAF" w:rsidP="002A04F4">
            <w:pPr>
              <w:spacing w:after="0" w:line="240" w:lineRule="auto"/>
              <w:jc w:val="left"/>
              <w:rPr>
                <w:rFonts w:ascii="Times New Roman" w:eastAsia="Times New Roman" w:hAnsi="Times New Roman" w:cs="Times New Roman"/>
                <w:b/>
                <w:bCs/>
                <w:i/>
                <w:iCs/>
                <w:sz w:val="20"/>
                <w:szCs w:val="20"/>
              </w:rPr>
            </w:pPr>
            <w:r w:rsidRPr="006535B0">
              <w:rPr>
                <w:rFonts w:ascii="Times New Roman" w:eastAsia="Times New Roman" w:hAnsi="Times New Roman" w:cs="Times New Roman"/>
                <w:b/>
                <w:bCs/>
                <w:i/>
                <w:iCs/>
                <w:sz w:val="20"/>
                <w:szCs w:val="20"/>
              </w:rPr>
              <w:t>Household Characteristics</w:t>
            </w:r>
          </w:p>
        </w:tc>
        <w:tc>
          <w:tcPr>
            <w:tcW w:w="1008" w:type="dxa"/>
            <w:tcBorders>
              <w:top w:val="nil"/>
              <w:left w:val="single" w:sz="12" w:space="0" w:color="auto"/>
              <w:bottom w:val="nil"/>
              <w:right w:val="single" w:sz="4" w:space="0" w:color="auto"/>
            </w:tcBorders>
            <w:shd w:val="clear" w:color="auto" w:fill="auto"/>
            <w:noWrap/>
            <w:vAlign w:val="center"/>
          </w:tcPr>
          <w:p w14:paraId="2408236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6742C03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06D4043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0EB2D22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7D35EF8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1932C61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4BE6351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598FEAA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7A05FD5B"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1E1420CA"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b/>
                <w:sz w:val="20"/>
                <w:szCs w:val="20"/>
              </w:rPr>
              <w:t>Income (base: &lt;$100,000)</w:t>
            </w:r>
          </w:p>
        </w:tc>
        <w:tc>
          <w:tcPr>
            <w:tcW w:w="1008" w:type="dxa"/>
            <w:tcBorders>
              <w:top w:val="nil"/>
              <w:left w:val="single" w:sz="12" w:space="0" w:color="auto"/>
              <w:bottom w:val="nil"/>
              <w:right w:val="single" w:sz="4" w:space="0" w:color="auto"/>
            </w:tcBorders>
            <w:shd w:val="clear" w:color="auto" w:fill="auto"/>
            <w:noWrap/>
            <w:vAlign w:val="center"/>
          </w:tcPr>
          <w:p w14:paraId="053ABA6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390ED32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08C788C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69D6F0F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75E80AA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61EE76D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1452412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329ADC6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27B1AD4F"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52D59720"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$100,000 to $249,999</w:t>
            </w:r>
          </w:p>
        </w:tc>
        <w:tc>
          <w:tcPr>
            <w:tcW w:w="1008" w:type="dxa"/>
            <w:tcBorders>
              <w:top w:val="nil"/>
              <w:left w:val="single" w:sz="12" w:space="0" w:color="auto"/>
              <w:bottom w:val="nil"/>
              <w:right w:val="single" w:sz="4" w:space="0" w:color="auto"/>
            </w:tcBorders>
            <w:shd w:val="clear" w:color="auto" w:fill="auto"/>
            <w:noWrap/>
            <w:vAlign w:val="bottom"/>
          </w:tcPr>
          <w:p w14:paraId="6713854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0.203</w:t>
            </w:r>
          </w:p>
        </w:tc>
        <w:tc>
          <w:tcPr>
            <w:tcW w:w="1062" w:type="dxa"/>
            <w:tcBorders>
              <w:top w:val="nil"/>
              <w:left w:val="single" w:sz="4" w:space="0" w:color="auto"/>
              <w:bottom w:val="nil"/>
              <w:right w:val="double" w:sz="4" w:space="0" w:color="auto"/>
            </w:tcBorders>
            <w:shd w:val="clear" w:color="auto" w:fill="auto"/>
            <w:noWrap/>
            <w:vAlign w:val="bottom"/>
          </w:tcPr>
          <w:p w14:paraId="72EC1E9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3.00</w:t>
            </w:r>
          </w:p>
        </w:tc>
        <w:tc>
          <w:tcPr>
            <w:tcW w:w="1008" w:type="dxa"/>
            <w:tcBorders>
              <w:top w:val="nil"/>
              <w:left w:val="nil"/>
              <w:bottom w:val="nil"/>
              <w:right w:val="single" w:sz="4" w:space="0" w:color="auto"/>
            </w:tcBorders>
            <w:shd w:val="clear" w:color="auto" w:fill="auto"/>
            <w:noWrap/>
            <w:vAlign w:val="center"/>
          </w:tcPr>
          <w:p w14:paraId="675FBE4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08" w:type="dxa"/>
            <w:tcBorders>
              <w:top w:val="nil"/>
              <w:left w:val="nil"/>
              <w:bottom w:val="nil"/>
              <w:right w:val="nil"/>
            </w:tcBorders>
            <w:shd w:val="clear" w:color="auto" w:fill="auto"/>
            <w:noWrap/>
            <w:vAlign w:val="center"/>
          </w:tcPr>
          <w:p w14:paraId="5F14C2F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3A88C85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8" w:type="dxa"/>
            <w:tcBorders>
              <w:left w:val="single" w:sz="4" w:space="0" w:color="auto"/>
              <w:right w:val="double" w:sz="4" w:space="0" w:color="auto"/>
            </w:tcBorders>
            <w:vAlign w:val="center"/>
          </w:tcPr>
          <w:p w14:paraId="2C7A6B1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right w:val="single" w:sz="4" w:space="0" w:color="auto"/>
            </w:tcBorders>
            <w:vAlign w:val="center"/>
          </w:tcPr>
          <w:p w14:paraId="6F6A9DF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9" w:type="dxa"/>
            <w:tcBorders>
              <w:left w:val="single" w:sz="4" w:space="0" w:color="auto"/>
              <w:right w:val="double" w:sz="4" w:space="0" w:color="auto"/>
            </w:tcBorders>
            <w:vAlign w:val="center"/>
          </w:tcPr>
          <w:p w14:paraId="683A829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7AD5F838"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6652753B"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 $250,000</w:t>
            </w:r>
          </w:p>
        </w:tc>
        <w:tc>
          <w:tcPr>
            <w:tcW w:w="1008" w:type="dxa"/>
            <w:tcBorders>
              <w:top w:val="nil"/>
              <w:left w:val="single" w:sz="12" w:space="0" w:color="auto"/>
              <w:bottom w:val="nil"/>
              <w:right w:val="single" w:sz="4" w:space="0" w:color="auto"/>
            </w:tcBorders>
            <w:shd w:val="clear" w:color="auto" w:fill="auto"/>
            <w:noWrap/>
            <w:vAlign w:val="bottom"/>
          </w:tcPr>
          <w:p w14:paraId="046847D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0.203</w:t>
            </w:r>
          </w:p>
        </w:tc>
        <w:tc>
          <w:tcPr>
            <w:tcW w:w="1062" w:type="dxa"/>
            <w:tcBorders>
              <w:top w:val="nil"/>
              <w:left w:val="single" w:sz="4" w:space="0" w:color="auto"/>
              <w:bottom w:val="nil"/>
              <w:right w:val="double" w:sz="4" w:space="0" w:color="auto"/>
            </w:tcBorders>
            <w:shd w:val="clear" w:color="auto" w:fill="auto"/>
            <w:noWrap/>
            <w:vAlign w:val="bottom"/>
          </w:tcPr>
          <w:p w14:paraId="2F9953D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3.00</w:t>
            </w:r>
          </w:p>
        </w:tc>
        <w:tc>
          <w:tcPr>
            <w:tcW w:w="1008" w:type="dxa"/>
            <w:tcBorders>
              <w:top w:val="nil"/>
              <w:left w:val="nil"/>
              <w:bottom w:val="nil"/>
              <w:right w:val="single" w:sz="4" w:space="0" w:color="auto"/>
            </w:tcBorders>
            <w:shd w:val="clear" w:color="auto" w:fill="auto"/>
            <w:noWrap/>
            <w:vAlign w:val="center"/>
          </w:tcPr>
          <w:p w14:paraId="2832D45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008" w:type="dxa"/>
            <w:tcBorders>
              <w:top w:val="nil"/>
              <w:left w:val="nil"/>
              <w:bottom w:val="nil"/>
              <w:right w:val="nil"/>
            </w:tcBorders>
            <w:shd w:val="clear" w:color="auto" w:fill="auto"/>
            <w:noWrap/>
            <w:vAlign w:val="center"/>
          </w:tcPr>
          <w:p w14:paraId="4109215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1651CE1F"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8" w:type="dxa"/>
            <w:tcBorders>
              <w:left w:val="single" w:sz="4" w:space="0" w:color="auto"/>
              <w:right w:val="double" w:sz="4" w:space="0" w:color="auto"/>
            </w:tcBorders>
            <w:vAlign w:val="center"/>
          </w:tcPr>
          <w:p w14:paraId="5B5D2CDD"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right w:val="single" w:sz="4" w:space="0" w:color="auto"/>
            </w:tcBorders>
            <w:vAlign w:val="bottom"/>
          </w:tcPr>
          <w:p w14:paraId="208EFD9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-0.575</w:t>
            </w:r>
          </w:p>
        </w:tc>
        <w:tc>
          <w:tcPr>
            <w:tcW w:w="1139" w:type="dxa"/>
            <w:tcBorders>
              <w:left w:val="single" w:sz="4" w:space="0" w:color="auto"/>
              <w:right w:val="double" w:sz="4" w:space="0" w:color="auto"/>
            </w:tcBorders>
            <w:vAlign w:val="bottom"/>
          </w:tcPr>
          <w:p w14:paraId="28A2710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-2.34</w:t>
            </w:r>
          </w:p>
        </w:tc>
      </w:tr>
      <w:tr w:rsidR="00716AAF" w:rsidRPr="006535B0" w14:paraId="0B772FF8" w14:textId="77777777" w:rsidTr="002A04F4">
        <w:trPr>
          <w:trHeight w:val="288"/>
        </w:trPr>
        <w:tc>
          <w:tcPr>
            <w:tcW w:w="4306" w:type="dxa"/>
            <w:tcBorders>
              <w:top w:val="nil"/>
              <w:left w:val="double" w:sz="4" w:space="0" w:color="auto"/>
              <w:right w:val="single" w:sz="12" w:space="0" w:color="auto"/>
            </w:tcBorders>
            <w:shd w:val="clear" w:color="auto" w:fill="auto"/>
            <w:noWrap/>
            <w:vAlign w:val="center"/>
          </w:tcPr>
          <w:p w14:paraId="7DA079C5" w14:textId="77777777" w:rsidR="00716AAF" w:rsidRPr="006535B0" w:rsidRDefault="00716AAF" w:rsidP="002A04F4">
            <w:pPr>
              <w:spacing w:after="0" w:line="240" w:lineRule="auto"/>
              <w:jc w:val="left"/>
              <w:rPr>
                <w:rFonts w:ascii="Times New Roman" w:eastAsia="Times New Roman" w:hAnsi="Times New Roman" w:cs="Times New Roman"/>
                <w:b/>
                <w:bCs/>
                <w:i/>
                <w:iCs/>
                <w:sz w:val="20"/>
                <w:szCs w:val="20"/>
              </w:rPr>
            </w:pPr>
            <w:r w:rsidRPr="006535B0">
              <w:rPr>
                <w:rFonts w:ascii="Times New Roman" w:eastAsia="Times New Roman" w:hAnsi="Times New Roman" w:cs="Times New Roman"/>
                <w:b/>
                <w:bCs/>
                <w:i/>
                <w:iCs/>
                <w:sz w:val="20"/>
                <w:szCs w:val="20"/>
              </w:rPr>
              <w:t>Job Characteristics</w:t>
            </w:r>
          </w:p>
        </w:tc>
        <w:tc>
          <w:tcPr>
            <w:tcW w:w="1008" w:type="dxa"/>
            <w:tcBorders>
              <w:top w:val="nil"/>
              <w:left w:val="single" w:sz="12" w:space="0" w:color="auto"/>
              <w:right w:val="single" w:sz="4" w:space="0" w:color="auto"/>
            </w:tcBorders>
            <w:shd w:val="clear" w:color="auto" w:fill="auto"/>
            <w:noWrap/>
            <w:vAlign w:val="center"/>
          </w:tcPr>
          <w:p w14:paraId="106C7D7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right w:val="double" w:sz="4" w:space="0" w:color="auto"/>
            </w:tcBorders>
            <w:shd w:val="clear" w:color="auto" w:fill="auto"/>
            <w:noWrap/>
            <w:vAlign w:val="center"/>
          </w:tcPr>
          <w:p w14:paraId="2D1624A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right w:val="single" w:sz="4" w:space="0" w:color="auto"/>
            </w:tcBorders>
            <w:shd w:val="clear" w:color="auto" w:fill="auto"/>
            <w:noWrap/>
            <w:vAlign w:val="center"/>
          </w:tcPr>
          <w:p w14:paraId="4589267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right w:val="double" w:sz="4" w:space="0" w:color="auto"/>
            </w:tcBorders>
            <w:shd w:val="clear" w:color="auto" w:fill="auto"/>
            <w:noWrap/>
            <w:vAlign w:val="center"/>
          </w:tcPr>
          <w:p w14:paraId="39963AA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5354660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67DA896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45D55DF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25821BF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68DC9181" w14:textId="77777777" w:rsidTr="002A04F4">
        <w:trPr>
          <w:trHeight w:val="288"/>
        </w:trPr>
        <w:tc>
          <w:tcPr>
            <w:tcW w:w="4306" w:type="dxa"/>
            <w:tcBorders>
              <w:top w:val="nil"/>
              <w:left w:val="double" w:sz="4" w:space="0" w:color="auto"/>
              <w:right w:val="single" w:sz="12" w:space="0" w:color="auto"/>
            </w:tcBorders>
            <w:shd w:val="clear" w:color="auto" w:fill="auto"/>
            <w:noWrap/>
            <w:vAlign w:val="center"/>
          </w:tcPr>
          <w:p w14:paraId="7677E5C7" w14:textId="77777777" w:rsidR="00716AAF" w:rsidRPr="006535B0" w:rsidRDefault="00716AAF" w:rsidP="002A04F4">
            <w:pPr>
              <w:spacing w:after="0" w:line="240" w:lineRule="auto"/>
              <w:jc w:val="left"/>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Employment Status (base: not self-employed)</w:t>
            </w:r>
          </w:p>
        </w:tc>
        <w:tc>
          <w:tcPr>
            <w:tcW w:w="1008" w:type="dxa"/>
            <w:tcBorders>
              <w:top w:val="nil"/>
              <w:left w:val="single" w:sz="12" w:space="0" w:color="auto"/>
              <w:right w:val="single" w:sz="4" w:space="0" w:color="auto"/>
            </w:tcBorders>
            <w:shd w:val="clear" w:color="auto" w:fill="auto"/>
            <w:noWrap/>
            <w:vAlign w:val="center"/>
          </w:tcPr>
          <w:p w14:paraId="70B6F55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62" w:type="dxa"/>
            <w:tcBorders>
              <w:top w:val="nil"/>
              <w:left w:val="single" w:sz="4" w:space="0" w:color="auto"/>
              <w:right w:val="double" w:sz="4" w:space="0" w:color="auto"/>
            </w:tcBorders>
            <w:shd w:val="clear" w:color="auto" w:fill="auto"/>
            <w:noWrap/>
            <w:vAlign w:val="center"/>
          </w:tcPr>
          <w:p w14:paraId="35EEA96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double" w:sz="4" w:space="0" w:color="auto"/>
              <w:right w:val="single" w:sz="4" w:space="0" w:color="auto"/>
            </w:tcBorders>
            <w:shd w:val="clear" w:color="auto" w:fill="auto"/>
            <w:noWrap/>
            <w:vAlign w:val="center"/>
          </w:tcPr>
          <w:p w14:paraId="1FE5A11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008" w:type="dxa"/>
            <w:tcBorders>
              <w:top w:val="nil"/>
              <w:left w:val="single" w:sz="4" w:space="0" w:color="auto"/>
              <w:right w:val="double" w:sz="4" w:space="0" w:color="auto"/>
            </w:tcBorders>
            <w:shd w:val="clear" w:color="auto" w:fill="auto"/>
            <w:noWrap/>
            <w:vAlign w:val="center"/>
          </w:tcPr>
          <w:p w14:paraId="4761026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6FA64BE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59BC0F3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1EA00FA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7D84C09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56C1D031" w14:textId="77777777" w:rsidTr="002A04F4">
        <w:trPr>
          <w:trHeight w:val="288"/>
        </w:trPr>
        <w:tc>
          <w:tcPr>
            <w:tcW w:w="4306" w:type="dxa"/>
            <w:tcBorders>
              <w:top w:val="nil"/>
              <w:left w:val="double" w:sz="4" w:space="0" w:color="auto"/>
              <w:right w:val="single" w:sz="12" w:space="0" w:color="auto"/>
            </w:tcBorders>
            <w:shd w:val="clear" w:color="auto" w:fill="auto"/>
            <w:noWrap/>
            <w:vAlign w:val="center"/>
          </w:tcPr>
          <w:p w14:paraId="70C6F46D"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Self-employed</w:t>
            </w:r>
          </w:p>
        </w:tc>
        <w:tc>
          <w:tcPr>
            <w:tcW w:w="1008" w:type="dxa"/>
            <w:tcBorders>
              <w:top w:val="nil"/>
              <w:left w:val="single" w:sz="12" w:space="0" w:color="auto"/>
              <w:right w:val="single" w:sz="4" w:space="0" w:color="auto"/>
            </w:tcBorders>
            <w:shd w:val="clear" w:color="auto" w:fill="auto"/>
            <w:noWrap/>
            <w:vAlign w:val="bottom"/>
          </w:tcPr>
          <w:p w14:paraId="1B9BEF63"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0.278</w:t>
            </w:r>
          </w:p>
        </w:tc>
        <w:tc>
          <w:tcPr>
            <w:tcW w:w="1062" w:type="dxa"/>
            <w:tcBorders>
              <w:top w:val="nil"/>
              <w:left w:val="single" w:sz="4" w:space="0" w:color="auto"/>
              <w:right w:val="double" w:sz="4" w:space="0" w:color="auto"/>
            </w:tcBorders>
            <w:shd w:val="clear" w:color="auto" w:fill="auto"/>
            <w:noWrap/>
            <w:vAlign w:val="bottom"/>
          </w:tcPr>
          <w:p w14:paraId="483B711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2.32</w:t>
            </w:r>
          </w:p>
        </w:tc>
        <w:tc>
          <w:tcPr>
            <w:tcW w:w="1008" w:type="dxa"/>
            <w:tcBorders>
              <w:top w:val="nil"/>
              <w:left w:val="double" w:sz="4" w:space="0" w:color="auto"/>
              <w:right w:val="single" w:sz="4" w:space="0" w:color="auto"/>
            </w:tcBorders>
            <w:shd w:val="clear" w:color="auto" w:fill="auto"/>
            <w:noWrap/>
            <w:vAlign w:val="bottom"/>
          </w:tcPr>
          <w:p w14:paraId="2B6F890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0.450</w:t>
            </w:r>
          </w:p>
        </w:tc>
        <w:tc>
          <w:tcPr>
            <w:tcW w:w="1008" w:type="dxa"/>
            <w:tcBorders>
              <w:top w:val="nil"/>
              <w:left w:val="single" w:sz="4" w:space="0" w:color="auto"/>
              <w:right w:val="double" w:sz="4" w:space="0" w:color="auto"/>
            </w:tcBorders>
            <w:shd w:val="clear" w:color="auto" w:fill="auto"/>
            <w:noWrap/>
            <w:vAlign w:val="bottom"/>
          </w:tcPr>
          <w:p w14:paraId="70E8B86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3.35</w:t>
            </w:r>
          </w:p>
        </w:tc>
        <w:tc>
          <w:tcPr>
            <w:tcW w:w="1138" w:type="dxa"/>
            <w:tcBorders>
              <w:left w:val="double" w:sz="4" w:space="0" w:color="auto"/>
              <w:right w:val="single" w:sz="4" w:space="0" w:color="auto"/>
            </w:tcBorders>
            <w:vAlign w:val="center"/>
          </w:tcPr>
          <w:p w14:paraId="2AF7C9C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7F046FC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6841A7CB"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39" w:type="dxa"/>
            <w:tcBorders>
              <w:left w:val="single" w:sz="4" w:space="0" w:color="auto"/>
              <w:right w:val="double" w:sz="4" w:space="0" w:color="auto"/>
            </w:tcBorders>
            <w:vAlign w:val="center"/>
          </w:tcPr>
          <w:p w14:paraId="39CF0A10"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180CC4CC" w14:textId="77777777" w:rsidTr="002A04F4">
        <w:trPr>
          <w:trHeight w:val="288"/>
        </w:trPr>
        <w:tc>
          <w:tcPr>
            <w:tcW w:w="4306" w:type="dxa"/>
            <w:tcBorders>
              <w:top w:val="nil"/>
              <w:left w:val="double" w:sz="4" w:space="0" w:color="auto"/>
              <w:right w:val="single" w:sz="12" w:space="0" w:color="auto"/>
            </w:tcBorders>
            <w:shd w:val="clear" w:color="auto" w:fill="auto"/>
            <w:noWrap/>
            <w:vAlign w:val="center"/>
          </w:tcPr>
          <w:p w14:paraId="645CD379" w14:textId="77777777" w:rsidR="00716AAF" w:rsidRPr="006535B0" w:rsidRDefault="00716AAF" w:rsidP="002A04F4">
            <w:pPr>
              <w:spacing w:after="0" w:line="240" w:lineRule="auto"/>
              <w:jc w:val="lef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Self-employed</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right w:val="single" w:sz="4" w:space="0" w:color="auto"/>
            </w:tcBorders>
            <w:shd w:val="clear" w:color="auto" w:fill="auto"/>
            <w:noWrap/>
            <w:vAlign w:val="bottom"/>
          </w:tcPr>
          <w:p w14:paraId="5829A37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-0.404</w:t>
            </w:r>
          </w:p>
        </w:tc>
        <w:tc>
          <w:tcPr>
            <w:tcW w:w="1062" w:type="dxa"/>
            <w:tcBorders>
              <w:top w:val="nil"/>
              <w:left w:val="single" w:sz="4" w:space="0" w:color="auto"/>
              <w:right w:val="double" w:sz="4" w:space="0" w:color="auto"/>
            </w:tcBorders>
            <w:shd w:val="clear" w:color="auto" w:fill="auto"/>
            <w:noWrap/>
            <w:vAlign w:val="bottom"/>
          </w:tcPr>
          <w:p w14:paraId="50711C9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-2.31</w:t>
            </w:r>
          </w:p>
        </w:tc>
        <w:tc>
          <w:tcPr>
            <w:tcW w:w="1008" w:type="dxa"/>
            <w:tcBorders>
              <w:top w:val="nil"/>
              <w:left w:val="double" w:sz="4" w:space="0" w:color="auto"/>
              <w:right w:val="single" w:sz="4" w:space="0" w:color="auto"/>
            </w:tcBorders>
            <w:shd w:val="clear" w:color="auto" w:fill="auto"/>
            <w:noWrap/>
            <w:vAlign w:val="bottom"/>
          </w:tcPr>
          <w:p w14:paraId="1E63B410"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-0.337</w:t>
            </w:r>
          </w:p>
        </w:tc>
        <w:tc>
          <w:tcPr>
            <w:tcW w:w="1008" w:type="dxa"/>
            <w:tcBorders>
              <w:top w:val="nil"/>
              <w:left w:val="single" w:sz="4" w:space="0" w:color="auto"/>
              <w:right w:val="double" w:sz="4" w:space="0" w:color="auto"/>
            </w:tcBorders>
            <w:shd w:val="clear" w:color="auto" w:fill="auto"/>
            <w:noWrap/>
            <w:vAlign w:val="bottom"/>
          </w:tcPr>
          <w:p w14:paraId="71FF9B6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-1.87</w:t>
            </w:r>
          </w:p>
        </w:tc>
        <w:tc>
          <w:tcPr>
            <w:tcW w:w="1138" w:type="dxa"/>
            <w:tcBorders>
              <w:left w:val="double" w:sz="4" w:space="0" w:color="auto"/>
              <w:right w:val="single" w:sz="4" w:space="0" w:color="auto"/>
            </w:tcBorders>
            <w:vAlign w:val="center"/>
          </w:tcPr>
          <w:p w14:paraId="75F9DD90" w14:textId="393C39B2" w:rsidR="00716AAF" w:rsidRPr="006535B0" w:rsidRDefault="00716AAF" w:rsidP="002A04F4">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0DB5D60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13E06FA3" w14:textId="414531FD" w:rsidR="00716AAF" w:rsidRPr="006535B0" w:rsidRDefault="00716AAF" w:rsidP="002A04F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9" w:type="dxa"/>
            <w:tcBorders>
              <w:left w:val="single" w:sz="4" w:space="0" w:color="auto"/>
              <w:right w:val="double" w:sz="4" w:space="0" w:color="auto"/>
            </w:tcBorders>
            <w:vAlign w:val="center"/>
          </w:tcPr>
          <w:p w14:paraId="2427705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2E8341A6"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CE672C4"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 Days Worked per Month (base: 16 days or </w:t>
            </w:r>
          </w:p>
          <w:p w14:paraId="6FCDACEE" w14:textId="77777777" w:rsidR="00716AAF" w:rsidRPr="006535B0" w:rsidRDefault="00716AAF" w:rsidP="002A04F4">
            <w:pPr>
              <w:spacing w:after="0" w:line="240" w:lineRule="auto"/>
              <w:jc w:val="left"/>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   more is full time)</w:t>
            </w:r>
          </w:p>
        </w:tc>
        <w:tc>
          <w:tcPr>
            <w:tcW w:w="1008" w:type="dxa"/>
            <w:tcBorders>
              <w:top w:val="nil"/>
              <w:left w:val="single" w:sz="12" w:space="0" w:color="auto"/>
              <w:bottom w:val="nil"/>
              <w:right w:val="single" w:sz="4" w:space="0" w:color="auto"/>
            </w:tcBorders>
            <w:shd w:val="clear" w:color="auto" w:fill="auto"/>
            <w:noWrap/>
            <w:vAlign w:val="center"/>
          </w:tcPr>
          <w:p w14:paraId="40701D9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62" w:type="dxa"/>
            <w:tcBorders>
              <w:top w:val="nil"/>
              <w:left w:val="single" w:sz="4" w:space="0" w:color="auto"/>
              <w:bottom w:val="nil"/>
              <w:right w:val="double" w:sz="4" w:space="0" w:color="auto"/>
            </w:tcBorders>
            <w:shd w:val="clear" w:color="auto" w:fill="auto"/>
            <w:noWrap/>
            <w:vAlign w:val="center"/>
          </w:tcPr>
          <w:p w14:paraId="282C493B"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double" w:sz="4" w:space="0" w:color="auto"/>
              <w:bottom w:val="nil"/>
              <w:right w:val="single" w:sz="4" w:space="0" w:color="auto"/>
            </w:tcBorders>
            <w:shd w:val="clear" w:color="auto" w:fill="auto"/>
            <w:noWrap/>
            <w:vAlign w:val="center"/>
          </w:tcPr>
          <w:p w14:paraId="46021D5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single" w:sz="4" w:space="0" w:color="auto"/>
              <w:bottom w:val="nil"/>
              <w:right w:val="double" w:sz="4" w:space="0" w:color="auto"/>
            </w:tcBorders>
            <w:shd w:val="clear" w:color="auto" w:fill="auto"/>
            <w:noWrap/>
            <w:vAlign w:val="center"/>
          </w:tcPr>
          <w:p w14:paraId="5A2BB82A"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right w:val="single" w:sz="4" w:space="0" w:color="auto"/>
            </w:tcBorders>
            <w:vAlign w:val="center"/>
          </w:tcPr>
          <w:p w14:paraId="5A451A3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single" w:sz="4" w:space="0" w:color="auto"/>
              <w:right w:val="double" w:sz="4" w:space="0" w:color="auto"/>
            </w:tcBorders>
            <w:vAlign w:val="center"/>
          </w:tcPr>
          <w:p w14:paraId="280CA77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0880A1F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9" w:type="dxa"/>
            <w:tcBorders>
              <w:left w:val="single" w:sz="4" w:space="0" w:color="auto"/>
              <w:right w:val="double" w:sz="4" w:space="0" w:color="auto"/>
            </w:tcBorders>
            <w:vAlign w:val="center"/>
          </w:tcPr>
          <w:p w14:paraId="49D293F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44E71A17" w14:textId="77777777" w:rsidTr="002A04F4">
        <w:trPr>
          <w:trHeight w:val="288"/>
        </w:trPr>
        <w:tc>
          <w:tcPr>
            <w:tcW w:w="4306" w:type="dxa"/>
            <w:tcBorders>
              <w:top w:val="nil"/>
              <w:left w:val="double" w:sz="4" w:space="0" w:color="auto"/>
              <w:right w:val="single" w:sz="12" w:space="0" w:color="auto"/>
            </w:tcBorders>
            <w:shd w:val="clear" w:color="auto" w:fill="auto"/>
            <w:noWrap/>
            <w:vAlign w:val="center"/>
          </w:tcPr>
          <w:p w14:paraId="7C7A4BC0"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1 to 15 days (part time)</w:t>
            </w:r>
          </w:p>
        </w:tc>
        <w:tc>
          <w:tcPr>
            <w:tcW w:w="1008" w:type="dxa"/>
            <w:tcBorders>
              <w:top w:val="nil"/>
              <w:left w:val="single" w:sz="12" w:space="0" w:color="auto"/>
              <w:right w:val="single" w:sz="4" w:space="0" w:color="auto"/>
            </w:tcBorders>
            <w:shd w:val="clear" w:color="auto" w:fill="auto"/>
            <w:noWrap/>
            <w:vAlign w:val="bottom"/>
          </w:tcPr>
          <w:p w14:paraId="7AB90BC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0.425</w:t>
            </w:r>
          </w:p>
        </w:tc>
        <w:tc>
          <w:tcPr>
            <w:tcW w:w="1062" w:type="dxa"/>
            <w:tcBorders>
              <w:top w:val="nil"/>
              <w:left w:val="single" w:sz="4" w:space="0" w:color="auto"/>
              <w:right w:val="double" w:sz="4" w:space="0" w:color="auto"/>
            </w:tcBorders>
            <w:shd w:val="clear" w:color="auto" w:fill="auto"/>
            <w:noWrap/>
            <w:vAlign w:val="bottom"/>
          </w:tcPr>
          <w:p w14:paraId="28056AB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2.67</w:t>
            </w:r>
          </w:p>
        </w:tc>
        <w:tc>
          <w:tcPr>
            <w:tcW w:w="1008" w:type="dxa"/>
            <w:tcBorders>
              <w:top w:val="nil"/>
              <w:left w:val="double" w:sz="4" w:space="0" w:color="auto"/>
              <w:right w:val="single" w:sz="4" w:space="0" w:color="auto"/>
            </w:tcBorders>
            <w:shd w:val="clear" w:color="auto" w:fill="auto"/>
            <w:noWrap/>
            <w:vAlign w:val="bottom"/>
          </w:tcPr>
          <w:p w14:paraId="72DAF85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-0.279</w:t>
            </w:r>
          </w:p>
        </w:tc>
        <w:tc>
          <w:tcPr>
            <w:tcW w:w="1008" w:type="dxa"/>
            <w:tcBorders>
              <w:top w:val="nil"/>
              <w:left w:val="single" w:sz="4" w:space="0" w:color="auto"/>
              <w:right w:val="double" w:sz="4" w:space="0" w:color="auto"/>
            </w:tcBorders>
            <w:shd w:val="clear" w:color="auto" w:fill="auto"/>
            <w:noWrap/>
            <w:vAlign w:val="bottom"/>
          </w:tcPr>
          <w:p w14:paraId="55752A7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-1.80</w:t>
            </w:r>
          </w:p>
        </w:tc>
        <w:tc>
          <w:tcPr>
            <w:tcW w:w="1138" w:type="dxa"/>
            <w:tcBorders>
              <w:left w:val="double" w:sz="4" w:space="0" w:color="auto"/>
              <w:right w:val="single" w:sz="4" w:space="0" w:color="auto"/>
            </w:tcBorders>
            <w:vAlign w:val="center"/>
          </w:tcPr>
          <w:p w14:paraId="0AEB1EE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right w:val="double" w:sz="4" w:space="0" w:color="auto"/>
            </w:tcBorders>
            <w:vAlign w:val="center"/>
          </w:tcPr>
          <w:p w14:paraId="790E420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right w:val="single" w:sz="4" w:space="0" w:color="auto"/>
            </w:tcBorders>
            <w:vAlign w:val="center"/>
          </w:tcPr>
          <w:p w14:paraId="3309431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9" w:type="dxa"/>
            <w:tcBorders>
              <w:left w:val="single" w:sz="4" w:space="0" w:color="auto"/>
              <w:right w:val="double" w:sz="4" w:space="0" w:color="auto"/>
            </w:tcBorders>
            <w:vAlign w:val="center"/>
          </w:tcPr>
          <w:p w14:paraId="055FBD2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5EA5815A" w14:textId="77777777" w:rsidTr="002A04F4">
        <w:trPr>
          <w:trHeight w:val="288"/>
        </w:trPr>
        <w:tc>
          <w:tcPr>
            <w:tcW w:w="4306" w:type="dxa"/>
            <w:tcBorders>
              <w:top w:val="nil"/>
              <w:left w:val="double" w:sz="4" w:space="0" w:color="auto"/>
              <w:bottom w:val="double" w:sz="4" w:space="0" w:color="auto"/>
              <w:right w:val="single" w:sz="12" w:space="0" w:color="auto"/>
            </w:tcBorders>
            <w:shd w:val="clear" w:color="auto" w:fill="auto"/>
            <w:noWrap/>
            <w:vAlign w:val="center"/>
          </w:tcPr>
          <w:p w14:paraId="70E0B74C" w14:textId="77777777" w:rsidR="00716AAF" w:rsidRPr="006535B0" w:rsidRDefault="00716AAF" w:rsidP="002A04F4">
            <w:pPr>
              <w:spacing w:after="0" w:line="240"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1 to 15 days (part time)</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double" w:sz="4" w:space="0" w:color="auto"/>
              <w:right w:val="single" w:sz="4" w:space="0" w:color="auto"/>
            </w:tcBorders>
            <w:shd w:val="clear" w:color="auto" w:fill="auto"/>
            <w:noWrap/>
            <w:vAlign w:val="center"/>
          </w:tcPr>
          <w:p w14:paraId="77E4E1BB" w14:textId="66DF4082" w:rsidR="00716AAF" w:rsidRPr="006535B0" w:rsidRDefault="00716AAF" w:rsidP="002A04F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062" w:type="dxa"/>
            <w:tcBorders>
              <w:top w:val="nil"/>
              <w:left w:val="single" w:sz="4" w:space="0" w:color="auto"/>
              <w:bottom w:val="double" w:sz="4" w:space="0" w:color="auto"/>
              <w:right w:val="double" w:sz="4" w:space="0" w:color="auto"/>
            </w:tcBorders>
            <w:shd w:val="clear" w:color="auto" w:fill="auto"/>
            <w:noWrap/>
            <w:vAlign w:val="center"/>
          </w:tcPr>
          <w:p w14:paraId="22B4BE5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008" w:type="dxa"/>
            <w:tcBorders>
              <w:top w:val="nil"/>
              <w:left w:val="double" w:sz="4" w:space="0" w:color="auto"/>
              <w:bottom w:val="double" w:sz="4" w:space="0" w:color="auto"/>
              <w:right w:val="single" w:sz="4" w:space="0" w:color="auto"/>
            </w:tcBorders>
            <w:shd w:val="clear" w:color="auto" w:fill="auto"/>
            <w:noWrap/>
            <w:vAlign w:val="center"/>
          </w:tcPr>
          <w:p w14:paraId="0AF6EFBE" w14:textId="1EB84804" w:rsidR="00716AAF" w:rsidRPr="006535B0" w:rsidRDefault="00716AAF" w:rsidP="002A04F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008" w:type="dxa"/>
            <w:tcBorders>
              <w:top w:val="nil"/>
              <w:left w:val="single" w:sz="4" w:space="0" w:color="auto"/>
              <w:bottom w:val="double" w:sz="4" w:space="0" w:color="auto"/>
              <w:right w:val="double" w:sz="4" w:space="0" w:color="auto"/>
            </w:tcBorders>
            <w:shd w:val="clear" w:color="auto" w:fill="auto"/>
            <w:noWrap/>
            <w:vAlign w:val="center"/>
          </w:tcPr>
          <w:p w14:paraId="3E58013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38" w:type="dxa"/>
            <w:tcBorders>
              <w:left w:val="double" w:sz="4" w:space="0" w:color="auto"/>
              <w:bottom w:val="double" w:sz="4" w:space="0" w:color="auto"/>
              <w:right w:val="single" w:sz="4" w:space="0" w:color="auto"/>
            </w:tcBorders>
            <w:vAlign w:val="center"/>
          </w:tcPr>
          <w:p w14:paraId="5133C03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38" w:type="dxa"/>
            <w:tcBorders>
              <w:left w:val="single" w:sz="4" w:space="0" w:color="auto"/>
              <w:bottom w:val="double" w:sz="4" w:space="0" w:color="auto"/>
              <w:right w:val="double" w:sz="4" w:space="0" w:color="auto"/>
            </w:tcBorders>
            <w:vAlign w:val="center"/>
          </w:tcPr>
          <w:p w14:paraId="49612BD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38" w:type="dxa"/>
            <w:tcBorders>
              <w:left w:val="double" w:sz="4" w:space="0" w:color="auto"/>
              <w:bottom w:val="double" w:sz="4" w:space="0" w:color="auto"/>
              <w:right w:val="single" w:sz="4" w:space="0" w:color="auto"/>
            </w:tcBorders>
            <w:vAlign w:val="bottom"/>
          </w:tcPr>
          <w:p w14:paraId="2FDC6DC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0.538</w:t>
            </w:r>
          </w:p>
        </w:tc>
        <w:tc>
          <w:tcPr>
            <w:tcW w:w="1139" w:type="dxa"/>
            <w:tcBorders>
              <w:left w:val="single" w:sz="4" w:space="0" w:color="auto"/>
              <w:bottom w:val="double" w:sz="4" w:space="0" w:color="auto"/>
              <w:right w:val="double" w:sz="4" w:space="0" w:color="auto"/>
            </w:tcBorders>
            <w:vAlign w:val="bottom"/>
          </w:tcPr>
          <w:p w14:paraId="366BBFB0"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2.20</w:t>
            </w:r>
          </w:p>
        </w:tc>
      </w:tr>
    </w:tbl>
    <w:p w14:paraId="0E603F4D" w14:textId="77777777" w:rsidR="00716AAF" w:rsidRPr="006535B0" w:rsidRDefault="00716AAF" w:rsidP="00716AAF">
      <w:pPr>
        <w:spacing w:line="276" w:lineRule="auto"/>
        <w:jc w:val="left"/>
        <w:rPr>
          <w:rFonts w:ascii="Times New Roman" w:eastAsia="Calibri" w:hAnsi="Times New Roman" w:cs="Times New Roman"/>
          <w:b/>
          <w:sz w:val="24"/>
          <w:szCs w:val="24"/>
        </w:rPr>
      </w:pPr>
      <w:r w:rsidRPr="006535B0">
        <w:rPr>
          <w:rFonts w:ascii="Times New Roman" w:eastAsia="Calibri" w:hAnsi="Times New Roman" w:cs="Times New Roman"/>
          <w:b/>
          <w:sz w:val="24"/>
          <w:szCs w:val="24"/>
        </w:rPr>
        <w:br w:type="page"/>
      </w:r>
    </w:p>
    <w:p w14:paraId="1D692C24" w14:textId="77777777" w:rsidR="00716AAF" w:rsidRPr="006535B0" w:rsidRDefault="00716AAF" w:rsidP="00716AAF">
      <w:pPr>
        <w:spacing w:after="0" w:line="276" w:lineRule="auto"/>
        <w:rPr>
          <w:rFonts w:ascii="Times New Roman" w:eastAsia="Calibri" w:hAnsi="Times New Roman" w:cs="Times New Roman"/>
          <w:b/>
          <w:sz w:val="24"/>
          <w:szCs w:val="24"/>
        </w:rPr>
      </w:pPr>
      <w:r w:rsidRPr="006535B0">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A</w:t>
      </w:r>
      <w:r w:rsidRPr="006535B0">
        <w:rPr>
          <w:rFonts w:ascii="Times New Roman" w:eastAsia="Calibri" w:hAnsi="Times New Roman" w:cs="Times New Roman"/>
          <w:b/>
          <w:sz w:val="24"/>
          <w:szCs w:val="24"/>
        </w:rPr>
        <w:t>. Independent Model Estimation Results</w:t>
      </w:r>
    </w:p>
    <w:tbl>
      <w:tblPr>
        <w:tblpPr w:leftFromText="180" w:rightFromText="180" w:vertAnchor="text" w:horzAnchor="margin" w:tblpY="-2"/>
        <w:tblW w:w="13035" w:type="dxa"/>
        <w:tblLayout w:type="fixed"/>
        <w:tblLook w:val="04A0" w:firstRow="1" w:lastRow="0" w:firstColumn="1" w:lastColumn="0" w:noHBand="0" w:noVBand="1"/>
      </w:tblPr>
      <w:tblGrid>
        <w:gridCol w:w="4306"/>
        <w:gridCol w:w="1008"/>
        <w:gridCol w:w="1152"/>
        <w:gridCol w:w="990"/>
        <w:gridCol w:w="990"/>
        <w:gridCol w:w="1147"/>
        <w:gridCol w:w="1147"/>
        <w:gridCol w:w="1147"/>
        <w:gridCol w:w="1148"/>
      </w:tblGrid>
      <w:tr w:rsidR="00716AAF" w:rsidRPr="006535B0" w14:paraId="16A0B3D9" w14:textId="77777777" w:rsidTr="002A04F4">
        <w:trPr>
          <w:trHeight w:val="288"/>
        </w:trPr>
        <w:tc>
          <w:tcPr>
            <w:tcW w:w="4306" w:type="dxa"/>
            <w:vMerge w:val="restart"/>
            <w:tcBorders>
              <w:top w:val="double" w:sz="4" w:space="0" w:color="auto"/>
              <w:left w:val="double" w:sz="4" w:space="0" w:color="auto"/>
              <w:right w:val="single" w:sz="12" w:space="0" w:color="auto"/>
            </w:tcBorders>
            <w:shd w:val="clear" w:color="auto" w:fill="auto"/>
            <w:noWrap/>
            <w:vAlign w:val="center"/>
          </w:tcPr>
          <w:p w14:paraId="66CF1946"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Exogenous Variables </w:t>
            </w:r>
          </w:p>
          <w:p w14:paraId="3209751D"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(base category – </w:t>
            </w:r>
            <w:r w:rsidRPr="006535B0">
              <w:rPr>
                <w:rFonts w:ascii="Times New Roman" w:eastAsia="Times New Roman" w:hAnsi="Times New Roman" w:cs="Times New Roman"/>
                <w:b/>
                <w:bCs/>
                <w:i/>
                <w:sz w:val="20"/>
                <w:szCs w:val="20"/>
              </w:rPr>
              <w:t>WITHOUT THE COVID SHIFT EFFECT</w:t>
            </w:r>
            <w:r w:rsidRPr="006535B0">
              <w:rPr>
                <w:rFonts w:ascii="Times New Roman" w:eastAsia="Times New Roman" w:hAnsi="Times New Roman" w:cs="Times New Roman"/>
                <w:b/>
                <w:bCs/>
                <w:sz w:val="20"/>
                <w:szCs w:val="20"/>
              </w:rPr>
              <w:t>)</w:t>
            </w:r>
          </w:p>
        </w:tc>
        <w:tc>
          <w:tcPr>
            <w:tcW w:w="2160" w:type="dxa"/>
            <w:gridSpan w:val="2"/>
            <w:vMerge w:val="restart"/>
            <w:tcBorders>
              <w:top w:val="double" w:sz="4" w:space="0" w:color="auto"/>
              <w:left w:val="single" w:sz="12" w:space="0" w:color="auto"/>
              <w:bottom w:val="single" w:sz="4" w:space="0" w:color="auto"/>
              <w:right w:val="double" w:sz="4" w:space="0" w:color="auto"/>
            </w:tcBorders>
            <w:shd w:val="clear" w:color="auto" w:fill="auto"/>
            <w:noWrap/>
            <w:vAlign w:val="center"/>
          </w:tcPr>
          <w:p w14:paraId="2FDE957B"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Adoption (Binary) Propensity</w:t>
            </w:r>
          </w:p>
        </w:tc>
        <w:tc>
          <w:tcPr>
            <w:tcW w:w="1980" w:type="dxa"/>
            <w:gridSpan w:val="2"/>
            <w:vMerge w:val="restart"/>
            <w:tcBorders>
              <w:top w:val="double" w:sz="4" w:space="0" w:color="auto"/>
              <w:left w:val="double" w:sz="4" w:space="0" w:color="auto"/>
              <w:bottom w:val="single" w:sz="4" w:space="0" w:color="auto"/>
              <w:right w:val="double" w:sz="4" w:space="0" w:color="auto"/>
            </w:tcBorders>
            <w:shd w:val="clear" w:color="auto" w:fill="auto"/>
            <w:noWrap/>
            <w:vAlign w:val="center"/>
          </w:tcPr>
          <w:p w14:paraId="09194F27"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Frequency (Ordered) Propensity</w:t>
            </w:r>
          </w:p>
        </w:tc>
        <w:tc>
          <w:tcPr>
            <w:tcW w:w="4589" w:type="dxa"/>
            <w:gridSpan w:val="4"/>
            <w:tcBorders>
              <w:top w:val="double" w:sz="4" w:space="0" w:color="auto"/>
              <w:left w:val="double" w:sz="4" w:space="0" w:color="auto"/>
              <w:bottom w:val="single" w:sz="4" w:space="0" w:color="auto"/>
              <w:right w:val="double" w:sz="4" w:space="0" w:color="auto"/>
            </w:tcBorders>
          </w:tcPr>
          <w:p w14:paraId="2AFE38E0"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Location (Multinomial) Propensity </w:t>
            </w:r>
          </w:p>
          <w:p w14:paraId="75D8BB92"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(base category – Home Only Utility)</w:t>
            </w:r>
          </w:p>
        </w:tc>
      </w:tr>
      <w:tr w:rsidR="00716AAF" w:rsidRPr="006535B0" w14:paraId="6B3743D5" w14:textId="77777777" w:rsidTr="002A04F4">
        <w:trPr>
          <w:trHeight w:val="288"/>
        </w:trPr>
        <w:tc>
          <w:tcPr>
            <w:tcW w:w="4306" w:type="dxa"/>
            <w:vMerge/>
            <w:tcBorders>
              <w:left w:val="double" w:sz="4" w:space="0" w:color="auto"/>
              <w:right w:val="single" w:sz="12" w:space="0" w:color="auto"/>
            </w:tcBorders>
            <w:shd w:val="clear" w:color="auto" w:fill="auto"/>
            <w:noWrap/>
            <w:vAlign w:val="center"/>
          </w:tcPr>
          <w:p w14:paraId="2E203D36" w14:textId="77777777" w:rsidR="00716AAF" w:rsidRPr="006535B0" w:rsidRDefault="00716AAF" w:rsidP="002A04F4">
            <w:pPr>
              <w:spacing w:after="0" w:line="276" w:lineRule="auto"/>
              <w:jc w:val="left"/>
              <w:rPr>
                <w:rFonts w:ascii="Times New Roman" w:eastAsia="Times New Roman" w:hAnsi="Times New Roman" w:cs="Times New Roman"/>
                <w:b/>
                <w:bCs/>
                <w:sz w:val="20"/>
                <w:szCs w:val="20"/>
              </w:rPr>
            </w:pPr>
          </w:p>
        </w:tc>
        <w:tc>
          <w:tcPr>
            <w:tcW w:w="2160" w:type="dxa"/>
            <w:gridSpan w:val="2"/>
            <w:vMerge/>
            <w:tcBorders>
              <w:top w:val="double" w:sz="4" w:space="0" w:color="auto"/>
              <w:left w:val="single" w:sz="12" w:space="0" w:color="auto"/>
              <w:bottom w:val="single" w:sz="4" w:space="0" w:color="auto"/>
              <w:right w:val="double" w:sz="4" w:space="0" w:color="auto"/>
            </w:tcBorders>
            <w:shd w:val="clear" w:color="auto" w:fill="auto"/>
            <w:noWrap/>
            <w:vAlign w:val="center"/>
          </w:tcPr>
          <w:p w14:paraId="25D90EF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980" w:type="dxa"/>
            <w:gridSpan w:val="2"/>
            <w:vMerge/>
            <w:tcBorders>
              <w:top w:val="double" w:sz="4" w:space="0" w:color="auto"/>
              <w:left w:val="double" w:sz="4" w:space="0" w:color="auto"/>
              <w:bottom w:val="single" w:sz="4" w:space="0" w:color="auto"/>
              <w:right w:val="double" w:sz="4" w:space="0" w:color="auto"/>
            </w:tcBorders>
            <w:shd w:val="clear" w:color="auto" w:fill="auto"/>
            <w:noWrap/>
            <w:vAlign w:val="center"/>
          </w:tcPr>
          <w:p w14:paraId="1320FFF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2294" w:type="dxa"/>
            <w:gridSpan w:val="2"/>
            <w:tcBorders>
              <w:top w:val="single" w:sz="4" w:space="0" w:color="auto"/>
              <w:left w:val="double" w:sz="4" w:space="0" w:color="auto"/>
              <w:bottom w:val="single" w:sz="4" w:space="0" w:color="auto"/>
              <w:right w:val="double" w:sz="4" w:space="0" w:color="auto"/>
            </w:tcBorders>
            <w:vAlign w:val="center"/>
          </w:tcPr>
          <w:p w14:paraId="74086A76"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Third Location Only Utility</w:t>
            </w:r>
          </w:p>
        </w:tc>
        <w:tc>
          <w:tcPr>
            <w:tcW w:w="2295" w:type="dxa"/>
            <w:gridSpan w:val="2"/>
            <w:tcBorders>
              <w:top w:val="single" w:sz="12" w:space="0" w:color="auto"/>
              <w:left w:val="double" w:sz="4" w:space="0" w:color="auto"/>
              <w:bottom w:val="single" w:sz="4" w:space="0" w:color="auto"/>
              <w:right w:val="double" w:sz="4" w:space="0" w:color="auto"/>
            </w:tcBorders>
            <w:vAlign w:val="center"/>
          </w:tcPr>
          <w:p w14:paraId="01E938DE"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Both Home and Third Location Utility</w:t>
            </w:r>
          </w:p>
        </w:tc>
      </w:tr>
      <w:tr w:rsidR="00716AAF" w:rsidRPr="006535B0" w14:paraId="0A858B4C" w14:textId="77777777" w:rsidTr="002A04F4">
        <w:trPr>
          <w:trHeight w:val="288"/>
        </w:trPr>
        <w:tc>
          <w:tcPr>
            <w:tcW w:w="4306" w:type="dxa"/>
            <w:vMerge/>
            <w:tcBorders>
              <w:left w:val="double" w:sz="4" w:space="0" w:color="auto"/>
              <w:bottom w:val="double" w:sz="4" w:space="0" w:color="auto"/>
              <w:right w:val="single" w:sz="12" w:space="0" w:color="auto"/>
            </w:tcBorders>
            <w:shd w:val="clear" w:color="auto" w:fill="auto"/>
            <w:noWrap/>
            <w:vAlign w:val="center"/>
          </w:tcPr>
          <w:p w14:paraId="42324282" w14:textId="77777777" w:rsidR="00716AAF" w:rsidRPr="006535B0" w:rsidRDefault="00716AAF" w:rsidP="002A04F4">
            <w:pPr>
              <w:spacing w:after="0" w:line="276" w:lineRule="auto"/>
              <w:jc w:val="left"/>
              <w:rPr>
                <w:rFonts w:ascii="Times New Roman" w:eastAsia="Times New Roman" w:hAnsi="Times New Roman" w:cs="Times New Roman"/>
                <w:b/>
                <w:bCs/>
                <w:sz w:val="20"/>
                <w:szCs w:val="20"/>
              </w:rPr>
            </w:pPr>
          </w:p>
        </w:tc>
        <w:tc>
          <w:tcPr>
            <w:tcW w:w="1008" w:type="dxa"/>
            <w:tcBorders>
              <w:top w:val="single" w:sz="4" w:space="0" w:color="auto"/>
              <w:left w:val="single" w:sz="12" w:space="0" w:color="auto"/>
              <w:bottom w:val="double" w:sz="4" w:space="0" w:color="auto"/>
              <w:right w:val="single" w:sz="4" w:space="0" w:color="auto"/>
            </w:tcBorders>
            <w:shd w:val="clear" w:color="auto" w:fill="auto"/>
            <w:noWrap/>
            <w:vAlign w:val="center"/>
          </w:tcPr>
          <w:p w14:paraId="1D2E570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152" w:type="dxa"/>
            <w:tcBorders>
              <w:top w:val="single" w:sz="4" w:space="0" w:color="auto"/>
              <w:left w:val="single" w:sz="4" w:space="0" w:color="auto"/>
              <w:bottom w:val="double" w:sz="4" w:space="0" w:color="auto"/>
              <w:right w:val="double" w:sz="4" w:space="0" w:color="auto"/>
            </w:tcBorders>
            <w:shd w:val="clear" w:color="auto" w:fill="auto"/>
            <w:noWrap/>
            <w:vAlign w:val="center"/>
          </w:tcPr>
          <w:p w14:paraId="15CCC32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99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6B6706A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990" w:type="dxa"/>
            <w:tcBorders>
              <w:top w:val="single" w:sz="4" w:space="0" w:color="auto"/>
              <w:left w:val="single" w:sz="4" w:space="0" w:color="auto"/>
              <w:bottom w:val="double" w:sz="4" w:space="0" w:color="auto"/>
              <w:right w:val="double" w:sz="4" w:space="0" w:color="auto"/>
            </w:tcBorders>
            <w:shd w:val="clear" w:color="auto" w:fill="auto"/>
            <w:noWrap/>
            <w:vAlign w:val="center"/>
          </w:tcPr>
          <w:p w14:paraId="6A76446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1147" w:type="dxa"/>
            <w:tcBorders>
              <w:top w:val="single" w:sz="4" w:space="0" w:color="auto"/>
              <w:left w:val="double" w:sz="4" w:space="0" w:color="auto"/>
              <w:bottom w:val="double" w:sz="4" w:space="0" w:color="auto"/>
              <w:right w:val="single" w:sz="4" w:space="0" w:color="auto"/>
            </w:tcBorders>
            <w:vAlign w:val="center"/>
          </w:tcPr>
          <w:p w14:paraId="562BDFD7"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Times New Roman" w:hAnsi="Times New Roman" w:cs="Times New Roman"/>
                <w:sz w:val="20"/>
                <w:szCs w:val="20"/>
              </w:rPr>
              <w:t>Coeff.</w:t>
            </w:r>
          </w:p>
        </w:tc>
        <w:tc>
          <w:tcPr>
            <w:tcW w:w="1147" w:type="dxa"/>
            <w:tcBorders>
              <w:top w:val="single" w:sz="4" w:space="0" w:color="auto"/>
              <w:left w:val="single" w:sz="4" w:space="0" w:color="auto"/>
              <w:bottom w:val="double" w:sz="4" w:space="0" w:color="auto"/>
              <w:right w:val="double" w:sz="4" w:space="0" w:color="auto"/>
            </w:tcBorders>
            <w:vAlign w:val="center"/>
          </w:tcPr>
          <w:p w14:paraId="6C37179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1147" w:type="dxa"/>
            <w:tcBorders>
              <w:top w:val="single" w:sz="4" w:space="0" w:color="auto"/>
              <w:left w:val="double" w:sz="4" w:space="0" w:color="auto"/>
              <w:bottom w:val="double" w:sz="4" w:space="0" w:color="auto"/>
              <w:right w:val="single" w:sz="4" w:space="0" w:color="auto"/>
            </w:tcBorders>
            <w:vAlign w:val="center"/>
          </w:tcPr>
          <w:p w14:paraId="188FF51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148" w:type="dxa"/>
            <w:tcBorders>
              <w:top w:val="single" w:sz="4" w:space="0" w:color="auto"/>
              <w:left w:val="single" w:sz="4" w:space="0" w:color="auto"/>
              <w:bottom w:val="double" w:sz="4" w:space="0" w:color="auto"/>
              <w:right w:val="double" w:sz="4" w:space="0" w:color="auto"/>
            </w:tcBorders>
            <w:vAlign w:val="center"/>
          </w:tcPr>
          <w:p w14:paraId="65B9232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r>
      <w:tr w:rsidR="00716AAF" w:rsidRPr="006535B0" w14:paraId="68BB6881"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403DA213" w14:textId="77777777" w:rsidR="00716AAF" w:rsidRPr="006535B0" w:rsidRDefault="00716AAF" w:rsidP="002A04F4">
            <w:pPr>
              <w:spacing w:after="0" w:line="276" w:lineRule="auto"/>
              <w:jc w:val="left"/>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Occupation (base: managerial/technical job)</w:t>
            </w:r>
          </w:p>
        </w:tc>
        <w:tc>
          <w:tcPr>
            <w:tcW w:w="1008" w:type="dxa"/>
            <w:tcBorders>
              <w:top w:val="nil"/>
              <w:left w:val="single" w:sz="12" w:space="0" w:color="auto"/>
              <w:bottom w:val="nil"/>
              <w:right w:val="single" w:sz="4" w:space="0" w:color="auto"/>
            </w:tcBorders>
            <w:shd w:val="clear" w:color="auto" w:fill="auto"/>
            <w:noWrap/>
            <w:vAlign w:val="center"/>
          </w:tcPr>
          <w:p w14:paraId="177F86F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52" w:type="dxa"/>
            <w:tcBorders>
              <w:top w:val="nil"/>
              <w:left w:val="single" w:sz="4" w:space="0" w:color="auto"/>
              <w:bottom w:val="nil"/>
              <w:right w:val="double" w:sz="4" w:space="0" w:color="auto"/>
            </w:tcBorders>
            <w:shd w:val="clear" w:color="auto" w:fill="auto"/>
            <w:noWrap/>
            <w:vAlign w:val="center"/>
          </w:tcPr>
          <w:p w14:paraId="1269D0A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00767A7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single" w:sz="4" w:space="0" w:color="auto"/>
              <w:bottom w:val="nil"/>
              <w:right w:val="double" w:sz="4" w:space="0" w:color="auto"/>
            </w:tcBorders>
            <w:shd w:val="clear" w:color="auto" w:fill="auto"/>
            <w:noWrap/>
            <w:vAlign w:val="center"/>
          </w:tcPr>
          <w:p w14:paraId="5C454BB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top w:val="double" w:sz="4" w:space="0" w:color="auto"/>
              <w:left w:val="double" w:sz="4" w:space="0" w:color="auto"/>
              <w:right w:val="single" w:sz="4" w:space="0" w:color="auto"/>
            </w:tcBorders>
            <w:vAlign w:val="center"/>
          </w:tcPr>
          <w:p w14:paraId="6975E06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top w:val="double" w:sz="4" w:space="0" w:color="auto"/>
              <w:left w:val="single" w:sz="4" w:space="0" w:color="auto"/>
              <w:right w:val="double" w:sz="4" w:space="0" w:color="auto"/>
            </w:tcBorders>
            <w:vAlign w:val="center"/>
          </w:tcPr>
          <w:p w14:paraId="6A2EB49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top w:val="double" w:sz="4" w:space="0" w:color="auto"/>
              <w:left w:val="double" w:sz="4" w:space="0" w:color="auto"/>
              <w:right w:val="single" w:sz="4" w:space="0" w:color="auto"/>
            </w:tcBorders>
            <w:vAlign w:val="center"/>
          </w:tcPr>
          <w:p w14:paraId="1CD2271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8" w:type="dxa"/>
            <w:tcBorders>
              <w:top w:val="double" w:sz="4" w:space="0" w:color="auto"/>
              <w:left w:val="single" w:sz="4" w:space="0" w:color="auto"/>
              <w:right w:val="double" w:sz="4" w:space="0" w:color="auto"/>
            </w:tcBorders>
            <w:vAlign w:val="center"/>
          </w:tcPr>
          <w:p w14:paraId="4533A12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582A976E"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8A5144C" w14:textId="77777777" w:rsidR="00716AAF" w:rsidRPr="006535B0" w:rsidRDefault="00716AAF" w:rsidP="002A04F4">
            <w:pPr>
              <w:spacing w:after="0" w:line="276"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Healthcare</w:t>
            </w:r>
          </w:p>
        </w:tc>
        <w:tc>
          <w:tcPr>
            <w:tcW w:w="1008" w:type="dxa"/>
            <w:tcBorders>
              <w:top w:val="nil"/>
              <w:left w:val="single" w:sz="12" w:space="0" w:color="auto"/>
              <w:bottom w:val="nil"/>
              <w:right w:val="single" w:sz="4" w:space="0" w:color="auto"/>
            </w:tcBorders>
            <w:shd w:val="clear" w:color="auto" w:fill="auto"/>
            <w:noWrap/>
            <w:vAlign w:val="bottom"/>
          </w:tcPr>
          <w:p w14:paraId="700895F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-0.632</w:t>
            </w:r>
          </w:p>
        </w:tc>
        <w:tc>
          <w:tcPr>
            <w:tcW w:w="1152" w:type="dxa"/>
            <w:tcBorders>
              <w:top w:val="nil"/>
              <w:left w:val="single" w:sz="4" w:space="0" w:color="auto"/>
              <w:bottom w:val="nil"/>
              <w:right w:val="double" w:sz="4" w:space="0" w:color="auto"/>
            </w:tcBorders>
            <w:shd w:val="clear" w:color="auto" w:fill="auto"/>
            <w:noWrap/>
            <w:vAlign w:val="bottom"/>
          </w:tcPr>
          <w:p w14:paraId="146E871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-3.01</w:t>
            </w:r>
          </w:p>
        </w:tc>
        <w:tc>
          <w:tcPr>
            <w:tcW w:w="990" w:type="dxa"/>
            <w:tcBorders>
              <w:top w:val="nil"/>
              <w:left w:val="double" w:sz="4" w:space="0" w:color="auto"/>
              <w:bottom w:val="nil"/>
              <w:right w:val="single" w:sz="4" w:space="0" w:color="auto"/>
            </w:tcBorders>
            <w:shd w:val="clear" w:color="auto" w:fill="auto"/>
            <w:noWrap/>
            <w:vAlign w:val="center"/>
          </w:tcPr>
          <w:p w14:paraId="6F414D2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3739BC2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3CF47FC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0AD7046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75D0E11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695760D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34E118D9"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5003ECF" w14:textId="77777777" w:rsidR="00716AAF" w:rsidRPr="006535B0" w:rsidRDefault="00716AAF" w:rsidP="002A04F4">
            <w:pPr>
              <w:spacing w:after="0" w:line="276"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Healthcare</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bottom"/>
          </w:tcPr>
          <w:p w14:paraId="257681F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0.313</w:t>
            </w:r>
          </w:p>
        </w:tc>
        <w:tc>
          <w:tcPr>
            <w:tcW w:w="1152" w:type="dxa"/>
            <w:tcBorders>
              <w:top w:val="nil"/>
              <w:left w:val="single" w:sz="4" w:space="0" w:color="auto"/>
              <w:bottom w:val="nil"/>
              <w:right w:val="double" w:sz="4" w:space="0" w:color="auto"/>
            </w:tcBorders>
            <w:shd w:val="clear" w:color="auto" w:fill="auto"/>
            <w:noWrap/>
            <w:vAlign w:val="bottom"/>
          </w:tcPr>
          <w:p w14:paraId="4E64907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1.05</w:t>
            </w:r>
          </w:p>
        </w:tc>
        <w:tc>
          <w:tcPr>
            <w:tcW w:w="990" w:type="dxa"/>
            <w:tcBorders>
              <w:top w:val="nil"/>
              <w:left w:val="double" w:sz="4" w:space="0" w:color="auto"/>
              <w:bottom w:val="nil"/>
              <w:right w:val="single" w:sz="4" w:space="0" w:color="auto"/>
            </w:tcBorders>
            <w:shd w:val="clear" w:color="auto" w:fill="auto"/>
            <w:noWrap/>
            <w:vAlign w:val="center"/>
          </w:tcPr>
          <w:p w14:paraId="0306CD6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37025CF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70B4DE7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65C8A78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5DCF7D0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7BFD0621"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04D3BBD0"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A831639" w14:textId="77777777" w:rsidR="00716AAF" w:rsidRPr="006535B0" w:rsidRDefault="00716AAF" w:rsidP="002A04F4">
            <w:pPr>
              <w:spacing w:after="0" w:line="276"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Education/Social service</w:t>
            </w:r>
          </w:p>
        </w:tc>
        <w:tc>
          <w:tcPr>
            <w:tcW w:w="1008" w:type="dxa"/>
            <w:tcBorders>
              <w:top w:val="nil"/>
              <w:left w:val="single" w:sz="12" w:space="0" w:color="auto"/>
              <w:bottom w:val="nil"/>
              <w:right w:val="single" w:sz="4" w:space="0" w:color="auto"/>
            </w:tcBorders>
            <w:shd w:val="clear" w:color="auto" w:fill="auto"/>
            <w:noWrap/>
            <w:vAlign w:val="bottom"/>
          </w:tcPr>
          <w:p w14:paraId="51F856E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-0.765</w:t>
            </w:r>
          </w:p>
        </w:tc>
        <w:tc>
          <w:tcPr>
            <w:tcW w:w="1152" w:type="dxa"/>
            <w:tcBorders>
              <w:top w:val="nil"/>
              <w:left w:val="single" w:sz="4" w:space="0" w:color="auto"/>
              <w:bottom w:val="nil"/>
              <w:right w:val="double" w:sz="4" w:space="0" w:color="auto"/>
            </w:tcBorders>
            <w:shd w:val="clear" w:color="auto" w:fill="auto"/>
            <w:noWrap/>
            <w:vAlign w:val="bottom"/>
          </w:tcPr>
          <w:p w14:paraId="3F2BDA9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-10.61</w:t>
            </w:r>
          </w:p>
        </w:tc>
        <w:tc>
          <w:tcPr>
            <w:tcW w:w="990" w:type="dxa"/>
            <w:tcBorders>
              <w:top w:val="nil"/>
              <w:left w:val="double" w:sz="4" w:space="0" w:color="auto"/>
              <w:bottom w:val="nil"/>
              <w:right w:val="single" w:sz="4" w:space="0" w:color="auto"/>
            </w:tcBorders>
            <w:shd w:val="clear" w:color="auto" w:fill="auto"/>
            <w:noWrap/>
            <w:vAlign w:val="center"/>
          </w:tcPr>
          <w:p w14:paraId="106D2BB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4733F8E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2FE0B0C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59EB7E1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3A520FF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793BC3C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5A470FC7"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49D8C559" w14:textId="77777777" w:rsidR="00716AAF" w:rsidRPr="006535B0" w:rsidRDefault="00716AAF" w:rsidP="002A04F4">
            <w:pPr>
              <w:spacing w:after="0" w:line="276" w:lineRule="auto"/>
              <w:jc w:val="left"/>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Educ./Social service</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center"/>
          </w:tcPr>
          <w:p w14:paraId="1C17B64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54B9B96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740ABA4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5A98F40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bottom"/>
          </w:tcPr>
          <w:p w14:paraId="38D7BB3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0.496</w:t>
            </w:r>
          </w:p>
        </w:tc>
        <w:tc>
          <w:tcPr>
            <w:tcW w:w="1147" w:type="dxa"/>
            <w:tcBorders>
              <w:left w:val="single" w:sz="4" w:space="0" w:color="auto"/>
              <w:right w:val="double" w:sz="4" w:space="0" w:color="auto"/>
            </w:tcBorders>
            <w:vAlign w:val="bottom"/>
          </w:tcPr>
          <w:p w14:paraId="4735152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2.65</w:t>
            </w:r>
          </w:p>
        </w:tc>
        <w:tc>
          <w:tcPr>
            <w:tcW w:w="1147" w:type="dxa"/>
            <w:tcBorders>
              <w:left w:val="double" w:sz="4" w:space="0" w:color="auto"/>
              <w:right w:val="single" w:sz="4" w:space="0" w:color="auto"/>
            </w:tcBorders>
            <w:vAlign w:val="center"/>
          </w:tcPr>
          <w:p w14:paraId="5A7A390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1DEAF85F"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0FC4F810"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3353921"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Public services</w:t>
            </w:r>
          </w:p>
        </w:tc>
        <w:tc>
          <w:tcPr>
            <w:tcW w:w="1008" w:type="dxa"/>
            <w:tcBorders>
              <w:top w:val="nil"/>
              <w:left w:val="single" w:sz="12" w:space="0" w:color="auto"/>
              <w:bottom w:val="nil"/>
              <w:right w:val="single" w:sz="4" w:space="0" w:color="auto"/>
            </w:tcBorders>
            <w:shd w:val="clear" w:color="auto" w:fill="auto"/>
            <w:noWrap/>
            <w:vAlign w:val="center"/>
          </w:tcPr>
          <w:p w14:paraId="5BDDA02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6055A0B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5002FD7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-0.359</w:t>
            </w:r>
          </w:p>
        </w:tc>
        <w:tc>
          <w:tcPr>
            <w:tcW w:w="990" w:type="dxa"/>
            <w:tcBorders>
              <w:top w:val="nil"/>
              <w:left w:val="single" w:sz="4" w:space="0" w:color="auto"/>
              <w:bottom w:val="nil"/>
              <w:right w:val="double" w:sz="4" w:space="0" w:color="auto"/>
            </w:tcBorders>
            <w:shd w:val="clear" w:color="auto" w:fill="auto"/>
            <w:noWrap/>
            <w:vAlign w:val="bottom"/>
          </w:tcPr>
          <w:p w14:paraId="1DC3BE6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-1.08</w:t>
            </w:r>
          </w:p>
        </w:tc>
        <w:tc>
          <w:tcPr>
            <w:tcW w:w="1147" w:type="dxa"/>
            <w:tcBorders>
              <w:left w:val="double" w:sz="4" w:space="0" w:color="auto"/>
              <w:right w:val="single" w:sz="4" w:space="0" w:color="auto"/>
            </w:tcBorders>
            <w:vAlign w:val="center"/>
          </w:tcPr>
          <w:p w14:paraId="796BC03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35B9FF8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3B8CE07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268D24AE"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33E07AE1"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126D30EB"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Public services</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center"/>
          </w:tcPr>
          <w:p w14:paraId="01FA563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7BC9D08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0851710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0.466</w:t>
            </w:r>
          </w:p>
        </w:tc>
        <w:tc>
          <w:tcPr>
            <w:tcW w:w="990" w:type="dxa"/>
            <w:tcBorders>
              <w:top w:val="nil"/>
              <w:left w:val="single" w:sz="4" w:space="0" w:color="auto"/>
              <w:bottom w:val="nil"/>
              <w:right w:val="double" w:sz="4" w:space="0" w:color="auto"/>
            </w:tcBorders>
            <w:shd w:val="clear" w:color="auto" w:fill="auto"/>
            <w:noWrap/>
            <w:vAlign w:val="bottom"/>
          </w:tcPr>
          <w:p w14:paraId="376A344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1.20</w:t>
            </w:r>
          </w:p>
        </w:tc>
        <w:tc>
          <w:tcPr>
            <w:tcW w:w="1147" w:type="dxa"/>
            <w:tcBorders>
              <w:left w:val="double" w:sz="4" w:space="0" w:color="auto"/>
              <w:right w:val="single" w:sz="4" w:space="0" w:color="auto"/>
            </w:tcBorders>
            <w:vAlign w:val="center"/>
          </w:tcPr>
          <w:p w14:paraId="0064184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1B043423"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0B50DC1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38190BA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031DD7CE"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45D6DD95"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Professional Services</w:t>
            </w:r>
          </w:p>
        </w:tc>
        <w:tc>
          <w:tcPr>
            <w:tcW w:w="1008" w:type="dxa"/>
            <w:tcBorders>
              <w:top w:val="nil"/>
              <w:left w:val="single" w:sz="12" w:space="0" w:color="auto"/>
              <w:bottom w:val="nil"/>
              <w:right w:val="single" w:sz="4" w:space="0" w:color="auto"/>
            </w:tcBorders>
            <w:shd w:val="clear" w:color="auto" w:fill="auto"/>
            <w:noWrap/>
            <w:vAlign w:val="center"/>
          </w:tcPr>
          <w:p w14:paraId="5EFF80C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0AFC68D4"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104E3D46"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24915902"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bottom"/>
          </w:tcPr>
          <w:p w14:paraId="77106C8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-0.424</w:t>
            </w:r>
          </w:p>
        </w:tc>
        <w:tc>
          <w:tcPr>
            <w:tcW w:w="1147" w:type="dxa"/>
            <w:tcBorders>
              <w:left w:val="single" w:sz="4" w:space="0" w:color="auto"/>
              <w:right w:val="double" w:sz="4" w:space="0" w:color="auto"/>
            </w:tcBorders>
            <w:vAlign w:val="bottom"/>
          </w:tcPr>
          <w:p w14:paraId="4C1F755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-1.69</w:t>
            </w:r>
          </w:p>
        </w:tc>
        <w:tc>
          <w:tcPr>
            <w:tcW w:w="1147" w:type="dxa"/>
            <w:tcBorders>
              <w:left w:val="double" w:sz="4" w:space="0" w:color="auto"/>
              <w:right w:val="single" w:sz="4" w:space="0" w:color="auto"/>
            </w:tcBorders>
            <w:vAlign w:val="center"/>
          </w:tcPr>
          <w:p w14:paraId="6DE57AC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17A3D48D"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453F4893"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2AEC9E41"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Professional Services</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center"/>
          </w:tcPr>
          <w:p w14:paraId="527FE1B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0F03A3A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19AA9DB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0.308</w:t>
            </w:r>
          </w:p>
        </w:tc>
        <w:tc>
          <w:tcPr>
            <w:tcW w:w="990" w:type="dxa"/>
            <w:tcBorders>
              <w:top w:val="nil"/>
              <w:left w:val="single" w:sz="4" w:space="0" w:color="auto"/>
              <w:bottom w:val="nil"/>
              <w:right w:val="double" w:sz="4" w:space="0" w:color="auto"/>
            </w:tcBorders>
            <w:shd w:val="clear" w:color="auto" w:fill="auto"/>
            <w:noWrap/>
            <w:vAlign w:val="bottom"/>
          </w:tcPr>
          <w:p w14:paraId="4170E04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2.57</w:t>
            </w:r>
          </w:p>
        </w:tc>
        <w:tc>
          <w:tcPr>
            <w:tcW w:w="1147" w:type="dxa"/>
            <w:tcBorders>
              <w:left w:val="double" w:sz="4" w:space="0" w:color="auto"/>
              <w:right w:val="single" w:sz="4" w:space="0" w:color="auto"/>
            </w:tcBorders>
            <w:vAlign w:val="center"/>
          </w:tcPr>
          <w:p w14:paraId="2258CE2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43E85C4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44298BB4"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right w:val="double" w:sz="4" w:space="0" w:color="auto"/>
            </w:tcBorders>
            <w:vAlign w:val="center"/>
          </w:tcPr>
          <w:p w14:paraId="08E145C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3AFDC04C"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27D0025A"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Information/Finance</w:t>
            </w:r>
          </w:p>
        </w:tc>
        <w:tc>
          <w:tcPr>
            <w:tcW w:w="1008" w:type="dxa"/>
            <w:tcBorders>
              <w:top w:val="nil"/>
              <w:left w:val="single" w:sz="12" w:space="0" w:color="auto"/>
              <w:bottom w:val="nil"/>
              <w:right w:val="single" w:sz="4" w:space="0" w:color="auto"/>
            </w:tcBorders>
            <w:shd w:val="clear" w:color="auto" w:fill="auto"/>
            <w:noWrap/>
            <w:vAlign w:val="bottom"/>
          </w:tcPr>
          <w:p w14:paraId="71F6ED1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0.313</w:t>
            </w:r>
          </w:p>
        </w:tc>
        <w:tc>
          <w:tcPr>
            <w:tcW w:w="1152" w:type="dxa"/>
            <w:tcBorders>
              <w:top w:val="nil"/>
              <w:left w:val="single" w:sz="4" w:space="0" w:color="auto"/>
              <w:bottom w:val="nil"/>
              <w:right w:val="double" w:sz="4" w:space="0" w:color="auto"/>
            </w:tcBorders>
            <w:shd w:val="clear" w:color="auto" w:fill="auto"/>
            <w:noWrap/>
            <w:vAlign w:val="bottom"/>
          </w:tcPr>
          <w:p w14:paraId="28F2869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2.78</w:t>
            </w:r>
          </w:p>
        </w:tc>
        <w:tc>
          <w:tcPr>
            <w:tcW w:w="990" w:type="dxa"/>
            <w:tcBorders>
              <w:top w:val="nil"/>
              <w:left w:val="double" w:sz="4" w:space="0" w:color="auto"/>
              <w:bottom w:val="nil"/>
              <w:right w:val="single" w:sz="4" w:space="0" w:color="auto"/>
            </w:tcBorders>
            <w:shd w:val="clear" w:color="auto" w:fill="auto"/>
            <w:noWrap/>
            <w:vAlign w:val="bottom"/>
          </w:tcPr>
          <w:p w14:paraId="7B23073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0.301</w:t>
            </w:r>
          </w:p>
        </w:tc>
        <w:tc>
          <w:tcPr>
            <w:tcW w:w="990" w:type="dxa"/>
            <w:tcBorders>
              <w:top w:val="nil"/>
              <w:left w:val="single" w:sz="4" w:space="0" w:color="auto"/>
              <w:bottom w:val="nil"/>
              <w:right w:val="double" w:sz="4" w:space="0" w:color="auto"/>
            </w:tcBorders>
            <w:shd w:val="clear" w:color="auto" w:fill="auto"/>
            <w:noWrap/>
            <w:vAlign w:val="bottom"/>
          </w:tcPr>
          <w:p w14:paraId="09D9463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2.09</w:t>
            </w:r>
          </w:p>
        </w:tc>
        <w:tc>
          <w:tcPr>
            <w:tcW w:w="1147" w:type="dxa"/>
            <w:tcBorders>
              <w:left w:val="double" w:sz="4" w:space="0" w:color="auto"/>
              <w:right w:val="single" w:sz="4" w:space="0" w:color="auto"/>
            </w:tcBorders>
            <w:vAlign w:val="center"/>
          </w:tcPr>
          <w:p w14:paraId="6F6869E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7" w:type="dxa"/>
            <w:tcBorders>
              <w:left w:val="single" w:sz="4" w:space="0" w:color="auto"/>
              <w:right w:val="double" w:sz="4" w:space="0" w:color="auto"/>
            </w:tcBorders>
            <w:vAlign w:val="center"/>
          </w:tcPr>
          <w:p w14:paraId="13B3914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6AD9C415"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right w:val="double" w:sz="4" w:space="0" w:color="auto"/>
            </w:tcBorders>
            <w:vAlign w:val="center"/>
          </w:tcPr>
          <w:p w14:paraId="3F4451AA"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1A211F82"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33C6FFC6" w14:textId="77777777" w:rsidR="00716AAF" w:rsidRPr="006535B0" w:rsidRDefault="00716AAF" w:rsidP="002A04F4">
            <w:pPr>
              <w:spacing w:after="0" w:line="276" w:lineRule="auto"/>
              <w:rPr>
                <w:rFonts w:ascii="Times New Roman" w:eastAsia="Times New Roman" w:hAnsi="Times New Roman" w:cs="Times New Roman"/>
                <w:bCs/>
                <w:sz w:val="20"/>
                <w:szCs w:val="20"/>
              </w:rPr>
            </w:pPr>
            <w:r w:rsidRPr="006535B0">
              <w:rPr>
                <w:rFonts w:ascii="Times New Roman" w:eastAsia="Times New Roman" w:hAnsi="Times New Roman" w:cs="Times New Roman"/>
                <w:bCs/>
                <w:sz w:val="20"/>
                <w:szCs w:val="20"/>
              </w:rPr>
              <w:t xml:space="preserve">  Information/Finance</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nil"/>
              <w:right w:val="single" w:sz="4" w:space="0" w:color="auto"/>
            </w:tcBorders>
            <w:shd w:val="clear" w:color="auto" w:fill="auto"/>
            <w:noWrap/>
            <w:vAlign w:val="center"/>
          </w:tcPr>
          <w:p w14:paraId="744F1270"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52" w:type="dxa"/>
            <w:tcBorders>
              <w:top w:val="nil"/>
              <w:left w:val="single" w:sz="4" w:space="0" w:color="auto"/>
              <w:bottom w:val="nil"/>
              <w:right w:val="double" w:sz="4" w:space="0" w:color="auto"/>
            </w:tcBorders>
            <w:shd w:val="clear" w:color="auto" w:fill="auto"/>
            <w:noWrap/>
            <w:vAlign w:val="center"/>
          </w:tcPr>
          <w:p w14:paraId="188345C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7F18BD2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0.464</w:t>
            </w:r>
          </w:p>
        </w:tc>
        <w:tc>
          <w:tcPr>
            <w:tcW w:w="990" w:type="dxa"/>
            <w:tcBorders>
              <w:top w:val="nil"/>
              <w:left w:val="single" w:sz="4" w:space="0" w:color="auto"/>
              <w:bottom w:val="nil"/>
              <w:right w:val="double" w:sz="4" w:space="0" w:color="auto"/>
            </w:tcBorders>
            <w:shd w:val="clear" w:color="auto" w:fill="auto"/>
            <w:noWrap/>
            <w:vAlign w:val="bottom"/>
          </w:tcPr>
          <w:p w14:paraId="731C930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2.19</w:t>
            </w:r>
          </w:p>
        </w:tc>
        <w:tc>
          <w:tcPr>
            <w:tcW w:w="1147" w:type="dxa"/>
            <w:tcBorders>
              <w:left w:val="double" w:sz="4" w:space="0" w:color="auto"/>
              <w:right w:val="single" w:sz="4" w:space="0" w:color="auto"/>
            </w:tcBorders>
            <w:vAlign w:val="center"/>
          </w:tcPr>
          <w:p w14:paraId="2A4126B8"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7" w:type="dxa"/>
            <w:tcBorders>
              <w:left w:val="single" w:sz="4" w:space="0" w:color="auto"/>
              <w:right w:val="double" w:sz="4" w:space="0" w:color="auto"/>
            </w:tcBorders>
            <w:vAlign w:val="center"/>
          </w:tcPr>
          <w:p w14:paraId="20773D15"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c>
          <w:tcPr>
            <w:tcW w:w="1147" w:type="dxa"/>
            <w:tcBorders>
              <w:left w:val="double" w:sz="4" w:space="0" w:color="auto"/>
              <w:right w:val="single" w:sz="4" w:space="0" w:color="auto"/>
            </w:tcBorders>
            <w:vAlign w:val="center"/>
          </w:tcPr>
          <w:p w14:paraId="196F191C"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8" w:type="dxa"/>
            <w:tcBorders>
              <w:left w:val="single" w:sz="4" w:space="0" w:color="auto"/>
              <w:right w:val="double" w:sz="4" w:space="0" w:color="auto"/>
            </w:tcBorders>
            <w:vAlign w:val="center"/>
          </w:tcPr>
          <w:p w14:paraId="56230FC7"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p>
        </w:tc>
      </w:tr>
      <w:tr w:rsidR="00716AAF" w:rsidRPr="006535B0" w14:paraId="12F712D1"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03C28C61"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Commute Time (/100)</w:t>
            </w:r>
          </w:p>
        </w:tc>
        <w:tc>
          <w:tcPr>
            <w:tcW w:w="1008" w:type="dxa"/>
            <w:tcBorders>
              <w:top w:val="nil"/>
              <w:left w:val="single" w:sz="12" w:space="0" w:color="auto"/>
              <w:bottom w:val="nil"/>
              <w:right w:val="single" w:sz="4" w:space="0" w:color="auto"/>
            </w:tcBorders>
            <w:shd w:val="clear" w:color="auto" w:fill="auto"/>
            <w:noWrap/>
            <w:vAlign w:val="bottom"/>
          </w:tcPr>
          <w:p w14:paraId="59902A0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0.782</w:t>
            </w:r>
          </w:p>
        </w:tc>
        <w:tc>
          <w:tcPr>
            <w:tcW w:w="1152" w:type="dxa"/>
            <w:tcBorders>
              <w:top w:val="nil"/>
              <w:left w:val="single" w:sz="4" w:space="0" w:color="auto"/>
              <w:bottom w:val="nil"/>
              <w:right w:val="double" w:sz="4" w:space="0" w:color="auto"/>
            </w:tcBorders>
            <w:shd w:val="clear" w:color="auto" w:fill="auto"/>
            <w:noWrap/>
            <w:vAlign w:val="bottom"/>
          </w:tcPr>
          <w:p w14:paraId="0AA8F84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3.41</w:t>
            </w:r>
          </w:p>
        </w:tc>
        <w:tc>
          <w:tcPr>
            <w:tcW w:w="990" w:type="dxa"/>
            <w:tcBorders>
              <w:top w:val="nil"/>
              <w:left w:val="double" w:sz="4" w:space="0" w:color="auto"/>
              <w:bottom w:val="nil"/>
              <w:right w:val="single" w:sz="4" w:space="0" w:color="auto"/>
            </w:tcBorders>
            <w:shd w:val="clear" w:color="auto" w:fill="auto"/>
            <w:noWrap/>
            <w:vAlign w:val="center"/>
          </w:tcPr>
          <w:p w14:paraId="0F499C4E"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15FE0E0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4E6C735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7" w:type="dxa"/>
            <w:tcBorders>
              <w:left w:val="single" w:sz="4" w:space="0" w:color="auto"/>
              <w:right w:val="double" w:sz="4" w:space="0" w:color="auto"/>
            </w:tcBorders>
            <w:vAlign w:val="center"/>
          </w:tcPr>
          <w:p w14:paraId="319199D0"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39C685CC"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right w:val="double" w:sz="4" w:space="0" w:color="auto"/>
            </w:tcBorders>
            <w:vAlign w:val="center"/>
          </w:tcPr>
          <w:p w14:paraId="1007B6A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3319F71F"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2B998FDA"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 xml:space="preserve">Daily Work Hours (base: 6 hours or more each </w:t>
            </w:r>
          </w:p>
          <w:p w14:paraId="3D307350"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 xml:space="preserve">   day)</w:t>
            </w:r>
          </w:p>
        </w:tc>
        <w:tc>
          <w:tcPr>
            <w:tcW w:w="1008" w:type="dxa"/>
            <w:tcBorders>
              <w:top w:val="nil"/>
              <w:left w:val="single" w:sz="12" w:space="0" w:color="auto"/>
              <w:bottom w:val="nil"/>
              <w:right w:val="single" w:sz="4" w:space="0" w:color="auto"/>
            </w:tcBorders>
            <w:shd w:val="clear" w:color="auto" w:fill="auto"/>
            <w:noWrap/>
            <w:vAlign w:val="bottom"/>
          </w:tcPr>
          <w:p w14:paraId="06C4AB1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52" w:type="dxa"/>
            <w:tcBorders>
              <w:top w:val="nil"/>
              <w:left w:val="single" w:sz="4" w:space="0" w:color="auto"/>
              <w:bottom w:val="nil"/>
              <w:right w:val="double" w:sz="4" w:space="0" w:color="auto"/>
            </w:tcBorders>
            <w:shd w:val="clear" w:color="auto" w:fill="auto"/>
            <w:noWrap/>
            <w:vAlign w:val="bottom"/>
          </w:tcPr>
          <w:p w14:paraId="41E461D4"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7189DF00"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single" w:sz="4" w:space="0" w:color="auto"/>
              <w:bottom w:val="nil"/>
              <w:right w:val="double" w:sz="4" w:space="0" w:color="auto"/>
            </w:tcBorders>
            <w:shd w:val="clear" w:color="auto" w:fill="auto"/>
            <w:noWrap/>
            <w:vAlign w:val="center"/>
          </w:tcPr>
          <w:p w14:paraId="513CECC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29553A3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single" w:sz="4" w:space="0" w:color="auto"/>
              <w:right w:val="double" w:sz="4" w:space="0" w:color="auto"/>
            </w:tcBorders>
            <w:vAlign w:val="center"/>
          </w:tcPr>
          <w:p w14:paraId="45A7C765"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50993EFD"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8" w:type="dxa"/>
            <w:tcBorders>
              <w:left w:val="single" w:sz="4" w:space="0" w:color="auto"/>
              <w:right w:val="double" w:sz="4" w:space="0" w:color="auto"/>
            </w:tcBorders>
            <w:vAlign w:val="center"/>
          </w:tcPr>
          <w:p w14:paraId="22124CD3"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72A647D8" w14:textId="77777777" w:rsidTr="00716AAF">
        <w:trPr>
          <w:trHeight w:val="288"/>
        </w:trPr>
        <w:tc>
          <w:tcPr>
            <w:tcW w:w="4306" w:type="dxa"/>
            <w:tcBorders>
              <w:top w:val="nil"/>
              <w:left w:val="double" w:sz="4" w:space="0" w:color="auto"/>
              <w:bottom w:val="nil"/>
              <w:right w:val="single" w:sz="12" w:space="0" w:color="auto"/>
            </w:tcBorders>
            <w:shd w:val="clear" w:color="auto" w:fill="auto"/>
            <w:noWrap/>
            <w:vAlign w:val="center"/>
          </w:tcPr>
          <w:p w14:paraId="062A2A25" w14:textId="77777777" w:rsidR="00716AAF" w:rsidRPr="006535B0" w:rsidRDefault="00716AAF" w:rsidP="002A04F4">
            <w:pPr>
              <w:spacing w:after="0" w:line="276" w:lineRule="auto"/>
              <w:jc w:val="left"/>
              <w:rPr>
                <w:rFonts w:ascii="Times New Roman" w:eastAsia="Times New Roman" w:hAnsi="Times New Roman" w:cs="Times New Roman"/>
                <w:bCs/>
                <w:i/>
                <w:sz w:val="20"/>
                <w:szCs w:val="20"/>
              </w:rPr>
            </w:pPr>
            <w:r w:rsidRPr="006535B0">
              <w:rPr>
                <w:rFonts w:ascii="Times New Roman" w:eastAsia="Times New Roman" w:hAnsi="Times New Roman" w:cs="Times New Roman"/>
                <w:sz w:val="20"/>
                <w:szCs w:val="20"/>
              </w:rPr>
              <w:t xml:space="preserve">  Less than 6 hours per day</w:t>
            </w:r>
            <w:r w:rsidRPr="006535B0">
              <w:rPr>
                <w:rFonts w:ascii="Times New Roman" w:eastAsia="Times New Roman" w:hAnsi="Times New Roman" w:cs="Times New Roman"/>
                <w:bCs/>
                <w:i/>
                <w:sz w:val="20"/>
                <w:szCs w:val="20"/>
              </w:rPr>
              <w:t xml:space="preserve"> COVID SHIFT </w:t>
            </w:r>
          </w:p>
          <w:p w14:paraId="1A9F84AB" w14:textId="77777777" w:rsidR="00716AAF" w:rsidRPr="006535B0" w:rsidRDefault="00716AAF" w:rsidP="002A04F4">
            <w:pPr>
              <w:spacing w:after="0" w:line="276" w:lineRule="auto"/>
              <w:jc w:val="left"/>
              <w:rPr>
                <w:rFonts w:ascii="Times New Roman" w:eastAsia="Times New Roman" w:hAnsi="Times New Roman" w:cs="Times New Roman"/>
                <w:b/>
                <w:sz w:val="20"/>
                <w:szCs w:val="20"/>
              </w:rPr>
            </w:pPr>
            <w:r w:rsidRPr="006535B0">
              <w:rPr>
                <w:rFonts w:ascii="Times New Roman" w:eastAsia="Times New Roman" w:hAnsi="Times New Roman" w:cs="Times New Roman"/>
                <w:bCs/>
                <w:i/>
                <w:sz w:val="20"/>
                <w:szCs w:val="20"/>
              </w:rPr>
              <w:t xml:space="preserve">   EFFECT</w:t>
            </w:r>
          </w:p>
        </w:tc>
        <w:tc>
          <w:tcPr>
            <w:tcW w:w="1008" w:type="dxa"/>
            <w:tcBorders>
              <w:top w:val="nil"/>
              <w:left w:val="single" w:sz="12" w:space="0" w:color="auto"/>
              <w:bottom w:val="nil"/>
              <w:right w:val="single" w:sz="4" w:space="0" w:color="auto"/>
            </w:tcBorders>
            <w:shd w:val="clear" w:color="auto" w:fill="auto"/>
            <w:noWrap/>
            <w:vAlign w:val="center"/>
          </w:tcPr>
          <w:p w14:paraId="74B14293" w14:textId="77777777" w:rsidR="00716AAF" w:rsidRPr="006535B0" w:rsidRDefault="00716AAF" w:rsidP="00716AAF">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0.641</w:t>
            </w:r>
          </w:p>
        </w:tc>
        <w:tc>
          <w:tcPr>
            <w:tcW w:w="1152" w:type="dxa"/>
            <w:tcBorders>
              <w:top w:val="nil"/>
              <w:left w:val="single" w:sz="4" w:space="0" w:color="auto"/>
              <w:bottom w:val="nil"/>
              <w:right w:val="double" w:sz="4" w:space="0" w:color="auto"/>
            </w:tcBorders>
            <w:shd w:val="clear" w:color="auto" w:fill="auto"/>
            <w:noWrap/>
            <w:vAlign w:val="center"/>
          </w:tcPr>
          <w:p w14:paraId="4F53F2EB" w14:textId="77777777" w:rsidR="00716AAF" w:rsidRPr="006535B0" w:rsidRDefault="00716AAF" w:rsidP="00716AAF">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1.99</w:t>
            </w:r>
          </w:p>
        </w:tc>
        <w:tc>
          <w:tcPr>
            <w:tcW w:w="990" w:type="dxa"/>
            <w:tcBorders>
              <w:top w:val="nil"/>
              <w:left w:val="double" w:sz="4" w:space="0" w:color="auto"/>
              <w:bottom w:val="nil"/>
              <w:right w:val="single" w:sz="4" w:space="0" w:color="auto"/>
            </w:tcBorders>
            <w:shd w:val="clear" w:color="auto" w:fill="auto"/>
            <w:noWrap/>
            <w:vAlign w:val="center"/>
          </w:tcPr>
          <w:p w14:paraId="629B0267"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990" w:type="dxa"/>
            <w:tcBorders>
              <w:top w:val="nil"/>
              <w:left w:val="single" w:sz="4" w:space="0" w:color="auto"/>
              <w:bottom w:val="nil"/>
              <w:right w:val="double" w:sz="4" w:space="0" w:color="auto"/>
            </w:tcBorders>
            <w:shd w:val="clear" w:color="auto" w:fill="auto"/>
            <w:noWrap/>
            <w:vAlign w:val="center"/>
          </w:tcPr>
          <w:p w14:paraId="6FB80BDF"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02AC5DC8"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7" w:type="dxa"/>
            <w:tcBorders>
              <w:left w:val="single" w:sz="4" w:space="0" w:color="auto"/>
              <w:right w:val="double" w:sz="4" w:space="0" w:color="auto"/>
            </w:tcBorders>
            <w:vAlign w:val="center"/>
          </w:tcPr>
          <w:p w14:paraId="2996673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0A01C315"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right w:val="double" w:sz="4" w:space="0" w:color="auto"/>
            </w:tcBorders>
            <w:vAlign w:val="center"/>
          </w:tcPr>
          <w:p w14:paraId="00A5C5EA"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038CB46F" w14:textId="77777777" w:rsidTr="002A04F4">
        <w:trPr>
          <w:trHeight w:val="288"/>
        </w:trPr>
        <w:tc>
          <w:tcPr>
            <w:tcW w:w="4306" w:type="dxa"/>
            <w:tcBorders>
              <w:top w:val="nil"/>
              <w:left w:val="double" w:sz="4" w:space="0" w:color="auto"/>
              <w:bottom w:val="nil"/>
              <w:right w:val="single" w:sz="12" w:space="0" w:color="auto"/>
            </w:tcBorders>
            <w:shd w:val="clear" w:color="auto" w:fill="auto"/>
            <w:noWrap/>
            <w:vAlign w:val="center"/>
          </w:tcPr>
          <w:p w14:paraId="701F1F41" w14:textId="77777777" w:rsidR="00716AAF" w:rsidRPr="006535B0" w:rsidRDefault="00716AAF" w:rsidP="002A04F4">
            <w:pPr>
              <w:spacing w:after="0" w:line="276" w:lineRule="auto"/>
              <w:rPr>
                <w:rFonts w:ascii="Times New Roman" w:eastAsia="Times New Roman" w:hAnsi="Times New Roman" w:cs="Times New Roman"/>
                <w:b/>
                <w:i/>
                <w:sz w:val="20"/>
                <w:szCs w:val="20"/>
              </w:rPr>
            </w:pPr>
            <w:r w:rsidRPr="006535B0">
              <w:rPr>
                <w:rFonts w:ascii="Times New Roman" w:eastAsia="Times New Roman" w:hAnsi="Times New Roman" w:cs="Times New Roman"/>
                <w:b/>
                <w:i/>
                <w:sz w:val="20"/>
                <w:szCs w:val="20"/>
              </w:rPr>
              <w:t>In-Person Workplace Characteristics</w:t>
            </w:r>
          </w:p>
        </w:tc>
        <w:tc>
          <w:tcPr>
            <w:tcW w:w="1008" w:type="dxa"/>
            <w:tcBorders>
              <w:top w:val="nil"/>
              <w:left w:val="single" w:sz="12" w:space="0" w:color="auto"/>
              <w:bottom w:val="nil"/>
              <w:right w:val="single" w:sz="4" w:space="0" w:color="auto"/>
            </w:tcBorders>
            <w:shd w:val="clear" w:color="auto" w:fill="auto"/>
            <w:noWrap/>
            <w:vAlign w:val="center"/>
          </w:tcPr>
          <w:p w14:paraId="74FEFAAB"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52" w:type="dxa"/>
            <w:tcBorders>
              <w:top w:val="nil"/>
              <w:left w:val="single" w:sz="4" w:space="0" w:color="auto"/>
              <w:bottom w:val="nil"/>
              <w:right w:val="double" w:sz="4" w:space="0" w:color="auto"/>
            </w:tcBorders>
            <w:shd w:val="clear" w:color="auto" w:fill="auto"/>
            <w:noWrap/>
            <w:vAlign w:val="center"/>
          </w:tcPr>
          <w:p w14:paraId="74E36E46"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40A72E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single" w:sz="4" w:space="0" w:color="auto"/>
              <w:bottom w:val="nil"/>
              <w:right w:val="double" w:sz="4" w:space="0" w:color="auto"/>
            </w:tcBorders>
            <w:shd w:val="clear" w:color="auto" w:fill="auto"/>
            <w:noWrap/>
            <w:vAlign w:val="center"/>
          </w:tcPr>
          <w:p w14:paraId="2FE620E5"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2A88AE0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single" w:sz="4" w:space="0" w:color="auto"/>
              <w:right w:val="double" w:sz="4" w:space="0" w:color="auto"/>
            </w:tcBorders>
            <w:vAlign w:val="center"/>
          </w:tcPr>
          <w:p w14:paraId="588955A0"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27A6CA7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8" w:type="dxa"/>
            <w:tcBorders>
              <w:left w:val="single" w:sz="4" w:space="0" w:color="auto"/>
              <w:right w:val="double" w:sz="4" w:space="0" w:color="auto"/>
            </w:tcBorders>
            <w:vAlign w:val="center"/>
          </w:tcPr>
          <w:p w14:paraId="44B2344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6EEE1558" w14:textId="77777777" w:rsidTr="002A04F4">
        <w:trPr>
          <w:trHeight w:val="288"/>
        </w:trPr>
        <w:tc>
          <w:tcPr>
            <w:tcW w:w="4306" w:type="dxa"/>
            <w:tcBorders>
              <w:top w:val="nil"/>
              <w:left w:val="double" w:sz="4" w:space="0" w:color="auto"/>
              <w:bottom w:val="nil"/>
              <w:right w:val="single" w:sz="12" w:space="0" w:color="auto"/>
            </w:tcBorders>
            <w:shd w:val="clear" w:color="auto" w:fill="auto"/>
            <w:noWrap/>
          </w:tcPr>
          <w:p w14:paraId="47F2A69E"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 xml:space="preserve">Employment Density of the in-person </w:t>
            </w:r>
          </w:p>
          <w:p w14:paraId="42EEE041"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 xml:space="preserve">   workplace (base: medium-to-low)</w:t>
            </w:r>
          </w:p>
        </w:tc>
        <w:tc>
          <w:tcPr>
            <w:tcW w:w="1008" w:type="dxa"/>
            <w:tcBorders>
              <w:top w:val="nil"/>
              <w:left w:val="single" w:sz="12" w:space="0" w:color="auto"/>
              <w:bottom w:val="nil"/>
              <w:right w:val="single" w:sz="4" w:space="0" w:color="auto"/>
            </w:tcBorders>
            <w:shd w:val="clear" w:color="auto" w:fill="auto"/>
            <w:noWrap/>
            <w:vAlign w:val="center"/>
          </w:tcPr>
          <w:p w14:paraId="611DE3D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52" w:type="dxa"/>
            <w:tcBorders>
              <w:top w:val="nil"/>
              <w:left w:val="single" w:sz="4" w:space="0" w:color="auto"/>
              <w:bottom w:val="nil"/>
              <w:right w:val="double" w:sz="4" w:space="0" w:color="auto"/>
            </w:tcBorders>
            <w:shd w:val="clear" w:color="auto" w:fill="auto"/>
            <w:noWrap/>
            <w:vAlign w:val="center"/>
          </w:tcPr>
          <w:p w14:paraId="52B9D0B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3D881B9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single" w:sz="4" w:space="0" w:color="auto"/>
              <w:bottom w:val="nil"/>
              <w:right w:val="double" w:sz="4" w:space="0" w:color="auto"/>
            </w:tcBorders>
            <w:shd w:val="clear" w:color="auto" w:fill="auto"/>
            <w:noWrap/>
            <w:vAlign w:val="center"/>
          </w:tcPr>
          <w:p w14:paraId="29979BBE"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383E95BA"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single" w:sz="4" w:space="0" w:color="auto"/>
              <w:right w:val="double" w:sz="4" w:space="0" w:color="auto"/>
            </w:tcBorders>
            <w:vAlign w:val="center"/>
          </w:tcPr>
          <w:p w14:paraId="5402C1E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08D5CA1C"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8" w:type="dxa"/>
            <w:tcBorders>
              <w:left w:val="single" w:sz="4" w:space="0" w:color="auto"/>
              <w:right w:val="double" w:sz="4" w:space="0" w:color="auto"/>
            </w:tcBorders>
            <w:vAlign w:val="center"/>
          </w:tcPr>
          <w:p w14:paraId="0CB74C12"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584B9E10" w14:textId="77777777" w:rsidTr="002A04F4">
        <w:trPr>
          <w:trHeight w:val="288"/>
        </w:trPr>
        <w:tc>
          <w:tcPr>
            <w:tcW w:w="4306" w:type="dxa"/>
            <w:tcBorders>
              <w:top w:val="nil"/>
              <w:left w:val="double" w:sz="4" w:space="0" w:color="auto"/>
              <w:right w:val="single" w:sz="12" w:space="0" w:color="auto"/>
            </w:tcBorders>
            <w:shd w:val="clear" w:color="auto" w:fill="auto"/>
            <w:noWrap/>
          </w:tcPr>
          <w:p w14:paraId="3EB5C3C2"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High</w:t>
            </w:r>
          </w:p>
        </w:tc>
        <w:tc>
          <w:tcPr>
            <w:tcW w:w="1008" w:type="dxa"/>
            <w:tcBorders>
              <w:top w:val="nil"/>
              <w:left w:val="single" w:sz="12" w:space="0" w:color="auto"/>
              <w:right w:val="single" w:sz="4" w:space="0" w:color="auto"/>
            </w:tcBorders>
            <w:shd w:val="clear" w:color="auto" w:fill="auto"/>
            <w:noWrap/>
            <w:vAlign w:val="bottom"/>
          </w:tcPr>
          <w:p w14:paraId="5E23CDC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0.165</w:t>
            </w:r>
          </w:p>
        </w:tc>
        <w:tc>
          <w:tcPr>
            <w:tcW w:w="1152" w:type="dxa"/>
            <w:tcBorders>
              <w:top w:val="nil"/>
              <w:left w:val="single" w:sz="4" w:space="0" w:color="auto"/>
              <w:right w:val="double" w:sz="4" w:space="0" w:color="auto"/>
            </w:tcBorders>
            <w:shd w:val="clear" w:color="auto" w:fill="auto"/>
            <w:noWrap/>
            <w:vAlign w:val="bottom"/>
          </w:tcPr>
          <w:p w14:paraId="1E9B39F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2.03</w:t>
            </w:r>
          </w:p>
        </w:tc>
        <w:tc>
          <w:tcPr>
            <w:tcW w:w="990" w:type="dxa"/>
            <w:tcBorders>
              <w:top w:val="nil"/>
              <w:left w:val="double" w:sz="4" w:space="0" w:color="auto"/>
              <w:right w:val="single" w:sz="4" w:space="0" w:color="auto"/>
            </w:tcBorders>
            <w:shd w:val="clear" w:color="auto" w:fill="auto"/>
            <w:noWrap/>
            <w:vAlign w:val="bottom"/>
          </w:tcPr>
          <w:p w14:paraId="440C9D2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-0.355</w:t>
            </w:r>
          </w:p>
        </w:tc>
        <w:tc>
          <w:tcPr>
            <w:tcW w:w="990" w:type="dxa"/>
            <w:tcBorders>
              <w:top w:val="nil"/>
              <w:left w:val="single" w:sz="4" w:space="0" w:color="auto"/>
              <w:right w:val="double" w:sz="4" w:space="0" w:color="auto"/>
            </w:tcBorders>
            <w:shd w:val="clear" w:color="auto" w:fill="auto"/>
            <w:noWrap/>
            <w:vAlign w:val="bottom"/>
          </w:tcPr>
          <w:p w14:paraId="32F6309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-2.62</w:t>
            </w:r>
          </w:p>
        </w:tc>
        <w:tc>
          <w:tcPr>
            <w:tcW w:w="1147" w:type="dxa"/>
            <w:tcBorders>
              <w:left w:val="double" w:sz="4" w:space="0" w:color="auto"/>
              <w:right w:val="single" w:sz="4" w:space="0" w:color="auto"/>
            </w:tcBorders>
            <w:vAlign w:val="center"/>
          </w:tcPr>
          <w:p w14:paraId="29B2227D"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7" w:type="dxa"/>
            <w:tcBorders>
              <w:left w:val="single" w:sz="4" w:space="0" w:color="auto"/>
              <w:right w:val="double" w:sz="4" w:space="0" w:color="auto"/>
            </w:tcBorders>
            <w:vAlign w:val="center"/>
          </w:tcPr>
          <w:p w14:paraId="31E1D9E5"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right w:val="single" w:sz="4" w:space="0" w:color="auto"/>
            </w:tcBorders>
            <w:vAlign w:val="center"/>
          </w:tcPr>
          <w:p w14:paraId="407100C8"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right w:val="double" w:sz="4" w:space="0" w:color="auto"/>
            </w:tcBorders>
            <w:vAlign w:val="center"/>
          </w:tcPr>
          <w:p w14:paraId="4A37C34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r w:rsidR="00716AAF" w:rsidRPr="006535B0" w14:paraId="40E40FE9" w14:textId="77777777" w:rsidTr="002A04F4">
        <w:trPr>
          <w:trHeight w:val="288"/>
        </w:trPr>
        <w:tc>
          <w:tcPr>
            <w:tcW w:w="4306" w:type="dxa"/>
            <w:tcBorders>
              <w:top w:val="nil"/>
              <w:left w:val="double" w:sz="4" w:space="0" w:color="auto"/>
              <w:bottom w:val="double" w:sz="4" w:space="0" w:color="auto"/>
              <w:right w:val="single" w:sz="12" w:space="0" w:color="auto"/>
            </w:tcBorders>
            <w:shd w:val="clear" w:color="auto" w:fill="auto"/>
            <w:noWrap/>
          </w:tcPr>
          <w:p w14:paraId="67FB9DC8"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High</w:t>
            </w:r>
            <w:r w:rsidRPr="006535B0">
              <w:rPr>
                <w:rFonts w:ascii="Times New Roman" w:eastAsia="Times New Roman" w:hAnsi="Times New Roman" w:cs="Times New Roman"/>
                <w:bCs/>
                <w:i/>
                <w:sz w:val="20"/>
                <w:szCs w:val="20"/>
              </w:rPr>
              <w:t xml:space="preserve"> COVID SHIFT EFFECT</w:t>
            </w:r>
          </w:p>
        </w:tc>
        <w:tc>
          <w:tcPr>
            <w:tcW w:w="1008" w:type="dxa"/>
            <w:tcBorders>
              <w:top w:val="nil"/>
              <w:left w:val="single" w:sz="12" w:space="0" w:color="auto"/>
              <w:bottom w:val="double" w:sz="4" w:space="0" w:color="auto"/>
              <w:right w:val="single" w:sz="4" w:space="0" w:color="auto"/>
            </w:tcBorders>
            <w:shd w:val="clear" w:color="auto" w:fill="auto"/>
            <w:noWrap/>
            <w:vAlign w:val="center"/>
          </w:tcPr>
          <w:p w14:paraId="3AE0F6EB"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52" w:type="dxa"/>
            <w:tcBorders>
              <w:top w:val="nil"/>
              <w:left w:val="single" w:sz="4" w:space="0" w:color="auto"/>
              <w:bottom w:val="double" w:sz="4" w:space="0" w:color="auto"/>
              <w:right w:val="double" w:sz="4" w:space="0" w:color="auto"/>
            </w:tcBorders>
            <w:shd w:val="clear" w:color="auto" w:fill="auto"/>
            <w:noWrap/>
            <w:vAlign w:val="center"/>
          </w:tcPr>
          <w:p w14:paraId="636D7979"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990" w:type="dxa"/>
            <w:tcBorders>
              <w:top w:val="nil"/>
              <w:left w:val="double" w:sz="4" w:space="0" w:color="auto"/>
              <w:bottom w:val="double" w:sz="4" w:space="0" w:color="auto"/>
              <w:right w:val="single" w:sz="4" w:space="0" w:color="auto"/>
            </w:tcBorders>
            <w:shd w:val="clear" w:color="auto" w:fill="auto"/>
            <w:noWrap/>
            <w:vAlign w:val="bottom"/>
          </w:tcPr>
          <w:p w14:paraId="79DA0A9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0.455</w:t>
            </w:r>
          </w:p>
        </w:tc>
        <w:tc>
          <w:tcPr>
            <w:tcW w:w="990" w:type="dxa"/>
            <w:tcBorders>
              <w:top w:val="nil"/>
              <w:left w:val="single" w:sz="4" w:space="0" w:color="auto"/>
              <w:bottom w:val="double" w:sz="4" w:space="0" w:color="auto"/>
              <w:right w:val="double" w:sz="4" w:space="0" w:color="auto"/>
            </w:tcBorders>
            <w:shd w:val="clear" w:color="auto" w:fill="auto"/>
            <w:noWrap/>
            <w:vAlign w:val="bottom"/>
          </w:tcPr>
          <w:p w14:paraId="3CD4674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2.54</w:t>
            </w:r>
          </w:p>
        </w:tc>
        <w:tc>
          <w:tcPr>
            <w:tcW w:w="1147" w:type="dxa"/>
            <w:tcBorders>
              <w:left w:val="double" w:sz="4" w:space="0" w:color="auto"/>
              <w:bottom w:val="double" w:sz="4" w:space="0" w:color="auto"/>
              <w:right w:val="single" w:sz="4" w:space="0" w:color="auto"/>
            </w:tcBorders>
            <w:vAlign w:val="center"/>
          </w:tcPr>
          <w:p w14:paraId="3B8B839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7" w:type="dxa"/>
            <w:tcBorders>
              <w:left w:val="single" w:sz="4" w:space="0" w:color="auto"/>
              <w:bottom w:val="double" w:sz="4" w:space="0" w:color="auto"/>
              <w:right w:val="double" w:sz="4" w:space="0" w:color="auto"/>
            </w:tcBorders>
            <w:vAlign w:val="center"/>
          </w:tcPr>
          <w:p w14:paraId="7243D513"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c>
          <w:tcPr>
            <w:tcW w:w="1147" w:type="dxa"/>
            <w:tcBorders>
              <w:left w:val="double" w:sz="4" w:space="0" w:color="auto"/>
              <w:bottom w:val="double" w:sz="4" w:space="0" w:color="auto"/>
              <w:right w:val="single" w:sz="4" w:space="0" w:color="auto"/>
            </w:tcBorders>
            <w:vAlign w:val="center"/>
          </w:tcPr>
          <w:p w14:paraId="2F5233F6" w14:textId="77777777" w:rsidR="00716AAF" w:rsidRPr="006535B0" w:rsidRDefault="00716AAF" w:rsidP="002A04F4">
            <w:pPr>
              <w:spacing w:after="0" w:line="276" w:lineRule="auto"/>
              <w:jc w:val="center"/>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8" w:type="dxa"/>
            <w:tcBorders>
              <w:left w:val="single" w:sz="4" w:space="0" w:color="auto"/>
              <w:bottom w:val="double" w:sz="4" w:space="0" w:color="auto"/>
              <w:right w:val="double" w:sz="4" w:space="0" w:color="auto"/>
            </w:tcBorders>
            <w:vAlign w:val="center"/>
          </w:tcPr>
          <w:p w14:paraId="7FA03A28" w14:textId="77777777" w:rsidR="00716AAF" w:rsidRPr="006535B0" w:rsidRDefault="00716AAF" w:rsidP="002A04F4">
            <w:pPr>
              <w:spacing w:after="0" w:line="276" w:lineRule="auto"/>
              <w:jc w:val="center"/>
              <w:rPr>
                <w:rFonts w:ascii="Times New Roman" w:eastAsia="Calibri" w:hAnsi="Times New Roman" w:cs="Times New Roman"/>
                <w:sz w:val="20"/>
                <w:szCs w:val="20"/>
              </w:rPr>
            </w:pPr>
          </w:p>
        </w:tc>
      </w:tr>
    </w:tbl>
    <w:p w14:paraId="08432F65" w14:textId="77777777" w:rsidR="00716AAF" w:rsidRPr="006535B0" w:rsidRDefault="00716AAF" w:rsidP="00716AAF">
      <w:pPr>
        <w:spacing w:after="0" w:line="276" w:lineRule="auto"/>
        <w:rPr>
          <w:rFonts w:ascii="Times New Roman" w:eastAsia="Calibri" w:hAnsi="Times New Roman" w:cs="Times New Roman"/>
          <w:b/>
          <w:sz w:val="24"/>
          <w:szCs w:val="24"/>
        </w:rPr>
      </w:pPr>
    </w:p>
    <w:p w14:paraId="147DEFB0" w14:textId="77777777" w:rsidR="00716AAF" w:rsidRPr="006535B0" w:rsidRDefault="00716AAF" w:rsidP="00716AAF">
      <w:pPr>
        <w:spacing w:after="0" w:line="276" w:lineRule="auto"/>
        <w:rPr>
          <w:rFonts w:ascii="Times New Roman" w:eastAsia="Calibri" w:hAnsi="Times New Roman" w:cs="Times New Roman"/>
          <w:b/>
          <w:sz w:val="24"/>
          <w:szCs w:val="24"/>
        </w:rPr>
      </w:pPr>
    </w:p>
    <w:p w14:paraId="3E60FD0B" w14:textId="77777777" w:rsidR="00716AAF" w:rsidRPr="006535B0" w:rsidRDefault="00716AAF" w:rsidP="00716AAF">
      <w:pPr>
        <w:spacing w:line="276" w:lineRule="auto"/>
        <w:jc w:val="left"/>
        <w:rPr>
          <w:rFonts w:ascii="Times New Roman" w:eastAsia="Calibri" w:hAnsi="Times New Roman" w:cs="Times New Roman"/>
          <w:b/>
          <w:sz w:val="24"/>
          <w:szCs w:val="24"/>
        </w:rPr>
      </w:pPr>
      <w:r w:rsidRPr="006535B0">
        <w:rPr>
          <w:rFonts w:ascii="Times New Roman" w:eastAsia="Calibri" w:hAnsi="Times New Roman" w:cs="Times New Roman"/>
          <w:b/>
          <w:sz w:val="24"/>
          <w:szCs w:val="24"/>
        </w:rPr>
        <w:br w:type="page"/>
      </w:r>
    </w:p>
    <w:p w14:paraId="29D85B20" w14:textId="77777777" w:rsidR="00716AAF" w:rsidRPr="006535B0" w:rsidRDefault="00716AAF" w:rsidP="00716AAF">
      <w:pPr>
        <w:spacing w:after="0" w:line="276" w:lineRule="auto"/>
        <w:rPr>
          <w:rFonts w:ascii="Times New Roman" w:eastAsia="Calibri" w:hAnsi="Times New Roman" w:cs="Times New Roman"/>
          <w:b/>
          <w:sz w:val="24"/>
          <w:szCs w:val="24"/>
        </w:rPr>
      </w:pPr>
      <w:r w:rsidRPr="006535B0">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A</w:t>
      </w:r>
      <w:r w:rsidRPr="006535B0">
        <w:rPr>
          <w:rFonts w:ascii="Times New Roman" w:eastAsia="Calibri" w:hAnsi="Times New Roman" w:cs="Times New Roman"/>
          <w:b/>
          <w:sz w:val="24"/>
          <w:szCs w:val="24"/>
        </w:rPr>
        <w:t>. Independent Model Estimation Results</w:t>
      </w:r>
    </w:p>
    <w:tbl>
      <w:tblPr>
        <w:tblpPr w:leftFromText="180" w:rightFromText="180" w:vertAnchor="text" w:tblpY="130"/>
        <w:tblW w:w="13014" w:type="dxa"/>
        <w:tblLayout w:type="fixed"/>
        <w:tblLook w:val="04A0" w:firstRow="1" w:lastRow="0" w:firstColumn="1" w:lastColumn="0" w:noHBand="0" w:noVBand="1"/>
      </w:tblPr>
      <w:tblGrid>
        <w:gridCol w:w="4305"/>
        <w:gridCol w:w="1125"/>
        <w:gridCol w:w="1125"/>
        <w:gridCol w:w="990"/>
        <w:gridCol w:w="900"/>
        <w:gridCol w:w="1142"/>
        <w:gridCol w:w="1142"/>
        <w:gridCol w:w="56"/>
        <w:gridCol w:w="1086"/>
        <w:gridCol w:w="1143"/>
      </w:tblGrid>
      <w:tr w:rsidR="00716AAF" w:rsidRPr="006535B0" w14:paraId="2717E2C6" w14:textId="77777777" w:rsidTr="002A04F4">
        <w:trPr>
          <w:trHeight w:val="288"/>
        </w:trPr>
        <w:tc>
          <w:tcPr>
            <w:tcW w:w="4305" w:type="dxa"/>
            <w:vMerge w:val="restart"/>
            <w:tcBorders>
              <w:top w:val="double" w:sz="4" w:space="0" w:color="auto"/>
              <w:left w:val="double" w:sz="4" w:space="0" w:color="auto"/>
              <w:right w:val="single" w:sz="12" w:space="0" w:color="auto"/>
            </w:tcBorders>
            <w:shd w:val="clear" w:color="auto" w:fill="auto"/>
            <w:noWrap/>
            <w:vAlign w:val="center"/>
          </w:tcPr>
          <w:p w14:paraId="6C2CA314" w14:textId="77777777" w:rsidR="00716AAF" w:rsidRPr="006535B0" w:rsidRDefault="00716AAF" w:rsidP="002A04F4">
            <w:pPr>
              <w:spacing w:after="0" w:line="276" w:lineRule="auto"/>
              <w:jc w:val="center"/>
              <w:rPr>
                <w:rFonts w:ascii="Times New Roman" w:eastAsia="Times New Roman" w:hAnsi="Times New Roman" w:cs="Times New Roman"/>
                <w:b/>
                <w:iCs/>
                <w:sz w:val="20"/>
                <w:szCs w:val="20"/>
              </w:rPr>
            </w:pPr>
            <w:r w:rsidRPr="006535B0">
              <w:rPr>
                <w:rFonts w:ascii="Times New Roman" w:eastAsia="Times New Roman" w:hAnsi="Times New Roman" w:cs="Times New Roman"/>
                <w:b/>
                <w:iCs/>
                <w:sz w:val="20"/>
                <w:szCs w:val="20"/>
              </w:rPr>
              <w:t xml:space="preserve">Exogenous Variables </w:t>
            </w:r>
          </w:p>
          <w:p w14:paraId="077928E9" w14:textId="77777777" w:rsidR="00716AAF" w:rsidRPr="006535B0" w:rsidRDefault="00716AAF" w:rsidP="002A04F4">
            <w:pPr>
              <w:spacing w:after="0" w:line="276" w:lineRule="auto"/>
              <w:jc w:val="center"/>
              <w:rPr>
                <w:rFonts w:ascii="Times New Roman" w:eastAsia="Times New Roman" w:hAnsi="Times New Roman" w:cs="Times New Roman"/>
                <w:b/>
                <w:iCs/>
                <w:sz w:val="20"/>
                <w:szCs w:val="20"/>
              </w:rPr>
            </w:pPr>
            <w:r w:rsidRPr="006535B0">
              <w:rPr>
                <w:rFonts w:ascii="Times New Roman" w:eastAsia="Times New Roman" w:hAnsi="Times New Roman" w:cs="Times New Roman"/>
                <w:b/>
                <w:iCs/>
                <w:sz w:val="20"/>
                <w:szCs w:val="20"/>
              </w:rPr>
              <w:t xml:space="preserve">(base category – </w:t>
            </w:r>
            <w:r w:rsidRPr="006535B0">
              <w:rPr>
                <w:rFonts w:ascii="Times New Roman" w:eastAsia="Times New Roman" w:hAnsi="Times New Roman" w:cs="Times New Roman"/>
                <w:b/>
                <w:bCs/>
                <w:i/>
                <w:sz w:val="20"/>
                <w:szCs w:val="20"/>
              </w:rPr>
              <w:t>WITHOUT THE COVID SHIFT EFFECT</w:t>
            </w:r>
            <w:r w:rsidRPr="006535B0">
              <w:rPr>
                <w:rFonts w:ascii="Times New Roman" w:eastAsia="Times New Roman" w:hAnsi="Times New Roman" w:cs="Times New Roman"/>
                <w:b/>
                <w:iCs/>
                <w:sz w:val="20"/>
                <w:szCs w:val="20"/>
              </w:rPr>
              <w:t>)</w:t>
            </w:r>
          </w:p>
        </w:tc>
        <w:tc>
          <w:tcPr>
            <w:tcW w:w="2250" w:type="dxa"/>
            <w:gridSpan w:val="2"/>
            <w:vMerge w:val="restart"/>
            <w:tcBorders>
              <w:top w:val="double" w:sz="4" w:space="0" w:color="auto"/>
              <w:left w:val="single" w:sz="12" w:space="0" w:color="auto"/>
              <w:right w:val="double" w:sz="4" w:space="0" w:color="auto"/>
            </w:tcBorders>
            <w:shd w:val="clear" w:color="auto" w:fill="auto"/>
            <w:noWrap/>
            <w:vAlign w:val="center"/>
          </w:tcPr>
          <w:p w14:paraId="4E2322D3"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Adoption (Binary) Propensity</w:t>
            </w:r>
          </w:p>
        </w:tc>
        <w:tc>
          <w:tcPr>
            <w:tcW w:w="1890" w:type="dxa"/>
            <w:gridSpan w:val="2"/>
            <w:vMerge w:val="restart"/>
            <w:tcBorders>
              <w:top w:val="double" w:sz="4" w:space="0" w:color="auto"/>
              <w:left w:val="double" w:sz="4" w:space="0" w:color="auto"/>
              <w:right w:val="double" w:sz="4" w:space="0" w:color="auto"/>
            </w:tcBorders>
            <w:shd w:val="clear" w:color="auto" w:fill="auto"/>
            <w:noWrap/>
            <w:vAlign w:val="center"/>
          </w:tcPr>
          <w:p w14:paraId="34FBCAA0"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Frequency (Ordered) Propensity</w:t>
            </w:r>
          </w:p>
        </w:tc>
        <w:tc>
          <w:tcPr>
            <w:tcW w:w="4569" w:type="dxa"/>
            <w:gridSpan w:val="5"/>
            <w:tcBorders>
              <w:top w:val="double" w:sz="4" w:space="0" w:color="auto"/>
              <w:left w:val="double" w:sz="4" w:space="0" w:color="auto"/>
              <w:right w:val="double" w:sz="4" w:space="0" w:color="auto"/>
            </w:tcBorders>
          </w:tcPr>
          <w:p w14:paraId="3A992B06"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 xml:space="preserve">Location (Multinomial) Propensity </w:t>
            </w:r>
          </w:p>
          <w:p w14:paraId="21146949"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r w:rsidRPr="006535B0">
              <w:rPr>
                <w:rFonts w:ascii="Times New Roman" w:eastAsia="Times New Roman" w:hAnsi="Times New Roman" w:cs="Times New Roman"/>
                <w:b/>
                <w:bCs/>
                <w:sz w:val="20"/>
                <w:szCs w:val="20"/>
              </w:rPr>
              <w:t>(base category – Home Only Utility)</w:t>
            </w:r>
          </w:p>
        </w:tc>
      </w:tr>
      <w:tr w:rsidR="00716AAF" w:rsidRPr="006535B0" w14:paraId="54D20E48" w14:textId="77777777" w:rsidTr="002A04F4">
        <w:trPr>
          <w:trHeight w:val="288"/>
        </w:trPr>
        <w:tc>
          <w:tcPr>
            <w:tcW w:w="4305" w:type="dxa"/>
            <w:vMerge/>
            <w:tcBorders>
              <w:left w:val="double" w:sz="4" w:space="0" w:color="auto"/>
              <w:right w:val="single" w:sz="12" w:space="0" w:color="auto"/>
            </w:tcBorders>
            <w:shd w:val="clear" w:color="auto" w:fill="auto"/>
            <w:noWrap/>
            <w:vAlign w:val="center"/>
          </w:tcPr>
          <w:p w14:paraId="5A6383D2" w14:textId="77777777" w:rsidR="00716AAF" w:rsidRPr="006535B0" w:rsidRDefault="00716AAF" w:rsidP="002A04F4">
            <w:pPr>
              <w:spacing w:after="0" w:line="276" w:lineRule="auto"/>
              <w:rPr>
                <w:rFonts w:ascii="Times New Roman" w:eastAsia="Times New Roman" w:hAnsi="Times New Roman" w:cs="Times New Roman"/>
                <w:b/>
                <w:i/>
                <w:sz w:val="20"/>
                <w:szCs w:val="20"/>
              </w:rPr>
            </w:pPr>
          </w:p>
        </w:tc>
        <w:tc>
          <w:tcPr>
            <w:tcW w:w="2250" w:type="dxa"/>
            <w:gridSpan w:val="2"/>
            <w:vMerge/>
            <w:tcBorders>
              <w:left w:val="single" w:sz="12" w:space="0" w:color="auto"/>
              <w:bottom w:val="single" w:sz="4" w:space="0" w:color="auto"/>
              <w:right w:val="double" w:sz="4" w:space="0" w:color="auto"/>
            </w:tcBorders>
            <w:shd w:val="clear" w:color="auto" w:fill="auto"/>
            <w:noWrap/>
            <w:vAlign w:val="center"/>
          </w:tcPr>
          <w:p w14:paraId="36C4EA7A"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p>
        </w:tc>
        <w:tc>
          <w:tcPr>
            <w:tcW w:w="1890" w:type="dxa"/>
            <w:gridSpan w:val="2"/>
            <w:vMerge/>
            <w:tcBorders>
              <w:left w:val="double" w:sz="4" w:space="0" w:color="auto"/>
              <w:bottom w:val="single" w:sz="4" w:space="0" w:color="auto"/>
              <w:right w:val="double" w:sz="4" w:space="0" w:color="auto"/>
            </w:tcBorders>
            <w:shd w:val="clear" w:color="auto" w:fill="auto"/>
            <w:noWrap/>
            <w:vAlign w:val="center"/>
          </w:tcPr>
          <w:p w14:paraId="3B642655" w14:textId="77777777" w:rsidR="00716AAF" w:rsidRPr="006535B0" w:rsidRDefault="00716AAF" w:rsidP="002A04F4">
            <w:pPr>
              <w:spacing w:after="0" w:line="276" w:lineRule="auto"/>
              <w:jc w:val="center"/>
              <w:rPr>
                <w:rFonts w:ascii="Times New Roman" w:eastAsia="Times New Roman" w:hAnsi="Times New Roman" w:cs="Times New Roman"/>
                <w:b/>
                <w:bCs/>
                <w:sz w:val="20"/>
                <w:szCs w:val="20"/>
              </w:rPr>
            </w:pPr>
          </w:p>
        </w:tc>
        <w:tc>
          <w:tcPr>
            <w:tcW w:w="2340" w:type="dxa"/>
            <w:gridSpan w:val="3"/>
            <w:tcBorders>
              <w:top w:val="single" w:sz="4" w:space="0" w:color="auto"/>
              <w:left w:val="double" w:sz="4" w:space="0" w:color="auto"/>
              <w:bottom w:val="single" w:sz="4" w:space="0" w:color="auto"/>
              <w:right w:val="double" w:sz="4" w:space="0" w:color="auto"/>
            </w:tcBorders>
            <w:vAlign w:val="center"/>
          </w:tcPr>
          <w:p w14:paraId="0C1F66D2" w14:textId="77777777" w:rsidR="00716AAF" w:rsidRPr="006535B0" w:rsidRDefault="00716AAF" w:rsidP="002A04F4">
            <w:pPr>
              <w:spacing w:after="0" w:line="276" w:lineRule="auto"/>
              <w:jc w:val="center"/>
              <w:rPr>
                <w:rFonts w:ascii="Times New Roman" w:eastAsia="Calibri" w:hAnsi="Times New Roman" w:cs="Times New Roman"/>
                <w:b/>
                <w:bCs/>
                <w:sz w:val="20"/>
                <w:szCs w:val="20"/>
              </w:rPr>
            </w:pPr>
            <w:r w:rsidRPr="006535B0">
              <w:rPr>
                <w:rFonts w:ascii="Times New Roman" w:eastAsia="Calibri" w:hAnsi="Times New Roman" w:cs="Times New Roman"/>
                <w:b/>
                <w:bCs/>
                <w:sz w:val="20"/>
                <w:szCs w:val="20"/>
              </w:rPr>
              <w:t>Third Location Only Utility</w:t>
            </w:r>
          </w:p>
        </w:tc>
        <w:tc>
          <w:tcPr>
            <w:tcW w:w="2229" w:type="dxa"/>
            <w:gridSpan w:val="2"/>
            <w:tcBorders>
              <w:top w:val="single" w:sz="4" w:space="0" w:color="auto"/>
              <w:left w:val="double" w:sz="4" w:space="0" w:color="auto"/>
              <w:bottom w:val="single" w:sz="4" w:space="0" w:color="auto"/>
              <w:right w:val="double" w:sz="4" w:space="0" w:color="auto"/>
            </w:tcBorders>
            <w:vAlign w:val="center"/>
          </w:tcPr>
          <w:p w14:paraId="2BB834E5" w14:textId="77777777" w:rsidR="00716AAF" w:rsidRPr="006535B0" w:rsidRDefault="00716AAF" w:rsidP="002A04F4">
            <w:pPr>
              <w:spacing w:after="0" w:line="276" w:lineRule="auto"/>
              <w:jc w:val="center"/>
              <w:rPr>
                <w:rFonts w:ascii="Times New Roman" w:eastAsia="Calibri" w:hAnsi="Times New Roman" w:cs="Times New Roman"/>
                <w:b/>
                <w:bCs/>
                <w:sz w:val="20"/>
                <w:szCs w:val="20"/>
              </w:rPr>
            </w:pPr>
            <w:r w:rsidRPr="006535B0">
              <w:rPr>
                <w:rFonts w:ascii="Times New Roman" w:eastAsia="Calibri" w:hAnsi="Times New Roman" w:cs="Times New Roman"/>
                <w:b/>
                <w:bCs/>
                <w:sz w:val="20"/>
                <w:szCs w:val="20"/>
              </w:rPr>
              <w:t>Both Home and Third Location Utility</w:t>
            </w:r>
          </w:p>
        </w:tc>
      </w:tr>
      <w:tr w:rsidR="00716AAF" w:rsidRPr="006535B0" w14:paraId="298C1F03" w14:textId="77777777" w:rsidTr="002A04F4">
        <w:trPr>
          <w:trHeight w:val="288"/>
        </w:trPr>
        <w:tc>
          <w:tcPr>
            <w:tcW w:w="4305" w:type="dxa"/>
            <w:vMerge/>
            <w:tcBorders>
              <w:left w:val="double" w:sz="4" w:space="0" w:color="auto"/>
              <w:bottom w:val="double" w:sz="4" w:space="0" w:color="auto"/>
              <w:right w:val="single" w:sz="12" w:space="0" w:color="auto"/>
            </w:tcBorders>
            <w:shd w:val="clear" w:color="auto" w:fill="auto"/>
            <w:noWrap/>
            <w:vAlign w:val="center"/>
          </w:tcPr>
          <w:p w14:paraId="197AB8E0" w14:textId="77777777" w:rsidR="00716AAF" w:rsidRPr="006535B0" w:rsidRDefault="00716AAF" w:rsidP="002A04F4">
            <w:pPr>
              <w:spacing w:after="0" w:line="276" w:lineRule="auto"/>
              <w:rPr>
                <w:rFonts w:ascii="Times New Roman" w:eastAsia="Times New Roman" w:hAnsi="Times New Roman" w:cs="Times New Roman"/>
                <w:b/>
                <w:i/>
                <w:sz w:val="20"/>
                <w:szCs w:val="20"/>
              </w:rPr>
            </w:pPr>
          </w:p>
        </w:tc>
        <w:tc>
          <w:tcPr>
            <w:tcW w:w="1125" w:type="dxa"/>
            <w:tcBorders>
              <w:top w:val="single" w:sz="4" w:space="0" w:color="auto"/>
              <w:left w:val="single" w:sz="12" w:space="0" w:color="auto"/>
              <w:bottom w:val="double" w:sz="4" w:space="0" w:color="auto"/>
              <w:right w:val="single" w:sz="4" w:space="0" w:color="auto"/>
            </w:tcBorders>
            <w:shd w:val="clear" w:color="auto" w:fill="auto"/>
            <w:noWrap/>
            <w:vAlign w:val="center"/>
          </w:tcPr>
          <w:p w14:paraId="14131F40"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Coeff.</w:t>
            </w:r>
          </w:p>
        </w:tc>
        <w:tc>
          <w:tcPr>
            <w:tcW w:w="1125" w:type="dxa"/>
            <w:tcBorders>
              <w:top w:val="single" w:sz="4" w:space="0" w:color="auto"/>
              <w:left w:val="single" w:sz="4" w:space="0" w:color="auto"/>
              <w:bottom w:val="double" w:sz="4" w:space="0" w:color="auto"/>
              <w:right w:val="double" w:sz="4" w:space="0" w:color="auto"/>
            </w:tcBorders>
            <w:shd w:val="clear" w:color="auto" w:fill="auto"/>
            <w:noWrap/>
            <w:vAlign w:val="center"/>
          </w:tcPr>
          <w:p w14:paraId="3CA2A4BB"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t-stat</w:t>
            </w:r>
          </w:p>
        </w:tc>
        <w:tc>
          <w:tcPr>
            <w:tcW w:w="99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4696628A"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Calibri" w:hAnsi="Times New Roman" w:cs="Times New Roman"/>
                <w:bCs/>
                <w:sz w:val="20"/>
                <w:szCs w:val="20"/>
              </w:rPr>
              <w:t>Coeff.</w:t>
            </w:r>
          </w:p>
        </w:tc>
        <w:tc>
          <w:tcPr>
            <w:tcW w:w="900" w:type="dxa"/>
            <w:tcBorders>
              <w:top w:val="single" w:sz="4" w:space="0" w:color="auto"/>
              <w:left w:val="single" w:sz="4" w:space="0" w:color="auto"/>
              <w:bottom w:val="double" w:sz="4" w:space="0" w:color="auto"/>
              <w:right w:val="double" w:sz="4" w:space="0" w:color="auto"/>
            </w:tcBorders>
            <w:shd w:val="clear" w:color="auto" w:fill="auto"/>
            <w:noWrap/>
            <w:vAlign w:val="center"/>
          </w:tcPr>
          <w:p w14:paraId="124F2259" w14:textId="77777777" w:rsidR="00716AAF" w:rsidRPr="006535B0" w:rsidRDefault="00716AAF" w:rsidP="002A04F4">
            <w:pPr>
              <w:spacing w:after="0" w:line="276" w:lineRule="auto"/>
              <w:jc w:val="center"/>
              <w:rPr>
                <w:rFonts w:ascii="Times New Roman" w:eastAsia="Times New Roman" w:hAnsi="Times New Roman" w:cs="Times New Roman"/>
                <w:sz w:val="20"/>
                <w:szCs w:val="20"/>
              </w:rPr>
            </w:pPr>
            <w:r w:rsidRPr="006535B0">
              <w:rPr>
                <w:rFonts w:ascii="Times New Roman" w:eastAsia="Calibri" w:hAnsi="Times New Roman" w:cs="Times New Roman"/>
                <w:bCs/>
                <w:sz w:val="20"/>
                <w:szCs w:val="20"/>
              </w:rPr>
              <w:t>t-stat</w:t>
            </w:r>
          </w:p>
        </w:tc>
        <w:tc>
          <w:tcPr>
            <w:tcW w:w="1142" w:type="dxa"/>
            <w:tcBorders>
              <w:top w:val="single" w:sz="4" w:space="0" w:color="auto"/>
              <w:left w:val="double" w:sz="4" w:space="0" w:color="auto"/>
              <w:bottom w:val="double" w:sz="4" w:space="0" w:color="auto"/>
              <w:right w:val="single" w:sz="4" w:space="0" w:color="auto"/>
            </w:tcBorders>
            <w:vAlign w:val="center"/>
          </w:tcPr>
          <w:p w14:paraId="00E57E7D" w14:textId="77777777" w:rsidR="00716AAF" w:rsidRPr="006535B0" w:rsidRDefault="00716AAF" w:rsidP="002A04F4">
            <w:pPr>
              <w:spacing w:after="0" w:line="276" w:lineRule="auto"/>
              <w:jc w:val="center"/>
              <w:rPr>
                <w:rFonts w:ascii="Times New Roman" w:eastAsia="Calibri" w:hAnsi="Times New Roman" w:cs="Times New Roman"/>
                <w:bCs/>
                <w:sz w:val="20"/>
                <w:szCs w:val="20"/>
              </w:rPr>
            </w:pPr>
            <w:r w:rsidRPr="006535B0">
              <w:rPr>
                <w:rFonts w:ascii="Times New Roman" w:eastAsia="Calibri" w:hAnsi="Times New Roman" w:cs="Times New Roman"/>
                <w:bCs/>
                <w:sz w:val="20"/>
                <w:szCs w:val="20"/>
              </w:rPr>
              <w:t>Coeff.</w:t>
            </w:r>
          </w:p>
        </w:tc>
        <w:tc>
          <w:tcPr>
            <w:tcW w:w="1142" w:type="dxa"/>
            <w:tcBorders>
              <w:top w:val="single" w:sz="4" w:space="0" w:color="auto"/>
              <w:left w:val="single" w:sz="4" w:space="0" w:color="auto"/>
              <w:bottom w:val="double" w:sz="4" w:space="0" w:color="auto"/>
              <w:right w:val="double" w:sz="4" w:space="0" w:color="auto"/>
            </w:tcBorders>
            <w:vAlign w:val="center"/>
          </w:tcPr>
          <w:p w14:paraId="7F321FD4" w14:textId="77777777" w:rsidR="00716AAF" w:rsidRPr="006535B0" w:rsidRDefault="00716AAF" w:rsidP="002A04F4">
            <w:pPr>
              <w:spacing w:after="0" w:line="276" w:lineRule="auto"/>
              <w:jc w:val="center"/>
              <w:rPr>
                <w:rFonts w:ascii="Times New Roman" w:eastAsia="Calibri" w:hAnsi="Times New Roman" w:cs="Times New Roman"/>
                <w:bCs/>
                <w:sz w:val="20"/>
                <w:szCs w:val="20"/>
              </w:rPr>
            </w:pPr>
            <w:r w:rsidRPr="006535B0">
              <w:rPr>
                <w:rFonts w:ascii="Times New Roman" w:eastAsia="Calibri" w:hAnsi="Times New Roman" w:cs="Times New Roman"/>
                <w:bCs/>
                <w:sz w:val="20"/>
                <w:szCs w:val="20"/>
              </w:rPr>
              <w:t>t-stat</w:t>
            </w:r>
          </w:p>
        </w:tc>
        <w:tc>
          <w:tcPr>
            <w:tcW w:w="1142" w:type="dxa"/>
            <w:gridSpan w:val="2"/>
            <w:tcBorders>
              <w:top w:val="single" w:sz="4" w:space="0" w:color="auto"/>
              <w:left w:val="double" w:sz="4" w:space="0" w:color="auto"/>
              <w:bottom w:val="double" w:sz="4" w:space="0" w:color="auto"/>
              <w:right w:val="single" w:sz="4" w:space="0" w:color="auto"/>
            </w:tcBorders>
            <w:vAlign w:val="center"/>
          </w:tcPr>
          <w:p w14:paraId="40FBFE7B" w14:textId="77777777" w:rsidR="00716AAF" w:rsidRPr="006535B0" w:rsidRDefault="00716AAF" w:rsidP="002A04F4">
            <w:pPr>
              <w:spacing w:after="0" w:line="276" w:lineRule="auto"/>
              <w:jc w:val="center"/>
              <w:rPr>
                <w:rFonts w:ascii="Times New Roman" w:eastAsia="Calibri" w:hAnsi="Times New Roman" w:cs="Times New Roman"/>
                <w:bCs/>
                <w:sz w:val="20"/>
                <w:szCs w:val="20"/>
              </w:rPr>
            </w:pPr>
            <w:r w:rsidRPr="006535B0">
              <w:rPr>
                <w:rFonts w:ascii="Times New Roman" w:eastAsia="Calibri" w:hAnsi="Times New Roman" w:cs="Times New Roman"/>
                <w:bCs/>
                <w:sz w:val="20"/>
                <w:szCs w:val="20"/>
              </w:rPr>
              <w:t>Coeff.</w:t>
            </w:r>
          </w:p>
        </w:tc>
        <w:tc>
          <w:tcPr>
            <w:tcW w:w="1143" w:type="dxa"/>
            <w:tcBorders>
              <w:top w:val="single" w:sz="4" w:space="0" w:color="auto"/>
              <w:left w:val="single" w:sz="4" w:space="0" w:color="auto"/>
              <w:bottom w:val="double" w:sz="4" w:space="0" w:color="auto"/>
              <w:right w:val="double" w:sz="4" w:space="0" w:color="auto"/>
            </w:tcBorders>
            <w:vAlign w:val="center"/>
          </w:tcPr>
          <w:p w14:paraId="1E5E7A72" w14:textId="77777777" w:rsidR="00716AAF" w:rsidRPr="006535B0" w:rsidRDefault="00716AAF" w:rsidP="002A04F4">
            <w:pPr>
              <w:spacing w:after="0" w:line="276" w:lineRule="auto"/>
              <w:jc w:val="center"/>
              <w:rPr>
                <w:rFonts w:ascii="Times New Roman" w:eastAsia="Calibri" w:hAnsi="Times New Roman" w:cs="Times New Roman"/>
                <w:bCs/>
                <w:sz w:val="20"/>
                <w:szCs w:val="20"/>
              </w:rPr>
            </w:pPr>
            <w:r w:rsidRPr="006535B0">
              <w:rPr>
                <w:rFonts w:ascii="Times New Roman" w:eastAsia="Calibri" w:hAnsi="Times New Roman" w:cs="Times New Roman"/>
                <w:bCs/>
                <w:sz w:val="20"/>
                <w:szCs w:val="20"/>
              </w:rPr>
              <w:t>t-stat</w:t>
            </w:r>
          </w:p>
        </w:tc>
      </w:tr>
      <w:tr w:rsidR="00716AAF" w:rsidRPr="006535B0" w14:paraId="4408DDC4"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7F8E8762"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i/>
                <w:sz w:val="20"/>
                <w:szCs w:val="20"/>
              </w:rPr>
              <w:t>Residential Characteristics</w:t>
            </w:r>
          </w:p>
        </w:tc>
        <w:tc>
          <w:tcPr>
            <w:tcW w:w="1125" w:type="dxa"/>
            <w:tcBorders>
              <w:top w:val="nil"/>
              <w:left w:val="single" w:sz="12" w:space="0" w:color="auto"/>
              <w:bottom w:val="nil"/>
              <w:right w:val="single" w:sz="4" w:space="0" w:color="auto"/>
            </w:tcBorders>
            <w:shd w:val="clear" w:color="auto" w:fill="auto"/>
            <w:noWrap/>
            <w:vAlign w:val="center"/>
          </w:tcPr>
          <w:p w14:paraId="19ECBDE1"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25" w:type="dxa"/>
            <w:tcBorders>
              <w:top w:val="nil"/>
              <w:left w:val="single" w:sz="4" w:space="0" w:color="auto"/>
              <w:bottom w:val="nil"/>
              <w:right w:val="double" w:sz="4" w:space="0" w:color="auto"/>
            </w:tcBorders>
            <w:shd w:val="clear" w:color="auto" w:fill="auto"/>
            <w:noWrap/>
            <w:vAlign w:val="center"/>
          </w:tcPr>
          <w:p w14:paraId="2A3D1D35"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05964423"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bottom w:val="nil"/>
              <w:right w:val="double" w:sz="4" w:space="0" w:color="auto"/>
            </w:tcBorders>
            <w:shd w:val="clear" w:color="auto" w:fill="auto"/>
            <w:noWrap/>
            <w:vAlign w:val="center"/>
          </w:tcPr>
          <w:p w14:paraId="70C0A9EF"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top w:val="double" w:sz="4" w:space="0" w:color="auto"/>
              <w:left w:val="double" w:sz="4" w:space="0" w:color="auto"/>
              <w:right w:val="single" w:sz="4" w:space="0" w:color="auto"/>
            </w:tcBorders>
            <w:vAlign w:val="center"/>
          </w:tcPr>
          <w:p w14:paraId="2A443102"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tcBorders>
              <w:top w:val="double" w:sz="4" w:space="0" w:color="auto"/>
              <w:left w:val="single" w:sz="4" w:space="0" w:color="auto"/>
              <w:right w:val="double" w:sz="4" w:space="0" w:color="auto"/>
            </w:tcBorders>
            <w:vAlign w:val="center"/>
          </w:tcPr>
          <w:p w14:paraId="1518E4E2"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gridSpan w:val="2"/>
            <w:tcBorders>
              <w:top w:val="double" w:sz="4" w:space="0" w:color="auto"/>
              <w:left w:val="double" w:sz="4" w:space="0" w:color="auto"/>
              <w:right w:val="single" w:sz="4" w:space="0" w:color="auto"/>
            </w:tcBorders>
            <w:vAlign w:val="center"/>
          </w:tcPr>
          <w:p w14:paraId="77116CB1"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3" w:type="dxa"/>
            <w:tcBorders>
              <w:top w:val="double" w:sz="4" w:space="0" w:color="auto"/>
              <w:left w:val="single" w:sz="4" w:space="0" w:color="auto"/>
              <w:right w:val="double" w:sz="4" w:space="0" w:color="auto"/>
            </w:tcBorders>
            <w:vAlign w:val="center"/>
          </w:tcPr>
          <w:p w14:paraId="7283C426"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r>
      <w:tr w:rsidR="00716AAF" w:rsidRPr="006535B0" w14:paraId="01991576"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23307AB4"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Land Use Type (base: rural)</w:t>
            </w:r>
          </w:p>
        </w:tc>
        <w:tc>
          <w:tcPr>
            <w:tcW w:w="1125" w:type="dxa"/>
            <w:tcBorders>
              <w:top w:val="nil"/>
              <w:left w:val="single" w:sz="12" w:space="0" w:color="auto"/>
              <w:bottom w:val="nil"/>
              <w:right w:val="single" w:sz="4" w:space="0" w:color="auto"/>
            </w:tcBorders>
            <w:shd w:val="clear" w:color="auto" w:fill="auto"/>
            <w:noWrap/>
            <w:vAlign w:val="center"/>
          </w:tcPr>
          <w:p w14:paraId="15DFFE58"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25" w:type="dxa"/>
            <w:tcBorders>
              <w:top w:val="nil"/>
              <w:left w:val="single" w:sz="4" w:space="0" w:color="auto"/>
              <w:bottom w:val="nil"/>
              <w:right w:val="double" w:sz="4" w:space="0" w:color="auto"/>
            </w:tcBorders>
            <w:shd w:val="clear" w:color="auto" w:fill="auto"/>
            <w:noWrap/>
            <w:vAlign w:val="center"/>
          </w:tcPr>
          <w:p w14:paraId="4D2D3D3A"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B92A9F1"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bottom w:val="nil"/>
              <w:right w:val="double" w:sz="4" w:space="0" w:color="auto"/>
            </w:tcBorders>
            <w:shd w:val="clear" w:color="auto" w:fill="auto"/>
            <w:noWrap/>
            <w:vAlign w:val="center"/>
          </w:tcPr>
          <w:p w14:paraId="248E7485"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0818D05C"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tcBorders>
              <w:left w:val="single" w:sz="4" w:space="0" w:color="auto"/>
              <w:right w:val="double" w:sz="4" w:space="0" w:color="auto"/>
            </w:tcBorders>
            <w:vAlign w:val="center"/>
          </w:tcPr>
          <w:p w14:paraId="3AFE1C2F"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gridSpan w:val="2"/>
            <w:tcBorders>
              <w:left w:val="double" w:sz="4" w:space="0" w:color="auto"/>
              <w:right w:val="single" w:sz="4" w:space="0" w:color="auto"/>
            </w:tcBorders>
            <w:vAlign w:val="center"/>
          </w:tcPr>
          <w:p w14:paraId="418C0AD8"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3" w:type="dxa"/>
            <w:tcBorders>
              <w:left w:val="single" w:sz="4" w:space="0" w:color="auto"/>
              <w:right w:val="double" w:sz="4" w:space="0" w:color="auto"/>
            </w:tcBorders>
            <w:vAlign w:val="center"/>
          </w:tcPr>
          <w:p w14:paraId="3488DD28"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r>
      <w:tr w:rsidR="00716AAF" w:rsidRPr="006535B0" w14:paraId="1C0418EF"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68D8FFBF"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sz w:val="20"/>
                <w:szCs w:val="20"/>
              </w:rPr>
              <w:t xml:space="preserve">  Suburban</w:t>
            </w:r>
          </w:p>
        </w:tc>
        <w:tc>
          <w:tcPr>
            <w:tcW w:w="1125" w:type="dxa"/>
            <w:tcBorders>
              <w:top w:val="nil"/>
              <w:left w:val="single" w:sz="12" w:space="0" w:color="auto"/>
              <w:bottom w:val="nil"/>
              <w:right w:val="single" w:sz="4" w:space="0" w:color="auto"/>
            </w:tcBorders>
            <w:shd w:val="clear" w:color="auto" w:fill="auto"/>
            <w:noWrap/>
            <w:vAlign w:val="bottom"/>
          </w:tcPr>
          <w:p w14:paraId="67D81ED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0.169</w:t>
            </w:r>
          </w:p>
        </w:tc>
        <w:tc>
          <w:tcPr>
            <w:tcW w:w="1125" w:type="dxa"/>
            <w:tcBorders>
              <w:top w:val="nil"/>
              <w:left w:val="single" w:sz="4" w:space="0" w:color="auto"/>
              <w:bottom w:val="nil"/>
              <w:right w:val="double" w:sz="4" w:space="0" w:color="auto"/>
            </w:tcBorders>
            <w:shd w:val="clear" w:color="auto" w:fill="auto"/>
            <w:noWrap/>
            <w:vAlign w:val="bottom"/>
          </w:tcPr>
          <w:p w14:paraId="692455A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2.01</w:t>
            </w:r>
          </w:p>
        </w:tc>
        <w:tc>
          <w:tcPr>
            <w:tcW w:w="990" w:type="dxa"/>
            <w:tcBorders>
              <w:top w:val="nil"/>
              <w:left w:val="double" w:sz="4" w:space="0" w:color="auto"/>
              <w:bottom w:val="nil"/>
              <w:right w:val="single" w:sz="4" w:space="0" w:color="auto"/>
            </w:tcBorders>
            <w:shd w:val="clear" w:color="auto" w:fill="auto"/>
            <w:noWrap/>
            <w:vAlign w:val="center"/>
          </w:tcPr>
          <w:p w14:paraId="31F7CECD"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00" w:type="dxa"/>
            <w:tcBorders>
              <w:top w:val="nil"/>
              <w:left w:val="single" w:sz="4" w:space="0" w:color="auto"/>
              <w:bottom w:val="nil"/>
              <w:right w:val="double" w:sz="4" w:space="0" w:color="auto"/>
            </w:tcBorders>
            <w:shd w:val="clear" w:color="auto" w:fill="auto"/>
            <w:noWrap/>
            <w:vAlign w:val="center"/>
          </w:tcPr>
          <w:p w14:paraId="0AC5591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4FF810FD"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r w:rsidRPr="006535B0">
              <w:rPr>
                <w:rFonts w:ascii="Times New Roman" w:eastAsia="Times New Roman" w:hAnsi="Times New Roman" w:cs="Times New Roman"/>
                <w:sz w:val="20"/>
                <w:szCs w:val="20"/>
              </w:rPr>
              <w:t>--</w:t>
            </w:r>
          </w:p>
        </w:tc>
        <w:tc>
          <w:tcPr>
            <w:tcW w:w="1142" w:type="dxa"/>
            <w:tcBorders>
              <w:left w:val="single" w:sz="4" w:space="0" w:color="auto"/>
              <w:right w:val="double" w:sz="4" w:space="0" w:color="auto"/>
            </w:tcBorders>
            <w:vAlign w:val="center"/>
          </w:tcPr>
          <w:p w14:paraId="7AB08BE1"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gridSpan w:val="2"/>
            <w:tcBorders>
              <w:left w:val="double" w:sz="4" w:space="0" w:color="auto"/>
              <w:right w:val="single" w:sz="4" w:space="0" w:color="auto"/>
            </w:tcBorders>
            <w:vAlign w:val="center"/>
          </w:tcPr>
          <w:p w14:paraId="61F32C00" w14:textId="77777777" w:rsidR="00716AAF" w:rsidRPr="006535B0" w:rsidRDefault="00716AAF" w:rsidP="002A04F4">
            <w:pPr>
              <w:spacing w:after="0" w:line="276" w:lineRule="auto"/>
              <w:jc w:val="right"/>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3" w:type="dxa"/>
            <w:tcBorders>
              <w:left w:val="single" w:sz="4" w:space="0" w:color="auto"/>
              <w:right w:val="double" w:sz="4" w:space="0" w:color="auto"/>
            </w:tcBorders>
            <w:vAlign w:val="center"/>
          </w:tcPr>
          <w:p w14:paraId="48EBE02E"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r>
      <w:tr w:rsidR="00716AAF" w:rsidRPr="006535B0" w14:paraId="2447001A"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643D4298"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sz w:val="20"/>
                <w:szCs w:val="20"/>
              </w:rPr>
              <w:t xml:space="preserve">  Urban</w:t>
            </w:r>
          </w:p>
        </w:tc>
        <w:tc>
          <w:tcPr>
            <w:tcW w:w="1125" w:type="dxa"/>
            <w:tcBorders>
              <w:top w:val="nil"/>
              <w:left w:val="single" w:sz="12" w:space="0" w:color="auto"/>
              <w:bottom w:val="nil"/>
              <w:right w:val="single" w:sz="4" w:space="0" w:color="auto"/>
            </w:tcBorders>
            <w:shd w:val="clear" w:color="auto" w:fill="auto"/>
            <w:noWrap/>
            <w:vAlign w:val="bottom"/>
          </w:tcPr>
          <w:p w14:paraId="1D309CC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0.356</w:t>
            </w:r>
          </w:p>
        </w:tc>
        <w:tc>
          <w:tcPr>
            <w:tcW w:w="1125" w:type="dxa"/>
            <w:tcBorders>
              <w:top w:val="nil"/>
              <w:left w:val="single" w:sz="4" w:space="0" w:color="auto"/>
              <w:bottom w:val="nil"/>
              <w:right w:val="double" w:sz="4" w:space="0" w:color="auto"/>
            </w:tcBorders>
            <w:shd w:val="clear" w:color="auto" w:fill="auto"/>
            <w:noWrap/>
            <w:vAlign w:val="bottom"/>
          </w:tcPr>
          <w:p w14:paraId="6CFB7D2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3.55</w:t>
            </w:r>
          </w:p>
        </w:tc>
        <w:tc>
          <w:tcPr>
            <w:tcW w:w="990" w:type="dxa"/>
            <w:tcBorders>
              <w:top w:val="nil"/>
              <w:left w:val="double" w:sz="4" w:space="0" w:color="auto"/>
              <w:bottom w:val="nil"/>
              <w:right w:val="single" w:sz="4" w:space="0" w:color="auto"/>
            </w:tcBorders>
            <w:shd w:val="clear" w:color="auto" w:fill="auto"/>
            <w:noWrap/>
            <w:vAlign w:val="center"/>
          </w:tcPr>
          <w:p w14:paraId="06FCE224"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Calibri" w:hAnsi="Times New Roman" w:cs="Times New Roman"/>
                <w:sz w:val="20"/>
                <w:szCs w:val="20"/>
              </w:rPr>
              <w:t>--</w:t>
            </w:r>
          </w:p>
        </w:tc>
        <w:tc>
          <w:tcPr>
            <w:tcW w:w="900" w:type="dxa"/>
            <w:tcBorders>
              <w:top w:val="nil"/>
              <w:left w:val="single" w:sz="4" w:space="0" w:color="auto"/>
              <w:bottom w:val="nil"/>
              <w:right w:val="double" w:sz="4" w:space="0" w:color="auto"/>
            </w:tcBorders>
            <w:shd w:val="clear" w:color="auto" w:fill="auto"/>
            <w:noWrap/>
            <w:vAlign w:val="center"/>
          </w:tcPr>
          <w:p w14:paraId="2E7C2F8F"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6D39486E"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r w:rsidRPr="006535B0">
              <w:rPr>
                <w:rFonts w:ascii="Times New Roman" w:eastAsia="Times New Roman" w:hAnsi="Times New Roman" w:cs="Times New Roman"/>
                <w:sz w:val="20"/>
                <w:szCs w:val="20"/>
              </w:rPr>
              <w:t>--</w:t>
            </w:r>
          </w:p>
        </w:tc>
        <w:tc>
          <w:tcPr>
            <w:tcW w:w="1142" w:type="dxa"/>
            <w:tcBorders>
              <w:left w:val="single" w:sz="4" w:space="0" w:color="auto"/>
              <w:right w:val="double" w:sz="4" w:space="0" w:color="auto"/>
            </w:tcBorders>
            <w:vAlign w:val="center"/>
          </w:tcPr>
          <w:p w14:paraId="499C88BD"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gridSpan w:val="2"/>
            <w:tcBorders>
              <w:left w:val="double" w:sz="4" w:space="0" w:color="auto"/>
              <w:right w:val="single" w:sz="4" w:space="0" w:color="auto"/>
            </w:tcBorders>
            <w:vAlign w:val="bottom"/>
          </w:tcPr>
          <w:p w14:paraId="1536A05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0.309</w:t>
            </w:r>
          </w:p>
        </w:tc>
        <w:tc>
          <w:tcPr>
            <w:tcW w:w="1143" w:type="dxa"/>
            <w:tcBorders>
              <w:left w:val="single" w:sz="4" w:space="0" w:color="auto"/>
              <w:right w:val="double" w:sz="4" w:space="0" w:color="auto"/>
            </w:tcBorders>
            <w:vAlign w:val="bottom"/>
          </w:tcPr>
          <w:p w14:paraId="6BB1EFBC"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2.17</w:t>
            </w:r>
          </w:p>
        </w:tc>
      </w:tr>
      <w:tr w:rsidR="00716AAF" w:rsidRPr="006535B0" w14:paraId="33BF2ADD"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52DBA236"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House Characteristics</w:t>
            </w:r>
          </w:p>
        </w:tc>
        <w:tc>
          <w:tcPr>
            <w:tcW w:w="1125" w:type="dxa"/>
            <w:tcBorders>
              <w:top w:val="nil"/>
              <w:left w:val="single" w:sz="12" w:space="0" w:color="auto"/>
              <w:bottom w:val="nil"/>
              <w:right w:val="single" w:sz="4" w:space="0" w:color="auto"/>
            </w:tcBorders>
            <w:shd w:val="clear" w:color="auto" w:fill="auto"/>
            <w:noWrap/>
            <w:vAlign w:val="center"/>
          </w:tcPr>
          <w:p w14:paraId="4EEAD75F"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25" w:type="dxa"/>
            <w:tcBorders>
              <w:top w:val="nil"/>
              <w:left w:val="single" w:sz="4" w:space="0" w:color="auto"/>
              <w:bottom w:val="nil"/>
              <w:right w:val="double" w:sz="4" w:space="0" w:color="auto"/>
            </w:tcBorders>
            <w:shd w:val="clear" w:color="auto" w:fill="auto"/>
            <w:noWrap/>
            <w:vAlign w:val="center"/>
          </w:tcPr>
          <w:p w14:paraId="2255249D"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376A715A"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bottom w:val="nil"/>
              <w:right w:val="double" w:sz="4" w:space="0" w:color="auto"/>
            </w:tcBorders>
            <w:shd w:val="clear" w:color="auto" w:fill="auto"/>
            <w:noWrap/>
            <w:vAlign w:val="center"/>
          </w:tcPr>
          <w:p w14:paraId="098B6D21"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44E63FE3"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tcBorders>
              <w:left w:val="single" w:sz="4" w:space="0" w:color="auto"/>
              <w:right w:val="double" w:sz="4" w:space="0" w:color="auto"/>
            </w:tcBorders>
            <w:vAlign w:val="center"/>
          </w:tcPr>
          <w:p w14:paraId="502DCA72" w14:textId="77777777" w:rsidR="00716AAF" w:rsidRPr="006535B0" w:rsidRDefault="00716AAF" w:rsidP="002A04F4">
            <w:pPr>
              <w:spacing w:after="0" w:line="276" w:lineRule="auto"/>
              <w:jc w:val="right"/>
              <w:rPr>
                <w:rFonts w:ascii="Times New Roman" w:eastAsia="Calibri" w:hAnsi="Times New Roman" w:cs="Times New Roman"/>
                <w:bCs/>
                <w:sz w:val="20"/>
                <w:szCs w:val="20"/>
              </w:rPr>
            </w:pPr>
          </w:p>
        </w:tc>
        <w:tc>
          <w:tcPr>
            <w:tcW w:w="1142" w:type="dxa"/>
            <w:gridSpan w:val="2"/>
            <w:tcBorders>
              <w:left w:val="double" w:sz="4" w:space="0" w:color="auto"/>
              <w:right w:val="single" w:sz="4" w:space="0" w:color="auto"/>
            </w:tcBorders>
            <w:vAlign w:val="center"/>
          </w:tcPr>
          <w:p w14:paraId="07BC4F3C"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3" w:type="dxa"/>
            <w:tcBorders>
              <w:left w:val="single" w:sz="4" w:space="0" w:color="auto"/>
              <w:right w:val="double" w:sz="4" w:space="0" w:color="auto"/>
            </w:tcBorders>
            <w:vAlign w:val="center"/>
          </w:tcPr>
          <w:p w14:paraId="5E385FC7"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r>
      <w:tr w:rsidR="00716AAF" w:rsidRPr="006535B0" w14:paraId="262CEBCD"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47DC2465"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Private Study</w:t>
            </w:r>
          </w:p>
        </w:tc>
        <w:tc>
          <w:tcPr>
            <w:tcW w:w="1125" w:type="dxa"/>
            <w:tcBorders>
              <w:top w:val="nil"/>
              <w:left w:val="single" w:sz="12" w:space="0" w:color="auto"/>
              <w:bottom w:val="nil"/>
              <w:right w:val="single" w:sz="4" w:space="0" w:color="auto"/>
            </w:tcBorders>
            <w:shd w:val="clear" w:color="auto" w:fill="auto"/>
            <w:noWrap/>
            <w:vAlign w:val="bottom"/>
          </w:tcPr>
          <w:p w14:paraId="636D14C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0.127</w:t>
            </w:r>
          </w:p>
        </w:tc>
        <w:tc>
          <w:tcPr>
            <w:tcW w:w="1125" w:type="dxa"/>
            <w:tcBorders>
              <w:top w:val="nil"/>
              <w:left w:val="single" w:sz="4" w:space="0" w:color="auto"/>
              <w:bottom w:val="nil"/>
              <w:right w:val="double" w:sz="4" w:space="0" w:color="auto"/>
            </w:tcBorders>
            <w:shd w:val="clear" w:color="auto" w:fill="auto"/>
            <w:noWrap/>
            <w:vAlign w:val="bottom"/>
          </w:tcPr>
          <w:p w14:paraId="6AC3DBB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1.64</w:t>
            </w:r>
          </w:p>
        </w:tc>
        <w:tc>
          <w:tcPr>
            <w:tcW w:w="990" w:type="dxa"/>
            <w:tcBorders>
              <w:top w:val="nil"/>
              <w:left w:val="double" w:sz="4" w:space="0" w:color="auto"/>
              <w:bottom w:val="nil"/>
              <w:right w:val="single" w:sz="4" w:space="0" w:color="auto"/>
            </w:tcBorders>
            <w:shd w:val="clear" w:color="auto" w:fill="auto"/>
            <w:noWrap/>
            <w:vAlign w:val="bottom"/>
          </w:tcPr>
          <w:p w14:paraId="76D0836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6535B0">
              <w:rPr>
                <w:rFonts w:ascii="Times New Roman" w:eastAsia="Calibri" w:hAnsi="Times New Roman" w:cs="Times New Roman"/>
                <w:color w:val="000000"/>
                <w:sz w:val="20"/>
                <w:szCs w:val="20"/>
              </w:rPr>
              <w:t>0.273</w:t>
            </w:r>
          </w:p>
        </w:tc>
        <w:tc>
          <w:tcPr>
            <w:tcW w:w="900" w:type="dxa"/>
            <w:tcBorders>
              <w:top w:val="nil"/>
              <w:left w:val="single" w:sz="4" w:space="0" w:color="auto"/>
              <w:bottom w:val="nil"/>
              <w:right w:val="double" w:sz="4" w:space="0" w:color="auto"/>
            </w:tcBorders>
            <w:shd w:val="clear" w:color="auto" w:fill="auto"/>
            <w:noWrap/>
            <w:vAlign w:val="bottom"/>
          </w:tcPr>
          <w:p w14:paraId="384EA9D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6535B0">
              <w:rPr>
                <w:rFonts w:ascii="Times New Roman" w:eastAsia="Calibri" w:hAnsi="Times New Roman" w:cs="Times New Roman"/>
                <w:color w:val="000000"/>
                <w:sz w:val="20"/>
                <w:szCs w:val="20"/>
              </w:rPr>
              <w:t>2.14</w:t>
            </w:r>
          </w:p>
        </w:tc>
        <w:tc>
          <w:tcPr>
            <w:tcW w:w="1142" w:type="dxa"/>
            <w:tcBorders>
              <w:left w:val="double" w:sz="4" w:space="0" w:color="auto"/>
              <w:right w:val="single" w:sz="4" w:space="0" w:color="auto"/>
            </w:tcBorders>
            <w:vAlign w:val="bottom"/>
          </w:tcPr>
          <w:p w14:paraId="3CD579D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-0.338</w:t>
            </w:r>
          </w:p>
        </w:tc>
        <w:tc>
          <w:tcPr>
            <w:tcW w:w="1142" w:type="dxa"/>
            <w:tcBorders>
              <w:left w:val="single" w:sz="4" w:space="0" w:color="auto"/>
              <w:right w:val="double" w:sz="4" w:space="0" w:color="auto"/>
            </w:tcBorders>
            <w:vAlign w:val="bottom"/>
          </w:tcPr>
          <w:p w14:paraId="64AFE87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-2.64</w:t>
            </w:r>
          </w:p>
        </w:tc>
        <w:tc>
          <w:tcPr>
            <w:tcW w:w="1142" w:type="dxa"/>
            <w:gridSpan w:val="2"/>
            <w:tcBorders>
              <w:left w:val="double" w:sz="4" w:space="0" w:color="auto"/>
              <w:right w:val="single" w:sz="4" w:space="0" w:color="auto"/>
            </w:tcBorders>
            <w:vAlign w:val="bottom"/>
          </w:tcPr>
          <w:p w14:paraId="4B75583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-0.338</w:t>
            </w:r>
          </w:p>
        </w:tc>
        <w:tc>
          <w:tcPr>
            <w:tcW w:w="1143" w:type="dxa"/>
            <w:tcBorders>
              <w:left w:val="single" w:sz="4" w:space="0" w:color="auto"/>
              <w:right w:val="double" w:sz="4" w:space="0" w:color="auto"/>
            </w:tcBorders>
            <w:vAlign w:val="bottom"/>
          </w:tcPr>
          <w:p w14:paraId="6FC6516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--2.64</w:t>
            </w:r>
          </w:p>
        </w:tc>
      </w:tr>
      <w:tr w:rsidR="00716AAF" w:rsidRPr="006535B0" w14:paraId="327A0FCA"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245EF12A" w14:textId="77777777" w:rsidR="00716AAF" w:rsidRPr="006535B0" w:rsidRDefault="00716AAF" w:rsidP="002A04F4">
            <w:pPr>
              <w:spacing w:after="0" w:line="276" w:lineRule="auto"/>
              <w:rPr>
                <w:rFonts w:ascii="Times New Roman" w:eastAsia="Times New Roman" w:hAnsi="Times New Roman" w:cs="Times New Roman"/>
                <w:b/>
                <w:sz w:val="20"/>
                <w:szCs w:val="20"/>
              </w:rPr>
            </w:pPr>
            <w:r w:rsidRPr="006535B0">
              <w:rPr>
                <w:rFonts w:ascii="Times New Roman" w:eastAsia="Times New Roman" w:hAnsi="Times New Roman" w:cs="Times New Roman"/>
                <w:b/>
                <w:sz w:val="20"/>
                <w:szCs w:val="20"/>
              </w:rPr>
              <w:t xml:space="preserve">Household Type (base: not a stand-alone home) </w:t>
            </w:r>
          </w:p>
        </w:tc>
        <w:tc>
          <w:tcPr>
            <w:tcW w:w="1125" w:type="dxa"/>
            <w:tcBorders>
              <w:top w:val="nil"/>
              <w:left w:val="single" w:sz="12" w:space="0" w:color="auto"/>
              <w:bottom w:val="nil"/>
              <w:right w:val="single" w:sz="4" w:space="0" w:color="auto"/>
            </w:tcBorders>
            <w:shd w:val="clear" w:color="auto" w:fill="auto"/>
            <w:noWrap/>
            <w:vAlign w:val="center"/>
          </w:tcPr>
          <w:p w14:paraId="69569BFE"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25" w:type="dxa"/>
            <w:tcBorders>
              <w:top w:val="nil"/>
              <w:left w:val="single" w:sz="4" w:space="0" w:color="auto"/>
              <w:bottom w:val="nil"/>
              <w:right w:val="double" w:sz="4" w:space="0" w:color="auto"/>
            </w:tcBorders>
            <w:shd w:val="clear" w:color="auto" w:fill="auto"/>
            <w:noWrap/>
            <w:vAlign w:val="center"/>
          </w:tcPr>
          <w:p w14:paraId="3AAB40E8"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56E5D1C2"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bottom w:val="nil"/>
              <w:right w:val="double" w:sz="4" w:space="0" w:color="auto"/>
            </w:tcBorders>
            <w:shd w:val="clear" w:color="auto" w:fill="auto"/>
            <w:noWrap/>
            <w:vAlign w:val="center"/>
          </w:tcPr>
          <w:p w14:paraId="49ACD246"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060B9642"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2" w:type="dxa"/>
            <w:tcBorders>
              <w:left w:val="single" w:sz="4" w:space="0" w:color="auto"/>
              <w:right w:val="double" w:sz="4" w:space="0" w:color="auto"/>
            </w:tcBorders>
            <w:vAlign w:val="center"/>
          </w:tcPr>
          <w:p w14:paraId="059018C1"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2" w:type="dxa"/>
            <w:gridSpan w:val="2"/>
            <w:tcBorders>
              <w:left w:val="double" w:sz="4" w:space="0" w:color="auto"/>
              <w:right w:val="single" w:sz="4" w:space="0" w:color="auto"/>
            </w:tcBorders>
            <w:vAlign w:val="center"/>
          </w:tcPr>
          <w:p w14:paraId="04124F20"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3" w:type="dxa"/>
            <w:tcBorders>
              <w:left w:val="single" w:sz="4" w:space="0" w:color="auto"/>
              <w:right w:val="double" w:sz="4" w:space="0" w:color="auto"/>
            </w:tcBorders>
            <w:vAlign w:val="center"/>
          </w:tcPr>
          <w:p w14:paraId="4D723C24"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r>
      <w:tr w:rsidR="00716AAF" w:rsidRPr="006535B0" w14:paraId="38CE1AC6"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0FBC82A4"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Stand-alone home</w:t>
            </w:r>
          </w:p>
        </w:tc>
        <w:tc>
          <w:tcPr>
            <w:tcW w:w="1125" w:type="dxa"/>
            <w:tcBorders>
              <w:top w:val="nil"/>
              <w:left w:val="single" w:sz="12" w:space="0" w:color="auto"/>
              <w:bottom w:val="nil"/>
              <w:right w:val="single" w:sz="4" w:space="0" w:color="auto"/>
            </w:tcBorders>
            <w:shd w:val="clear" w:color="auto" w:fill="auto"/>
            <w:noWrap/>
            <w:vAlign w:val="center"/>
          </w:tcPr>
          <w:p w14:paraId="4DEC8147" w14:textId="77777777" w:rsidR="00716AAF" w:rsidRPr="006535B0" w:rsidRDefault="00716AAF" w:rsidP="002A04F4">
            <w:pPr>
              <w:spacing w:after="0" w:line="276" w:lineRule="auto"/>
              <w:jc w:val="right"/>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25" w:type="dxa"/>
            <w:tcBorders>
              <w:top w:val="nil"/>
              <w:left w:val="single" w:sz="4" w:space="0" w:color="auto"/>
              <w:bottom w:val="nil"/>
              <w:right w:val="double" w:sz="4" w:space="0" w:color="auto"/>
            </w:tcBorders>
            <w:shd w:val="clear" w:color="auto" w:fill="auto"/>
            <w:noWrap/>
            <w:vAlign w:val="center"/>
          </w:tcPr>
          <w:p w14:paraId="05286760"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7A12748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6535B0">
              <w:rPr>
                <w:rFonts w:ascii="Times New Roman" w:eastAsia="Calibri" w:hAnsi="Times New Roman" w:cs="Times New Roman"/>
                <w:color w:val="000000"/>
                <w:sz w:val="20"/>
                <w:szCs w:val="20"/>
              </w:rPr>
              <w:t>0.238</w:t>
            </w:r>
          </w:p>
        </w:tc>
        <w:tc>
          <w:tcPr>
            <w:tcW w:w="900" w:type="dxa"/>
            <w:tcBorders>
              <w:top w:val="nil"/>
              <w:left w:val="single" w:sz="4" w:space="0" w:color="auto"/>
              <w:bottom w:val="nil"/>
              <w:right w:val="double" w:sz="4" w:space="0" w:color="auto"/>
            </w:tcBorders>
            <w:shd w:val="clear" w:color="auto" w:fill="auto"/>
            <w:noWrap/>
            <w:vAlign w:val="bottom"/>
          </w:tcPr>
          <w:p w14:paraId="310DA17C"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6535B0">
              <w:rPr>
                <w:rFonts w:ascii="Times New Roman" w:eastAsia="Calibri" w:hAnsi="Times New Roman" w:cs="Times New Roman"/>
                <w:color w:val="000000"/>
                <w:sz w:val="20"/>
                <w:szCs w:val="20"/>
              </w:rPr>
              <w:t>1.56</w:t>
            </w:r>
          </w:p>
        </w:tc>
        <w:tc>
          <w:tcPr>
            <w:tcW w:w="1142" w:type="dxa"/>
            <w:tcBorders>
              <w:left w:val="double" w:sz="4" w:space="0" w:color="auto"/>
              <w:right w:val="single" w:sz="4" w:space="0" w:color="auto"/>
            </w:tcBorders>
            <w:vAlign w:val="bottom"/>
          </w:tcPr>
          <w:p w14:paraId="72F8D34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-0.387</w:t>
            </w:r>
          </w:p>
        </w:tc>
        <w:tc>
          <w:tcPr>
            <w:tcW w:w="1142" w:type="dxa"/>
            <w:tcBorders>
              <w:left w:val="single" w:sz="4" w:space="0" w:color="auto"/>
              <w:right w:val="double" w:sz="4" w:space="0" w:color="auto"/>
            </w:tcBorders>
            <w:vAlign w:val="bottom"/>
          </w:tcPr>
          <w:p w14:paraId="4ECF5F8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-2.74</w:t>
            </w:r>
          </w:p>
        </w:tc>
        <w:tc>
          <w:tcPr>
            <w:tcW w:w="1142" w:type="dxa"/>
            <w:gridSpan w:val="2"/>
            <w:tcBorders>
              <w:left w:val="double" w:sz="4" w:space="0" w:color="auto"/>
              <w:right w:val="single" w:sz="4" w:space="0" w:color="auto"/>
            </w:tcBorders>
            <w:vAlign w:val="bottom"/>
          </w:tcPr>
          <w:p w14:paraId="0491AD1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-0.387</w:t>
            </w:r>
          </w:p>
        </w:tc>
        <w:tc>
          <w:tcPr>
            <w:tcW w:w="1143" w:type="dxa"/>
            <w:tcBorders>
              <w:left w:val="single" w:sz="4" w:space="0" w:color="auto"/>
              <w:right w:val="double" w:sz="4" w:space="0" w:color="auto"/>
            </w:tcBorders>
            <w:vAlign w:val="bottom"/>
          </w:tcPr>
          <w:p w14:paraId="63AB2C4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-2.74</w:t>
            </w:r>
          </w:p>
        </w:tc>
      </w:tr>
      <w:tr w:rsidR="00716AAF" w:rsidRPr="006535B0" w14:paraId="29FDE2F5" w14:textId="77777777" w:rsidTr="002A04F4">
        <w:trPr>
          <w:trHeight w:val="288"/>
        </w:trPr>
        <w:tc>
          <w:tcPr>
            <w:tcW w:w="4305" w:type="dxa"/>
            <w:tcBorders>
              <w:top w:val="nil"/>
              <w:left w:val="double" w:sz="4" w:space="0" w:color="auto"/>
              <w:right w:val="single" w:sz="12" w:space="0" w:color="auto"/>
            </w:tcBorders>
            <w:shd w:val="clear" w:color="auto" w:fill="auto"/>
            <w:noWrap/>
            <w:vAlign w:val="center"/>
          </w:tcPr>
          <w:p w14:paraId="55E5F140" w14:textId="77777777" w:rsidR="00716AAF" w:rsidRPr="006535B0" w:rsidRDefault="00716AAF" w:rsidP="002A04F4">
            <w:pPr>
              <w:spacing w:after="0" w:line="276" w:lineRule="auto"/>
              <w:rPr>
                <w:rFonts w:ascii="Times New Roman" w:eastAsia="Times New Roman" w:hAnsi="Times New Roman" w:cs="Times New Roman"/>
                <w:b/>
                <w:bCs/>
                <w:i/>
                <w:iCs/>
                <w:sz w:val="20"/>
                <w:szCs w:val="20"/>
              </w:rPr>
            </w:pPr>
            <w:r w:rsidRPr="006535B0">
              <w:rPr>
                <w:rFonts w:ascii="Times New Roman" w:eastAsia="Times New Roman" w:hAnsi="Times New Roman" w:cs="Times New Roman"/>
                <w:b/>
                <w:bCs/>
                <w:i/>
                <w:iCs/>
                <w:sz w:val="20"/>
                <w:szCs w:val="20"/>
              </w:rPr>
              <w:t>COVID Threat</w:t>
            </w:r>
          </w:p>
        </w:tc>
        <w:tc>
          <w:tcPr>
            <w:tcW w:w="1125" w:type="dxa"/>
            <w:tcBorders>
              <w:top w:val="nil"/>
              <w:left w:val="single" w:sz="12" w:space="0" w:color="auto"/>
              <w:right w:val="single" w:sz="4" w:space="0" w:color="auto"/>
            </w:tcBorders>
            <w:shd w:val="clear" w:color="auto" w:fill="auto"/>
            <w:noWrap/>
            <w:vAlign w:val="center"/>
          </w:tcPr>
          <w:p w14:paraId="7164FD7D"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25" w:type="dxa"/>
            <w:tcBorders>
              <w:top w:val="nil"/>
              <w:left w:val="single" w:sz="4" w:space="0" w:color="auto"/>
              <w:right w:val="double" w:sz="4" w:space="0" w:color="auto"/>
            </w:tcBorders>
            <w:shd w:val="clear" w:color="auto" w:fill="auto"/>
            <w:noWrap/>
            <w:vAlign w:val="center"/>
          </w:tcPr>
          <w:p w14:paraId="4A5D8B10"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right w:val="single" w:sz="4" w:space="0" w:color="auto"/>
            </w:tcBorders>
            <w:shd w:val="clear" w:color="auto" w:fill="auto"/>
            <w:noWrap/>
            <w:vAlign w:val="center"/>
          </w:tcPr>
          <w:p w14:paraId="01ACB8F6"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right w:val="double" w:sz="4" w:space="0" w:color="auto"/>
            </w:tcBorders>
            <w:shd w:val="clear" w:color="auto" w:fill="auto"/>
            <w:noWrap/>
            <w:vAlign w:val="center"/>
          </w:tcPr>
          <w:p w14:paraId="5A40682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73E9194E"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single" w:sz="4" w:space="0" w:color="auto"/>
              <w:right w:val="double" w:sz="4" w:space="0" w:color="auto"/>
            </w:tcBorders>
            <w:vAlign w:val="center"/>
          </w:tcPr>
          <w:p w14:paraId="507CB474"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gridSpan w:val="2"/>
            <w:tcBorders>
              <w:left w:val="double" w:sz="4" w:space="0" w:color="auto"/>
              <w:right w:val="single" w:sz="4" w:space="0" w:color="auto"/>
            </w:tcBorders>
            <w:vAlign w:val="center"/>
          </w:tcPr>
          <w:p w14:paraId="5B23AE5D"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3" w:type="dxa"/>
            <w:tcBorders>
              <w:left w:val="single" w:sz="4" w:space="0" w:color="auto"/>
              <w:right w:val="double" w:sz="4" w:space="0" w:color="auto"/>
            </w:tcBorders>
            <w:vAlign w:val="center"/>
          </w:tcPr>
          <w:p w14:paraId="02E51907"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r w:rsidR="00716AAF" w:rsidRPr="006535B0" w14:paraId="47A1A80A" w14:textId="77777777" w:rsidTr="002A04F4">
        <w:trPr>
          <w:trHeight w:val="288"/>
        </w:trPr>
        <w:tc>
          <w:tcPr>
            <w:tcW w:w="4305" w:type="dxa"/>
            <w:tcBorders>
              <w:top w:val="nil"/>
              <w:left w:val="double" w:sz="4" w:space="0" w:color="auto"/>
              <w:right w:val="single" w:sz="12" w:space="0" w:color="auto"/>
            </w:tcBorders>
            <w:shd w:val="clear" w:color="auto" w:fill="auto"/>
            <w:noWrap/>
            <w:vAlign w:val="center"/>
          </w:tcPr>
          <w:p w14:paraId="0BF89A71"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 xml:space="preserve">  Immunocompromised</w:t>
            </w:r>
            <w:r w:rsidRPr="006535B0">
              <w:rPr>
                <w:rFonts w:ascii="Times New Roman" w:eastAsia="Times New Roman" w:hAnsi="Times New Roman" w:cs="Times New Roman"/>
                <w:bCs/>
                <w:i/>
                <w:sz w:val="20"/>
                <w:szCs w:val="20"/>
              </w:rPr>
              <w:t xml:space="preserve"> COVID SHIFT EFFECT</w:t>
            </w:r>
          </w:p>
        </w:tc>
        <w:tc>
          <w:tcPr>
            <w:tcW w:w="1125" w:type="dxa"/>
            <w:tcBorders>
              <w:top w:val="nil"/>
              <w:left w:val="single" w:sz="12" w:space="0" w:color="auto"/>
              <w:right w:val="single" w:sz="4" w:space="0" w:color="auto"/>
            </w:tcBorders>
            <w:shd w:val="clear" w:color="auto" w:fill="auto"/>
            <w:noWrap/>
            <w:vAlign w:val="bottom"/>
          </w:tcPr>
          <w:p w14:paraId="5B49857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0.253</w:t>
            </w:r>
          </w:p>
        </w:tc>
        <w:tc>
          <w:tcPr>
            <w:tcW w:w="1125" w:type="dxa"/>
            <w:tcBorders>
              <w:top w:val="nil"/>
              <w:left w:val="single" w:sz="4" w:space="0" w:color="auto"/>
              <w:right w:val="double" w:sz="4" w:space="0" w:color="auto"/>
            </w:tcBorders>
            <w:shd w:val="clear" w:color="auto" w:fill="auto"/>
            <w:noWrap/>
            <w:vAlign w:val="bottom"/>
          </w:tcPr>
          <w:p w14:paraId="2E920AB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2.69</w:t>
            </w:r>
          </w:p>
        </w:tc>
        <w:tc>
          <w:tcPr>
            <w:tcW w:w="990" w:type="dxa"/>
            <w:tcBorders>
              <w:top w:val="nil"/>
              <w:left w:val="double" w:sz="4" w:space="0" w:color="auto"/>
              <w:right w:val="single" w:sz="4" w:space="0" w:color="auto"/>
            </w:tcBorders>
            <w:shd w:val="clear" w:color="auto" w:fill="auto"/>
            <w:noWrap/>
            <w:vAlign w:val="center"/>
          </w:tcPr>
          <w:p w14:paraId="33B1B1D9"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900" w:type="dxa"/>
            <w:tcBorders>
              <w:top w:val="nil"/>
              <w:left w:val="single" w:sz="4" w:space="0" w:color="auto"/>
              <w:right w:val="double" w:sz="4" w:space="0" w:color="auto"/>
            </w:tcBorders>
            <w:shd w:val="clear" w:color="auto" w:fill="auto"/>
            <w:noWrap/>
            <w:vAlign w:val="center"/>
          </w:tcPr>
          <w:p w14:paraId="4300A17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0A3FC8C0" w14:textId="77777777" w:rsidR="00716AAF" w:rsidRPr="006535B0" w:rsidRDefault="00716AAF" w:rsidP="002A04F4">
            <w:pPr>
              <w:spacing w:after="0" w:line="276" w:lineRule="auto"/>
              <w:jc w:val="right"/>
              <w:rPr>
                <w:rFonts w:ascii="Times New Roman" w:eastAsia="Calibri" w:hAnsi="Times New Roman" w:cs="Times New Roman"/>
                <w:sz w:val="20"/>
                <w:szCs w:val="20"/>
              </w:rPr>
            </w:pPr>
            <w:r w:rsidRPr="006535B0">
              <w:rPr>
                <w:rFonts w:ascii="Times New Roman" w:eastAsia="Calibri" w:hAnsi="Times New Roman" w:cs="Times New Roman"/>
                <w:sz w:val="20"/>
                <w:szCs w:val="20"/>
              </w:rPr>
              <w:t>--</w:t>
            </w:r>
          </w:p>
        </w:tc>
        <w:tc>
          <w:tcPr>
            <w:tcW w:w="1142" w:type="dxa"/>
            <w:tcBorders>
              <w:left w:val="single" w:sz="4" w:space="0" w:color="auto"/>
              <w:right w:val="double" w:sz="4" w:space="0" w:color="auto"/>
            </w:tcBorders>
            <w:vAlign w:val="center"/>
          </w:tcPr>
          <w:p w14:paraId="4C0511CA"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1142" w:type="dxa"/>
            <w:gridSpan w:val="2"/>
            <w:tcBorders>
              <w:left w:val="double" w:sz="4" w:space="0" w:color="auto"/>
              <w:right w:val="single" w:sz="4" w:space="0" w:color="auto"/>
            </w:tcBorders>
            <w:vAlign w:val="center"/>
          </w:tcPr>
          <w:p w14:paraId="79885A61"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w:t>
            </w:r>
          </w:p>
        </w:tc>
        <w:tc>
          <w:tcPr>
            <w:tcW w:w="1143" w:type="dxa"/>
            <w:tcBorders>
              <w:left w:val="single" w:sz="4" w:space="0" w:color="auto"/>
              <w:right w:val="double" w:sz="4" w:space="0" w:color="auto"/>
            </w:tcBorders>
            <w:vAlign w:val="center"/>
          </w:tcPr>
          <w:p w14:paraId="7F003FEF"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r w:rsidR="00716AAF" w:rsidRPr="006535B0" w14:paraId="1C66864A" w14:textId="77777777" w:rsidTr="002A04F4">
        <w:trPr>
          <w:trHeight w:val="288"/>
        </w:trPr>
        <w:tc>
          <w:tcPr>
            <w:tcW w:w="4305" w:type="dxa"/>
            <w:tcBorders>
              <w:top w:val="nil"/>
              <w:left w:val="double" w:sz="4" w:space="0" w:color="auto"/>
              <w:right w:val="single" w:sz="12" w:space="0" w:color="auto"/>
            </w:tcBorders>
            <w:shd w:val="clear" w:color="auto" w:fill="auto"/>
            <w:noWrap/>
            <w:vAlign w:val="center"/>
          </w:tcPr>
          <w:p w14:paraId="1FB856FC" w14:textId="77777777" w:rsidR="00716AAF" w:rsidRPr="006535B0" w:rsidRDefault="00716AAF" w:rsidP="002A04F4">
            <w:pPr>
              <w:spacing w:after="0" w:line="276" w:lineRule="auto"/>
              <w:rPr>
                <w:rFonts w:ascii="Times New Roman" w:eastAsia="Times New Roman" w:hAnsi="Times New Roman" w:cs="Times New Roman"/>
                <w:sz w:val="20"/>
                <w:szCs w:val="20"/>
              </w:rPr>
            </w:pPr>
            <w:r w:rsidRPr="006535B0">
              <w:rPr>
                <w:rFonts w:ascii="Times New Roman" w:eastAsia="Times New Roman" w:hAnsi="Times New Roman" w:cs="Times New Roman"/>
                <w:b/>
                <w:bCs/>
                <w:i/>
                <w:iCs/>
                <w:sz w:val="20"/>
                <w:szCs w:val="20"/>
              </w:rPr>
              <w:t>Constant</w:t>
            </w:r>
          </w:p>
        </w:tc>
        <w:tc>
          <w:tcPr>
            <w:tcW w:w="1125" w:type="dxa"/>
            <w:tcBorders>
              <w:top w:val="nil"/>
              <w:left w:val="single" w:sz="12" w:space="0" w:color="auto"/>
              <w:right w:val="single" w:sz="4" w:space="0" w:color="auto"/>
            </w:tcBorders>
            <w:shd w:val="clear" w:color="auto" w:fill="auto"/>
            <w:noWrap/>
            <w:vAlign w:val="bottom"/>
          </w:tcPr>
          <w:p w14:paraId="7DEDC2B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0.323</w:t>
            </w:r>
          </w:p>
        </w:tc>
        <w:tc>
          <w:tcPr>
            <w:tcW w:w="1125" w:type="dxa"/>
            <w:tcBorders>
              <w:top w:val="nil"/>
              <w:left w:val="single" w:sz="4" w:space="0" w:color="auto"/>
              <w:right w:val="double" w:sz="4" w:space="0" w:color="auto"/>
            </w:tcBorders>
            <w:shd w:val="clear" w:color="auto" w:fill="auto"/>
            <w:noWrap/>
            <w:vAlign w:val="bottom"/>
          </w:tcPr>
          <w:p w14:paraId="25548130"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1.83</w:t>
            </w:r>
          </w:p>
        </w:tc>
        <w:tc>
          <w:tcPr>
            <w:tcW w:w="990" w:type="dxa"/>
            <w:tcBorders>
              <w:top w:val="nil"/>
              <w:left w:val="double" w:sz="4" w:space="0" w:color="auto"/>
              <w:right w:val="single" w:sz="4" w:space="0" w:color="auto"/>
            </w:tcBorders>
            <w:shd w:val="clear" w:color="auto" w:fill="auto"/>
            <w:noWrap/>
            <w:vAlign w:val="bottom"/>
          </w:tcPr>
          <w:p w14:paraId="35ECCEA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-0.103</w:t>
            </w:r>
          </w:p>
        </w:tc>
        <w:tc>
          <w:tcPr>
            <w:tcW w:w="900" w:type="dxa"/>
            <w:tcBorders>
              <w:top w:val="nil"/>
              <w:left w:val="single" w:sz="4" w:space="0" w:color="auto"/>
              <w:right w:val="double" w:sz="4" w:space="0" w:color="auto"/>
            </w:tcBorders>
            <w:shd w:val="clear" w:color="auto" w:fill="auto"/>
            <w:noWrap/>
            <w:vAlign w:val="bottom"/>
          </w:tcPr>
          <w:p w14:paraId="58C0A9B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-0.59</w:t>
            </w:r>
          </w:p>
        </w:tc>
        <w:tc>
          <w:tcPr>
            <w:tcW w:w="1142" w:type="dxa"/>
            <w:tcBorders>
              <w:left w:val="double" w:sz="4" w:space="0" w:color="auto"/>
              <w:right w:val="single" w:sz="4" w:space="0" w:color="auto"/>
            </w:tcBorders>
            <w:vAlign w:val="bottom"/>
          </w:tcPr>
          <w:p w14:paraId="723AE103"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-0.277</w:t>
            </w:r>
          </w:p>
        </w:tc>
        <w:tc>
          <w:tcPr>
            <w:tcW w:w="1142" w:type="dxa"/>
            <w:tcBorders>
              <w:left w:val="single" w:sz="4" w:space="0" w:color="auto"/>
              <w:right w:val="double" w:sz="4" w:space="0" w:color="auto"/>
            </w:tcBorders>
            <w:vAlign w:val="bottom"/>
          </w:tcPr>
          <w:p w14:paraId="57D717A4"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-1.63</w:t>
            </w:r>
          </w:p>
        </w:tc>
        <w:tc>
          <w:tcPr>
            <w:tcW w:w="1142" w:type="dxa"/>
            <w:gridSpan w:val="2"/>
            <w:tcBorders>
              <w:left w:val="double" w:sz="4" w:space="0" w:color="auto"/>
              <w:right w:val="single" w:sz="4" w:space="0" w:color="auto"/>
            </w:tcBorders>
            <w:vAlign w:val="bottom"/>
          </w:tcPr>
          <w:p w14:paraId="71B2C99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-0.323</w:t>
            </w:r>
          </w:p>
        </w:tc>
        <w:tc>
          <w:tcPr>
            <w:tcW w:w="1143" w:type="dxa"/>
            <w:tcBorders>
              <w:left w:val="single" w:sz="4" w:space="0" w:color="auto"/>
              <w:right w:val="double" w:sz="4" w:space="0" w:color="auto"/>
            </w:tcBorders>
            <w:vAlign w:val="bottom"/>
          </w:tcPr>
          <w:p w14:paraId="72ED8079"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-2.30</w:t>
            </w:r>
          </w:p>
        </w:tc>
      </w:tr>
      <w:tr w:rsidR="00716AAF" w:rsidRPr="006535B0" w14:paraId="31A5FEF2" w14:textId="77777777" w:rsidTr="002A04F4">
        <w:trPr>
          <w:trHeight w:val="288"/>
        </w:trPr>
        <w:tc>
          <w:tcPr>
            <w:tcW w:w="4305" w:type="dxa"/>
            <w:tcBorders>
              <w:top w:val="nil"/>
              <w:left w:val="double" w:sz="4" w:space="0" w:color="auto"/>
              <w:right w:val="single" w:sz="12" w:space="0" w:color="auto"/>
            </w:tcBorders>
            <w:shd w:val="clear" w:color="auto" w:fill="auto"/>
            <w:noWrap/>
            <w:vAlign w:val="center"/>
          </w:tcPr>
          <w:p w14:paraId="243A80C1" w14:textId="77777777" w:rsidR="00716AAF" w:rsidRPr="006535B0" w:rsidRDefault="00716AAF" w:rsidP="002A04F4">
            <w:pPr>
              <w:spacing w:after="0" w:line="276" w:lineRule="auto"/>
              <w:rPr>
                <w:rFonts w:ascii="Times New Roman" w:eastAsia="Times New Roman" w:hAnsi="Times New Roman" w:cs="Times New Roman"/>
                <w:b/>
                <w:i/>
                <w:sz w:val="20"/>
                <w:szCs w:val="20"/>
              </w:rPr>
            </w:pPr>
            <w:r w:rsidRPr="006535B0">
              <w:rPr>
                <w:rFonts w:ascii="Times New Roman" w:eastAsia="Times New Roman" w:hAnsi="Times New Roman" w:cs="Times New Roman"/>
                <w:b/>
                <w:i/>
                <w:sz w:val="20"/>
                <w:szCs w:val="20"/>
              </w:rPr>
              <w:t>Constant Shift Effect of the Pandemic</w:t>
            </w:r>
          </w:p>
        </w:tc>
        <w:tc>
          <w:tcPr>
            <w:tcW w:w="1125" w:type="dxa"/>
            <w:tcBorders>
              <w:top w:val="nil"/>
              <w:left w:val="single" w:sz="12" w:space="0" w:color="auto"/>
              <w:right w:val="single" w:sz="4" w:space="0" w:color="auto"/>
            </w:tcBorders>
            <w:shd w:val="clear" w:color="auto" w:fill="auto"/>
            <w:noWrap/>
            <w:vAlign w:val="bottom"/>
          </w:tcPr>
          <w:p w14:paraId="736A249B"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0.604</w:t>
            </w:r>
          </w:p>
        </w:tc>
        <w:tc>
          <w:tcPr>
            <w:tcW w:w="1125" w:type="dxa"/>
            <w:tcBorders>
              <w:top w:val="nil"/>
              <w:left w:val="single" w:sz="4" w:space="0" w:color="auto"/>
              <w:right w:val="double" w:sz="4" w:space="0" w:color="auto"/>
            </w:tcBorders>
            <w:shd w:val="clear" w:color="auto" w:fill="auto"/>
            <w:noWrap/>
            <w:vAlign w:val="bottom"/>
          </w:tcPr>
          <w:p w14:paraId="4A0B4CDD"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4.47</w:t>
            </w:r>
          </w:p>
        </w:tc>
        <w:tc>
          <w:tcPr>
            <w:tcW w:w="990" w:type="dxa"/>
            <w:tcBorders>
              <w:top w:val="nil"/>
              <w:left w:val="double" w:sz="4" w:space="0" w:color="auto"/>
              <w:right w:val="single" w:sz="4" w:space="0" w:color="auto"/>
            </w:tcBorders>
            <w:shd w:val="clear" w:color="auto" w:fill="auto"/>
            <w:noWrap/>
            <w:vAlign w:val="bottom"/>
          </w:tcPr>
          <w:p w14:paraId="2E908C2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0.269</w:t>
            </w:r>
          </w:p>
        </w:tc>
        <w:tc>
          <w:tcPr>
            <w:tcW w:w="900" w:type="dxa"/>
            <w:tcBorders>
              <w:top w:val="nil"/>
              <w:left w:val="single" w:sz="4" w:space="0" w:color="auto"/>
              <w:right w:val="double" w:sz="4" w:space="0" w:color="auto"/>
            </w:tcBorders>
            <w:shd w:val="clear" w:color="auto" w:fill="auto"/>
            <w:noWrap/>
            <w:vAlign w:val="bottom"/>
          </w:tcPr>
          <w:p w14:paraId="7A5EAF01"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3.37</w:t>
            </w:r>
          </w:p>
        </w:tc>
        <w:tc>
          <w:tcPr>
            <w:tcW w:w="1142" w:type="dxa"/>
            <w:tcBorders>
              <w:left w:val="double" w:sz="4" w:space="0" w:color="auto"/>
              <w:right w:val="single" w:sz="4" w:space="0" w:color="auto"/>
            </w:tcBorders>
            <w:vAlign w:val="bottom"/>
          </w:tcPr>
          <w:p w14:paraId="1D6CA197"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-0.973</w:t>
            </w:r>
          </w:p>
        </w:tc>
        <w:tc>
          <w:tcPr>
            <w:tcW w:w="1142" w:type="dxa"/>
            <w:tcBorders>
              <w:left w:val="single" w:sz="4" w:space="0" w:color="auto"/>
              <w:right w:val="double" w:sz="4" w:space="0" w:color="auto"/>
            </w:tcBorders>
            <w:vAlign w:val="bottom"/>
          </w:tcPr>
          <w:p w14:paraId="6B7FEACE"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-5.52</w:t>
            </w:r>
          </w:p>
        </w:tc>
        <w:tc>
          <w:tcPr>
            <w:tcW w:w="1142" w:type="dxa"/>
            <w:gridSpan w:val="2"/>
            <w:tcBorders>
              <w:left w:val="double" w:sz="4" w:space="0" w:color="auto"/>
              <w:right w:val="single" w:sz="4" w:space="0" w:color="auto"/>
            </w:tcBorders>
            <w:vAlign w:val="bottom"/>
          </w:tcPr>
          <w:p w14:paraId="255FCF9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-0.548</w:t>
            </w:r>
          </w:p>
        </w:tc>
        <w:tc>
          <w:tcPr>
            <w:tcW w:w="1143" w:type="dxa"/>
            <w:tcBorders>
              <w:left w:val="single" w:sz="4" w:space="0" w:color="auto"/>
              <w:right w:val="double" w:sz="4" w:space="0" w:color="auto"/>
            </w:tcBorders>
            <w:vAlign w:val="bottom"/>
          </w:tcPr>
          <w:p w14:paraId="67AB4C96"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-2.62</w:t>
            </w:r>
          </w:p>
        </w:tc>
      </w:tr>
      <w:tr w:rsidR="00716AAF" w:rsidRPr="006535B0" w14:paraId="0E6858E7"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48324555" w14:textId="77777777" w:rsidR="00716AAF" w:rsidRPr="006535B0" w:rsidRDefault="00716AAF" w:rsidP="002A04F4">
            <w:pPr>
              <w:spacing w:after="0" w:line="276" w:lineRule="auto"/>
              <w:rPr>
                <w:rFonts w:ascii="Times New Roman" w:eastAsia="Times New Roman" w:hAnsi="Times New Roman" w:cs="Times New Roman"/>
                <w:b/>
                <w:bCs/>
                <w:i/>
                <w:iCs/>
                <w:sz w:val="20"/>
                <w:szCs w:val="20"/>
              </w:rPr>
            </w:pPr>
            <w:r w:rsidRPr="006535B0">
              <w:rPr>
                <w:rFonts w:ascii="Times New Roman" w:eastAsia="Times New Roman" w:hAnsi="Times New Roman" w:cs="Times New Roman"/>
                <w:b/>
                <w:bCs/>
                <w:i/>
                <w:iCs/>
                <w:sz w:val="20"/>
                <w:szCs w:val="20"/>
              </w:rPr>
              <w:t>Thresholds</w:t>
            </w:r>
          </w:p>
        </w:tc>
        <w:tc>
          <w:tcPr>
            <w:tcW w:w="1125" w:type="dxa"/>
            <w:tcBorders>
              <w:top w:val="nil"/>
              <w:left w:val="single" w:sz="12" w:space="0" w:color="auto"/>
              <w:bottom w:val="nil"/>
              <w:right w:val="single" w:sz="4" w:space="0" w:color="auto"/>
            </w:tcBorders>
            <w:shd w:val="clear" w:color="auto" w:fill="auto"/>
            <w:noWrap/>
            <w:vAlign w:val="center"/>
          </w:tcPr>
          <w:p w14:paraId="4B9AA94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25" w:type="dxa"/>
            <w:tcBorders>
              <w:top w:val="nil"/>
              <w:left w:val="single" w:sz="4" w:space="0" w:color="auto"/>
              <w:bottom w:val="nil"/>
              <w:right w:val="double" w:sz="4" w:space="0" w:color="auto"/>
            </w:tcBorders>
            <w:shd w:val="clear" w:color="auto" w:fill="auto"/>
            <w:noWrap/>
            <w:vAlign w:val="center"/>
          </w:tcPr>
          <w:p w14:paraId="075D6CCE"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center"/>
          </w:tcPr>
          <w:p w14:paraId="2623C40C"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00" w:type="dxa"/>
            <w:tcBorders>
              <w:top w:val="nil"/>
              <w:left w:val="single" w:sz="4" w:space="0" w:color="auto"/>
              <w:bottom w:val="nil"/>
              <w:right w:val="double" w:sz="4" w:space="0" w:color="auto"/>
            </w:tcBorders>
            <w:shd w:val="clear" w:color="auto" w:fill="auto"/>
            <w:noWrap/>
            <w:vAlign w:val="center"/>
          </w:tcPr>
          <w:p w14:paraId="4524D674"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double" w:sz="4" w:space="0" w:color="auto"/>
              <w:right w:val="single" w:sz="4" w:space="0" w:color="auto"/>
            </w:tcBorders>
            <w:vAlign w:val="center"/>
          </w:tcPr>
          <w:p w14:paraId="3143EEA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tcBorders>
              <w:left w:val="single" w:sz="4" w:space="0" w:color="auto"/>
              <w:right w:val="double" w:sz="4" w:space="0" w:color="auto"/>
            </w:tcBorders>
            <w:vAlign w:val="center"/>
          </w:tcPr>
          <w:p w14:paraId="1627D763"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gridSpan w:val="2"/>
            <w:tcBorders>
              <w:left w:val="double" w:sz="4" w:space="0" w:color="auto"/>
              <w:right w:val="single" w:sz="4" w:space="0" w:color="auto"/>
            </w:tcBorders>
            <w:vAlign w:val="center"/>
          </w:tcPr>
          <w:p w14:paraId="117EAC76"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3" w:type="dxa"/>
            <w:tcBorders>
              <w:left w:val="single" w:sz="4" w:space="0" w:color="auto"/>
              <w:right w:val="double" w:sz="4" w:space="0" w:color="auto"/>
            </w:tcBorders>
            <w:vAlign w:val="center"/>
          </w:tcPr>
          <w:p w14:paraId="43AAE6E3"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r w:rsidR="00716AAF" w:rsidRPr="006535B0" w14:paraId="10C0B0ED"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54273F81" w14:textId="77777777" w:rsidR="00716AAF" w:rsidRPr="006535B0" w:rsidRDefault="00716AAF" w:rsidP="002A04F4">
            <w:pPr>
              <w:spacing w:after="0" w:line="276" w:lineRule="auto"/>
              <w:rPr>
                <w:rFonts w:ascii="Times New Roman" w:eastAsia="Calibri" w:hAnsi="Times New Roman" w:cs="Times New Roman"/>
                <w:bCs/>
                <w:iCs/>
                <w:sz w:val="20"/>
                <w:szCs w:val="20"/>
              </w:rPr>
            </w:pPr>
            <w:r w:rsidRPr="006535B0">
              <w:rPr>
                <w:rFonts w:ascii="Times New Roman" w:eastAsia="Calibri" w:hAnsi="Times New Roman" w:cs="Times New Roman"/>
                <w:bCs/>
                <w:iCs/>
                <w:sz w:val="20"/>
                <w:szCs w:val="20"/>
              </w:rPr>
              <w:t>Few times per month – Once per week</w:t>
            </w:r>
          </w:p>
        </w:tc>
        <w:tc>
          <w:tcPr>
            <w:tcW w:w="1125" w:type="dxa"/>
            <w:tcBorders>
              <w:top w:val="nil"/>
              <w:left w:val="single" w:sz="12" w:space="0" w:color="auto"/>
              <w:bottom w:val="nil"/>
              <w:right w:val="single" w:sz="4" w:space="0" w:color="auto"/>
            </w:tcBorders>
            <w:shd w:val="clear" w:color="auto" w:fill="auto"/>
            <w:noWrap/>
            <w:vAlign w:val="center"/>
          </w:tcPr>
          <w:p w14:paraId="00BC0A70" w14:textId="77777777" w:rsidR="00716AAF" w:rsidRPr="006535B0" w:rsidRDefault="00716AAF" w:rsidP="002A04F4">
            <w:pPr>
              <w:spacing w:after="0" w:line="276" w:lineRule="auto"/>
              <w:jc w:val="right"/>
              <w:rPr>
                <w:rFonts w:ascii="Times New Roman" w:eastAsia="Calibri" w:hAnsi="Times New Roman" w:cs="Times New Roman"/>
                <w:sz w:val="20"/>
                <w:szCs w:val="20"/>
              </w:rPr>
            </w:pPr>
            <w:r w:rsidRPr="006535B0">
              <w:rPr>
                <w:rFonts w:ascii="Times New Roman" w:eastAsia="Calibri" w:hAnsi="Times New Roman" w:cs="Times New Roman"/>
                <w:sz w:val="20"/>
                <w:szCs w:val="20"/>
              </w:rPr>
              <w:t>NA</w:t>
            </w:r>
          </w:p>
        </w:tc>
        <w:tc>
          <w:tcPr>
            <w:tcW w:w="1125" w:type="dxa"/>
            <w:tcBorders>
              <w:top w:val="nil"/>
              <w:left w:val="single" w:sz="4" w:space="0" w:color="auto"/>
              <w:bottom w:val="nil"/>
              <w:right w:val="double" w:sz="4" w:space="0" w:color="auto"/>
            </w:tcBorders>
            <w:shd w:val="clear" w:color="auto" w:fill="auto"/>
            <w:noWrap/>
            <w:vAlign w:val="center"/>
          </w:tcPr>
          <w:p w14:paraId="48E9249B" w14:textId="77777777" w:rsidR="00716AAF" w:rsidRPr="006535B0" w:rsidRDefault="00716AAF" w:rsidP="002A04F4">
            <w:pPr>
              <w:spacing w:after="0" w:line="276" w:lineRule="auto"/>
              <w:jc w:val="right"/>
              <w:rPr>
                <w:rFonts w:ascii="Times New Roman" w:eastAsia="Calibri"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332E37CF"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0.000</w:t>
            </w:r>
          </w:p>
        </w:tc>
        <w:tc>
          <w:tcPr>
            <w:tcW w:w="900" w:type="dxa"/>
            <w:tcBorders>
              <w:top w:val="nil"/>
              <w:left w:val="single" w:sz="4" w:space="0" w:color="auto"/>
              <w:bottom w:val="nil"/>
              <w:right w:val="double" w:sz="4" w:space="0" w:color="auto"/>
            </w:tcBorders>
            <w:shd w:val="clear" w:color="auto" w:fill="auto"/>
            <w:noWrap/>
            <w:vAlign w:val="bottom"/>
          </w:tcPr>
          <w:p w14:paraId="0F1FDBEA"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p>
        </w:tc>
        <w:tc>
          <w:tcPr>
            <w:tcW w:w="1142" w:type="dxa"/>
            <w:tcBorders>
              <w:left w:val="double" w:sz="4" w:space="0" w:color="auto"/>
              <w:right w:val="single" w:sz="4" w:space="0" w:color="auto"/>
            </w:tcBorders>
            <w:vAlign w:val="center"/>
          </w:tcPr>
          <w:p w14:paraId="54446012"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2" w:type="dxa"/>
            <w:tcBorders>
              <w:left w:val="single" w:sz="4" w:space="0" w:color="auto"/>
              <w:right w:val="double" w:sz="4" w:space="0" w:color="auto"/>
            </w:tcBorders>
            <w:vAlign w:val="center"/>
          </w:tcPr>
          <w:p w14:paraId="5E2677FE"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gridSpan w:val="2"/>
            <w:tcBorders>
              <w:left w:val="double" w:sz="4" w:space="0" w:color="auto"/>
              <w:right w:val="single" w:sz="4" w:space="0" w:color="auto"/>
            </w:tcBorders>
            <w:vAlign w:val="center"/>
          </w:tcPr>
          <w:p w14:paraId="04D622DE"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3" w:type="dxa"/>
            <w:tcBorders>
              <w:left w:val="single" w:sz="4" w:space="0" w:color="auto"/>
              <w:right w:val="double" w:sz="4" w:space="0" w:color="auto"/>
            </w:tcBorders>
            <w:vAlign w:val="center"/>
          </w:tcPr>
          <w:p w14:paraId="26045F17"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r w:rsidR="00716AAF" w:rsidRPr="006535B0" w14:paraId="270C45DD" w14:textId="77777777" w:rsidTr="002A04F4">
        <w:trPr>
          <w:trHeight w:val="288"/>
        </w:trPr>
        <w:tc>
          <w:tcPr>
            <w:tcW w:w="4305" w:type="dxa"/>
            <w:tcBorders>
              <w:top w:val="nil"/>
              <w:left w:val="double" w:sz="4" w:space="0" w:color="auto"/>
              <w:bottom w:val="nil"/>
              <w:right w:val="single" w:sz="12" w:space="0" w:color="auto"/>
            </w:tcBorders>
            <w:shd w:val="clear" w:color="auto" w:fill="auto"/>
            <w:noWrap/>
            <w:vAlign w:val="center"/>
          </w:tcPr>
          <w:p w14:paraId="4B503715" w14:textId="77777777" w:rsidR="00716AAF" w:rsidRPr="006535B0" w:rsidRDefault="00716AAF" w:rsidP="002A04F4">
            <w:pPr>
              <w:spacing w:after="0" w:line="276" w:lineRule="auto"/>
              <w:rPr>
                <w:rFonts w:ascii="Times New Roman" w:eastAsia="Calibri" w:hAnsi="Times New Roman" w:cs="Times New Roman"/>
                <w:bCs/>
                <w:iCs/>
                <w:sz w:val="20"/>
                <w:szCs w:val="20"/>
              </w:rPr>
            </w:pPr>
            <w:r w:rsidRPr="006535B0">
              <w:rPr>
                <w:rFonts w:ascii="Times New Roman" w:eastAsia="Calibri" w:hAnsi="Times New Roman" w:cs="Times New Roman"/>
                <w:bCs/>
                <w:iCs/>
                <w:sz w:val="20"/>
                <w:szCs w:val="20"/>
              </w:rPr>
              <w:t>Once per week – 2-4 days per week</w:t>
            </w:r>
          </w:p>
        </w:tc>
        <w:tc>
          <w:tcPr>
            <w:tcW w:w="1125" w:type="dxa"/>
            <w:tcBorders>
              <w:top w:val="nil"/>
              <w:left w:val="single" w:sz="12" w:space="0" w:color="auto"/>
              <w:bottom w:val="nil"/>
              <w:right w:val="single" w:sz="4" w:space="0" w:color="auto"/>
            </w:tcBorders>
            <w:shd w:val="clear" w:color="auto" w:fill="auto"/>
            <w:noWrap/>
            <w:vAlign w:val="center"/>
          </w:tcPr>
          <w:p w14:paraId="5F5E094D"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25" w:type="dxa"/>
            <w:tcBorders>
              <w:top w:val="nil"/>
              <w:left w:val="single" w:sz="4" w:space="0" w:color="auto"/>
              <w:bottom w:val="nil"/>
              <w:right w:val="double" w:sz="4" w:space="0" w:color="auto"/>
            </w:tcBorders>
            <w:shd w:val="clear" w:color="auto" w:fill="auto"/>
            <w:noWrap/>
            <w:vAlign w:val="center"/>
          </w:tcPr>
          <w:p w14:paraId="3597C5A9"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nil"/>
              <w:right w:val="single" w:sz="4" w:space="0" w:color="auto"/>
            </w:tcBorders>
            <w:shd w:val="clear" w:color="auto" w:fill="auto"/>
            <w:noWrap/>
            <w:vAlign w:val="bottom"/>
          </w:tcPr>
          <w:p w14:paraId="1A86B372"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0.098</w:t>
            </w:r>
          </w:p>
        </w:tc>
        <w:tc>
          <w:tcPr>
            <w:tcW w:w="900" w:type="dxa"/>
            <w:tcBorders>
              <w:top w:val="nil"/>
              <w:left w:val="single" w:sz="4" w:space="0" w:color="auto"/>
              <w:bottom w:val="nil"/>
              <w:right w:val="double" w:sz="4" w:space="0" w:color="auto"/>
            </w:tcBorders>
            <w:shd w:val="clear" w:color="auto" w:fill="auto"/>
            <w:noWrap/>
            <w:vAlign w:val="bottom"/>
          </w:tcPr>
          <w:p w14:paraId="3C9EE818"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1.23</w:t>
            </w:r>
          </w:p>
        </w:tc>
        <w:tc>
          <w:tcPr>
            <w:tcW w:w="1142" w:type="dxa"/>
            <w:tcBorders>
              <w:left w:val="double" w:sz="4" w:space="0" w:color="auto"/>
              <w:right w:val="single" w:sz="4" w:space="0" w:color="auto"/>
            </w:tcBorders>
            <w:vAlign w:val="center"/>
          </w:tcPr>
          <w:p w14:paraId="373AA5BB"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2" w:type="dxa"/>
            <w:tcBorders>
              <w:left w:val="single" w:sz="4" w:space="0" w:color="auto"/>
              <w:right w:val="double" w:sz="4" w:space="0" w:color="auto"/>
            </w:tcBorders>
            <w:vAlign w:val="center"/>
          </w:tcPr>
          <w:p w14:paraId="5FF4B592"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gridSpan w:val="2"/>
            <w:tcBorders>
              <w:left w:val="double" w:sz="4" w:space="0" w:color="auto"/>
              <w:right w:val="single" w:sz="4" w:space="0" w:color="auto"/>
            </w:tcBorders>
            <w:vAlign w:val="center"/>
          </w:tcPr>
          <w:p w14:paraId="49E69C8C"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3" w:type="dxa"/>
            <w:tcBorders>
              <w:left w:val="single" w:sz="4" w:space="0" w:color="auto"/>
              <w:right w:val="double" w:sz="4" w:space="0" w:color="auto"/>
            </w:tcBorders>
            <w:vAlign w:val="center"/>
          </w:tcPr>
          <w:p w14:paraId="2F108007"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r w:rsidR="00716AAF" w:rsidRPr="006535B0" w14:paraId="0C76996B" w14:textId="77777777" w:rsidTr="002A04F4">
        <w:trPr>
          <w:trHeight w:val="68"/>
        </w:trPr>
        <w:tc>
          <w:tcPr>
            <w:tcW w:w="4305" w:type="dxa"/>
            <w:tcBorders>
              <w:top w:val="nil"/>
              <w:left w:val="double" w:sz="4" w:space="0" w:color="auto"/>
              <w:bottom w:val="double" w:sz="4" w:space="0" w:color="auto"/>
              <w:right w:val="single" w:sz="12" w:space="0" w:color="auto"/>
            </w:tcBorders>
            <w:shd w:val="clear" w:color="auto" w:fill="auto"/>
            <w:noWrap/>
            <w:vAlign w:val="center"/>
          </w:tcPr>
          <w:p w14:paraId="1CE10767" w14:textId="77777777" w:rsidR="00716AAF" w:rsidRPr="006535B0" w:rsidRDefault="00716AAF" w:rsidP="002A04F4">
            <w:pPr>
              <w:spacing w:after="0" w:line="276" w:lineRule="auto"/>
              <w:rPr>
                <w:rFonts w:ascii="Times New Roman" w:eastAsia="Calibri" w:hAnsi="Times New Roman" w:cs="Times New Roman"/>
                <w:bCs/>
                <w:iCs/>
                <w:sz w:val="20"/>
                <w:szCs w:val="20"/>
              </w:rPr>
            </w:pPr>
            <w:r w:rsidRPr="006535B0">
              <w:rPr>
                <w:rFonts w:ascii="Times New Roman" w:eastAsia="Calibri" w:hAnsi="Times New Roman" w:cs="Times New Roman"/>
                <w:bCs/>
                <w:iCs/>
                <w:sz w:val="20"/>
                <w:szCs w:val="20"/>
              </w:rPr>
              <w:t>2-4 days per week – 5 days per week</w:t>
            </w:r>
          </w:p>
        </w:tc>
        <w:tc>
          <w:tcPr>
            <w:tcW w:w="1125" w:type="dxa"/>
            <w:tcBorders>
              <w:top w:val="nil"/>
              <w:left w:val="single" w:sz="12" w:space="0" w:color="auto"/>
              <w:bottom w:val="double" w:sz="4" w:space="0" w:color="auto"/>
              <w:right w:val="single" w:sz="4" w:space="0" w:color="auto"/>
            </w:tcBorders>
            <w:shd w:val="clear" w:color="auto" w:fill="auto"/>
            <w:noWrap/>
            <w:vAlign w:val="center"/>
          </w:tcPr>
          <w:p w14:paraId="7FE5C545"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25" w:type="dxa"/>
            <w:tcBorders>
              <w:top w:val="nil"/>
              <w:left w:val="single" w:sz="4" w:space="0" w:color="auto"/>
              <w:bottom w:val="double" w:sz="4" w:space="0" w:color="auto"/>
              <w:right w:val="double" w:sz="4" w:space="0" w:color="auto"/>
            </w:tcBorders>
            <w:shd w:val="clear" w:color="auto" w:fill="auto"/>
            <w:noWrap/>
            <w:vAlign w:val="center"/>
          </w:tcPr>
          <w:p w14:paraId="2CCDD384"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990" w:type="dxa"/>
            <w:tcBorders>
              <w:top w:val="nil"/>
              <w:left w:val="double" w:sz="4" w:space="0" w:color="auto"/>
              <w:bottom w:val="double" w:sz="4" w:space="0" w:color="auto"/>
              <w:right w:val="single" w:sz="4" w:space="0" w:color="auto"/>
            </w:tcBorders>
            <w:shd w:val="clear" w:color="auto" w:fill="auto"/>
            <w:noWrap/>
            <w:vAlign w:val="bottom"/>
          </w:tcPr>
          <w:p w14:paraId="6F3834B5"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0.790</w:t>
            </w:r>
          </w:p>
        </w:tc>
        <w:tc>
          <w:tcPr>
            <w:tcW w:w="900" w:type="dxa"/>
            <w:tcBorders>
              <w:top w:val="nil"/>
              <w:left w:val="single" w:sz="4" w:space="0" w:color="auto"/>
              <w:bottom w:val="double" w:sz="4" w:space="0" w:color="auto"/>
              <w:right w:val="double" w:sz="4" w:space="0" w:color="auto"/>
            </w:tcBorders>
            <w:shd w:val="clear" w:color="auto" w:fill="auto"/>
            <w:noWrap/>
            <w:vAlign w:val="bottom"/>
          </w:tcPr>
          <w:p w14:paraId="5A4B0813" w14:textId="77777777" w:rsidR="00716AAF" w:rsidRPr="006535B0" w:rsidRDefault="00716AAF" w:rsidP="002A04F4">
            <w:pPr>
              <w:spacing w:after="0" w:line="276" w:lineRule="auto"/>
              <w:jc w:val="right"/>
              <w:rPr>
                <w:rFonts w:ascii="Times New Roman" w:eastAsia="Calibri" w:hAnsi="Times New Roman" w:cs="Times New Roman"/>
                <w:color w:val="000000"/>
                <w:sz w:val="20"/>
                <w:szCs w:val="20"/>
              </w:rPr>
            </w:pPr>
            <w:r w:rsidRPr="006535B0">
              <w:rPr>
                <w:rFonts w:ascii="Times New Roman" w:eastAsia="Calibri" w:hAnsi="Times New Roman" w:cs="Times New Roman"/>
                <w:color w:val="000000"/>
                <w:sz w:val="20"/>
                <w:szCs w:val="20"/>
              </w:rPr>
              <w:t>9.82</w:t>
            </w:r>
          </w:p>
        </w:tc>
        <w:tc>
          <w:tcPr>
            <w:tcW w:w="1142" w:type="dxa"/>
            <w:tcBorders>
              <w:left w:val="double" w:sz="4" w:space="0" w:color="auto"/>
              <w:bottom w:val="double" w:sz="4" w:space="0" w:color="auto"/>
              <w:right w:val="single" w:sz="4" w:space="0" w:color="auto"/>
            </w:tcBorders>
            <w:vAlign w:val="center"/>
          </w:tcPr>
          <w:p w14:paraId="0B81B8B7"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2" w:type="dxa"/>
            <w:tcBorders>
              <w:left w:val="single" w:sz="4" w:space="0" w:color="auto"/>
              <w:bottom w:val="double" w:sz="4" w:space="0" w:color="auto"/>
              <w:right w:val="double" w:sz="4" w:space="0" w:color="auto"/>
            </w:tcBorders>
            <w:vAlign w:val="center"/>
          </w:tcPr>
          <w:p w14:paraId="0A9808F8"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c>
          <w:tcPr>
            <w:tcW w:w="1142" w:type="dxa"/>
            <w:gridSpan w:val="2"/>
            <w:tcBorders>
              <w:left w:val="double" w:sz="4" w:space="0" w:color="auto"/>
              <w:bottom w:val="double" w:sz="4" w:space="0" w:color="auto"/>
              <w:right w:val="single" w:sz="4" w:space="0" w:color="auto"/>
            </w:tcBorders>
            <w:vAlign w:val="center"/>
          </w:tcPr>
          <w:p w14:paraId="059CC653"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r w:rsidRPr="006535B0">
              <w:rPr>
                <w:rFonts w:ascii="Times New Roman" w:eastAsia="Times New Roman" w:hAnsi="Times New Roman" w:cs="Times New Roman"/>
                <w:sz w:val="20"/>
                <w:szCs w:val="20"/>
              </w:rPr>
              <w:t>NA</w:t>
            </w:r>
          </w:p>
        </w:tc>
        <w:tc>
          <w:tcPr>
            <w:tcW w:w="1143" w:type="dxa"/>
            <w:tcBorders>
              <w:left w:val="single" w:sz="4" w:space="0" w:color="auto"/>
              <w:bottom w:val="double" w:sz="4" w:space="0" w:color="auto"/>
              <w:right w:val="double" w:sz="4" w:space="0" w:color="auto"/>
            </w:tcBorders>
            <w:vAlign w:val="center"/>
          </w:tcPr>
          <w:p w14:paraId="6A71026A" w14:textId="77777777" w:rsidR="00716AAF" w:rsidRPr="006535B0" w:rsidRDefault="00716AAF" w:rsidP="002A04F4">
            <w:pPr>
              <w:spacing w:after="0" w:line="276" w:lineRule="auto"/>
              <w:jc w:val="right"/>
              <w:rPr>
                <w:rFonts w:ascii="Times New Roman" w:eastAsia="Times New Roman" w:hAnsi="Times New Roman" w:cs="Times New Roman"/>
                <w:sz w:val="20"/>
                <w:szCs w:val="20"/>
              </w:rPr>
            </w:pPr>
          </w:p>
        </w:tc>
      </w:tr>
    </w:tbl>
    <w:p w14:paraId="3CE8497B" w14:textId="77777777" w:rsidR="00716AAF" w:rsidRDefault="00716AAF" w:rsidP="00716AAF"/>
    <w:p w14:paraId="6AF2CC00" w14:textId="67EB8FE7" w:rsidR="006535B0" w:rsidRPr="00194389" w:rsidRDefault="006535B0" w:rsidP="00716AAF">
      <w:pPr>
        <w:spacing w:after="0" w:line="276" w:lineRule="auto"/>
      </w:pPr>
    </w:p>
    <w:sectPr w:rsidR="006535B0" w:rsidRPr="00194389" w:rsidSect="002A04F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2333" w14:textId="77777777" w:rsidR="00AF6BD3" w:rsidRDefault="00AF6BD3" w:rsidP="003942E1">
      <w:pPr>
        <w:spacing w:after="0" w:line="240" w:lineRule="auto"/>
      </w:pPr>
      <w:r>
        <w:separator/>
      </w:r>
    </w:p>
    <w:p w14:paraId="48B43F08" w14:textId="77777777" w:rsidR="00AF6BD3" w:rsidRDefault="00AF6BD3"/>
    <w:p w14:paraId="45E2F823" w14:textId="77777777" w:rsidR="00AF6BD3" w:rsidRDefault="00AF6BD3" w:rsidP="00762647"/>
  </w:endnote>
  <w:endnote w:type="continuationSeparator" w:id="0">
    <w:p w14:paraId="19522098" w14:textId="77777777" w:rsidR="00AF6BD3" w:rsidRDefault="00AF6BD3" w:rsidP="003942E1">
      <w:pPr>
        <w:spacing w:after="0" w:line="240" w:lineRule="auto"/>
      </w:pPr>
      <w:r>
        <w:continuationSeparator/>
      </w:r>
    </w:p>
    <w:p w14:paraId="7EB93909" w14:textId="77777777" w:rsidR="00AF6BD3" w:rsidRDefault="00AF6BD3"/>
    <w:p w14:paraId="22CE1BF6" w14:textId="77777777" w:rsidR="00AF6BD3" w:rsidRDefault="00AF6BD3" w:rsidP="00762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68533"/>
      <w:docPartObj>
        <w:docPartGallery w:val="Page Numbers (Bottom of Page)"/>
        <w:docPartUnique/>
      </w:docPartObj>
    </w:sdtPr>
    <w:sdtEndPr>
      <w:rPr>
        <w:rFonts w:ascii="Times New Roman" w:hAnsi="Times New Roman" w:cs="Times New Roman"/>
        <w:noProof/>
      </w:rPr>
    </w:sdtEndPr>
    <w:sdtContent>
      <w:p w14:paraId="67F86D8C" w14:textId="41370DAD" w:rsidR="002A04F4" w:rsidRPr="00C30AB9" w:rsidRDefault="00EB5F25" w:rsidP="00301512">
        <w:pPr>
          <w:pStyle w:val="Footer"/>
          <w:rPr>
            <w:rFonts w:ascii="Times New Roman" w:hAnsi="Times New Roman" w:cs="Times New Roman"/>
          </w:rPr>
        </w:pPr>
      </w:p>
    </w:sdtContent>
  </w:sdt>
  <w:p w14:paraId="408F7A96" w14:textId="77777777" w:rsidR="002A04F4" w:rsidRDefault="002A0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69489"/>
      <w:docPartObj>
        <w:docPartGallery w:val="Page Numbers (Bottom of Page)"/>
        <w:docPartUnique/>
      </w:docPartObj>
    </w:sdtPr>
    <w:sdtEndPr>
      <w:rPr>
        <w:rFonts w:ascii="Times New Roman" w:hAnsi="Times New Roman" w:cs="Times New Roman"/>
        <w:noProof/>
      </w:rPr>
    </w:sdtEndPr>
    <w:sdtContent>
      <w:p w14:paraId="28077598" w14:textId="0E797988" w:rsidR="002A04F4" w:rsidRPr="00B912F2" w:rsidRDefault="002A04F4" w:rsidP="00B912F2">
        <w:pPr>
          <w:pStyle w:val="Footer"/>
          <w:jc w:val="center"/>
          <w:rPr>
            <w:rFonts w:ascii="Times New Roman" w:hAnsi="Times New Roman" w:cs="Times New Roman"/>
          </w:rPr>
        </w:pPr>
        <w:r w:rsidRPr="00301512">
          <w:rPr>
            <w:rFonts w:ascii="Times New Roman" w:hAnsi="Times New Roman" w:cs="Times New Roman"/>
          </w:rPr>
          <w:fldChar w:fldCharType="begin"/>
        </w:r>
        <w:r w:rsidRPr="00301512">
          <w:rPr>
            <w:rFonts w:ascii="Times New Roman" w:hAnsi="Times New Roman" w:cs="Times New Roman"/>
          </w:rPr>
          <w:instrText xml:space="preserve"> PAGE   \* MERGEFORMAT </w:instrText>
        </w:r>
        <w:r w:rsidRPr="00301512">
          <w:rPr>
            <w:rFonts w:ascii="Times New Roman" w:hAnsi="Times New Roman" w:cs="Times New Roman"/>
          </w:rPr>
          <w:fldChar w:fldCharType="separate"/>
        </w:r>
        <w:r w:rsidRPr="00301512">
          <w:rPr>
            <w:rFonts w:ascii="Times New Roman" w:hAnsi="Times New Roman" w:cs="Times New Roman"/>
            <w:noProof/>
          </w:rPr>
          <w:t>2</w:t>
        </w:r>
        <w:r w:rsidRPr="0030151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DD53" w14:textId="77777777" w:rsidR="00AF6BD3" w:rsidRPr="00312FA1" w:rsidRDefault="00AF6BD3" w:rsidP="003942E1">
      <w:pPr>
        <w:spacing w:after="0" w:line="240" w:lineRule="auto"/>
        <w:rPr>
          <w:rFonts w:ascii="Times New Roman" w:hAnsi="Times New Roman" w:cs="Times New Roman"/>
          <w:sz w:val="20"/>
          <w:szCs w:val="20"/>
        </w:rPr>
      </w:pPr>
      <w:r w:rsidRPr="00312FA1">
        <w:rPr>
          <w:rFonts w:ascii="Times New Roman" w:hAnsi="Times New Roman" w:cs="Times New Roman"/>
          <w:sz w:val="20"/>
          <w:szCs w:val="20"/>
        </w:rPr>
        <w:separator/>
      </w:r>
    </w:p>
  </w:footnote>
  <w:footnote w:type="continuationSeparator" w:id="0">
    <w:p w14:paraId="62161468" w14:textId="77777777" w:rsidR="00AF6BD3" w:rsidRPr="00312FA1" w:rsidRDefault="00AF6BD3" w:rsidP="00312FA1">
      <w:pPr>
        <w:spacing w:after="0" w:line="240" w:lineRule="auto"/>
        <w:rPr>
          <w:rFonts w:ascii="Times New Roman" w:hAnsi="Times New Roman" w:cs="Times New Roman"/>
          <w:sz w:val="20"/>
          <w:szCs w:val="20"/>
        </w:rPr>
      </w:pPr>
      <w:r w:rsidRPr="00312FA1">
        <w:rPr>
          <w:rFonts w:ascii="Times New Roman" w:hAnsi="Times New Roman" w:cs="Times New Roman"/>
          <w:sz w:val="20"/>
          <w:szCs w:val="20"/>
        </w:rPr>
        <w:continuationSeparator/>
      </w:r>
    </w:p>
  </w:footnote>
  <w:footnote w:type="continuationNotice" w:id="1">
    <w:p w14:paraId="6B908F76" w14:textId="77777777" w:rsidR="00AF6BD3" w:rsidRPr="00312FA1" w:rsidRDefault="00AF6BD3">
      <w:pPr>
        <w:spacing w:after="0" w:line="240" w:lineRule="auto"/>
        <w:rPr>
          <w:rFonts w:ascii="Times New Roman" w:hAnsi="Times New Roman" w:cs="Times New Roman"/>
          <w:sz w:val="20"/>
          <w:szCs w:val="20"/>
        </w:rPr>
      </w:pPr>
    </w:p>
  </w:footnote>
  <w:footnote w:id="2">
    <w:p w14:paraId="3169AC89" w14:textId="0C90E6AD" w:rsidR="002A04F4" w:rsidRPr="00167EAB" w:rsidRDefault="002A04F4" w:rsidP="00CA15F2">
      <w:pPr>
        <w:pStyle w:val="FootnoteText"/>
      </w:pPr>
      <w:r w:rsidRPr="00167EAB">
        <w:rPr>
          <w:rStyle w:val="FootnoteReference"/>
          <w:rFonts w:cs="Times New Roman"/>
        </w:rPr>
        <w:footnoteRef/>
      </w:r>
      <w:r>
        <w:t xml:space="preserve"> </w:t>
      </w:r>
      <w:r w:rsidRPr="00167EAB">
        <w:t xml:space="preserve">The verbiage </w:t>
      </w:r>
      <w:r w:rsidRPr="00314F9F">
        <w:t xml:space="preserve">“primarily worked from </w:t>
      </w:r>
      <w:r>
        <w:t>a remote location</w:t>
      </w:r>
      <w:r w:rsidRPr="00314F9F">
        <w:t xml:space="preserve">” </w:t>
      </w:r>
      <w:r>
        <w:t xml:space="preserve">used in this sentence </w:t>
      </w:r>
      <w:r w:rsidRPr="00314F9F">
        <w:t xml:space="preserve">indicates that an employee never commuted to an in-person </w:t>
      </w:r>
      <w:r>
        <w:t xml:space="preserve">out-of-home designated </w:t>
      </w:r>
      <w:r w:rsidRPr="00314F9F">
        <w:t>workplace during the week prior to completion of the American Community Survey</w:t>
      </w:r>
      <w:r>
        <w:t xml:space="preserve"> </w:t>
      </w:r>
      <w:r w:rsidRPr="00314F9F">
        <w:t>used by Coate (202</w:t>
      </w:r>
      <w:r>
        <w:t>1</w:t>
      </w:r>
      <w:r w:rsidRPr="00314F9F">
        <w:t xml:space="preserve">) in the analysis. </w:t>
      </w:r>
    </w:p>
  </w:footnote>
  <w:footnote w:id="3">
    <w:p w14:paraId="0AA18875" w14:textId="373EE3DD" w:rsidR="002A04F4" w:rsidRPr="00F835FA" w:rsidRDefault="002A04F4">
      <w:pPr>
        <w:pStyle w:val="FootnoteText"/>
        <w:rPr>
          <w:rFonts w:cs="Times New Roman"/>
        </w:rPr>
      </w:pPr>
      <w:r w:rsidRPr="00F835FA">
        <w:rPr>
          <w:rStyle w:val="FootnoteReference"/>
          <w:rFonts w:cs="Times New Roman"/>
        </w:rPr>
        <w:footnoteRef/>
      </w:r>
      <w:r>
        <w:rPr>
          <w:rFonts w:cs="Times New Roman"/>
        </w:rPr>
        <w:t xml:space="preserve"> </w:t>
      </w:r>
      <w:r w:rsidRPr="00F835FA">
        <w:rPr>
          <w:rFonts w:cs="Times New Roman"/>
        </w:rPr>
        <w:t xml:space="preserve">Less germane to the </w:t>
      </w:r>
      <w:r>
        <w:rPr>
          <w:rFonts w:cs="Times New Roman"/>
        </w:rPr>
        <w:t xml:space="preserve">specific technical </w:t>
      </w:r>
      <w:r w:rsidRPr="00F835FA">
        <w:rPr>
          <w:rFonts w:cs="Times New Roman"/>
        </w:rPr>
        <w:t>context of the current research, but relevant to the implications from our research, is a large body of literature exploring the impacts of telework on activity-travel demand, with an interesting mix of findings. While some researchers have documented a clear inverse (substitution) relationship between tele</w:t>
      </w:r>
      <w:r>
        <w:rPr>
          <w:rFonts w:cs="Times New Roman"/>
        </w:rPr>
        <w:t>working</w:t>
      </w:r>
      <w:r w:rsidRPr="00F835FA">
        <w:rPr>
          <w:rFonts w:cs="Times New Roman"/>
        </w:rPr>
        <w:t xml:space="preserve"> and amount of travel (Lachapelle et al., 2018; Ellder, 2020), others have found a more complementary relationship between telework and travel demand – suggesting that the elimination of the commute results in discretionary time that engenders additional non-work travel (Moeckel, 2017; Zhu et al., 2018).</w:t>
      </w:r>
    </w:p>
  </w:footnote>
  <w:footnote w:id="4">
    <w:p w14:paraId="2DF6FAEA" w14:textId="6FD4B44E" w:rsidR="002A04F4" w:rsidRPr="00E20C0D" w:rsidRDefault="002A04F4" w:rsidP="005229D8">
      <w:pPr>
        <w:pStyle w:val="FootnoteText"/>
        <w:rPr>
          <w:rFonts w:cs="Times New Roman"/>
        </w:rPr>
      </w:pPr>
      <w:r w:rsidRPr="00E20C0D">
        <w:rPr>
          <w:rStyle w:val="FootnoteReference"/>
          <w:rFonts w:cs="Times New Roman"/>
        </w:rPr>
        <w:footnoteRef/>
      </w:r>
      <w:r>
        <w:rPr>
          <w:rFonts w:cs="Times New Roman"/>
        </w:rPr>
        <w:t xml:space="preserve"> </w:t>
      </w:r>
      <w:r w:rsidRPr="00E20C0D">
        <w:rPr>
          <w:rFonts w:cs="Times New Roman"/>
        </w:rPr>
        <w:t xml:space="preserve">For the same reason that we consider only employees who had the option of telework both during the </w:t>
      </w:r>
      <w:r w:rsidRPr="00700FD4">
        <w:rPr>
          <w:rFonts w:cs="Times New Roman"/>
          <w:i/>
        </w:rPr>
        <w:t>Before</w:t>
      </w:r>
      <w:r>
        <w:rPr>
          <w:rFonts w:cs="Times New Roman"/>
          <w:i/>
        </w:rPr>
        <w:t xml:space="preserve"> </w:t>
      </w:r>
      <w:r w:rsidRPr="00F835FA">
        <w:rPr>
          <w:rFonts w:cs="Times New Roman"/>
        </w:rPr>
        <w:t xml:space="preserve">COVID </w:t>
      </w:r>
      <w:r w:rsidRPr="00E20C0D">
        <w:rPr>
          <w:rFonts w:cs="Times New Roman"/>
        </w:rPr>
        <w:t xml:space="preserve">and </w:t>
      </w:r>
      <w:r w:rsidRPr="00700FD4">
        <w:rPr>
          <w:rFonts w:cs="Times New Roman"/>
          <w:i/>
        </w:rPr>
        <w:t>After</w:t>
      </w:r>
      <w:r>
        <w:rPr>
          <w:rFonts w:cs="Times New Roman"/>
          <w:i/>
        </w:rPr>
        <w:t xml:space="preserve"> </w:t>
      </w:r>
      <w:r w:rsidRPr="00F835FA">
        <w:rPr>
          <w:rFonts w:cs="Times New Roman"/>
        </w:rPr>
        <w:t xml:space="preserve">COVID </w:t>
      </w:r>
      <w:r w:rsidRPr="00E20C0D">
        <w:rPr>
          <w:rFonts w:cs="Times New Roman"/>
        </w:rPr>
        <w:t xml:space="preserve">periods, we also consider only employees who had a designated out-of-home work office during both periods (even if they chose never to commute into this designated out-of-home work office). </w:t>
      </w:r>
      <w:r>
        <w:rPr>
          <w:rFonts w:cs="Times New Roman"/>
        </w:rPr>
        <w:t xml:space="preserve">However, we did not require that the employee should have been with the same employment firm during the </w:t>
      </w:r>
      <w:r w:rsidRPr="00700FD4">
        <w:rPr>
          <w:rFonts w:cs="Times New Roman"/>
          <w:i/>
        </w:rPr>
        <w:t>Before</w:t>
      </w:r>
      <w:r>
        <w:rPr>
          <w:rFonts w:cs="Times New Roman"/>
          <w:i/>
        </w:rPr>
        <w:t xml:space="preserve"> </w:t>
      </w:r>
      <w:r w:rsidRPr="00F835FA">
        <w:rPr>
          <w:rFonts w:cs="Times New Roman"/>
        </w:rPr>
        <w:t xml:space="preserve">COVID </w:t>
      </w:r>
      <w:r w:rsidRPr="00E20C0D">
        <w:rPr>
          <w:rFonts w:cs="Times New Roman"/>
        </w:rPr>
        <w:t xml:space="preserve">and </w:t>
      </w:r>
      <w:r w:rsidRPr="00700FD4">
        <w:rPr>
          <w:rFonts w:cs="Times New Roman"/>
          <w:i/>
        </w:rPr>
        <w:t>After</w:t>
      </w:r>
      <w:r>
        <w:rPr>
          <w:rFonts w:cs="Times New Roman"/>
          <w:i/>
        </w:rPr>
        <w:t xml:space="preserve"> </w:t>
      </w:r>
      <w:r w:rsidRPr="00F835FA">
        <w:rPr>
          <w:rFonts w:cs="Times New Roman"/>
        </w:rPr>
        <w:t xml:space="preserve">COVID </w:t>
      </w:r>
      <w:r w:rsidRPr="00E20C0D">
        <w:rPr>
          <w:rFonts w:cs="Times New Roman"/>
        </w:rPr>
        <w:t>periods</w:t>
      </w:r>
      <w:r>
        <w:rPr>
          <w:rFonts w:cs="Times New Roman"/>
        </w:rPr>
        <w:t xml:space="preserve">. </w:t>
      </w:r>
      <w:r w:rsidRPr="000D4FD3">
        <w:rPr>
          <w:rFonts w:cs="Times New Roman"/>
        </w:rPr>
        <w:t xml:space="preserve">In our survey, </w:t>
      </w:r>
      <w:r>
        <w:rPr>
          <w:rFonts w:cs="Times New Roman"/>
        </w:rPr>
        <w:t xml:space="preserve">about 12% of employees with a designated out-of-home work office during both periods </w:t>
      </w:r>
      <w:r w:rsidRPr="000D4FD3">
        <w:rPr>
          <w:rFonts w:cs="Times New Roman"/>
        </w:rPr>
        <w:t>reported that they had</w:t>
      </w:r>
      <w:r>
        <w:rPr>
          <w:rFonts w:cs="Times New Roman"/>
        </w:rPr>
        <w:t xml:space="preserve"> changed jobs during the pandemic</w:t>
      </w:r>
      <w:r w:rsidRPr="000D4FD3">
        <w:rPr>
          <w:rFonts w:cs="Times New Roman"/>
        </w:rPr>
        <w:t xml:space="preserve">. This variable was </w:t>
      </w:r>
      <w:r>
        <w:rPr>
          <w:rFonts w:cs="Times New Roman"/>
        </w:rPr>
        <w:t xml:space="preserve">introduced as an exogenous variable </w:t>
      </w:r>
      <w:r w:rsidRPr="000D4FD3">
        <w:rPr>
          <w:rFonts w:cs="Times New Roman"/>
        </w:rPr>
        <w:t xml:space="preserve">to investigate if switching jobs had any influence on the </w:t>
      </w:r>
      <w:r>
        <w:rPr>
          <w:rFonts w:cs="Times New Roman"/>
        </w:rPr>
        <w:t xml:space="preserve">shifts in </w:t>
      </w:r>
      <w:r w:rsidRPr="000D4FD3">
        <w:rPr>
          <w:rFonts w:cs="Times New Roman"/>
        </w:rPr>
        <w:t>frequency and workplace location choice outcomes</w:t>
      </w:r>
      <w:r>
        <w:rPr>
          <w:rFonts w:cs="Times New Roman"/>
        </w:rPr>
        <w:t xml:space="preserve"> between the </w:t>
      </w:r>
      <w:r w:rsidRPr="00700FD4">
        <w:rPr>
          <w:rFonts w:cs="Times New Roman"/>
          <w:i/>
        </w:rPr>
        <w:t>Before</w:t>
      </w:r>
      <w:r>
        <w:rPr>
          <w:rFonts w:cs="Times New Roman"/>
          <w:i/>
        </w:rPr>
        <w:t xml:space="preserve"> </w:t>
      </w:r>
      <w:r w:rsidRPr="00F835FA">
        <w:rPr>
          <w:rFonts w:cs="Times New Roman"/>
        </w:rPr>
        <w:t xml:space="preserve">COVID </w:t>
      </w:r>
      <w:r w:rsidRPr="00E20C0D">
        <w:rPr>
          <w:rFonts w:cs="Times New Roman"/>
        </w:rPr>
        <w:t xml:space="preserve">and </w:t>
      </w:r>
      <w:r w:rsidRPr="00700FD4">
        <w:rPr>
          <w:rFonts w:cs="Times New Roman"/>
          <w:i/>
        </w:rPr>
        <w:t>After</w:t>
      </w:r>
      <w:r>
        <w:rPr>
          <w:rFonts w:cs="Times New Roman"/>
          <w:i/>
        </w:rPr>
        <w:t xml:space="preserve"> </w:t>
      </w:r>
      <w:r w:rsidRPr="00F835FA">
        <w:rPr>
          <w:rFonts w:cs="Times New Roman"/>
        </w:rPr>
        <w:t xml:space="preserve">COVID </w:t>
      </w:r>
      <w:r w:rsidRPr="00E20C0D">
        <w:rPr>
          <w:rFonts w:cs="Times New Roman"/>
        </w:rPr>
        <w:t>periods</w:t>
      </w:r>
      <w:r>
        <w:rPr>
          <w:rFonts w:cs="Times New Roman"/>
        </w:rPr>
        <w:t>. Interestingly</w:t>
      </w:r>
      <w:r w:rsidRPr="000D4FD3">
        <w:rPr>
          <w:rFonts w:cs="Times New Roman"/>
        </w:rPr>
        <w:t>, th</w:t>
      </w:r>
      <w:r>
        <w:rPr>
          <w:rFonts w:cs="Times New Roman"/>
        </w:rPr>
        <w:t>e</w:t>
      </w:r>
      <w:r w:rsidRPr="000D4FD3">
        <w:rPr>
          <w:rFonts w:cs="Times New Roman"/>
        </w:rPr>
        <w:t xml:space="preserve"> variable turned out to be insignificant </w:t>
      </w:r>
      <w:r>
        <w:rPr>
          <w:rFonts w:cs="Times New Roman"/>
        </w:rPr>
        <w:t xml:space="preserve">even at the 68% level of confidence (t-statistic of 1.00) for </w:t>
      </w:r>
      <w:r w:rsidRPr="000D4FD3">
        <w:rPr>
          <w:rFonts w:cs="Times New Roman"/>
        </w:rPr>
        <w:t>all dimensions</w:t>
      </w:r>
      <w:r>
        <w:rPr>
          <w:rFonts w:cs="Times New Roman"/>
        </w:rPr>
        <w:t xml:space="preserve">, suggesting that job switches, by themselves, do not have much impact on work arrangement changes between the two periods after shifts due to other factors (and the generic shift) have been considered. This result is not entirely surprising, because the existing literature </w:t>
      </w:r>
      <w:r w:rsidRPr="000D4FD3">
        <w:rPr>
          <w:rFonts w:cs="Times New Roman"/>
        </w:rPr>
        <w:t xml:space="preserve">supports the notion that employees generally tend to stay within their industry sectors even if they do switch jobs (see, for example, Gebbels et al., 2020, Bauer et al., 2020, Dauth et al., 2017), </w:t>
      </w:r>
      <w:r>
        <w:rPr>
          <w:rFonts w:cs="Times New Roman"/>
        </w:rPr>
        <w:t xml:space="preserve">and industry sectors play a substantial role in determining work arrangements (including any telework arrangements). </w:t>
      </w:r>
      <w:r w:rsidRPr="000D4FD3">
        <w:rPr>
          <w:rFonts w:cs="Times New Roman"/>
        </w:rPr>
        <w:t xml:space="preserve">In any case, this paper aims to study the adoption, frequency, and workplace location choices of teleworking of employed individuals </w:t>
      </w:r>
      <w:r w:rsidRPr="000D4FD3">
        <w:rPr>
          <w:rFonts w:cs="Times New Roman"/>
          <w:i/>
        </w:rPr>
        <w:t>irrespective</w:t>
      </w:r>
      <w:r w:rsidRPr="000D4FD3">
        <w:rPr>
          <w:rFonts w:cs="Times New Roman"/>
        </w:rPr>
        <w:t xml:space="preserve"> of their employers, as long as the individuals had the option from their employers to engage in </w:t>
      </w:r>
      <w:r>
        <w:rPr>
          <w:rFonts w:cs="Times New Roman"/>
        </w:rPr>
        <w:t>tele</w:t>
      </w:r>
      <w:r w:rsidRPr="000D4FD3">
        <w:rPr>
          <w:rFonts w:cs="Times New Roman"/>
        </w:rPr>
        <w:t xml:space="preserve">work. </w:t>
      </w:r>
    </w:p>
  </w:footnote>
  <w:footnote w:id="5">
    <w:p w14:paraId="35D2C053" w14:textId="2BAF779C" w:rsidR="00EF3E73" w:rsidRPr="00EF3E73" w:rsidRDefault="00EF3E73">
      <w:pPr>
        <w:pStyle w:val="FootnoteText"/>
      </w:pPr>
      <w:r w:rsidRPr="00EF3E73">
        <w:rPr>
          <w:rStyle w:val="FootnoteReference"/>
        </w:rPr>
        <w:footnoteRef/>
      </w:r>
      <w:r w:rsidR="00497B53">
        <w:rPr>
          <w:rFonts w:eastAsia="Times New Roman" w:cs="Times New Roman"/>
        </w:rPr>
        <w:t xml:space="preserve"> </w:t>
      </w:r>
      <w:r w:rsidRPr="00EF3E73">
        <w:rPr>
          <w:rFonts w:eastAsia="Times New Roman" w:cs="Times New Roman"/>
        </w:rPr>
        <w:t>Note that we do not have the explanatory sociodemographic variable information from the pre-COVID period. If these variables change substantially between the Before and After COVID periods, one could legitimately posit that the difference in work arrangements (between the two periods) is at least as much to the change in sociodemographics as it may be attributed to overall behavioral changes caused by the pandemic. However, given the short two-year period between the pre-COVID period to the time of the survey (January-February 2022), there is a very reasonable expectation that the independent variables would not have changed dramatically. Clearly, variables such as gender, age, and immunocompromised status would not change over short periods of time. In addition, as we discuss in the penultimate paragraph of Section 2.4, we focus on “only those individuals who were employed, and had the allowance (from their employer) to work remotely, both before COVID and after COVID (allowance refers here to whether the employers of the respondents formally and officially sanctioned (with pay) the performance of work from a telework location on one or more days over a period of a month).” Further, only 12% of the sample indicated that they had changed jobs. Based on all of these factors, there is a reasonable expectation that income too would not have changed much between the two periods.</w:t>
      </w:r>
    </w:p>
  </w:footnote>
  <w:footnote w:id="6">
    <w:p w14:paraId="0964C0D1" w14:textId="2BBE6C26" w:rsidR="002A04F4" w:rsidRPr="002A04F4" w:rsidRDefault="002A04F4" w:rsidP="002A04F4">
      <w:pPr>
        <w:spacing w:line="240" w:lineRule="auto"/>
        <w:rPr>
          <w:rFonts w:ascii="Times New Roman" w:hAnsi="Times New Roman" w:cs="Times New Roman"/>
          <w:sz w:val="20"/>
          <w:szCs w:val="20"/>
        </w:rPr>
      </w:pPr>
      <w:r w:rsidRPr="00F835FA">
        <w:rPr>
          <w:rStyle w:val="FootnoteReference"/>
          <w:rFonts w:ascii="Times New Roman" w:hAnsi="Times New Roman" w:cs="Times New Roman"/>
          <w:sz w:val="20"/>
          <w:szCs w:val="20"/>
        </w:rPr>
        <w:footnoteRef/>
      </w:r>
      <w:r w:rsidRPr="00F835FA">
        <w:rPr>
          <w:rFonts w:ascii="Times New Roman" w:hAnsi="Times New Roman" w:cs="Times New Roman"/>
          <w:sz w:val="20"/>
          <w:szCs w:val="20"/>
        </w:rPr>
        <w:t xml:space="preserve"> </w:t>
      </w:r>
      <w:r w:rsidRPr="00DD49E4">
        <w:rPr>
          <w:rFonts w:ascii="Times New Roman" w:hAnsi="Times New Roman" w:cs="Times New Roman"/>
          <w:sz w:val="20"/>
          <w:szCs w:val="20"/>
        </w:rPr>
        <w:t xml:space="preserve">Respondents were reminded multiple times throughout the survey that a third </w:t>
      </w:r>
      <w:r>
        <w:rPr>
          <w:rFonts w:ascii="Times New Roman" w:hAnsi="Times New Roman" w:cs="Times New Roman"/>
          <w:sz w:val="20"/>
          <w:szCs w:val="20"/>
        </w:rPr>
        <w:t>(</w:t>
      </w:r>
      <w:r w:rsidRPr="00DD49E4">
        <w:rPr>
          <w:rFonts w:ascii="Times New Roman" w:hAnsi="Times New Roman" w:cs="Times New Roman"/>
          <w:sz w:val="20"/>
          <w:szCs w:val="20"/>
        </w:rPr>
        <w:t>workplace</w:t>
      </w:r>
      <w:r>
        <w:rPr>
          <w:rFonts w:ascii="Times New Roman" w:hAnsi="Times New Roman" w:cs="Times New Roman"/>
          <w:sz w:val="20"/>
          <w:szCs w:val="20"/>
        </w:rPr>
        <w:t>) location</w:t>
      </w:r>
      <w:r w:rsidRPr="00DD49E4">
        <w:rPr>
          <w:rFonts w:ascii="Times New Roman" w:hAnsi="Times New Roman" w:cs="Times New Roman"/>
          <w:sz w:val="20"/>
          <w:szCs w:val="20"/>
        </w:rPr>
        <w:t xml:space="preserve"> refers to locations such as a coffee shop, a designated co-working space, a hotel, or a restaurant, but does not include working from a client's site, which would instead be categorized as an in-person workplace, and therefore not </w:t>
      </w:r>
      <w:r>
        <w:rPr>
          <w:rFonts w:ascii="Times New Roman" w:hAnsi="Times New Roman" w:cs="Times New Roman"/>
          <w:sz w:val="20"/>
          <w:szCs w:val="20"/>
        </w:rPr>
        <w:t>tele</w:t>
      </w:r>
      <w:r w:rsidRPr="00DD49E4">
        <w:rPr>
          <w:rFonts w:ascii="Times New Roman" w:hAnsi="Times New Roman" w:cs="Times New Roman"/>
          <w:sz w:val="20"/>
          <w:szCs w:val="20"/>
        </w:rPr>
        <w:t>work. The survey also continually</w:t>
      </w:r>
      <w:r w:rsidRPr="00301DF6">
        <w:rPr>
          <w:rFonts w:ascii="Times New Roman" w:hAnsi="Times New Roman" w:cs="Times New Roman"/>
          <w:sz w:val="20"/>
          <w:szCs w:val="20"/>
        </w:rPr>
        <w:t xml:space="preserve"> reminded respondents that </w:t>
      </w:r>
      <w:r>
        <w:rPr>
          <w:rFonts w:ascii="Times New Roman" w:hAnsi="Times New Roman" w:cs="Times New Roman"/>
          <w:sz w:val="20"/>
          <w:szCs w:val="20"/>
        </w:rPr>
        <w:t>tele</w:t>
      </w:r>
      <w:r w:rsidRPr="00301DF6">
        <w:rPr>
          <w:rFonts w:ascii="Times New Roman" w:hAnsi="Times New Roman" w:cs="Times New Roman"/>
          <w:sz w:val="20"/>
          <w:szCs w:val="20"/>
        </w:rPr>
        <w:t>work did not include their company’s office or worksite, their school’s building or campu</w:t>
      </w:r>
      <w:r w:rsidRPr="001504FE">
        <w:rPr>
          <w:rFonts w:ascii="Times New Roman" w:hAnsi="Times New Roman" w:cs="Times New Roman"/>
          <w:sz w:val="20"/>
          <w:szCs w:val="20"/>
        </w:rPr>
        <w:t xml:space="preserve">s, or a client’s site, to further clarify what an in-person workplace is and what a third workplace </w:t>
      </w:r>
      <w:r>
        <w:rPr>
          <w:rFonts w:ascii="Times New Roman" w:hAnsi="Times New Roman" w:cs="Times New Roman"/>
          <w:sz w:val="20"/>
          <w:szCs w:val="20"/>
        </w:rPr>
        <w:t xml:space="preserve">location </w:t>
      </w:r>
      <w:r w:rsidRPr="001504FE">
        <w:rPr>
          <w:rFonts w:ascii="Times New Roman" w:hAnsi="Times New Roman" w:cs="Times New Roman"/>
          <w:sz w:val="20"/>
          <w:szCs w:val="20"/>
        </w:rPr>
        <w:t>is.</w:t>
      </w:r>
      <w:r w:rsidRPr="00F835FA">
        <w:rPr>
          <w:rFonts w:ascii="Times New Roman" w:hAnsi="Times New Roman" w:cs="Times New Roman"/>
          <w:sz w:val="20"/>
          <w:szCs w:val="20"/>
        </w:rPr>
        <w:t xml:space="preserve"> </w:t>
      </w:r>
    </w:p>
  </w:footnote>
  <w:footnote w:id="7">
    <w:p w14:paraId="5A38728E" w14:textId="4347B4B0" w:rsidR="002A04F4" w:rsidRDefault="002A04F4" w:rsidP="00FA6EC2">
      <w:pPr>
        <w:pStyle w:val="FootnoteText"/>
      </w:pPr>
      <w:r>
        <w:rPr>
          <w:rStyle w:val="FootnoteReference"/>
        </w:rPr>
        <w:footnoteRef/>
      </w:r>
      <w:r>
        <w:t xml:space="preserve"> At an aggregate-level, simple paired tests on the statistics shown in Table 2 indicated statistically significant differences in telework adoption, telework frequency, and telework location between the </w:t>
      </w:r>
      <w:r w:rsidRPr="00194389">
        <w:rPr>
          <w:i/>
          <w:iCs/>
        </w:rPr>
        <w:t xml:space="preserve">Before </w:t>
      </w:r>
      <w:r>
        <w:t xml:space="preserve">COVID and </w:t>
      </w:r>
      <w:r w:rsidRPr="00194389">
        <w:rPr>
          <w:i/>
          <w:iCs/>
        </w:rPr>
        <w:t>After</w:t>
      </w:r>
      <w:r>
        <w:t xml:space="preserve"> COVID periods.</w:t>
      </w:r>
    </w:p>
  </w:footnote>
  <w:footnote w:id="8">
    <w:p w14:paraId="6B845EF5" w14:textId="30EB9755" w:rsidR="002A04F4" w:rsidRPr="002A04F4" w:rsidRDefault="002A04F4" w:rsidP="002A04F4">
      <w:pPr>
        <w:spacing w:after="0" w:line="240" w:lineRule="auto"/>
        <w:rPr>
          <w:rFonts w:ascii="Times New Roman" w:hAnsi="Times New Roman" w:cs="Times New Roman"/>
          <w:sz w:val="20"/>
          <w:szCs w:val="20"/>
        </w:rPr>
      </w:pPr>
      <w:r w:rsidRPr="00F835FA">
        <w:rPr>
          <w:rStyle w:val="FootnoteReference"/>
          <w:rFonts w:ascii="Times New Roman" w:hAnsi="Times New Roman" w:cs="Times New Roman"/>
          <w:sz w:val="20"/>
          <w:szCs w:val="20"/>
        </w:rPr>
        <w:footnoteRef/>
      </w:r>
      <w:r w:rsidRPr="00F835FA">
        <w:rPr>
          <w:rFonts w:ascii="Times New Roman" w:hAnsi="Times New Roman" w:cs="Times New Roman"/>
          <w:sz w:val="20"/>
          <w:szCs w:val="20"/>
        </w:rPr>
        <w:t xml:space="preserve"> </w:t>
      </w:r>
      <w:bookmarkStart w:id="6" w:name="_Hlk133655388"/>
      <w:r w:rsidRPr="00F835FA">
        <w:rPr>
          <w:rFonts w:ascii="Times New Roman" w:hAnsi="Times New Roman" w:cs="Times New Roman"/>
          <w:sz w:val="20"/>
          <w:szCs w:val="20"/>
        </w:rPr>
        <w:t xml:space="preserve">While some demographics, such as the categorizations of income, education level, and age as used in our final empirical specification, may have changed between the two time periods, these changes are likely to be rather </w:t>
      </w:r>
      <w:r>
        <w:rPr>
          <w:rFonts w:ascii="Times New Roman" w:hAnsi="Times New Roman" w:cs="Times New Roman"/>
          <w:sz w:val="20"/>
          <w:szCs w:val="20"/>
        </w:rPr>
        <w:t xml:space="preserve">minimal </w:t>
      </w:r>
      <w:r w:rsidRPr="00F835FA">
        <w:rPr>
          <w:rFonts w:ascii="Times New Roman" w:hAnsi="Times New Roman" w:cs="Times New Roman"/>
          <w:sz w:val="20"/>
          <w:szCs w:val="20"/>
        </w:rPr>
        <w:t xml:space="preserve">within a span of two years. Thus, we do not expect that our results will be substantially different because of ignoring the time-varying nature of the exogenous variables. In any case, as we acknowledge in the conclusions section, this is a limitation of our recall-based survey where we elicited only current </w:t>
      </w:r>
      <w:r>
        <w:rPr>
          <w:rFonts w:ascii="Times New Roman" w:hAnsi="Times New Roman" w:cs="Times New Roman"/>
          <w:sz w:val="20"/>
          <w:szCs w:val="20"/>
        </w:rPr>
        <w:t>(that is, “</w:t>
      </w:r>
      <w:r w:rsidRPr="00F835FA">
        <w:rPr>
          <w:rFonts w:ascii="Times New Roman" w:hAnsi="Times New Roman" w:cs="Times New Roman"/>
          <w:i/>
          <w:sz w:val="20"/>
          <w:szCs w:val="20"/>
        </w:rPr>
        <w:t>After</w:t>
      </w:r>
      <w:r>
        <w:rPr>
          <w:rFonts w:ascii="Times New Roman" w:hAnsi="Times New Roman" w:cs="Times New Roman"/>
          <w:sz w:val="20"/>
          <w:szCs w:val="20"/>
        </w:rPr>
        <w:t xml:space="preserve"> COVID”) exogenous variable values</w:t>
      </w:r>
      <w:r w:rsidRPr="00F835FA">
        <w:rPr>
          <w:rFonts w:ascii="Times New Roman" w:hAnsi="Times New Roman" w:cs="Times New Roman"/>
          <w:sz w:val="20"/>
          <w:szCs w:val="20"/>
        </w:rPr>
        <w:t xml:space="preserve"> so as to keep the survey response time reasonable. </w:t>
      </w:r>
      <w:bookmarkEnd w:id="6"/>
    </w:p>
  </w:footnote>
  <w:footnote w:id="9">
    <w:p w14:paraId="4D393F58" w14:textId="259A8D67" w:rsidR="002A04F4" w:rsidRPr="00503211" w:rsidRDefault="002A04F4" w:rsidP="00DE22A0">
      <w:pPr>
        <w:pStyle w:val="FootnoteText"/>
      </w:pPr>
      <w:r w:rsidRPr="00B912F2">
        <w:rPr>
          <w:rStyle w:val="FootnoteReference"/>
          <w:rFonts w:cs="Times New Roman"/>
        </w:rPr>
        <w:footnoteRef/>
      </w:r>
      <w:r w:rsidRPr="00B912F2">
        <w:rPr>
          <w:rFonts w:cs="Times New Roman"/>
        </w:rPr>
        <w:t xml:space="preserve"> </w:t>
      </w:r>
      <w:r w:rsidRPr="00503211">
        <w:rPr>
          <w:rFonts w:cs="Times New Roman"/>
        </w:rPr>
        <w:t xml:space="preserve">In our presentation of the estimated correlation matrix in Table 4 (and discussed in Section </w:t>
      </w:r>
      <w:r>
        <w:rPr>
          <w:rFonts w:cs="Times New Roman"/>
        </w:rPr>
        <w:t>6</w:t>
      </w:r>
      <w:r w:rsidRPr="00503211">
        <w:rPr>
          <w:rFonts w:cs="Times New Roman"/>
        </w:rPr>
        <w:t xml:space="preserve">.4), we provide the correlation structure corresponding to the estimable </w:t>
      </w:r>
      <w:r w:rsidR="00497B53" w:rsidRPr="00503211">
        <w:rPr>
          <w:rFonts w:cs="Times New Roman"/>
          <w:position w:val="-4"/>
        </w:rPr>
        <w:object w:dxaOrig="240" w:dyaOrig="260" w14:anchorId="003A075E">
          <v:shape id="_x0000_i1139" type="#_x0000_t75" style="width:10.4pt;height:11.35pt" o:ole="">
            <v:imagedata r:id="rId1" o:title=""/>
          </v:shape>
          <o:OLEObject Type="Embed" ProgID="Equation.DSMT4" ShapeID="_x0000_i1139" DrawAspect="Content" ObjectID="_1764157453" r:id="rId2"/>
        </w:object>
      </w:r>
      <w:r w:rsidRPr="00503211">
        <w:rPr>
          <w:rFonts w:cs="Times New Roman"/>
        </w:rPr>
        <w:t xml:space="preserve"> matrix. In other words, in our estimation presentation of the correlation matrix, we provide the correlation matrix </w:t>
      </w:r>
      <w:r w:rsidR="00497B53" w:rsidRPr="00503211">
        <w:rPr>
          <w:rFonts w:cs="Times New Roman"/>
          <w:position w:val="-4"/>
        </w:rPr>
        <w:object w:dxaOrig="240" w:dyaOrig="260" w14:anchorId="7D203A22">
          <v:shape id="_x0000_i1141" type="#_x0000_t75" style="width:10.4pt;height:11.35pt" o:ole="">
            <v:imagedata r:id="rId1" o:title=""/>
          </v:shape>
          <o:OLEObject Type="Embed" ProgID="Equation.DSMT4" ShapeID="_x0000_i1141" DrawAspect="Content" ObjectID="_1764157454" r:id="rId3"/>
        </w:object>
      </w:r>
      <w:r w:rsidRPr="00503211">
        <w:rPr>
          <w:rFonts w:cs="Times New Roman"/>
        </w:rPr>
        <w:t xml:space="preserve">with the embedded </w:t>
      </w:r>
      <w:r w:rsidR="00497B53" w:rsidRPr="005B032C">
        <w:rPr>
          <w:rFonts w:cs="Times New Roman"/>
          <w:position w:val="-12"/>
        </w:rPr>
        <w:object w:dxaOrig="360" w:dyaOrig="360" w14:anchorId="5C6FBBB1">
          <v:shape id="_x0000_i1143" type="#_x0000_t75" style="width:15.65pt;height:15.65pt" o:ole="">
            <v:imagedata r:id="rId4" o:title=""/>
          </v:shape>
          <o:OLEObject Type="Embed" ProgID="Equation.DSMT4" ShapeID="_x0000_i1143" DrawAspect="Content" ObjectID="_1764157455" r:id="rId5"/>
        </w:object>
      </w:r>
      <w:r w:rsidR="00497B53">
        <w:rPr>
          <w:rFonts w:cs="Times New Roman"/>
        </w:rPr>
        <w:t xml:space="preserve"> </w:t>
      </w:r>
      <w:r w:rsidRPr="000940B6">
        <w:rPr>
          <w:rFonts w:cs="Times New Roman"/>
        </w:rPr>
        <w:t xml:space="preserve">matrix representing the </w:t>
      </w:r>
      <w:r w:rsidRPr="00503211">
        <w:rPr>
          <w:rFonts w:cs="Times New Roman"/>
        </w:rPr>
        <w:t>difference being taken with respect to the first “Home only” location alternative (which is also the base alternative).</w:t>
      </w:r>
    </w:p>
  </w:footnote>
  <w:footnote w:id="10">
    <w:p w14:paraId="7A110137" w14:textId="77777777" w:rsidR="002A04F4" w:rsidRDefault="002A04F4" w:rsidP="001F4114">
      <w:pPr>
        <w:pStyle w:val="FootnoteText"/>
      </w:pPr>
      <w:r>
        <w:rPr>
          <w:rStyle w:val="FootnoteReference"/>
        </w:rPr>
        <w:footnoteRef/>
      </w:r>
      <w:r>
        <w:t xml:space="preserve"> </w:t>
      </w:r>
      <w:r>
        <w:rPr>
          <w:rFonts w:cs="Times New Roman"/>
        </w:rPr>
        <w:t>I</w:t>
      </w:r>
      <w:r w:rsidRPr="00357313">
        <w:rPr>
          <w:rFonts w:cs="Times New Roman"/>
        </w:rPr>
        <w:t xml:space="preserve">t is not uncommon in scholarly research to retain variables with a t-statistic of 1.00 (see, for example, </w:t>
      </w:r>
      <w:r w:rsidRPr="0019205D">
        <w:rPr>
          <w:rFonts w:cs="Times New Roman"/>
        </w:rPr>
        <w:t>Hamed and Mannering, 1993;</w:t>
      </w:r>
      <w:r w:rsidRPr="0019205D">
        <w:rPr>
          <w:rFonts w:cs="Times New Roman"/>
          <w:b/>
        </w:rPr>
        <w:t xml:space="preserve"> </w:t>
      </w:r>
      <w:r w:rsidRPr="0019205D">
        <w:rPr>
          <w:rFonts w:cs="Times New Roman"/>
        </w:rPr>
        <w:t>Wen and Koppelman, 1999; Bhat and Sardesai, 2006;</w:t>
      </w:r>
      <w:r w:rsidRPr="0019205D">
        <w:rPr>
          <w:rFonts w:cs="Times New Roman"/>
          <w:b/>
        </w:rPr>
        <w:t xml:space="preserve"> </w:t>
      </w:r>
      <w:r w:rsidRPr="00CA5502">
        <w:rPr>
          <w:rFonts w:cs="Times New Roman"/>
        </w:rPr>
        <w:t>Rossetti et al., 2018; and Blazanin et al., 2022). Researchers have to make judgments specific to each situation</w:t>
      </w:r>
      <w:r>
        <w:rPr>
          <w:rFonts w:cs="Times New Roman"/>
        </w:rPr>
        <w:t>, and not</w:t>
      </w:r>
      <w:r w:rsidRPr="00357313">
        <w:rPr>
          <w:rFonts w:cs="Times New Roman"/>
        </w:rPr>
        <w:t xml:space="preserve"> follow a</w:t>
      </w:r>
      <w:r>
        <w:rPr>
          <w:rFonts w:cs="Times New Roman"/>
        </w:rPr>
        <w:t xml:space="preserve"> blanket statistical confidence level for all studies</w:t>
      </w:r>
      <w:r w:rsidRPr="00357313">
        <w:rPr>
          <w:rFonts w:cs="Times New Roman"/>
        </w:rPr>
        <w:t xml:space="preserve">, especially because there is </w:t>
      </w:r>
      <w:r w:rsidRPr="0089599A">
        <w:rPr>
          <w:rFonts w:cs="Times New Roman"/>
        </w:rPr>
        <w:t xml:space="preserve">nothing </w:t>
      </w:r>
      <w:r>
        <w:rPr>
          <w:rFonts w:cs="Times New Roman"/>
        </w:rPr>
        <w:t>universally absolute</w:t>
      </w:r>
      <w:r w:rsidRPr="0089599A">
        <w:rPr>
          <w:rFonts w:cs="Times New Roman"/>
        </w:rPr>
        <w:t xml:space="preserve"> about the 0.05 level of significance</w:t>
      </w:r>
      <w:r w:rsidRPr="00B14032">
        <w:rPr>
          <w:rFonts w:cs="Times New Roman"/>
        </w:rPr>
        <w:t>.</w:t>
      </w:r>
    </w:p>
  </w:footnote>
  <w:footnote w:id="11">
    <w:p w14:paraId="1E7F0419" w14:textId="3BFE3ED8" w:rsidR="002A04F4" w:rsidRDefault="002A04F4" w:rsidP="00727607">
      <w:pPr>
        <w:pStyle w:val="FootnoteText"/>
      </w:pPr>
      <w:r w:rsidRPr="00B24C81">
        <w:rPr>
          <w:rStyle w:val="FootnoteReference"/>
          <w:rFonts w:cs="Times New Roman"/>
        </w:rPr>
        <w:footnoteRef/>
      </w:r>
      <w:r w:rsidRPr="00B24C81">
        <w:rPr>
          <w:rFonts w:cs="Times New Roman"/>
        </w:rPr>
        <w:t xml:space="preserve"> </w:t>
      </w:r>
      <w:r w:rsidRPr="001D0B33">
        <w:rPr>
          <w:rFonts w:cs="Times New Roman"/>
        </w:rPr>
        <w:t xml:space="preserve">The first threshold (that between few times per month and once per week) below is normalized to 0.00 for identification, given that we have now included a constant in the ordinal propensity (see the methodological write-up in Section </w:t>
      </w:r>
      <w:r>
        <w:rPr>
          <w:rFonts w:cs="Times New Roman"/>
        </w:rPr>
        <w:t>4</w:t>
      </w:r>
      <w:r w:rsidRPr="001D0B33">
        <w:rPr>
          <w:rFonts w:cs="Times New Roman"/>
        </w:rPr>
        <w:t>.2.1). That is, the first ordinal alternative of “few times per month” is mapped to the real line between the value of -infinity and 0.000. The second threshold (that between once per week and 2-4 days per week) is 0.357, which is statistically significantly different from the first threshold of 0.00 at the 92% confidence level (corresponding to the reported t-statistic in the table of 1.74). The third threshold (that between 2-4 days per week and 5 days per week) is 1.134, which is statistically significantly different from the second threshold of 0.357 at beyond the 99% confidence level (corresponding to the reported t-statistic in the table of 2.67).</w:t>
      </w:r>
      <w:r>
        <w:t xml:space="preserve"> </w:t>
      </w:r>
    </w:p>
  </w:footnote>
  <w:footnote w:id="12">
    <w:p w14:paraId="41EDBC1C" w14:textId="50E5461D" w:rsidR="002A04F4" w:rsidRPr="00DA63C4" w:rsidRDefault="002A04F4">
      <w:pPr>
        <w:pStyle w:val="FootnoteText"/>
      </w:pPr>
      <w:r w:rsidRPr="00B24C81">
        <w:rPr>
          <w:rStyle w:val="FootnoteReference"/>
          <w:rFonts w:cs="Times New Roman"/>
        </w:rPr>
        <w:footnoteRef/>
      </w:r>
      <w:r w:rsidRPr="00B24C81">
        <w:rPr>
          <w:rFonts w:cs="Times New Roman"/>
        </w:rPr>
        <w:t xml:space="preserve"> </w:t>
      </w:r>
      <w:r w:rsidRPr="00D94432">
        <w:rPr>
          <w:rFonts w:cs="Times New Roman"/>
        </w:rPr>
        <w:t>The independent model estimation result</w:t>
      </w:r>
      <w:r>
        <w:rPr>
          <w:rFonts w:cs="Times New Roman"/>
        </w:rPr>
        <w:t>s</w:t>
      </w:r>
      <w:r w:rsidRPr="00D94432">
        <w:rPr>
          <w:rFonts w:cs="Times New Roman"/>
        </w:rPr>
        <w:t xml:space="preserve"> </w:t>
      </w:r>
      <w:r>
        <w:rPr>
          <w:rFonts w:cs="Times New Roman"/>
        </w:rPr>
        <w:t>are available in the Appendix to this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8C7" w14:textId="00B6FF2C" w:rsidR="002A04F4" w:rsidRPr="003942E1" w:rsidRDefault="002A04F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D5D"/>
    <w:multiLevelType w:val="hybridMultilevel"/>
    <w:tmpl w:val="AFE2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EA7"/>
    <w:multiLevelType w:val="hybridMultilevel"/>
    <w:tmpl w:val="8B606A0E"/>
    <w:lvl w:ilvl="0" w:tplc="1ADCD6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F553E"/>
    <w:multiLevelType w:val="hybridMultilevel"/>
    <w:tmpl w:val="0BC87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513A8"/>
    <w:multiLevelType w:val="hybridMultilevel"/>
    <w:tmpl w:val="087E3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35A9D"/>
    <w:multiLevelType w:val="hybridMultilevel"/>
    <w:tmpl w:val="DF58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4B4C"/>
    <w:multiLevelType w:val="hybridMultilevel"/>
    <w:tmpl w:val="362211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2783E"/>
    <w:multiLevelType w:val="hybridMultilevel"/>
    <w:tmpl w:val="42284C2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8C14EE9"/>
    <w:multiLevelType w:val="hybridMultilevel"/>
    <w:tmpl w:val="D8468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3C3D7C"/>
    <w:multiLevelType w:val="hybridMultilevel"/>
    <w:tmpl w:val="C50857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984A12"/>
    <w:multiLevelType w:val="hybridMultilevel"/>
    <w:tmpl w:val="FBD84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B032CA"/>
    <w:multiLevelType w:val="hybridMultilevel"/>
    <w:tmpl w:val="8E4C6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C847D2"/>
    <w:multiLevelType w:val="hybridMultilevel"/>
    <w:tmpl w:val="EC5E8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7345E3"/>
    <w:multiLevelType w:val="hybridMultilevel"/>
    <w:tmpl w:val="0C7C3A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6331C1"/>
    <w:multiLevelType w:val="hybridMultilevel"/>
    <w:tmpl w:val="B77A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601FBE">
      <w:start w:val="7"/>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6C01"/>
    <w:multiLevelType w:val="hybridMultilevel"/>
    <w:tmpl w:val="45D45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351F53"/>
    <w:multiLevelType w:val="hybridMultilevel"/>
    <w:tmpl w:val="C3FAC2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261B6"/>
    <w:multiLevelType w:val="hybridMultilevel"/>
    <w:tmpl w:val="CFC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15CC1"/>
    <w:multiLevelType w:val="hybridMultilevel"/>
    <w:tmpl w:val="4CC0C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B66A5"/>
    <w:multiLevelType w:val="hybridMultilevel"/>
    <w:tmpl w:val="0D1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D7B52"/>
    <w:multiLevelType w:val="hybridMultilevel"/>
    <w:tmpl w:val="58D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E6DE8"/>
    <w:multiLevelType w:val="hybridMultilevel"/>
    <w:tmpl w:val="384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F3BCE"/>
    <w:multiLevelType w:val="hybridMultilevel"/>
    <w:tmpl w:val="3564B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923405"/>
    <w:multiLevelType w:val="hybridMultilevel"/>
    <w:tmpl w:val="B5F4F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370348"/>
    <w:multiLevelType w:val="hybridMultilevel"/>
    <w:tmpl w:val="2C089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663AE"/>
    <w:multiLevelType w:val="hybridMultilevel"/>
    <w:tmpl w:val="61EC3596"/>
    <w:lvl w:ilvl="0" w:tplc="DCF094C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0263D85"/>
    <w:multiLevelType w:val="hybridMultilevel"/>
    <w:tmpl w:val="D42C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44CE6"/>
    <w:multiLevelType w:val="hybridMultilevel"/>
    <w:tmpl w:val="702CD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F0479D"/>
    <w:multiLevelType w:val="hybridMultilevel"/>
    <w:tmpl w:val="C0E0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611CD"/>
    <w:multiLevelType w:val="hybridMultilevel"/>
    <w:tmpl w:val="9A46F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ED012F"/>
    <w:multiLevelType w:val="hybridMultilevel"/>
    <w:tmpl w:val="47B0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05BD1"/>
    <w:multiLevelType w:val="hybridMultilevel"/>
    <w:tmpl w:val="722C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B1F3A"/>
    <w:multiLevelType w:val="hybridMultilevel"/>
    <w:tmpl w:val="3174AA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DE5F02"/>
    <w:multiLevelType w:val="hybridMultilevel"/>
    <w:tmpl w:val="21E22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C85F5A"/>
    <w:multiLevelType w:val="hybridMultilevel"/>
    <w:tmpl w:val="A48E694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AD7841"/>
    <w:multiLevelType w:val="hybridMultilevel"/>
    <w:tmpl w:val="2DCA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1630A"/>
    <w:multiLevelType w:val="hybridMultilevel"/>
    <w:tmpl w:val="A96627F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B4D58"/>
    <w:multiLevelType w:val="hybridMultilevel"/>
    <w:tmpl w:val="FFC25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B4760"/>
    <w:multiLevelType w:val="hybridMultilevel"/>
    <w:tmpl w:val="677E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63FD9"/>
    <w:multiLevelType w:val="hybridMultilevel"/>
    <w:tmpl w:val="378C4AC2"/>
    <w:lvl w:ilvl="0" w:tplc="36D01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3C0D75"/>
    <w:multiLevelType w:val="hybridMultilevel"/>
    <w:tmpl w:val="F07664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5D7112"/>
    <w:multiLevelType w:val="hybridMultilevel"/>
    <w:tmpl w:val="F94A1A40"/>
    <w:lvl w:ilvl="0" w:tplc="AE2694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6830B3"/>
    <w:multiLevelType w:val="hybridMultilevel"/>
    <w:tmpl w:val="591C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F0EC6"/>
    <w:multiLevelType w:val="hybridMultilevel"/>
    <w:tmpl w:val="565C7A2A"/>
    <w:lvl w:ilvl="0" w:tplc="25348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5B00C9"/>
    <w:multiLevelType w:val="hybridMultilevel"/>
    <w:tmpl w:val="C5E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947A43"/>
    <w:multiLevelType w:val="hybridMultilevel"/>
    <w:tmpl w:val="AB2A1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ED6442"/>
    <w:multiLevelType w:val="hybridMultilevel"/>
    <w:tmpl w:val="0CDA6F1C"/>
    <w:lvl w:ilvl="0" w:tplc="11A42976">
      <w:start w:val="1"/>
      <w:numFmt w:val="decimal"/>
      <w:pStyle w:val="Heading1"/>
      <w:lvlText w:val="%1."/>
      <w:lvlJc w:val="left"/>
      <w:pPr>
        <w:ind w:left="720" w:hanging="360"/>
      </w:pPr>
    </w:lvl>
    <w:lvl w:ilvl="1" w:tplc="97DC403A">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B5D9A"/>
    <w:multiLevelType w:val="hybridMultilevel"/>
    <w:tmpl w:val="9C6E9DF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6F6E1BC9"/>
    <w:multiLevelType w:val="hybridMultilevel"/>
    <w:tmpl w:val="5DAAD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C04FB4"/>
    <w:multiLevelType w:val="hybridMultilevel"/>
    <w:tmpl w:val="D6DC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FF28F6"/>
    <w:multiLevelType w:val="hybridMultilevel"/>
    <w:tmpl w:val="1DF8F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5F92589"/>
    <w:multiLevelType w:val="hybridMultilevel"/>
    <w:tmpl w:val="07D23F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F43552"/>
    <w:multiLevelType w:val="multilevel"/>
    <w:tmpl w:val="F52663E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77251F15"/>
    <w:multiLevelType w:val="hybridMultilevel"/>
    <w:tmpl w:val="C4EC4A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3560D5"/>
    <w:multiLevelType w:val="hybridMultilevel"/>
    <w:tmpl w:val="DBCCD6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590B54"/>
    <w:multiLevelType w:val="hybridMultilevel"/>
    <w:tmpl w:val="8626F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B862020"/>
    <w:multiLevelType w:val="hybridMultilevel"/>
    <w:tmpl w:val="ECF405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A4022F"/>
    <w:multiLevelType w:val="hybridMultilevel"/>
    <w:tmpl w:val="49A6E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6144DC"/>
    <w:multiLevelType w:val="hybridMultilevel"/>
    <w:tmpl w:val="4C6AF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13"/>
  </w:num>
  <w:num w:numId="3">
    <w:abstractNumId w:val="41"/>
  </w:num>
  <w:num w:numId="4">
    <w:abstractNumId w:val="37"/>
  </w:num>
  <w:num w:numId="5">
    <w:abstractNumId w:val="18"/>
  </w:num>
  <w:num w:numId="6">
    <w:abstractNumId w:val="30"/>
  </w:num>
  <w:num w:numId="7">
    <w:abstractNumId w:val="20"/>
  </w:num>
  <w:num w:numId="8">
    <w:abstractNumId w:val="19"/>
  </w:num>
  <w:num w:numId="9">
    <w:abstractNumId w:val="43"/>
  </w:num>
  <w:num w:numId="10">
    <w:abstractNumId w:val="0"/>
  </w:num>
  <w:num w:numId="11">
    <w:abstractNumId w:val="46"/>
  </w:num>
  <w:num w:numId="12">
    <w:abstractNumId w:val="48"/>
  </w:num>
  <w:num w:numId="13">
    <w:abstractNumId w:val="56"/>
  </w:num>
  <w:num w:numId="14">
    <w:abstractNumId w:val="21"/>
  </w:num>
  <w:num w:numId="15">
    <w:abstractNumId w:val="36"/>
  </w:num>
  <w:num w:numId="16">
    <w:abstractNumId w:val="23"/>
  </w:num>
  <w:num w:numId="17">
    <w:abstractNumId w:val="57"/>
  </w:num>
  <w:num w:numId="18">
    <w:abstractNumId w:val="49"/>
  </w:num>
  <w:num w:numId="19">
    <w:abstractNumId w:val="16"/>
  </w:num>
  <w:num w:numId="20">
    <w:abstractNumId w:val="31"/>
  </w:num>
  <w:num w:numId="21">
    <w:abstractNumId w:val="11"/>
  </w:num>
  <w:num w:numId="22">
    <w:abstractNumId w:val="28"/>
  </w:num>
  <w:num w:numId="23">
    <w:abstractNumId w:val="9"/>
  </w:num>
  <w:num w:numId="24">
    <w:abstractNumId w:val="50"/>
  </w:num>
  <w:num w:numId="25">
    <w:abstractNumId w:val="2"/>
  </w:num>
  <w:num w:numId="26">
    <w:abstractNumId w:val="27"/>
  </w:num>
  <w:num w:numId="27">
    <w:abstractNumId w:val="52"/>
  </w:num>
  <w:num w:numId="28">
    <w:abstractNumId w:val="8"/>
  </w:num>
  <w:num w:numId="29">
    <w:abstractNumId w:val="54"/>
  </w:num>
  <w:num w:numId="30">
    <w:abstractNumId w:val="3"/>
  </w:num>
  <w:num w:numId="31">
    <w:abstractNumId w:val="44"/>
  </w:num>
  <w:num w:numId="32">
    <w:abstractNumId w:val="51"/>
  </w:num>
  <w:num w:numId="33">
    <w:abstractNumId w:val="26"/>
  </w:num>
  <w:num w:numId="34">
    <w:abstractNumId w:val="22"/>
  </w:num>
  <w:num w:numId="35">
    <w:abstractNumId w:val="32"/>
  </w:num>
  <w:num w:numId="36">
    <w:abstractNumId w:val="7"/>
  </w:num>
  <w:num w:numId="37">
    <w:abstractNumId w:val="39"/>
  </w:num>
  <w:num w:numId="38">
    <w:abstractNumId w:val="47"/>
  </w:num>
  <w:num w:numId="39">
    <w:abstractNumId w:val="6"/>
  </w:num>
  <w:num w:numId="40">
    <w:abstractNumId w:val="29"/>
  </w:num>
  <w:num w:numId="41">
    <w:abstractNumId w:val="14"/>
  </w:num>
  <w:num w:numId="42">
    <w:abstractNumId w:val="12"/>
  </w:num>
  <w:num w:numId="43">
    <w:abstractNumId w:val="38"/>
  </w:num>
  <w:num w:numId="44">
    <w:abstractNumId w:val="42"/>
  </w:num>
  <w:num w:numId="45">
    <w:abstractNumId w:val="1"/>
  </w:num>
  <w:num w:numId="46">
    <w:abstractNumId w:val="24"/>
  </w:num>
  <w:num w:numId="47">
    <w:abstractNumId w:val="34"/>
  </w:num>
  <w:num w:numId="48">
    <w:abstractNumId w:val="15"/>
  </w:num>
  <w:num w:numId="49">
    <w:abstractNumId w:val="5"/>
  </w:num>
  <w:num w:numId="50">
    <w:abstractNumId w:val="55"/>
  </w:num>
  <w:num w:numId="51">
    <w:abstractNumId w:val="53"/>
  </w:num>
  <w:num w:numId="52">
    <w:abstractNumId w:val="10"/>
  </w:num>
  <w:num w:numId="53">
    <w:abstractNumId w:val="4"/>
  </w:num>
  <w:num w:numId="54">
    <w:abstractNumId w:val="45"/>
  </w:num>
  <w:num w:numId="55">
    <w:abstractNumId w:val="17"/>
  </w:num>
  <w:num w:numId="56">
    <w:abstractNumId w:val="33"/>
  </w:num>
  <w:num w:numId="57">
    <w:abstractNumId w:val="35"/>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s-CL"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NTc1MDE1NDK0sDBR0lEKTi0uzszPAykwtqgFAOcQGtUtAAAA"/>
  </w:docVars>
  <w:rsids>
    <w:rsidRoot w:val="00914693"/>
    <w:rsid w:val="00000C8A"/>
    <w:rsid w:val="00001016"/>
    <w:rsid w:val="00001048"/>
    <w:rsid w:val="00004008"/>
    <w:rsid w:val="00004AFC"/>
    <w:rsid w:val="00004D3F"/>
    <w:rsid w:val="0000659F"/>
    <w:rsid w:val="000109B7"/>
    <w:rsid w:val="000119AA"/>
    <w:rsid w:val="00014DDD"/>
    <w:rsid w:val="00014E2A"/>
    <w:rsid w:val="00015AC1"/>
    <w:rsid w:val="0002034A"/>
    <w:rsid w:val="00021BBD"/>
    <w:rsid w:val="00023D98"/>
    <w:rsid w:val="0002503A"/>
    <w:rsid w:val="0002605D"/>
    <w:rsid w:val="000267A6"/>
    <w:rsid w:val="000306AF"/>
    <w:rsid w:val="00030B33"/>
    <w:rsid w:val="00034CA3"/>
    <w:rsid w:val="000350DE"/>
    <w:rsid w:val="00035EAE"/>
    <w:rsid w:val="00037C60"/>
    <w:rsid w:val="00040551"/>
    <w:rsid w:val="00043AC2"/>
    <w:rsid w:val="000441DC"/>
    <w:rsid w:val="00044337"/>
    <w:rsid w:val="00044395"/>
    <w:rsid w:val="00045E3D"/>
    <w:rsid w:val="00046295"/>
    <w:rsid w:val="000505A7"/>
    <w:rsid w:val="00051722"/>
    <w:rsid w:val="000519A7"/>
    <w:rsid w:val="00051D5D"/>
    <w:rsid w:val="00052C66"/>
    <w:rsid w:val="00052E3C"/>
    <w:rsid w:val="000543B1"/>
    <w:rsid w:val="000564E7"/>
    <w:rsid w:val="00056FB1"/>
    <w:rsid w:val="00060B3D"/>
    <w:rsid w:val="000631B2"/>
    <w:rsid w:val="00064C6F"/>
    <w:rsid w:val="00065A93"/>
    <w:rsid w:val="00070985"/>
    <w:rsid w:val="00070FBD"/>
    <w:rsid w:val="00073E62"/>
    <w:rsid w:val="000750B1"/>
    <w:rsid w:val="00075F7E"/>
    <w:rsid w:val="00081FAA"/>
    <w:rsid w:val="00083685"/>
    <w:rsid w:val="000850F9"/>
    <w:rsid w:val="00087769"/>
    <w:rsid w:val="000900AD"/>
    <w:rsid w:val="00090D5C"/>
    <w:rsid w:val="00091533"/>
    <w:rsid w:val="000940B6"/>
    <w:rsid w:val="00094206"/>
    <w:rsid w:val="00097417"/>
    <w:rsid w:val="00097E3E"/>
    <w:rsid w:val="000A2AF3"/>
    <w:rsid w:val="000A5690"/>
    <w:rsid w:val="000A5873"/>
    <w:rsid w:val="000A7105"/>
    <w:rsid w:val="000A7AED"/>
    <w:rsid w:val="000B093F"/>
    <w:rsid w:val="000B4295"/>
    <w:rsid w:val="000B474B"/>
    <w:rsid w:val="000B56D9"/>
    <w:rsid w:val="000B5867"/>
    <w:rsid w:val="000C06C2"/>
    <w:rsid w:val="000C0AD2"/>
    <w:rsid w:val="000C1B07"/>
    <w:rsid w:val="000C1E4F"/>
    <w:rsid w:val="000C5289"/>
    <w:rsid w:val="000C5548"/>
    <w:rsid w:val="000C64A7"/>
    <w:rsid w:val="000C7036"/>
    <w:rsid w:val="000D45A8"/>
    <w:rsid w:val="000D494C"/>
    <w:rsid w:val="000D4963"/>
    <w:rsid w:val="000D4FD3"/>
    <w:rsid w:val="000D52B6"/>
    <w:rsid w:val="000D62F2"/>
    <w:rsid w:val="000E1B48"/>
    <w:rsid w:val="000E30D6"/>
    <w:rsid w:val="000E3E10"/>
    <w:rsid w:val="000E51E9"/>
    <w:rsid w:val="000E6FFE"/>
    <w:rsid w:val="000F0533"/>
    <w:rsid w:val="000F164C"/>
    <w:rsid w:val="000F1B54"/>
    <w:rsid w:val="000F231E"/>
    <w:rsid w:val="000F523F"/>
    <w:rsid w:val="000F529D"/>
    <w:rsid w:val="000F5584"/>
    <w:rsid w:val="000F69A7"/>
    <w:rsid w:val="000F6F6C"/>
    <w:rsid w:val="0010153A"/>
    <w:rsid w:val="00103ADC"/>
    <w:rsid w:val="00104F1C"/>
    <w:rsid w:val="00107688"/>
    <w:rsid w:val="00107ACC"/>
    <w:rsid w:val="001115BF"/>
    <w:rsid w:val="00112F45"/>
    <w:rsid w:val="001137AD"/>
    <w:rsid w:val="0011387B"/>
    <w:rsid w:val="00113B65"/>
    <w:rsid w:val="00114CE2"/>
    <w:rsid w:val="00117705"/>
    <w:rsid w:val="00120881"/>
    <w:rsid w:val="00120BB0"/>
    <w:rsid w:val="00124189"/>
    <w:rsid w:val="001246BA"/>
    <w:rsid w:val="00126514"/>
    <w:rsid w:val="00127308"/>
    <w:rsid w:val="0013051E"/>
    <w:rsid w:val="00130EB6"/>
    <w:rsid w:val="001377FF"/>
    <w:rsid w:val="00137B09"/>
    <w:rsid w:val="00141BB1"/>
    <w:rsid w:val="00141E01"/>
    <w:rsid w:val="00143F2C"/>
    <w:rsid w:val="00144C0D"/>
    <w:rsid w:val="00145730"/>
    <w:rsid w:val="00147D83"/>
    <w:rsid w:val="001504FE"/>
    <w:rsid w:val="0015149C"/>
    <w:rsid w:val="00151D73"/>
    <w:rsid w:val="00153A30"/>
    <w:rsid w:val="00153BA4"/>
    <w:rsid w:val="00154E55"/>
    <w:rsid w:val="00161B1A"/>
    <w:rsid w:val="00162A59"/>
    <w:rsid w:val="00163A78"/>
    <w:rsid w:val="00164682"/>
    <w:rsid w:val="0016476B"/>
    <w:rsid w:val="00165F7D"/>
    <w:rsid w:val="0016643F"/>
    <w:rsid w:val="00166449"/>
    <w:rsid w:val="0016680E"/>
    <w:rsid w:val="001669C3"/>
    <w:rsid w:val="00166D71"/>
    <w:rsid w:val="00167801"/>
    <w:rsid w:val="00167EAB"/>
    <w:rsid w:val="00171E41"/>
    <w:rsid w:val="00173E25"/>
    <w:rsid w:val="00175EB0"/>
    <w:rsid w:val="001763B0"/>
    <w:rsid w:val="00181897"/>
    <w:rsid w:val="00181E96"/>
    <w:rsid w:val="00184A35"/>
    <w:rsid w:val="001867DC"/>
    <w:rsid w:val="00187792"/>
    <w:rsid w:val="00187A24"/>
    <w:rsid w:val="00187C2A"/>
    <w:rsid w:val="00190215"/>
    <w:rsid w:val="001920F4"/>
    <w:rsid w:val="0019252A"/>
    <w:rsid w:val="00194389"/>
    <w:rsid w:val="001946A9"/>
    <w:rsid w:val="0019679A"/>
    <w:rsid w:val="00197BE8"/>
    <w:rsid w:val="001A021F"/>
    <w:rsid w:val="001A0321"/>
    <w:rsid w:val="001A08D2"/>
    <w:rsid w:val="001A44D2"/>
    <w:rsid w:val="001A7BAB"/>
    <w:rsid w:val="001A7DB7"/>
    <w:rsid w:val="001B0223"/>
    <w:rsid w:val="001B069A"/>
    <w:rsid w:val="001B0945"/>
    <w:rsid w:val="001B0C44"/>
    <w:rsid w:val="001B4911"/>
    <w:rsid w:val="001B5698"/>
    <w:rsid w:val="001B650D"/>
    <w:rsid w:val="001B6E81"/>
    <w:rsid w:val="001B7E3A"/>
    <w:rsid w:val="001C0151"/>
    <w:rsid w:val="001C0A66"/>
    <w:rsid w:val="001C23DB"/>
    <w:rsid w:val="001C3281"/>
    <w:rsid w:val="001C7639"/>
    <w:rsid w:val="001D00A5"/>
    <w:rsid w:val="001D0B33"/>
    <w:rsid w:val="001D5043"/>
    <w:rsid w:val="001D6DF5"/>
    <w:rsid w:val="001E0496"/>
    <w:rsid w:val="001E1087"/>
    <w:rsid w:val="001E241B"/>
    <w:rsid w:val="001E2EE6"/>
    <w:rsid w:val="001E3E2D"/>
    <w:rsid w:val="001F0189"/>
    <w:rsid w:val="001F1550"/>
    <w:rsid w:val="001F4114"/>
    <w:rsid w:val="001F4806"/>
    <w:rsid w:val="001F5431"/>
    <w:rsid w:val="001F6B56"/>
    <w:rsid w:val="001F6C44"/>
    <w:rsid w:val="001F7E57"/>
    <w:rsid w:val="001F7FEE"/>
    <w:rsid w:val="00200F70"/>
    <w:rsid w:val="00200FC0"/>
    <w:rsid w:val="00201155"/>
    <w:rsid w:val="00201AB3"/>
    <w:rsid w:val="002024C6"/>
    <w:rsid w:val="00204D8A"/>
    <w:rsid w:val="00204D9B"/>
    <w:rsid w:val="00205898"/>
    <w:rsid w:val="0021108B"/>
    <w:rsid w:val="00211BBC"/>
    <w:rsid w:val="002123AD"/>
    <w:rsid w:val="002144DA"/>
    <w:rsid w:val="00215EA3"/>
    <w:rsid w:val="00216250"/>
    <w:rsid w:val="00217751"/>
    <w:rsid w:val="00221EE5"/>
    <w:rsid w:val="00223532"/>
    <w:rsid w:val="002239B1"/>
    <w:rsid w:val="00223C51"/>
    <w:rsid w:val="00224692"/>
    <w:rsid w:val="00225276"/>
    <w:rsid w:val="002265FB"/>
    <w:rsid w:val="00231F8C"/>
    <w:rsid w:val="0023357F"/>
    <w:rsid w:val="00234F61"/>
    <w:rsid w:val="00236A10"/>
    <w:rsid w:val="00236C6A"/>
    <w:rsid w:val="002406E2"/>
    <w:rsid w:val="002408FA"/>
    <w:rsid w:val="002414C8"/>
    <w:rsid w:val="00241C0D"/>
    <w:rsid w:val="002424E7"/>
    <w:rsid w:val="00243B54"/>
    <w:rsid w:val="00244102"/>
    <w:rsid w:val="00244B5B"/>
    <w:rsid w:val="002462A2"/>
    <w:rsid w:val="002467E5"/>
    <w:rsid w:val="00252BAB"/>
    <w:rsid w:val="00254CA3"/>
    <w:rsid w:val="00254E80"/>
    <w:rsid w:val="00254EF1"/>
    <w:rsid w:val="002576D9"/>
    <w:rsid w:val="00260F7F"/>
    <w:rsid w:val="002618E8"/>
    <w:rsid w:val="00261C79"/>
    <w:rsid w:val="0026280D"/>
    <w:rsid w:val="0026306B"/>
    <w:rsid w:val="0026318C"/>
    <w:rsid w:val="0026507D"/>
    <w:rsid w:val="00265591"/>
    <w:rsid w:val="0026600E"/>
    <w:rsid w:val="002674F7"/>
    <w:rsid w:val="00270196"/>
    <w:rsid w:val="00272070"/>
    <w:rsid w:val="0027214C"/>
    <w:rsid w:val="002721D9"/>
    <w:rsid w:val="002730AF"/>
    <w:rsid w:val="0027376D"/>
    <w:rsid w:val="002752F3"/>
    <w:rsid w:val="00276838"/>
    <w:rsid w:val="00276DB3"/>
    <w:rsid w:val="00277522"/>
    <w:rsid w:val="00277A3C"/>
    <w:rsid w:val="00277E8C"/>
    <w:rsid w:val="00280AB2"/>
    <w:rsid w:val="0028128F"/>
    <w:rsid w:val="00282330"/>
    <w:rsid w:val="002842C4"/>
    <w:rsid w:val="00285FDF"/>
    <w:rsid w:val="00286322"/>
    <w:rsid w:val="002864A6"/>
    <w:rsid w:val="002878BA"/>
    <w:rsid w:val="002878EB"/>
    <w:rsid w:val="00291B8F"/>
    <w:rsid w:val="00291E6C"/>
    <w:rsid w:val="0029277D"/>
    <w:rsid w:val="0029301D"/>
    <w:rsid w:val="0029378B"/>
    <w:rsid w:val="0029427B"/>
    <w:rsid w:val="00294720"/>
    <w:rsid w:val="0029537A"/>
    <w:rsid w:val="00297865"/>
    <w:rsid w:val="002A04F4"/>
    <w:rsid w:val="002A08DD"/>
    <w:rsid w:val="002A2792"/>
    <w:rsid w:val="002A51D3"/>
    <w:rsid w:val="002A6FB7"/>
    <w:rsid w:val="002B05DD"/>
    <w:rsid w:val="002B26B4"/>
    <w:rsid w:val="002B5124"/>
    <w:rsid w:val="002B6184"/>
    <w:rsid w:val="002B6587"/>
    <w:rsid w:val="002B6A74"/>
    <w:rsid w:val="002B7811"/>
    <w:rsid w:val="002B7E26"/>
    <w:rsid w:val="002B7EB8"/>
    <w:rsid w:val="002B7EF0"/>
    <w:rsid w:val="002B7F5D"/>
    <w:rsid w:val="002C3F26"/>
    <w:rsid w:val="002C5848"/>
    <w:rsid w:val="002C5DB1"/>
    <w:rsid w:val="002C79F3"/>
    <w:rsid w:val="002C7C2A"/>
    <w:rsid w:val="002D0F39"/>
    <w:rsid w:val="002D32D8"/>
    <w:rsid w:val="002D4363"/>
    <w:rsid w:val="002D6082"/>
    <w:rsid w:val="002D65A3"/>
    <w:rsid w:val="002D6DFB"/>
    <w:rsid w:val="002D6EC6"/>
    <w:rsid w:val="002E00BB"/>
    <w:rsid w:val="002E13A2"/>
    <w:rsid w:val="002E3BD5"/>
    <w:rsid w:val="002E3BE5"/>
    <w:rsid w:val="002E4A1B"/>
    <w:rsid w:val="002E5F84"/>
    <w:rsid w:val="002E61B9"/>
    <w:rsid w:val="002E71DA"/>
    <w:rsid w:val="002E7AEB"/>
    <w:rsid w:val="002F1C7A"/>
    <w:rsid w:val="002F2B7B"/>
    <w:rsid w:val="002F3C63"/>
    <w:rsid w:val="002F466B"/>
    <w:rsid w:val="002F5D00"/>
    <w:rsid w:val="002F7344"/>
    <w:rsid w:val="002F7DE9"/>
    <w:rsid w:val="00300B79"/>
    <w:rsid w:val="00301512"/>
    <w:rsid w:val="00301563"/>
    <w:rsid w:val="00301DF6"/>
    <w:rsid w:val="003054FA"/>
    <w:rsid w:val="003055F0"/>
    <w:rsid w:val="00305692"/>
    <w:rsid w:val="003056B7"/>
    <w:rsid w:val="00310366"/>
    <w:rsid w:val="0031258D"/>
    <w:rsid w:val="00312FA1"/>
    <w:rsid w:val="00313101"/>
    <w:rsid w:val="003138E8"/>
    <w:rsid w:val="00314F9F"/>
    <w:rsid w:val="003154FD"/>
    <w:rsid w:val="0031743E"/>
    <w:rsid w:val="0032006F"/>
    <w:rsid w:val="00321F4F"/>
    <w:rsid w:val="003228DF"/>
    <w:rsid w:val="0032653E"/>
    <w:rsid w:val="00326DFF"/>
    <w:rsid w:val="003302D1"/>
    <w:rsid w:val="0033039D"/>
    <w:rsid w:val="0033201D"/>
    <w:rsid w:val="003324D3"/>
    <w:rsid w:val="00334AFE"/>
    <w:rsid w:val="003359ED"/>
    <w:rsid w:val="0033626E"/>
    <w:rsid w:val="00336E26"/>
    <w:rsid w:val="00337D11"/>
    <w:rsid w:val="00340363"/>
    <w:rsid w:val="0034037E"/>
    <w:rsid w:val="00340986"/>
    <w:rsid w:val="00343345"/>
    <w:rsid w:val="00343459"/>
    <w:rsid w:val="003445F1"/>
    <w:rsid w:val="00344A8D"/>
    <w:rsid w:val="0034575E"/>
    <w:rsid w:val="003462F3"/>
    <w:rsid w:val="003504FB"/>
    <w:rsid w:val="00351DF8"/>
    <w:rsid w:val="003531CC"/>
    <w:rsid w:val="00362010"/>
    <w:rsid w:val="00371E44"/>
    <w:rsid w:val="00372FCC"/>
    <w:rsid w:val="00374F34"/>
    <w:rsid w:val="003804F8"/>
    <w:rsid w:val="00380BAB"/>
    <w:rsid w:val="00382F58"/>
    <w:rsid w:val="003834C9"/>
    <w:rsid w:val="003851F4"/>
    <w:rsid w:val="00385B73"/>
    <w:rsid w:val="00386B46"/>
    <w:rsid w:val="00386E09"/>
    <w:rsid w:val="00387776"/>
    <w:rsid w:val="003942E1"/>
    <w:rsid w:val="00394F28"/>
    <w:rsid w:val="003958A2"/>
    <w:rsid w:val="00396069"/>
    <w:rsid w:val="003965C8"/>
    <w:rsid w:val="00396A5E"/>
    <w:rsid w:val="00397BC5"/>
    <w:rsid w:val="003A014C"/>
    <w:rsid w:val="003A25D5"/>
    <w:rsid w:val="003A3274"/>
    <w:rsid w:val="003A4001"/>
    <w:rsid w:val="003A6007"/>
    <w:rsid w:val="003B04BD"/>
    <w:rsid w:val="003B30FD"/>
    <w:rsid w:val="003B3803"/>
    <w:rsid w:val="003B511A"/>
    <w:rsid w:val="003B6A39"/>
    <w:rsid w:val="003C2BB8"/>
    <w:rsid w:val="003C74D9"/>
    <w:rsid w:val="003C75F1"/>
    <w:rsid w:val="003C77C0"/>
    <w:rsid w:val="003D17AC"/>
    <w:rsid w:val="003D26F2"/>
    <w:rsid w:val="003D285A"/>
    <w:rsid w:val="003D3068"/>
    <w:rsid w:val="003D35AA"/>
    <w:rsid w:val="003D47F4"/>
    <w:rsid w:val="003D5C0A"/>
    <w:rsid w:val="003D73BF"/>
    <w:rsid w:val="003D7696"/>
    <w:rsid w:val="003E3F26"/>
    <w:rsid w:val="003E54AF"/>
    <w:rsid w:val="003E5AC6"/>
    <w:rsid w:val="003F0A61"/>
    <w:rsid w:val="003F28A7"/>
    <w:rsid w:val="003F4613"/>
    <w:rsid w:val="003F4708"/>
    <w:rsid w:val="003F50ED"/>
    <w:rsid w:val="003F5FF8"/>
    <w:rsid w:val="003F6993"/>
    <w:rsid w:val="00400433"/>
    <w:rsid w:val="00401A88"/>
    <w:rsid w:val="00402259"/>
    <w:rsid w:val="00404076"/>
    <w:rsid w:val="00406070"/>
    <w:rsid w:val="00406B94"/>
    <w:rsid w:val="00407935"/>
    <w:rsid w:val="00407E53"/>
    <w:rsid w:val="00410063"/>
    <w:rsid w:val="00410C0E"/>
    <w:rsid w:val="004110B1"/>
    <w:rsid w:val="00412F54"/>
    <w:rsid w:val="00413263"/>
    <w:rsid w:val="004150B2"/>
    <w:rsid w:val="00415273"/>
    <w:rsid w:val="00415AB6"/>
    <w:rsid w:val="00416115"/>
    <w:rsid w:val="00420252"/>
    <w:rsid w:val="004214C7"/>
    <w:rsid w:val="004241A9"/>
    <w:rsid w:val="00426408"/>
    <w:rsid w:val="00430300"/>
    <w:rsid w:val="004335F8"/>
    <w:rsid w:val="004338C5"/>
    <w:rsid w:val="00437387"/>
    <w:rsid w:val="00437853"/>
    <w:rsid w:val="00437FEA"/>
    <w:rsid w:val="004425E2"/>
    <w:rsid w:val="00442F26"/>
    <w:rsid w:val="004445FB"/>
    <w:rsid w:val="004452D1"/>
    <w:rsid w:val="00445A9D"/>
    <w:rsid w:val="00445AEA"/>
    <w:rsid w:val="00446952"/>
    <w:rsid w:val="0044761E"/>
    <w:rsid w:val="00447AF0"/>
    <w:rsid w:val="004534A1"/>
    <w:rsid w:val="00453AF3"/>
    <w:rsid w:val="00454203"/>
    <w:rsid w:val="00456D25"/>
    <w:rsid w:val="004612CB"/>
    <w:rsid w:val="00461434"/>
    <w:rsid w:val="00463C24"/>
    <w:rsid w:val="004648A7"/>
    <w:rsid w:val="004651F3"/>
    <w:rsid w:val="004700DB"/>
    <w:rsid w:val="004710DD"/>
    <w:rsid w:val="00471963"/>
    <w:rsid w:val="00472E4F"/>
    <w:rsid w:val="00474681"/>
    <w:rsid w:val="00482004"/>
    <w:rsid w:val="00482F76"/>
    <w:rsid w:val="00483777"/>
    <w:rsid w:val="00483B5B"/>
    <w:rsid w:val="00484138"/>
    <w:rsid w:val="00485D24"/>
    <w:rsid w:val="004871CB"/>
    <w:rsid w:val="004878EB"/>
    <w:rsid w:val="00494559"/>
    <w:rsid w:val="0049528E"/>
    <w:rsid w:val="00496428"/>
    <w:rsid w:val="00496DFC"/>
    <w:rsid w:val="004972CF"/>
    <w:rsid w:val="00497501"/>
    <w:rsid w:val="00497B21"/>
    <w:rsid w:val="00497B53"/>
    <w:rsid w:val="00497CEA"/>
    <w:rsid w:val="004A00B6"/>
    <w:rsid w:val="004A0580"/>
    <w:rsid w:val="004A2BE1"/>
    <w:rsid w:val="004A3702"/>
    <w:rsid w:val="004A54CE"/>
    <w:rsid w:val="004A6EFD"/>
    <w:rsid w:val="004B061D"/>
    <w:rsid w:val="004B11E5"/>
    <w:rsid w:val="004B1CC2"/>
    <w:rsid w:val="004B3A1B"/>
    <w:rsid w:val="004C01C7"/>
    <w:rsid w:val="004C027F"/>
    <w:rsid w:val="004C05C6"/>
    <w:rsid w:val="004C0E13"/>
    <w:rsid w:val="004C3529"/>
    <w:rsid w:val="004C376D"/>
    <w:rsid w:val="004C47A9"/>
    <w:rsid w:val="004C75A7"/>
    <w:rsid w:val="004D02EF"/>
    <w:rsid w:val="004D040E"/>
    <w:rsid w:val="004D5DF9"/>
    <w:rsid w:val="004E020E"/>
    <w:rsid w:val="004E06EB"/>
    <w:rsid w:val="004E0A7A"/>
    <w:rsid w:val="004E2066"/>
    <w:rsid w:val="004E52A4"/>
    <w:rsid w:val="004E55E2"/>
    <w:rsid w:val="004F001B"/>
    <w:rsid w:val="004F3867"/>
    <w:rsid w:val="004F40F2"/>
    <w:rsid w:val="004F4F7E"/>
    <w:rsid w:val="004F5068"/>
    <w:rsid w:val="004F6909"/>
    <w:rsid w:val="004F78F3"/>
    <w:rsid w:val="00501D0D"/>
    <w:rsid w:val="00503211"/>
    <w:rsid w:val="00503290"/>
    <w:rsid w:val="00503AAF"/>
    <w:rsid w:val="00504125"/>
    <w:rsid w:val="00504139"/>
    <w:rsid w:val="005051E3"/>
    <w:rsid w:val="00505812"/>
    <w:rsid w:val="0050647E"/>
    <w:rsid w:val="00507086"/>
    <w:rsid w:val="00511F0D"/>
    <w:rsid w:val="005135A3"/>
    <w:rsid w:val="00514B68"/>
    <w:rsid w:val="00516530"/>
    <w:rsid w:val="00520387"/>
    <w:rsid w:val="005219AE"/>
    <w:rsid w:val="005229D8"/>
    <w:rsid w:val="00522BBC"/>
    <w:rsid w:val="00525D26"/>
    <w:rsid w:val="00526239"/>
    <w:rsid w:val="00527019"/>
    <w:rsid w:val="00527887"/>
    <w:rsid w:val="00527A5F"/>
    <w:rsid w:val="005304D3"/>
    <w:rsid w:val="005333A5"/>
    <w:rsid w:val="0053397D"/>
    <w:rsid w:val="00534297"/>
    <w:rsid w:val="005355EE"/>
    <w:rsid w:val="005364C7"/>
    <w:rsid w:val="00536DAC"/>
    <w:rsid w:val="0054092B"/>
    <w:rsid w:val="00542497"/>
    <w:rsid w:val="005435E9"/>
    <w:rsid w:val="0054394C"/>
    <w:rsid w:val="005448FC"/>
    <w:rsid w:val="00545296"/>
    <w:rsid w:val="0054790A"/>
    <w:rsid w:val="00550CAD"/>
    <w:rsid w:val="00551DE9"/>
    <w:rsid w:val="00552AAA"/>
    <w:rsid w:val="00553369"/>
    <w:rsid w:val="00553F8E"/>
    <w:rsid w:val="00555205"/>
    <w:rsid w:val="00555884"/>
    <w:rsid w:val="00555F3B"/>
    <w:rsid w:val="00557B81"/>
    <w:rsid w:val="00560511"/>
    <w:rsid w:val="00560549"/>
    <w:rsid w:val="00560D56"/>
    <w:rsid w:val="005665F8"/>
    <w:rsid w:val="00566AEF"/>
    <w:rsid w:val="00566CB2"/>
    <w:rsid w:val="0056736F"/>
    <w:rsid w:val="00567B8E"/>
    <w:rsid w:val="005719AF"/>
    <w:rsid w:val="00572A3D"/>
    <w:rsid w:val="00572E61"/>
    <w:rsid w:val="005730D9"/>
    <w:rsid w:val="00574BEC"/>
    <w:rsid w:val="00574ED1"/>
    <w:rsid w:val="00576A4F"/>
    <w:rsid w:val="00577CAB"/>
    <w:rsid w:val="005803EF"/>
    <w:rsid w:val="005814B3"/>
    <w:rsid w:val="00581DD7"/>
    <w:rsid w:val="00582A2D"/>
    <w:rsid w:val="00583ADF"/>
    <w:rsid w:val="00583D76"/>
    <w:rsid w:val="005854D8"/>
    <w:rsid w:val="0058559B"/>
    <w:rsid w:val="00585CA4"/>
    <w:rsid w:val="005A5AE5"/>
    <w:rsid w:val="005A65C7"/>
    <w:rsid w:val="005A7A8E"/>
    <w:rsid w:val="005B032C"/>
    <w:rsid w:val="005B0933"/>
    <w:rsid w:val="005B0960"/>
    <w:rsid w:val="005B2790"/>
    <w:rsid w:val="005B3183"/>
    <w:rsid w:val="005B5407"/>
    <w:rsid w:val="005B61B7"/>
    <w:rsid w:val="005B6A63"/>
    <w:rsid w:val="005C1C76"/>
    <w:rsid w:val="005C1FD1"/>
    <w:rsid w:val="005C324A"/>
    <w:rsid w:val="005C414A"/>
    <w:rsid w:val="005C5531"/>
    <w:rsid w:val="005C5711"/>
    <w:rsid w:val="005C5F3C"/>
    <w:rsid w:val="005C6860"/>
    <w:rsid w:val="005C71B4"/>
    <w:rsid w:val="005D08BC"/>
    <w:rsid w:val="005D17C8"/>
    <w:rsid w:val="005D6CAF"/>
    <w:rsid w:val="005D7357"/>
    <w:rsid w:val="005D7AA8"/>
    <w:rsid w:val="005D7D57"/>
    <w:rsid w:val="005E0A49"/>
    <w:rsid w:val="005E0DD6"/>
    <w:rsid w:val="005E1C0C"/>
    <w:rsid w:val="005E33CE"/>
    <w:rsid w:val="005E3C1F"/>
    <w:rsid w:val="005E4627"/>
    <w:rsid w:val="005E7637"/>
    <w:rsid w:val="005E79F6"/>
    <w:rsid w:val="005F10B8"/>
    <w:rsid w:val="005F23F2"/>
    <w:rsid w:val="005F3CE8"/>
    <w:rsid w:val="005F4669"/>
    <w:rsid w:val="005F581C"/>
    <w:rsid w:val="005F6285"/>
    <w:rsid w:val="00602228"/>
    <w:rsid w:val="0060290E"/>
    <w:rsid w:val="00602C13"/>
    <w:rsid w:val="006030E0"/>
    <w:rsid w:val="0060444F"/>
    <w:rsid w:val="00605032"/>
    <w:rsid w:val="00605497"/>
    <w:rsid w:val="00605B83"/>
    <w:rsid w:val="00605EB4"/>
    <w:rsid w:val="006063F5"/>
    <w:rsid w:val="00607AC8"/>
    <w:rsid w:val="00607E5D"/>
    <w:rsid w:val="00615BC6"/>
    <w:rsid w:val="00616C77"/>
    <w:rsid w:val="006171FF"/>
    <w:rsid w:val="00617A45"/>
    <w:rsid w:val="00620958"/>
    <w:rsid w:val="00621F3C"/>
    <w:rsid w:val="00622F51"/>
    <w:rsid w:val="00623652"/>
    <w:rsid w:val="00623B75"/>
    <w:rsid w:val="00623DE8"/>
    <w:rsid w:val="006251C1"/>
    <w:rsid w:val="0062551E"/>
    <w:rsid w:val="00625CDC"/>
    <w:rsid w:val="006263C6"/>
    <w:rsid w:val="006268D0"/>
    <w:rsid w:val="00626E52"/>
    <w:rsid w:val="00627638"/>
    <w:rsid w:val="00630203"/>
    <w:rsid w:val="0063085F"/>
    <w:rsid w:val="006308BC"/>
    <w:rsid w:val="0063252D"/>
    <w:rsid w:val="00633805"/>
    <w:rsid w:val="0063415B"/>
    <w:rsid w:val="00634AAF"/>
    <w:rsid w:val="00634FB6"/>
    <w:rsid w:val="006378ED"/>
    <w:rsid w:val="00641693"/>
    <w:rsid w:val="0064226B"/>
    <w:rsid w:val="00643F95"/>
    <w:rsid w:val="0064479F"/>
    <w:rsid w:val="006454C6"/>
    <w:rsid w:val="00647DA1"/>
    <w:rsid w:val="006503E5"/>
    <w:rsid w:val="00650475"/>
    <w:rsid w:val="006517CA"/>
    <w:rsid w:val="00652970"/>
    <w:rsid w:val="006535B0"/>
    <w:rsid w:val="00656B82"/>
    <w:rsid w:val="00661BA7"/>
    <w:rsid w:val="0066384D"/>
    <w:rsid w:val="00664373"/>
    <w:rsid w:val="00667376"/>
    <w:rsid w:val="00671377"/>
    <w:rsid w:val="00671837"/>
    <w:rsid w:val="00671FE4"/>
    <w:rsid w:val="00673664"/>
    <w:rsid w:val="00675422"/>
    <w:rsid w:val="00677AFE"/>
    <w:rsid w:val="00682802"/>
    <w:rsid w:val="0068427C"/>
    <w:rsid w:val="00686330"/>
    <w:rsid w:val="00686A9A"/>
    <w:rsid w:val="0068765D"/>
    <w:rsid w:val="00691123"/>
    <w:rsid w:val="0069256B"/>
    <w:rsid w:val="006925A6"/>
    <w:rsid w:val="00692833"/>
    <w:rsid w:val="00694774"/>
    <w:rsid w:val="00694E64"/>
    <w:rsid w:val="00695030"/>
    <w:rsid w:val="0069504D"/>
    <w:rsid w:val="00696680"/>
    <w:rsid w:val="00697AF1"/>
    <w:rsid w:val="00697DE3"/>
    <w:rsid w:val="00697FA9"/>
    <w:rsid w:val="006A0FD7"/>
    <w:rsid w:val="006A2642"/>
    <w:rsid w:val="006A43DD"/>
    <w:rsid w:val="006A5653"/>
    <w:rsid w:val="006A59BF"/>
    <w:rsid w:val="006A696E"/>
    <w:rsid w:val="006B0237"/>
    <w:rsid w:val="006B18EE"/>
    <w:rsid w:val="006B338A"/>
    <w:rsid w:val="006B459E"/>
    <w:rsid w:val="006B7DA7"/>
    <w:rsid w:val="006C0430"/>
    <w:rsid w:val="006C19E1"/>
    <w:rsid w:val="006C2B4D"/>
    <w:rsid w:val="006C3BCB"/>
    <w:rsid w:val="006D1CB0"/>
    <w:rsid w:val="006D3730"/>
    <w:rsid w:val="006D6E1D"/>
    <w:rsid w:val="006D7932"/>
    <w:rsid w:val="006E0733"/>
    <w:rsid w:val="006E303D"/>
    <w:rsid w:val="006E60A3"/>
    <w:rsid w:val="006E710E"/>
    <w:rsid w:val="006F04B1"/>
    <w:rsid w:val="006F1665"/>
    <w:rsid w:val="006F4292"/>
    <w:rsid w:val="006F5AC4"/>
    <w:rsid w:val="00700FD4"/>
    <w:rsid w:val="00701C35"/>
    <w:rsid w:val="00701D9C"/>
    <w:rsid w:val="007075A4"/>
    <w:rsid w:val="00712801"/>
    <w:rsid w:val="00713D4A"/>
    <w:rsid w:val="007162CE"/>
    <w:rsid w:val="00716AAF"/>
    <w:rsid w:val="00717973"/>
    <w:rsid w:val="00721136"/>
    <w:rsid w:val="00721908"/>
    <w:rsid w:val="00721C80"/>
    <w:rsid w:val="0072450E"/>
    <w:rsid w:val="007250DF"/>
    <w:rsid w:val="00725E2D"/>
    <w:rsid w:val="00726D1C"/>
    <w:rsid w:val="00727607"/>
    <w:rsid w:val="007301AB"/>
    <w:rsid w:val="00731E2C"/>
    <w:rsid w:val="007334BE"/>
    <w:rsid w:val="007337DC"/>
    <w:rsid w:val="007344AB"/>
    <w:rsid w:val="00734D3A"/>
    <w:rsid w:val="00735E20"/>
    <w:rsid w:val="0073750A"/>
    <w:rsid w:val="0074047A"/>
    <w:rsid w:val="0074048D"/>
    <w:rsid w:val="007430A2"/>
    <w:rsid w:val="0074546C"/>
    <w:rsid w:val="00746A20"/>
    <w:rsid w:val="00746D18"/>
    <w:rsid w:val="007505BE"/>
    <w:rsid w:val="00751627"/>
    <w:rsid w:val="00753705"/>
    <w:rsid w:val="00753F81"/>
    <w:rsid w:val="007609A7"/>
    <w:rsid w:val="00762578"/>
    <w:rsid w:val="00762647"/>
    <w:rsid w:val="00762F47"/>
    <w:rsid w:val="00765162"/>
    <w:rsid w:val="00765E83"/>
    <w:rsid w:val="007664F1"/>
    <w:rsid w:val="00766AA8"/>
    <w:rsid w:val="00767300"/>
    <w:rsid w:val="00767F5D"/>
    <w:rsid w:val="00772793"/>
    <w:rsid w:val="0077398A"/>
    <w:rsid w:val="00775B22"/>
    <w:rsid w:val="00780472"/>
    <w:rsid w:val="00781038"/>
    <w:rsid w:val="007834EC"/>
    <w:rsid w:val="00790C3E"/>
    <w:rsid w:val="007928B0"/>
    <w:rsid w:val="00794AFF"/>
    <w:rsid w:val="00795004"/>
    <w:rsid w:val="00795ECD"/>
    <w:rsid w:val="007A1696"/>
    <w:rsid w:val="007A425B"/>
    <w:rsid w:val="007A50CB"/>
    <w:rsid w:val="007A662C"/>
    <w:rsid w:val="007A6DC5"/>
    <w:rsid w:val="007B05CB"/>
    <w:rsid w:val="007B0DEA"/>
    <w:rsid w:val="007B2229"/>
    <w:rsid w:val="007B52C4"/>
    <w:rsid w:val="007B565E"/>
    <w:rsid w:val="007B5D81"/>
    <w:rsid w:val="007B6B09"/>
    <w:rsid w:val="007C04AC"/>
    <w:rsid w:val="007C07F5"/>
    <w:rsid w:val="007C2476"/>
    <w:rsid w:val="007C26F4"/>
    <w:rsid w:val="007C3D52"/>
    <w:rsid w:val="007C440B"/>
    <w:rsid w:val="007C6A00"/>
    <w:rsid w:val="007D0205"/>
    <w:rsid w:val="007D1DE3"/>
    <w:rsid w:val="007D29AE"/>
    <w:rsid w:val="007D3986"/>
    <w:rsid w:val="007D459C"/>
    <w:rsid w:val="007D4B59"/>
    <w:rsid w:val="007D79AF"/>
    <w:rsid w:val="007D7F4E"/>
    <w:rsid w:val="007E0241"/>
    <w:rsid w:val="007E29C4"/>
    <w:rsid w:val="007E393C"/>
    <w:rsid w:val="007E3BA8"/>
    <w:rsid w:val="007E517E"/>
    <w:rsid w:val="007E72B3"/>
    <w:rsid w:val="007F2A12"/>
    <w:rsid w:val="007F33B7"/>
    <w:rsid w:val="007F37D1"/>
    <w:rsid w:val="007F59CD"/>
    <w:rsid w:val="007F6262"/>
    <w:rsid w:val="00800126"/>
    <w:rsid w:val="00804963"/>
    <w:rsid w:val="00805327"/>
    <w:rsid w:val="008057C0"/>
    <w:rsid w:val="00807BF7"/>
    <w:rsid w:val="00810B83"/>
    <w:rsid w:val="00813096"/>
    <w:rsid w:val="0081767B"/>
    <w:rsid w:val="00817E54"/>
    <w:rsid w:val="008210A8"/>
    <w:rsid w:val="00822039"/>
    <w:rsid w:val="008221DF"/>
    <w:rsid w:val="008231BD"/>
    <w:rsid w:val="008242CA"/>
    <w:rsid w:val="00827002"/>
    <w:rsid w:val="00832127"/>
    <w:rsid w:val="008328FD"/>
    <w:rsid w:val="00832F8A"/>
    <w:rsid w:val="00833502"/>
    <w:rsid w:val="00833777"/>
    <w:rsid w:val="00833B39"/>
    <w:rsid w:val="008348B8"/>
    <w:rsid w:val="00834D45"/>
    <w:rsid w:val="0083782A"/>
    <w:rsid w:val="00837C06"/>
    <w:rsid w:val="00837F9C"/>
    <w:rsid w:val="008406AF"/>
    <w:rsid w:val="00840B1E"/>
    <w:rsid w:val="00840C40"/>
    <w:rsid w:val="0084173F"/>
    <w:rsid w:val="008424DF"/>
    <w:rsid w:val="00842A5A"/>
    <w:rsid w:val="008433C8"/>
    <w:rsid w:val="008465AD"/>
    <w:rsid w:val="00850FED"/>
    <w:rsid w:val="008514A5"/>
    <w:rsid w:val="00851CBA"/>
    <w:rsid w:val="008520AB"/>
    <w:rsid w:val="00855066"/>
    <w:rsid w:val="00855655"/>
    <w:rsid w:val="00855755"/>
    <w:rsid w:val="00857FD3"/>
    <w:rsid w:val="008615FA"/>
    <w:rsid w:val="00862538"/>
    <w:rsid w:val="0086385F"/>
    <w:rsid w:val="00863CD1"/>
    <w:rsid w:val="00865CB7"/>
    <w:rsid w:val="0086608E"/>
    <w:rsid w:val="00866F9C"/>
    <w:rsid w:val="0086703E"/>
    <w:rsid w:val="0086752B"/>
    <w:rsid w:val="00867869"/>
    <w:rsid w:val="00867876"/>
    <w:rsid w:val="0087253C"/>
    <w:rsid w:val="00873E05"/>
    <w:rsid w:val="00874F7A"/>
    <w:rsid w:val="008763F7"/>
    <w:rsid w:val="008807EF"/>
    <w:rsid w:val="008838C4"/>
    <w:rsid w:val="008838F0"/>
    <w:rsid w:val="0088414E"/>
    <w:rsid w:val="0088587E"/>
    <w:rsid w:val="0088647B"/>
    <w:rsid w:val="00887C66"/>
    <w:rsid w:val="00890122"/>
    <w:rsid w:val="00890DCA"/>
    <w:rsid w:val="00890E45"/>
    <w:rsid w:val="008918BD"/>
    <w:rsid w:val="00891C53"/>
    <w:rsid w:val="00895CAB"/>
    <w:rsid w:val="00895F98"/>
    <w:rsid w:val="008A1428"/>
    <w:rsid w:val="008A2167"/>
    <w:rsid w:val="008A2A0F"/>
    <w:rsid w:val="008A31DD"/>
    <w:rsid w:val="008A48EC"/>
    <w:rsid w:val="008A5061"/>
    <w:rsid w:val="008A6E46"/>
    <w:rsid w:val="008A79D5"/>
    <w:rsid w:val="008B1B1A"/>
    <w:rsid w:val="008B25B5"/>
    <w:rsid w:val="008B38CA"/>
    <w:rsid w:val="008B4707"/>
    <w:rsid w:val="008B47F0"/>
    <w:rsid w:val="008B4A91"/>
    <w:rsid w:val="008B5455"/>
    <w:rsid w:val="008B55B5"/>
    <w:rsid w:val="008B66EA"/>
    <w:rsid w:val="008B6D6C"/>
    <w:rsid w:val="008B7E12"/>
    <w:rsid w:val="008C058A"/>
    <w:rsid w:val="008C33F8"/>
    <w:rsid w:val="008C663C"/>
    <w:rsid w:val="008C7021"/>
    <w:rsid w:val="008D0BF7"/>
    <w:rsid w:val="008D329E"/>
    <w:rsid w:val="008D344B"/>
    <w:rsid w:val="008D5045"/>
    <w:rsid w:val="008E0281"/>
    <w:rsid w:val="008E0A8A"/>
    <w:rsid w:val="008E4330"/>
    <w:rsid w:val="008E694B"/>
    <w:rsid w:val="008F0198"/>
    <w:rsid w:val="008F191A"/>
    <w:rsid w:val="008F4C0E"/>
    <w:rsid w:val="008F57AA"/>
    <w:rsid w:val="00902A6C"/>
    <w:rsid w:val="0090311B"/>
    <w:rsid w:val="00906623"/>
    <w:rsid w:val="00907E7D"/>
    <w:rsid w:val="00910BD6"/>
    <w:rsid w:val="009129E1"/>
    <w:rsid w:val="00914488"/>
    <w:rsid w:val="00914693"/>
    <w:rsid w:val="009150DC"/>
    <w:rsid w:val="00916A6E"/>
    <w:rsid w:val="00917D17"/>
    <w:rsid w:val="00920DDA"/>
    <w:rsid w:val="00921F61"/>
    <w:rsid w:val="0092288D"/>
    <w:rsid w:val="00922E7C"/>
    <w:rsid w:val="00923232"/>
    <w:rsid w:val="00925C21"/>
    <w:rsid w:val="009267DB"/>
    <w:rsid w:val="00927422"/>
    <w:rsid w:val="00931588"/>
    <w:rsid w:val="00931ECA"/>
    <w:rsid w:val="009321D3"/>
    <w:rsid w:val="00935FA6"/>
    <w:rsid w:val="009423DE"/>
    <w:rsid w:val="0094329B"/>
    <w:rsid w:val="00943F78"/>
    <w:rsid w:val="00944184"/>
    <w:rsid w:val="00947005"/>
    <w:rsid w:val="00947990"/>
    <w:rsid w:val="0095392C"/>
    <w:rsid w:val="009607AD"/>
    <w:rsid w:val="00961062"/>
    <w:rsid w:val="00961EDB"/>
    <w:rsid w:val="009651D5"/>
    <w:rsid w:val="00967731"/>
    <w:rsid w:val="00967F30"/>
    <w:rsid w:val="00971A3F"/>
    <w:rsid w:val="00973191"/>
    <w:rsid w:val="00974929"/>
    <w:rsid w:val="00976231"/>
    <w:rsid w:val="00977EF0"/>
    <w:rsid w:val="009837E4"/>
    <w:rsid w:val="009838B5"/>
    <w:rsid w:val="00986161"/>
    <w:rsid w:val="00987930"/>
    <w:rsid w:val="009928F1"/>
    <w:rsid w:val="00993F37"/>
    <w:rsid w:val="00996D96"/>
    <w:rsid w:val="00996E04"/>
    <w:rsid w:val="009A2786"/>
    <w:rsid w:val="009A2DF7"/>
    <w:rsid w:val="009A330A"/>
    <w:rsid w:val="009A5AAF"/>
    <w:rsid w:val="009B25D3"/>
    <w:rsid w:val="009B328A"/>
    <w:rsid w:val="009B43FA"/>
    <w:rsid w:val="009B4751"/>
    <w:rsid w:val="009B7B9A"/>
    <w:rsid w:val="009C0F20"/>
    <w:rsid w:val="009C1886"/>
    <w:rsid w:val="009C3788"/>
    <w:rsid w:val="009C439C"/>
    <w:rsid w:val="009C5C3C"/>
    <w:rsid w:val="009C6903"/>
    <w:rsid w:val="009C736C"/>
    <w:rsid w:val="009D0619"/>
    <w:rsid w:val="009D0BBC"/>
    <w:rsid w:val="009D48E4"/>
    <w:rsid w:val="009D4E41"/>
    <w:rsid w:val="009D5D22"/>
    <w:rsid w:val="009E1A55"/>
    <w:rsid w:val="009E2CFE"/>
    <w:rsid w:val="009E2F03"/>
    <w:rsid w:val="009E3FDE"/>
    <w:rsid w:val="009E51D2"/>
    <w:rsid w:val="009E6106"/>
    <w:rsid w:val="009E669F"/>
    <w:rsid w:val="009F08BF"/>
    <w:rsid w:val="009F1215"/>
    <w:rsid w:val="009F19E5"/>
    <w:rsid w:val="009F1CD0"/>
    <w:rsid w:val="009F2843"/>
    <w:rsid w:val="009F5218"/>
    <w:rsid w:val="009F5A37"/>
    <w:rsid w:val="009F62C3"/>
    <w:rsid w:val="009F68A6"/>
    <w:rsid w:val="009F6BC5"/>
    <w:rsid w:val="00A000DE"/>
    <w:rsid w:val="00A01715"/>
    <w:rsid w:val="00A03376"/>
    <w:rsid w:val="00A03898"/>
    <w:rsid w:val="00A039B2"/>
    <w:rsid w:val="00A05973"/>
    <w:rsid w:val="00A06ED2"/>
    <w:rsid w:val="00A07D07"/>
    <w:rsid w:val="00A112B1"/>
    <w:rsid w:val="00A12246"/>
    <w:rsid w:val="00A12B15"/>
    <w:rsid w:val="00A13284"/>
    <w:rsid w:val="00A143A1"/>
    <w:rsid w:val="00A1445B"/>
    <w:rsid w:val="00A14C4A"/>
    <w:rsid w:val="00A15909"/>
    <w:rsid w:val="00A16107"/>
    <w:rsid w:val="00A16412"/>
    <w:rsid w:val="00A16455"/>
    <w:rsid w:val="00A20806"/>
    <w:rsid w:val="00A2227C"/>
    <w:rsid w:val="00A25381"/>
    <w:rsid w:val="00A259B9"/>
    <w:rsid w:val="00A260C8"/>
    <w:rsid w:val="00A27B4D"/>
    <w:rsid w:val="00A30205"/>
    <w:rsid w:val="00A30A72"/>
    <w:rsid w:val="00A31EF6"/>
    <w:rsid w:val="00A32FE9"/>
    <w:rsid w:val="00A33192"/>
    <w:rsid w:val="00A36108"/>
    <w:rsid w:val="00A36EAA"/>
    <w:rsid w:val="00A3744D"/>
    <w:rsid w:val="00A4042B"/>
    <w:rsid w:val="00A429AA"/>
    <w:rsid w:val="00A4309A"/>
    <w:rsid w:val="00A44581"/>
    <w:rsid w:val="00A44C5A"/>
    <w:rsid w:val="00A47225"/>
    <w:rsid w:val="00A51EF8"/>
    <w:rsid w:val="00A54640"/>
    <w:rsid w:val="00A563C9"/>
    <w:rsid w:val="00A57996"/>
    <w:rsid w:val="00A57BEF"/>
    <w:rsid w:val="00A57E1B"/>
    <w:rsid w:val="00A60016"/>
    <w:rsid w:val="00A61BAB"/>
    <w:rsid w:val="00A627B8"/>
    <w:rsid w:val="00A658F5"/>
    <w:rsid w:val="00A66218"/>
    <w:rsid w:val="00A67085"/>
    <w:rsid w:val="00A6743B"/>
    <w:rsid w:val="00A67C2E"/>
    <w:rsid w:val="00A717B2"/>
    <w:rsid w:val="00A72980"/>
    <w:rsid w:val="00A7458F"/>
    <w:rsid w:val="00A74AAE"/>
    <w:rsid w:val="00A751F4"/>
    <w:rsid w:val="00A75376"/>
    <w:rsid w:val="00A75476"/>
    <w:rsid w:val="00A778E1"/>
    <w:rsid w:val="00A81609"/>
    <w:rsid w:val="00A833B0"/>
    <w:rsid w:val="00A845F1"/>
    <w:rsid w:val="00A84EF3"/>
    <w:rsid w:val="00A8526C"/>
    <w:rsid w:val="00A86538"/>
    <w:rsid w:val="00A86562"/>
    <w:rsid w:val="00A86BAE"/>
    <w:rsid w:val="00A86E62"/>
    <w:rsid w:val="00A91FA8"/>
    <w:rsid w:val="00A91FDB"/>
    <w:rsid w:val="00A9202D"/>
    <w:rsid w:val="00A92632"/>
    <w:rsid w:val="00A935F9"/>
    <w:rsid w:val="00A942B0"/>
    <w:rsid w:val="00A94DC8"/>
    <w:rsid w:val="00A962EC"/>
    <w:rsid w:val="00A97369"/>
    <w:rsid w:val="00A9751F"/>
    <w:rsid w:val="00AA19D1"/>
    <w:rsid w:val="00AA1FD1"/>
    <w:rsid w:val="00AB18CB"/>
    <w:rsid w:val="00AB1B8C"/>
    <w:rsid w:val="00AB2D3F"/>
    <w:rsid w:val="00AB4C74"/>
    <w:rsid w:val="00AB68C3"/>
    <w:rsid w:val="00AB7488"/>
    <w:rsid w:val="00AC0069"/>
    <w:rsid w:val="00AC2AE2"/>
    <w:rsid w:val="00AC3C97"/>
    <w:rsid w:val="00AC5121"/>
    <w:rsid w:val="00AC5E37"/>
    <w:rsid w:val="00AD02CA"/>
    <w:rsid w:val="00AD1DB1"/>
    <w:rsid w:val="00AD553E"/>
    <w:rsid w:val="00AD59D8"/>
    <w:rsid w:val="00AD697A"/>
    <w:rsid w:val="00AD6A96"/>
    <w:rsid w:val="00AE266B"/>
    <w:rsid w:val="00AE2A61"/>
    <w:rsid w:val="00AE2CD6"/>
    <w:rsid w:val="00AE3275"/>
    <w:rsid w:val="00AE47AC"/>
    <w:rsid w:val="00AE50C7"/>
    <w:rsid w:val="00AE56E3"/>
    <w:rsid w:val="00AE590C"/>
    <w:rsid w:val="00AE687E"/>
    <w:rsid w:val="00AE6F7B"/>
    <w:rsid w:val="00AE7CF7"/>
    <w:rsid w:val="00AF0F12"/>
    <w:rsid w:val="00AF3D2E"/>
    <w:rsid w:val="00AF4D10"/>
    <w:rsid w:val="00AF504C"/>
    <w:rsid w:val="00AF527B"/>
    <w:rsid w:val="00AF57DD"/>
    <w:rsid w:val="00AF6BD3"/>
    <w:rsid w:val="00AF76AA"/>
    <w:rsid w:val="00B00222"/>
    <w:rsid w:val="00B00597"/>
    <w:rsid w:val="00B01783"/>
    <w:rsid w:val="00B0352B"/>
    <w:rsid w:val="00B03DA3"/>
    <w:rsid w:val="00B04BAF"/>
    <w:rsid w:val="00B07E82"/>
    <w:rsid w:val="00B126A7"/>
    <w:rsid w:val="00B14032"/>
    <w:rsid w:val="00B16A84"/>
    <w:rsid w:val="00B1792E"/>
    <w:rsid w:val="00B17E6D"/>
    <w:rsid w:val="00B22398"/>
    <w:rsid w:val="00B2313B"/>
    <w:rsid w:val="00B23238"/>
    <w:rsid w:val="00B2370E"/>
    <w:rsid w:val="00B24C81"/>
    <w:rsid w:val="00B25651"/>
    <w:rsid w:val="00B25CAC"/>
    <w:rsid w:val="00B25D4E"/>
    <w:rsid w:val="00B27D77"/>
    <w:rsid w:val="00B30748"/>
    <w:rsid w:val="00B3090A"/>
    <w:rsid w:val="00B32B36"/>
    <w:rsid w:val="00B32CDE"/>
    <w:rsid w:val="00B32D06"/>
    <w:rsid w:val="00B34A5F"/>
    <w:rsid w:val="00B34BA7"/>
    <w:rsid w:val="00B36286"/>
    <w:rsid w:val="00B36D74"/>
    <w:rsid w:val="00B373A6"/>
    <w:rsid w:val="00B373E6"/>
    <w:rsid w:val="00B37755"/>
    <w:rsid w:val="00B40861"/>
    <w:rsid w:val="00B40B20"/>
    <w:rsid w:val="00B40B57"/>
    <w:rsid w:val="00B40DC9"/>
    <w:rsid w:val="00B4105A"/>
    <w:rsid w:val="00B44AB6"/>
    <w:rsid w:val="00B458EB"/>
    <w:rsid w:val="00B46DC5"/>
    <w:rsid w:val="00B478BD"/>
    <w:rsid w:val="00B51C86"/>
    <w:rsid w:val="00B5651A"/>
    <w:rsid w:val="00B5732B"/>
    <w:rsid w:val="00B5793B"/>
    <w:rsid w:val="00B61CF7"/>
    <w:rsid w:val="00B61DB2"/>
    <w:rsid w:val="00B61EAA"/>
    <w:rsid w:val="00B62C0E"/>
    <w:rsid w:val="00B6444E"/>
    <w:rsid w:val="00B6523A"/>
    <w:rsid w:val="00B658A9"/>
    <w:rsid w:val="00B7106D"/>
    <w:rsid w:val="00B72517"/>
    <w:rsid w:val="00B7303C"/>
    <w:rsid w:val="00B74F6A"/>
    <w:rsid w:val="00B75887"/>
    <w:rsid w:val="00B824FC"/>
    <w:rsid w:val="00B82586"/>
    <w:rsid w:val="00B834B6"/>
    <w:rsid w:val="00B847DA"/>
    <w:rsid w:val="00B86898"/>
    <w:rsid w:val="00B8729C"/>
    <w:rsid w:val="00B912F2"/>
    <w:rsid w:val="00B928E3"/>
    <w:rsid w:val="00B92EB1"/>
    <w:rsid w:val="00B94C18"/>
    <w:rsid w:val="00B9609C"/>
    <w:rsid w:val="00BA06B8"/>
    <w:rsid w:val="00BA0D5D"/>
    <w:rsid w:val="00BA0EE9"/>
    <w:rsid w:val="00BA1A47"/>
    <w:rsid w:val="00BA24A3"/>
    <w:rsid w:val="00BA310E"/>
    <w:rsid w:val="00BA5A73"/>
    <w:rsid w:val="00BA6B49"/>
    <w:rsid w:val="00BA7D41"/>
    <w:rsid w:val="00BB123E"/>
    <w:rsid w:val="00BB2916"/>
    <w:rsid w:val="00BB5987"/>
    <w:rsid w:val="00BB6767"/>
    <w:rsid w:val="00BB7062"/>
    <w:rsid w:val="00BC0B43"/>
    <w:rsid w:val="00BC1521"/>
    <w:rsid w:val="00BC1D73"/>
    <w:rsid w:val="00BC2E7A"/>
    <w:rsid w:val="00BC498F"/>
    <w:rsid w:val="00BC5768"/>
    <w:rsid w:val="00BC5CF6"/>
    <w:rsid w:val="00BC6B7B"/>
    <w:rsid w:val="00BD305B"/>
    <w:rsid w:val="00BD5337"/>
    <w:rsid w:val="00BE4534"/>
    <w:rsid w:val="00BE5D16"/>
    <w:rsid w:val="00BE706B"/>
    <w:rsid w:val="00BF0543"/>
    <w:rsid w:val="00BF249B"/>
    <w:rsid w:val="00BF2E19"/>
    <w:rsid w:val="00BF3822"/>
    <w:rsid w:val="00BF45C4"/>
    <w:rsid w:val="00BF4B6C"/>
    <w:rsid w:val="00BF573F"/>
    <w:rsid w:val="00BF6EA6"/>
    <w:rsid w:val="00C00004"/>
    <w:rsid w:val="00C0014E"/>
    <w:rsid w:val="00C00490"/>
    <w:rsid w:val="00C026E1"/>
    <w:rsid w:val="00C02A7B"/>
    <w:rsid w:val="00C02D8D"/>
    <w:rsid w:val="00C03C89"/>
    <w:rsid w:val="00C04349"/>
    <w:rsid w:val="00C050D8"/>
    <w:rsid w:val="00C06EE0"/>
    <w:rsid w:val="00C073F4"/>
    <w:rsid w:val="00C07A33"/>
    <w:rsid w:val="00C12748"/>
    <w:rsid w:val="00C131E7"/>
    <w:rsid w:val="00C16110"/>
    <w:rsid w:val="00C16AFE"/>
    <w:rsid w:val="00C16E10"/>
    <w:rsid w:val="00C218C9"/>
    <w:rsid w:val="00C21AFF"/>
    <w:rsid w:val="00C22BAD"/>
    <w:rsid w:val="00C235DD"/>
    <w:rsid w:val="00C24041"/>
    <w:rsid w:val="00C26171"/>
    <w:rsid w:val="00C263D7"/>
    <w:rsid w:val="00C27D67"/>
    <w:rsid w:val="00C3010A"/>
    <w:rsid w:val="00C30AB9"/>
    <w:rsid w:val="00C31B0E"/>
    <w:rsid w:val="00C320C3"/>
    <w:rsid w:val="00C36763"/>
    <w:rsid w:val="00C379EE"/>
    <w:rsid w:val="00C40A05"/>
    <w:rsid w:val="00C41C5F"/>
    <w:rsid w:val="00C444C7"/>
    <w:rsid w:val="00C4454D"/>
    <w:rsid w:val="00C44B82"/>
    <w:rsid w:val="00C44F0E"/>
    <w:rsid w:val="00C45477"/>
    <w:rsid w:val="00C47848"/>
    <w:rsid w:val="00C47C4D"/>
    <w:rsid w:val="00C47D7C"/>
    <w:rsid w:val="00C50B1E"/>
    <w:rsid w:val="00C50D80"/>
    <w:rsid w:val="00C5142E"/>
    <w:rsid w:val="00C518D2"/>
    <w:rsid w:val="00C5226A"/>
    <w:rsid w:val="00C5253F"/>
    <w:rsid w:val="00C5322C"/>
    <w:rsid w:val="00C533DE"/>
    <w:rsid w:val="00C55437"/>
    <w:rsid w:val="00C56C97"/>
    <w:rsid w:val="00C601C2"/>
    <w:rsid w:val="00C60E22"/>
    <w:rsid w:val="00C61371"/>
    <w:rsid w:val="00C62480"/>
    <w:rsid w:val="00C64505"/>
    <w:rsid w:val="00C666BF"/>
    <w:rsid w:val="00C6672C"/>
    <w:rsid w:val="00C66B84"/>
    <w:rsid w:val="00C67A62"/>
    <w:rsid w:val="00C70820"/>
    <w:rsid w:val="00C70E90"/>
    <w:rsid w:val="00C711F7"/>
    <w:rsid w:val="00C71A4E"/>
    <w:rsid w:val="00C7343B"/>
    <w:rsid w:val="00C73D80"/>
    <w:rsid w:val="00C74D28"/>
    <w:rsid w:val="00C7631E"/>
    <w:rsid w:val="00C7648C"/>
    <w:rsid w:val="00C806E1"/>
    <w:rsid w:val="00C80E19"/>
    <w:rsid w:val="00C81A35"/>
    <w:rsid w:val="00C82AFB"/>
    <w:rsid w:val="00C837FF"/>
    <w:rsid w:val="00C843C1"/>
    <w:rsid w:val="00C85305"/>
    <w:rsid w:val="00C929BC"/>
    <w:rsid w:val="00C93983"/>
    <w:rsid w:val="00C93D0D"/>
    <w:rsid w:val="00C94520"/>
    <w:rsid w:val="00C94584"/>
    <w:rsid w:val="00C94DBA"/>
    <w:rsid w:val="00C9560B"/>
    <w:rsid w:val="00C960B2"/>
    <w:rsid w:val="00C96630"/>
    <w:rsid w:val="00C97DAD"/>
    <w:rsid w:val="00CA0F48"/>
    <w:rsid w:val="00CA15F2"/>
    <w:rsid w:val="00CA20B8"/>
    <w:rsid w:val="00CA219F"/>
    <w:rsid w:val="00CA232B"/>
    <w:rsid w:val="00CA560A"/>
    <w:rsid w:val="00CA709B"/>
    <w:rsid w:val="00CA7BB0"/>
    <w:rsid w:val="00CB0244"/>
    <w:rsid w:val="00CB0C9D"/>
    <w:rsid w:val="00CB2154"/>
    <w:rsid w:val="00CB2C77"/>
    <w:rsid w:val="00CC09DE"/>
    <w:rsid w:val="00CC1EC8"/>
    <w:rsid w:val="00CC3EE0"/>
    <w:rsid w:val="00CC4C33"/>
    <w:rsid w:val="00CC5EDF"/>
    <w:rsid w:val="00CC629A"/>
    <w:rsid w:val="00CC6769"/>
    <w:rsid w:val="00CC7A4B"/>
    <w:rsid w:val="00CC7D07"/>
    <w:rsid w:val="00CD01EF"/>
    <w:rsid w:val="00CD34AE"/>
    <w:rsid w:val="00CD352E"/>
    <w:rsid w:val="00CD4E5D"/>
    <w:rsid w:val="00CD52F0"/>
    <w:rsid w:val="00CD5B99"/>
    <w:rsid w:val="00CD5C4D"/>
    <w:rsid w:val="00CE2B8F"/>
    <w:rsid w:val="00CE36B8"/>
    <w:rsid w:val="00CE60DD"/>
    <w:rsid w:val="00CF0E7A"/>
    <w:rsid w:val="00CF4754"/>
    <w:rsid w:val="00CF5147"/>
    <w:rsid w:val="00D0026D"/>
    <w:rsid w:val="00D0165C"/>
    <w:rsid w:val="00D02FDF"/>
    <w:rsid w:val="00D06065"/>
    <w:rsid w:val="00D06E39"/>
    <w:rsid w:val="00D10503"/>
    <w:rsid w:val="00D120B3"/>
    <w:rsid w:val="00D12F30"/>
    <w:rsid w:val="00D13430"/>
    <w:rsid w:val="00D13BD1"/>
    <w:rsid w:val="00D13D1F"/>
    <w:rsid w:val="00D17C5B"/>
    <w:rsid w:val="00D17D8C"/>
    <w:rsid w:val="00D21A7C"/>
    <w:rsid w:val="00D22694"/>
    <w:rsid w:val="00D24121"/>
    <w:rsid w:val="00D3023D"/>
    <w:rsid w:val="00D30580"/>
    <w:rsid w:val="00D30D7D"/>
    <w:rsid w:val="00D31D22"/>
    <w:rsid w:val="00D338B7"/>
    <w:rsid w:val="00D340B8"/>
    <w:rsid w:val="00D3463F"/>
    <w:rsid w:val="00D3630D"/>
    <w:rsid w:val="00D37A17"/>
    <w:rsid w:val="00D42B24"/>
    <w:rsid w:val="00D432D4"/>
    <w:rsid w:val="00D44E34"/>
    <w:rsid w:val="00D44F1A"/>
    <w:rsid w:val="00D4525C"/>
    <w:rsid w:val="00D47ABC"/>
    <w:rsid w:val="00D501CC"/>
    <w:rsid w:val="00D5037B"/>
    <w:rsid w:val="00D510E1"/>
    <w:rsid w:val="00D51631"/>
    <w:rsid w:val="00D528B5"/>
    <w:rsid w:val="00D538D1"/>
    <w:rsid w:val="00D55944"/>
    <w:rsid w:val="00D607AA"/>
    <w:rsid w:val="00D613C6"/>
    <w:rsid w:val="00D61BEB"/>
    <w:rsid w:val="00D62C14"/>
    <w:rsid w:val="00D65C93"/>
    <w:rsid w:val="00D660C2"/>
    <w:rsid w:val="00D66CE8"/>
    <w:rsid w:val="00D66D94"/>
    <w:rsid w:val="00D672D1"/>
    <w:rsid w:val="00D673E7"/>
    <w:rsid w:val="00D719D6"/>
    <w:rsid w:val="00D74414"/>
    <w:rsid w:val="00D74540"/>
    <w:rsid w:val="00D74DDB"/>
    <w:rsid w:val="00D75938"/>
    <w:rsid w:val="00D76DEB"/>
    <w:rsid w:val="00D84B29"/>
    <w:rsid w:val="00D85126"/>
    <w:rsid w:val="00D85953"/>
    <w:rsid w:val="00D85B99"/>
    <w:rsid w:val="00D85C6D"/>
    <w:rsid w:val="00D904DE"/>
    <w:rsid w:val="00D94432"/>
    <w:rsid w:val="00D953E1"/>
    <w:rsid w:val="00D95A05"/>
    <w:rsid w:val="00D97654"/>
    <w:rsid w:val="00D97A95"/>
    <w:rsid w:val="00DA1591"/>
    <w:rsid w:val="00DA1A02"/>
    <w:rsid w:val="00DA398D"/>
    <w:rsid w:val="00DA3EB7"/>
    <w:rsid w:val="00DA520A"/>
    <w:rsid w:val="00DA63C4"/>
    <w:rsid w:val="00DB4D22"/>
    <w:rsid w:val="00DB5F27"/>
    <w:rsid w:val="00DB6FFE"/>
    <w:rsid w:val="00DC0EED"/>
    <w:rsid w:val="00DC5383"/>
    <w:rsid w:val="00DD0093"/>
    <w:rsid w:val="00DD2B69"/>
    <w:rsid w:val="00DD2D32"/>
    <w:rsid w:val="00DD3FF7"/>
    <w:rsid w:val="00DD49E4"/>
    <w:rsid w:val="00DD5150"/>
    <w:rsid w:val="00DD5EAC"/>
    <w:rsid w:val="00DD6869"/>
    <w:rsid w:val="00DD6B3C"/>
    <w:rsid w:val="00DD77AA"/>
    <w:rsid w:val="00DE22A0"/>
    <w:rsid w:val="00DE594F"/>
    <w:rsid w:val="00DF04BD"/>
    <w:rsid w:val="00DF0E87"/>
    <w:rsid w:val="00DF35DF"/>
    <w:rsid w:val="00DF406B"/>
    <w:rsid w:val="00DF7824"/>
    <w:rsid w:val="00E02345"/>
    <w:rsid w:val="00E040E9"/>
    <w:rsid w:val="00E0640D"/>
    <w:rsid w:val="00E06E81"/>
    <w:rsid w:val="00E10806"/>
    <w:rsid w:val="00E11D7E"/>
    <w:rsid w:val="00E14F56"/>
    <w:rsid w:val="00E1729F"/>
    <w:rsid w:val="00E20655"/>
    <w:rsid w:val="00E20C0D"/>
    <w:rsid w:val="00E2320B"/>
    <w:rsid w:val="00E238AE"/>
    <w:rsid w:val="00E24425"/>
    <w:rsid w:val="00E24DE4"/>
    <w:rsid w:val="00E2537C"/>
    <w:rsid w:val="00E25488"/>
    <w:rsid w:val="00E30A24"/>
    <w:rsid w:val="00E31ACB"/>
    <w:rsid w:val="00E31D40"/>
    <w:rsid w:val="00E32FF5"/>
    <w:rsid w:val="00E35A3C"/>
    <w:rsid w:val="00E37FEF"/>
    <w:rsid w:val="00E4112C"/>
    <w:rsid w:val="00E41C73"/>
    <w:rsid w:val="00E43965"/>
    <w:rsid w:val="00E448D3"/>
    <w:rsid w:val="00E44A31"/>
    <w:rsid w:val="00E46268"/>
    <w:rsid w:val="00E463D4"/>
    <w:rsid w:val="00E46C39"/>
    <w:rsid w:val="00E501A9"/>
    <w:rsid w:val="00E50E4B"/>
    <w:rsid w:val="00E511A2"/>
    <w:rsid w:val="00E5615E"/>
    <w:rsid w:val="00E60321"/>
    <w:rsid w:val="00E6316B"/>
    <w:rsid w:val="00E63AA3"/>
    <w:rsid w:val="00E64EA5"/>
    <w:rsid w:val="00E654D5"/>
    <w:rsid w:val="00E73790"/>
    <w:rsid w:val="00E737EE"/>
    <w:rsid w:val="00E7788C"/>
    <w:rsid w:val="00E812AF"/>
    <w:rsid w:val="00E819A2"/>
    <w:rsid w:val="00E84401"/>
    <w:rsid w:val="00E84666"/>
    <w:rsid w:val="00E8551D"/>
    <w:rsid w:val="00E85C1C"/>
    <w:rsid w:val="00E862DA"/>
    <w:rsid w:val="00E8652C"/>
    <w:rsid w:val="00E8750E"/>
    <w:rsid w:val="00E924C1"/>
    <w:rsid w:val="00E924DB"/>
    <w:rsid w:val="00E9394F"/>
    <w:rsid w:val="00E93C14"/>
    <w:rsid w:val="00E94BBC"/>
    <w:rsid w:val="00E96312"/>
    <w:rsid w:val="00EA0321"/>
    <w:rsid w:val="00EA1301"/>
    <w:rsid w:val="00EA1543"/>
    <w:rsid w:val="00EA2363"/>
    <w:rsid w:val="00EA4023"/>
    <w:rsid w:val="00EA5630"/>
    <w:rsid w:val="00EA6BE6"/>
    <w:rsid w:val="00EA78AD"/>
    <w:rsid w:val="00EB00F7"/>
    <w:rsid w:val="00EB06B1"/>
    <w:rsid w:val="00EB1C66"/>
    <w:rsid w:val="00EB1CAC"/>
    <w:rsid w:val="00EB53D1"/>
    <w:rsid w:val="00EB59D1"/>
    <w:rsid w:val="00EB5F25"/>
    <w:rsid w:val="00EB6429"/>
    <w:rsid w:val="00EB64ED"/>
    <w:rsid w:val="00EC4AB1"/>
    <w:rsid w:val="00EC5B9B"/>
    <w:rsid w:val="00EC60D3"/>
    <w:rsid w:val="00EC64A2"/>
    <w:rsid w:val="00EC6A88"/>
    <w:rsid w:val="00ED0D41"/>
    <w:rsid w:val="00ED0F77"/>
    <w:rsid w:val="00ED1A9A"/>
    <w:rsid w:val="00ED2120"/>
    <w:rsid w:val="00ED3739"/>
    <w:rsid w:val="00ED39AC"/>
    <w:rsid w:val="00ED5917"/>
    <w:rsid w:val="00EE04EA"/>
    <w:rsid w:val="00EE28AC"/>
    <w:rsid w:val="00EE2B39"/>
    <w:rsid w:val="00EE3288"/>
    <w:rsid w:val="00EE5244"/>
    <w:rsid w:val="00EE608B"/>
    <w:rsid w:val="00EE6BA7"/>
    <w:rsid w:val="00EF04DE"/>
    <w:rsid w:val="00EF07DD"/>
    <w:rsid w:val="00EF2B52"/>
    <w:rsid w:val="00EF3D32"/>
    <w:rsid w:val="00EF3E73"/>
    <w:rsid w:val="00EF49C0"/>
    <w:rsid w:val="00EF53F3"/>
    <w:rsid w:val="00EF547C"/>
    <w:rsid w:val="00EF7A2D"/>
    <w:rsid w:val="00F0135D"/>
    <w:rsid w:val="00F01542"/>
    <w:rsid w:val="00F0178B"/>
    <w:rsid w:val="00F01CD3"/>
    <w:rsid w:val="00F02093"/>
    <w:rsid w:val="00F03A33"/>
    <w:rsid w:val="00F03AA2"/>
    <w:rsid w:val="00F03BB7"/>
    <w:rsid w:val="00F03F5D"/>
    <w:rsid w:val="00F03F9C"/>
    <w:rsid w:val="00F04F67"/>
    <w:rsid w:val="00F05B36"/>
    <w:rsid w:val="00F07FF8"/>
    <w:rsid w:val="00F106B0"/>
    <w:rsid w:val="00F11543"/>
    <w:rsid w:val="00F11EE0"/>
    <w:rsid w:val="00F146A1"/>
    <w:rsid w:val="00F1575C"/>
    <w:rsid w:val="00F177A7"/>
    <w:rsid w:val="00F20B15"/>
    <w:rsid w:val="00F20D12"/>
    <w:rsid w:val="00F20F13"/>
    <w:rsid w:val="00F214DC"/>
    <w:rsid w:val="00F227D3"/>
    <w:rsid w:val="00F25EF9"/>
    <w:rsid w:val="00F262F5"/>
    <w:rsid w:val="00F27EE1"/>
    <w:rsid w:val="00F27F60"/>
    <w:rsid w:val="00F30AC4"/>
    <w:rsid w:val="00F31214"/>
    <w:rsid w:val="00F32E17"/>
    <w:rsid w:val="00F3436B"/>
    <w:rsid w:val="00F345A0"/>
    <w:rsid w:val="00F34EBC"/>
    <w:rsid w:val="00F41757"/>
    <w:rsid w:val="00F41E66"/>
    <w:rsid w:val="00F434D8"/>
    <w:rsid w:val="00F4392D"/>
    <w:rsid w:val="00F4395F"/>
    <w:rsid w:val="00F440A8"/>
    <w:rsid w:val="00F44CB8"/>
    <w:rsid w:val="00F45E17"/>
    <w:rsid w:val="00F500AD"/>
    <w:rsid w:val="00F52584"/>
    <w:rsid w:val="00F52A40"/>
    <w:rsid w:val="00F564EE"/>
    <w:rsid w:val="00F57691"/>
    <w:rsid w:val="00F62788"/>
    <w:rsid w:val="00F64DF0"/>
    <w:rsid w:val="00F71056"/>
    <w:rsid w:val="00F723D1"/>
    <w:rsid w:val="00F725E3"/>
    <w:rsid w:val="00F7509F"/>
    <w:rsid w:val="00F752F0"/>
    <w:rsid w:val="00F76543"/>
    <w:rsid w:val="00F766AE"/>
    <w:rsid w:val="00F821CD"/>
    <w:rsid w:val="00F835FA"/>
    <w:rsid w:val="00F844B5"/>
    <w:rsid w:val="00F855B1"/>
    <w:rsid w:val="00F87395"/>
    <w:rsid w:val="00F87775"/>
    <w:rsid w:val="00F877ED"/>
    <w:rsid w:val="00F905F4"/>
    <w:rsid w:val="00F92AD8"/>
    <w:rsid w:val="00F95142"/>
    <w:rsid w:val="00F95E55"/>
    <w:rsid w:val="00F9644F"/>
    <w:rsid w:val="00F97155"/>
    <w:rsid w:val="00F9762F"/>
    <w:rsid w:val="00FA1113"/>
    <w:rsid w:val="00FA2766"/>
    <w:rsid w:val="00FA380D"/>
    <w:rsid w:val="00FA42AC"/>
    <w:rsid w:val="00FA4CC1"/>
    <w:rsid w:val="00FA4E80"/>
    <w:rsid w:val="00FA6EC2"/>
    <w:rsid w:val="00FA73B2"/>
    <w:rsid w:val="00FB60ED"/>
    <w:rsid w:val="00FB70ED"/>
    <w:rsid w:val="00FC08ED"/>
    <w:rsid w:val="00FC3D0E"/>
    <w:rsid w:val="00FC5545"/>
    <w:rsid w:val="00FC7284"/>
    <w:rsid w:val="00FD060A"/>
    <w:rsid w:val="00FD06E9"/>
    <w:rsid w:val="00FD1007"/>
    <w:rsid w:val="00FD4BC8"/>
    <w:rsid w:val="00FE0AA2"/>
    <w:rsid w:val="00FE2B0A"/>
    <w:rsid w:val="00FE2E5B"/>
    <w:rsid w:val="00FE33B8"/>
    <w:rsid w:val="00FF0149"/>
    <w:rsid w:val="00FF0669"/>
    <w:rsid w:val="00FF1F7F"/>
    <w:rsid w:val="00FF3CA5"/>
    <w:rsid w:val="00FF41BC"/>
    <w:rsid w:val="00FF5BA3"/>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B7EE2"/>
  <w15:chartTrackingRefBased/>
  <w15:docId w15:val="{0240AFA0-AEB9-4103-958A-D2909308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93"/>
    <w:pPr>
      <w:jc w:val="both"/>
    </w:pPr>
  </w:style>
  <w:style w:type="paragraph" w:styleId="Heading1">
    <w:name w:val="heading 1"/>
    <w:basedOn w:val="ListParagraph"/>
    <w:next w:val="Normal"/>
    <w:link w:val="Heading1Char"/>
    <w:uiPriority w:val="9"/>
    <w:qFormat/>
    <w:rsid w:val="008328FD"/>
    <w:pPr>
      <w:numPr>
        <w:numId w:val="54"/>
      </w:numPr>
      <w:spacing w:after="0" w:line="276" w:lineRule="auto"/>
      <w:ind w:left="360"/>
      <w:outlineLvl w:val="0"/>
    </w:pPr>
    <w:rPr>
      <w:rFonts w:ascii="Times New Roman" w:hAnsi="Times New Roman" w:cs="Times New Roman"/>
      <w:b/>
      <w:sz w:val="24"/>
      <w:szCs w:val="24"/>
    </w:rPr>
  </w:style>
  <w:style w:type="paragraph" w:styleId="Heading2">
    <w:name w:val="heading 2"/>
    <w:basedOn w:val="Heading1"/>
    <w:next w:val="Normal"/>
    <w:link w:val="Heading2Char"/>
    <w:uiPriority w:val="9"/>
    <w:unhideWhenUsed/>
    <w:qFormat/>
    <w:rsid w:val="008328FD"/>
    <w:pPr>
      <w:numPr>
        <w:numId w:val="0"/>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14693"/>
    <w:pPr>
      <w:ind w:left="720"/>
      <w:contextualSpacing/>
    </w:pPr>
  </w:style>
  <w:style w:type="character" w:styleId="CommentReference">
    <w:name w:val="annotation reference"/>
    <w:basedOn w:val="DefaultParagraphFont"/>
    <w:uiPriority w:val="99"/>
    <w:semiHidden/>
    <w:unhideWhenUsed/>
    <w:rsid w:val="002F2B7B"/>
    <w:rPr>
      <w:sz w:val="16"/>
      <w:szCs w:val="16"/>
    </w:rPr>
  </w:style>
  <w:style w:type="paragraph" w:styleId="CommentText">
    <w:name w:val="annotation text"/>
    <w:basedOn w:val="Normal"/>
    <w:link w:val="CommentTextChar"/>
    <w:uiPriority w:val="99"/>
    <w:unhideWhenUsed/>
    <w:rsid w:val="002F2B7B"/>
    <w:pPr>
      <w:spacing w:line="240" w:lineRule="auto"/>
    </w:pPr>
    <w:rPr>
      <w:sz w:val="20"/>
      <w:szCs w:val="20"/>
    </w:rPr>
  </w:style>
  <w:style w:type="character" w:customStyle="1" w:styleId="CommentTextChar">
    <w:name w:val="Comment Text Char"/>
    <w:basedOn w:val="DefaultParagraphFont"/>
    <w:link w:val="CommentText"/>
    <w:uiPriority w:val="99"/>
    <w:rsid w:val="002F2B7B"/>
    <w:rPr>
      <w:sz w:val="20"/>
      <w:szCs w:val="20"/>
    </w:rPr>
  </w:style>
  <w:style w:type="paragraph" w:styleId="CommentSubject">
    <w:name w:val="annotation subject"/>
    <w:basedOn w:val="CommentText"/>
    <w:next w:val="CommentText"/>
    <w:link w:val="CommentSubjectChar"/>
    <w:uiPriority w:val="99"/>
    <w:semiHidden/>
    <w:unhideWhenUsed/>
    <w:rsid w:val="002F2B7B"/>
    <w:rPr>
      <w:b/>
      <w:bCs/>
    </w:rPr>
  </w:style>
  <w:style w:type="character" w:customStyle="1" w:styleId="CommentSubjectChar">
    <w:name w:val="Comment Subject Char"/>
    <w:basedOn w:val="CommentTextChar"/>
    <w:link w:val="CommentSubject"/>
    <w:uiPriority w:val="99"/>
    <w:semiHidden/>
    <w:rsid w:val="002F2B7B"/>
    <w:rPr>
      <w:b/>
      <w:bCs/>
      <w:sz w:val="20"/>
      <w:szCs w:val="20"/>
    </w:rPr>
  </w:style>
  <w:style w:type="paragraph" w:styleId="BalloonText">
    <w:name w:val="Balloon Text"/>
    <w:basedOn w:val="Normal"/>
    <w:link w:val="BalloonTextChar"/>
    <w:uiPriority w:val="99"/>
    <w:semiHidden/>
    <w:unhideWhenUsed/>
    <w:rsid w:val="002F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7B"/>
    <w:rPr>
      <w:rFonts w:ascii="Segoe UI" w:hAnsi="Segoe UI" w:cs="Segoe UI"/>
      <w:sz w:val="18"/>
      <w:szCs w:val="18"/>
    </w:rPr>
  </w:style>
  <w:style w:type="table" w:styleId="TableGrid">
    <w:name w:val="Table Grid"/>
    <w:basedOn w:val="TableNormal"/>
    <w:uiPriority w:val="39"/>
    <w:rsid w:val="00F20B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2FE9"/>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673E7"/>
    <w:rPr>
      <w:color w:val="808080"/>
    </w:rPr>
  </w:style>
  <w:style w:type="character" w:customStyle="1" w:styleId="apple-converted-space">
    <w:name w:val="apple-converted-space"/>
    <w:rsid w:val="00F345A0"/>
  </w:style>
  <w:style w:type="paragraph" w:styleId="Header">
    <w:name w:val="header"/>
    <w:basedOn w:val="Normal"/>
    <w:link w:val="HeaderChar"/>
    <w:uiPriority w:val="99"/>
    <w:unhideWhenUsed/>
    <w:rsid w:val="0039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2E1"/>
  </w:style>
  <w:style w:type="paragraph" w:styleId="Footer">
    <w:name w:val="footer"/>
    <w:basedOn w:val="Normal"/>
    <w:link w:val="FooterChar"/>
    <w:uiPriority w:val="99"/>
    <w:unhideWhenUsed/>
    <w:rsid w:val="0039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2E1"/>
  </w:style>
  <w:style w:type="paragraph" w:styleId="NoSpacing">
    <w:name w:val="No Spacing"/>
    <w:uiPriority w:val="1"/>
    <w:qFormat/>
    <w:rsid w:val="002A2792"/>
    <w:pPr>
      <w:spacing w:after="0" w:line="240" w:lineRule="auto"/>
      <w:jc w:val="both"/>
    </w:pPr>
  </w:style>
  <w:style w:type="paragraph" w:styleId="NormalWeb">
    <w:name w:val="Normal (Web)"/>
    <w:basedOn w:val="Normal"/>
    <w:uiPriority w:val="99"/>
    <w:unhideWhenUsed/>
    <w:rsid w:val="00261C79"/>
    <w:pPr>
      <w:spacing w:before="100" w:beforeAutospacing="1" w:after="100" w:afterAutospacing="1" w:line="240" w:lineRule="auto"/>
      <w:jc w:val="left"/>
    </w:pPr>
    <w:rPr>
      <w:rFonts w:ascii="Times New Roman" w:eastAsiaTheme="minorEastAsia" w:hAnsi="Times New Roman" w:cs="Times New Roman"/>
      <w:sz w:val="24"/>
      <w:szCs w:val="24"/>
      <w:lang w:eastAsia="ja-JP"/>
    </w:rPr>
  </w:style>
  <w:style w:type="character" w:styleId="FollowedHyperlink">
    <w:name w:val="FollowedHyperlink"/>
    <w:basedOn w:val="DefaultParagraphFont"/>
    <w:uiPriority w:val="99"/>
    <w:semiHidden/>
    <w:unhideWhenUsed/>
    <w:rsid w:val="00060B3D"/>
    <w:rPr>
      <w:color w:val="954F72" w:themeColor="followedHyperlink"/>
      <w:u w:val="single"/>
    </w:rPr>
  </w:style>
  <w:style w:type="paragraph" w:styleId="FootnoteText">
    <w:name w:val="footnote text"/>
    <w:basedOn w:val="Normal"/>
    <w:link w:val="FootnoteTextChar"/>
    <w:uiPriority w:val="99"/>
    <w:unhideWhenUsed/>
    <w:rsid w:val="00CA15F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CA15F2"/>
    <w:rPr>
      <w:rFonts w:ascii="Times New Roman" w:hAnsi="Times New Roman"/>
      <w:sz w:val="20"/>
      <w:szCs w:val="20"/>
    </w:rPr>
  </w:style>
  <w:style w:type="character" w:styleId="FootnoteReference">
    <w:name w:val="footnote reference"/>
    <w:basedOn w:val="DefaultParagraphFont"/>
    <w:uiPriority w:val="99"/>
    <w:semiHidden/>
    <w:unhideWhenUsed/>
    <w:rsid w:val="00895CAB"/>
    <w:rPr>
      <w:vertAlign w:val="superscript"/>
    </w:rPr>
  </w:style>
  <w:style w:type="character" w:styleId="UnresolvedMention">
    <w:name w:val="Unresolved Mention"/>
    <w:basedOn w:val="DefaultParagraphFont"/>
    <w:uiPriority w:val="99"/>
    <w:semiHidden/>
    <w:unhideWhenUsed/>
    <w:rsid w:val="00895CAB"/>
    <w:rPr>
      <w:color w:val="605E5C"/>
      <w:shd w:val="clear" w:color="auto" w:fill="E1DFDD"/>
    </w:rPr>
  </w:style>
  <w:style w:type="paragraph" w:styleId="Revision">
    <w:name w:val="Revision"/>
    <w:hidden/>
    <w:uiPriority w:val="99"/>
    <w:semiHidden/>
    <w:rsid w:val="00553F8E"/>
    <w:pPr>
      <w:spacing w:after="0" w:line="240" w:lineRule="auto"/>
    </w:pPr>
  </w:style>
  <w:style w:type="character" w:customStyle="1" w:styleId="Heading1Char">
    <w:name w:val="Heading 1 Char"/>
    <w:basedOn w:val="DefaultParagraphFont"/>
    <w:link w:val="Heading1"/>
    <w:uiPriority w:val="9"/>
    <w:rsid w:val="008328FD"/>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8328FD"/>
    <w:rPr>
      <w:rFonts w:ascii="Times New Roman" w:hAnsi="Times New Roman" w:cs="Times New Roman"/>
      <w:b/>
      <w:sz w:val="24"/>
      <w:szCs w:val="24"/>
    </w:rPr>
  </w:style>
  <w:style w:type="character" w:customStyle="1" w:styleId="glossaryterm">
    <w:name w:val="glossaryterm"/>
    <w:basedOn w:val="DefaultParagraphFont"/>
    <w:rsid w:val="001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856">
      <w:bodyDiv w:val="1"/>
      <w:marLeft w:val="0"/>
      <w:marRight w:val="0"/>
      <w:marTop w:val="0"/>
      <w:marBottom w:val="0"/>
      <w:divBdr>
        <w:top w:val="none" w:sz="0" w:space="0" w:color="auto"/>
        <w:left w:val="none" w:sz="0" w:space="0" w:color="auto"/>
        <w:bottom w:val="none" w:sz="0" w:space="0" w:color="auto"/>
        <w:right w:val="none" w:sz="0" w:space="0" w:color="auto"/>
      </w:divBdr>
    </w:div>
    <w:div w:id="30037371">
      <w:bodyDiv w:val="1"/>
      <w:marLeft w:val="0"/>
      <w:marRight w:val="0"/>
      <w:marTop w:val="0"/>
      <w:marBottom w:val="0"/>
      <w:divBdr>
        <w:top w:val="none" w:sz="0" w:space="0" w:color="auto"/>
        <w:left w:val="none" w:sz="0" w:space="0" w:color="auto"/>
        <w:bottom w:val="none" w:sz="0" w:space="0" w:color="auto"/>
        <w:right w:val="none" w:sz="0" w:space="0" w:color="auto"/>
      </w:divBdr>
    </w:div>
    <w:div w:id="34040611">
      <w:bodyDiv w:val="1"/>
      <w:marLeft w:val="0"/>
      <w:marRight w:val="0"/>
      <w:marTop w:val="0"/>
      <w:marBottom w:val="0"/>
      <w:divBdr>
        <w:top w:val="none" w:sz="0" w:space="0" w:color="auto"/>
        <w:left w:val="none" w:sz="0" w:space="0" w:color="auto"/>
        <w:bottom w:val="none" w:sz="0" w:space="0" w:color="auto"/>
        <w:right w:val="none" w:sz="0" w:space="0" w:color="auto"/>
      </w:divBdr>
    </w:div>
    <w:div w:id="48261182">
      <w:bodyDiv w:val="1"/>
      <w:marLeft w:val="0"/>
      <w:marRight w:val="0"/>
      <w:marTop w:val="0"/>
      <w:marBottom w:val="0"/>
      <w:divBdr>
        <w:top w:val="none" w:sz="0" w:space="0" w:color="auto"/>
        <w:left w:val="none" w:sz="0" w:space="0" w:color="auto"/>
        <w:bottom w:val="none" w:sz="0" w:space="0" w:color="auto"/>
        <w:right w:val="none" w:sz="0" w:space="0" w:color="auto"/>
      </w:divBdr>
    </w:div>
    <w:div w:id="55706185">
      <w:bodyDiv w:val="1"/>
      <w:marLeft w:val="0"/>
      <w:marRight w:val="0"/>
      <w:marTop w:val="0"/>
      <w:marBottom w:val="0"/>
      <w:divBdr>
        <w:top w:val="none" w:sz="0" w:space="0" w:color="auto"/>
        <w:left w:val="none" w:sz="0" w:space="0" w:color="auto"/>
        <w:bottom w:val="none" w:sz="0" w:space="0" w:color="auto"/>
        <w:right w:val="none" w:sz="0" w:space="0" w:color="auto"/>
      </w:divBdr>
    </w:div>
    <w:div w:id="95685847">
      <w:bodyDiv w:val="1"/>
      <w:marLeft w:val="0"/>
      <w:marRight w:val="0"/>
      <w:marTop w:val="0"/>
      <w:marBottom w:val="0"/>
      <w:divBdr>
        <w:top w:val="none" w:sz="0" w:space="0" w:color="auto"/>
        <w:left w:val="none" w:sz="0" w:space="0" w:color="auto"/>
        <w:bottom w:val="none" w:sz="0" w:space="0" w:color="auto"/>
        <w:right w:val="none" w:sz="0" w:space="0" w:color="auto"/>
      </w:divBdr>
    </w:div>
    <w:div w:id="96414191">
      <w:bodyDiv w:val="1"/>
      <w:marLeft w:val="0"/>
      <w:marRight w:val="0"/>
      <w:marTop w:val="0"/>
      <w:marBottom w:val="0"/>
      <w:divBdr>
        <w:top w:val="none" w:sz="0" w:space="0" w:color="auto"/>
        <w:left w:val="none" w:sz="0" w:space="0" w:color="auto"/>
        <w:bottom w:val="none" w:sz="0" w:space="0" w:color="auto"/>
        <w:right w:val="none" w:sz="0" w:space="0" w:color="auto"/>
      </w:divBdr>
    </w:div>
    <w:div w:id="107815371">
      <w:bodyDiv w:val="1"/>
      <w:marLeft w:val="0"/>
      <w:marRight w:val="0"/>
      <w:marTop w:val="0"/>
      <w:marBottom w:val="0"/>
      <w:divBdr>
        <w:top w:val="none" w:sz="0" w:space="0" w:color="auto"/>
        <w:left w:val="none" w:sz="0" w:space="0" w:color="auto"/>
        <w:bottom w:val="none" w:sz="0" w:space="0" w:color="auto"/>
        <w:right w:val="none" w:sz="0" w:space="0" w:color="auto"/>
      </w:divBdr>
    </w:div>
    <w:div w:id="148637239">
      <w:bodyDiv w:val="1"/>
      <w:marLeft w:val="0"/>
      <w:marRight w:val="0"/>
      <w:marTop w:val="0"/>
      <w:marBottom w:val="0"/>
      <w:divBdr>
        <w:top w:val="none" w:sz="0" w:space="0" w:color="auto"/>
        <w:left w:val="none" w:sz="0" w:space="0" w:color="auto"/>
        <w:bottom w:val="none" w:sz="0" w:space="0" w:color="auto"/>
        <w:right w:val="none" w:sz="0" w:space="0" w:color="auto"/>
      </w:divBdr>
    </w:div>
    <w:div w:id="174922707">
      <w:bodyDiv w:val="1"/>
      <w:marLeft w:val="0"/>
      <w:marRight w:val="0"/>
      <w:marTop w:val="0"/>
      <w:marBottom w:val="0"/>
      <w:divBdr>
        <w:top w:val="none" w:sz="0" w:space="0" w:color="auto"/>
        <w:left w:val="none" w:sz="0" w:space="0" w:color="auto"/>
        <w:bottom w:val="none" w:sz="0" w:space="0" w:color="auto"/>
        <w:right w:val="none" w:sz="0" w:space="0" w:color="auto"/>
      </w:divBdr>
    </w:div>
    <w:div w:id="177088722">
      <w:bodyDiv w:val="1"/>
      <w:marLeft w:val="0"/>
      <w:marRight w:val="0"/>
      <w:marTop w:val="0"/>
      <w:marBottom w:val="0"/>
      <w:divBdr>
        <w:top w:val="none" w:sz="0" w:space="0" w:color="auto"/>
        <w:left w:val="none" w:sz="0" w:space="0" w:color="auto"/>
        <w:bottom w:val="none" w:sz="0" w:space="0" w:color="auto"/>
        <w:right w:val="none" w:sz="0" w:space="0" w:color="auto"/>
      </w:divBdr>
    </w:div>
    <w:div w:id="184172196">
      <w:bodyDiv w:val="1"/>
      <w:marLeft w:val="0"/>
      <w:marRight w:val="0"/>
      <w:marTop w:val="0"/>
      <w:marBottom w:val="0"/>
      <w:divBdr>
        <w:top w:val="none" w:sz="0" w:space="0" w:color="auto"/>
        <w:left w:val="none" w:sz="0" w:space="0" w:color="auto"/>
        <w:bottom w:val="none" w:sz="0" w:space="0" w:color="auto"/>
        <w:right w:val="none" w:sz="0" w:space="0" w:color="auto"/>
      </w:divBdr>
    </w:div>
    <w:div w:id="197352410">
      <w:bodyDiv w:val="1"/>
      <w:marLeft w:val="0"/>
      <w:marRight w:val="0"/>
      <w:marTop w:val="0"/>
      <w:marBottom w:val="0"/>
      <w:divBdr>
        <w:top w:val="none" w:sz="0" w:space="0" w:color="auto"/>
        <w:left w:val="none" w:sz="0" w:space="0" w:color="auto"/>
        <w:bottom w:val="none" w:sz="0" w:space="0" w:color="auto"/>
        <w:right w:val="none" w:sz="0" w:space="0" w:color="auto"/>
      </w:divBdr>
    </w:div>
    <w:div w:id="200821693">
      <w:bodyDiv w:val="1"/>
      <w:marLeft w:val="0"/>
      <w:marRight w:val="0"/>
      <w:marTop w:val="0"/>
      <w:marBottom w:val="0"/>
      <w:divBdr>
        <w:top w:val="none" w:sz="0" w:space="0" w:color="auto"/>
        <w:left w:val="none" w:sz="0" w:space="0" w:color="auto"/>
        <w:bottom w:val="none" w:sz="0" w:space="0" w:color="auto"/>
        <w:right w:val="none" w:sz="0" w:space="0" w:color="auto"/>
      </w:divBdr>
    </w:div>
    <w:div w:id="244533305">
      <w:bodyDiv w:val="1"/>
      <w:marLeft w:val="0"/>
      <w:marRight w:val="0"/>
      <w:marTop w:val="0"/>
      <w:marBottom w:val="0"/>
      <w:divBdr>
        <w:top w:val="none" w:sz="0" w:space="0" w:color="auto"/>
        <w:left w:val="none" w:sz="0" w:space="0" w:color="auto"/>
        <w:bottom w:val="none" w:sz="0" w:space="0" w:color="auto"/>
        <w:right w:val="none" w:sz="0" w:space="0" w:color="auto"/>
      </w:divBdr>
    </w:div>
    <w:div w:id="284233947">
      <w:bodyDiv w:val="1"/>
      <w:marLeft w:val="0"/>
      <w:marRight w:val="0"/>
      <w:marTop w:val="0"/>
      <w:marBottom w:val="0"/>
      <w:divBdr>
        <w:top w:val="none" w:sz="0" w:space="0" w:color="auto"/>
        <w:left w:val="none" w:sz="0" w:space="0" w:color="auto"/>
        <w:bottom w:val="none" w:sz="0" w:space="0" w:color="auto"/>
        <w:right w:val="none" w:sz="0" w:space="0" w:color="auto"/>
      </w:divBdr>
    </w:div>
    <w:div w:id="295988690">
      <w:bodyDiv w:val="1"/>
      <w:marLeft w:val="0"/>
      <w:marRight w:val="0"/>
      <w:marTop w:val="0"/>
      <w:marBottom w:val="0"/>
      <w:divBdr>
        <w:top w:val="none" w:sz="0" w:space="0" w:color="auto"/>
        <w:left w:val="none" w:sz="0" w:space="0" w:color="auto"/>
        <w:bottom w:val="none" w:sz="0" w:space="0" w:color="auto"/>
        <w:right w:val="none" w:sz="0" w:space="0" w:color="auto"/>
      </w:divBdr>
    </w:div>
    <w:div w:id="303387756">
      <w:bodyDiv w:val="1"/>
      <w:marLeft w:val="0"/>
      <w:marRight w:val="0"/>
      <w:marTop w:val="0"/>
      <w:marBottom w:val="0"/>
      <w:divBdr>
        <w:top w:val="none" w:sz="0" w:space="0" w:color="auto"/>
        <w:left w:val="none" w:sz="0" w:space="0" w:color="auto"/>
        <w:bottom w:val="none" w:sz="0" w:space="0" w:color="auto"/>
        <w:right w:val="none" w:sz="0" w:space="0" w:color="auto"/>
      </w:divBdr>
    </w:div>
    <w:div w:id="307633255">
      <w:bodyDiv w:val="1"/>
      <w:marLeft w:val="0"/>
      <w:marRight w:val="0"/>
      <w:marTop w:val="0"/>
      <w:marBottom w:val="0"/>
      <w:divBdr>
        <w:top w:val="none" w:sz="0" w:space="0" w:color="auto"/>
        <w:left w:val="none" w:sz="0" w:space="0" w:color="auto"/>
        <w:bottom w:val="none" w:sz="0" w:space="0" w:color="auto"/>
        <w:right w:val="none" w:sz="0" w:space="0" w:color="auto"/>
      </w:divBdr>
    </w:div>
    <w:div w:id="329649124">
      <w:bodyDiv w:val="1"/>
      <w:marLeft w:val="0"/>
      <w:marRight w:val="0"/>
      <w:marTop w:val="0"/>
      <w:marBottom w:val="0"/>
      <w:divBdr>
        <w:top w:val="none" w:sz="0" w:space="0" w:color="auto"/>
        <w:left w:val="none" w:sz="0" w:space="0" w:color="auto"/>
        <w:bottom w:val="none" w:sz="0" w:space="0" w:color="auto"/>
        <w:right w:val="none" w:sz="0" w:space="0" w:color="auto"/>
      </w:divBdr>
    </w:div>
    <w:div w:id="346837412">
      <w:bodyDiv w:val="1"/>
      <w:marLeft w:val="0"/>
      <w:marRight w:val="0"/>
      <w:marTop w:val="0"/>
      <w:marBottom w:val="0"/>
      <w:divBdr>
        <w:top w:val="none" w:sz="0" w:space="0" w:color="auto"/>
        <w:left w:val="none" w:sz="0" w:space="0" w:color="auto"/>
        <w:bottom w:val="none" w:sz="0" w:space="0" w:color="auto"/>
        <w:right w:val="none" w:sz="0" w:space="0" w:color="auto"/>
      </w:divBdr>
    </w:div>
    <w:div w:id="351733530">
      <w:bodyDiv w:val="1"/>
      <w:marLeft w:val="0"/>
      <w:marRight w:val="0"/>
      <w:marTop w:val="0"/>
      <w:marBottom w:val="0"/>
      <w:divBdr>
        <w:top w:val="none" w:sz="0" w:space="0" w:color="auto"/>
        <w:left w:val="none" w:sz="0" w:space="0" w:color="auto"/>
        <w:bottom w:val="none" w:sz="0" w:space="0" w:color="auto"/>
        <w:right w:val="none" w:sz="0" w:space="0" w:color="auto"/>
      </w:divBdr>
    </w:div>
    <w:div w:id="374936785">
      <w:bodyDiv w:val="1"/>
      <w:marLeft w:val="0"/>
      <w:marRight w:val="0"/>
      <w:marTop w:val="0"/>
      <w:marBottom w:val="0"/>
      <w:divBdr>
        <w:top w:val="none" w:sz="0" w:space="0" w:color="auto"/>
        <w:left w:val="none" w:sz="0" w:space="0" w:color="auto"/>
        <w:bottom w:val="none" w:sz="0" w:space="0" w:color="auto"/>
        <w:right w:val="none" w:sz="0" w:space="0" w:color="auto"/>
      </w:divBdr>
    </w:div>
    <w:div w:id="378208306">
      <w:bodyDiv w:val="1"/>
      <w:marLeft w:val="0"/>
      <w:marRight w:val="0"/>
      <w:marTop w:val="0"/>
      <w:marBottom w:val="0"/>
      <w:divBdr>
        <w:top w:val="none" w:sz="0" w:space="0" w:color="auto"/>
        <w:left w:val="none" w:sz="0" w:space="0" w:color="auto"/>
        <w:bottom w:val="none" w:sz="0" w:space="0" w:color="auto"/>
        <w:right w:val="none" w:sz="0" w:space="0" w:color="auto"/>
      </w:divBdr>
    </w:div>
    <w:div w:id="401606139">
      <w:bodyDiv w:val="1"/>
      <w:marLeft w:val="0"/>
      <w:marRight w:val="0"/>
      <w:marTop w:val="0"/>
      <w:marBottom w:val="0"/>
      <w:divBdr>
        <w:top w:val="none" w:sz="0" w:space="0" w:color="auto"/>
        <w:left w:val="none" w:sz="0" w:space="0" w:color="auto"/>
        <w:bottom w:val="none" w:sz="0" w:space="0" w:color="auto"/>
        <w:right w:val="none" w:sz="0" w:space="0" w:color="auto"/>
      </w:divBdr>
    </w:div>
    <w:div w:id="407535479">
      <w:bodyDiv w:val="1"/>
      <w:marLeft w:val="0"/>
      <w:marRight w:val="0"/>
      <w:marTop w:val="0"/>
      <w:marBottom w:val="0"/>
      <w:divBdr>
        <w:top w:val="none" w:sz="0" w:space="0" w:color="auto"/>
        <w:left w:val="none" w:sz="0" w:space="0" w:color="auto"/>
        <w:bottom w:val="none" w:sz="0" w:space="0" w:color="auto"/>
        <w:right w:val="none" w:sz="0" w:space="0" w:color="auto"/>
      </w:divBdr>
    </w:div>
    <w:div w:id="408815180">
      <w:bodyDiv w:val="1"/>
      <w:marLeft w:val="0"/>
      <w:marRight w:val="0"/>
      <w:marTop w:val="0"/>
      <w:marBottom w:val="0"/>
      <w:divBdr>
        <w:top w:val="none" w:sz="0" w:space="0" w:color="auto"/>
        <w:left w:val="none" w:sz="0" w:space="0" w:color="auto"/>
        <w:bottom w:val="none" w:sz="0" w:space="0" w:color="auto"/>
        <w:right w:val="none" w:sz="0" w:space="0" w:color="auto"/>
      </w:divBdr>
    </w:div>
    <w:div w:id="414014121">
      <w:bodyDiv w:val="1"/>
      <w:marLeft w:val="0"/>
      <w:marRight w:val="0"/>
      <w:marTop w:val="0"/>
      <w:marBottom w:val="0"/>
      <w:divBdr>
        <w:top w:val="none" w:sz="0" w:space="0" w:color="auto"/>
        <w:left w:val="none" w:sz="0" w:space="0" w:color="auto"/>
        <w:bottom w:val="none" w:sz="0" w:space="0" w:color="auto"/>
        <w:right w:val="none" w:sz="0" w:space="0" w:color="auto"/>
      </w:divBdr>
    </w:div>
    <w:div w:id="470710916">
      <w:bodyDiv w:val="1"/>
      <w:marLeft w:val="0"/>
      <w:marRight w:val="0"/>
      <w:marTop w:val="0"/>
      <w:marBottom w:val="0"/>
      <w:divBdr>
        <w:top w:val="none" w:sz="0" w:space="0" w:color="auto"/>
        <w:left w:val="none" w:sz="0" w:space="0" w:color="auto"/>
        <w:bottom w:val="none" w:sz="0" w:space="0" w:color="auto"/>
        <w:right w:val="none" w:sz="0" w:space="0" w:color="auto"/>
      </w:divBdr>
    </w:div>
    <w:div w:id="470947640">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531915722">
      <w:bodyDiv w:val="1"/>
      <w:marLeft w:val="0"/>
      <w:marRight w:val="0"/>
      <w:marTop w:val="0"/>
      <w:marBottom w:val="0"/>
      <w:divBdr>
        <w:top w:val="none" w:sz="0" w:space="0" w:color="auto"/>
        <w:left w:val="none" w:sz="0" w:space="0" w:color="auto"/>
        <w:bottom w:val="none" w:sz="0" w:space="0" w:color="auto"/>
        <w:right w:val="none" w:sz="0" w:space="0" w:color="auto"/>
      </w:divBdr>
    </w:div>
    <w:div w:id="580607145">
      <w:bodyDiv w:val="1"/>
      <w:marLeft w:val="0"/>
      <w:marRight w:val="0"/>
      <w:marTop w:val="0"/>
      <w:marBottom w:val="0"/>
      <w:divBdr>
        <w:top w:val="none" w:sz="0" w:space="0" w:color="auto"/>
        <w:left w:val="none" w:sz="0" w:space="0" w:color="auto"/>
        <w:bottom w:val="none" w:sz="0" w:space="0" w:color="auto"/>
        <w:right w:val="none" w:sz="0" w:space="0" w:color="auto"/>
      </w:divBdr>
    </w:div>
    <w:div w:id="590628531">
      <w:bodyDiv w:val="1"/>
      <w:marLeft w:val="0"/>
      <w:marRight w:val="0"/>
      <w:marTop w:val="0"/>
      <w:marBottom w:val="0"/>
      <w:divBdr>
        <w:top w:val="none" w:sz="0" w:space="0" w:color="auto"/>
        <w:left w:val="none" w:sz="0" w:space="0" w:color="auto"/>
        <w:bottom w:val="none" w:sz="0" w:space="0" w:color="auto"/>
        <w:right w:val="none" w:sz="0" w:space="0" w:color="auto"/>
      </w:divBdr>
    </w:div>
    <w:div w:id="634288146">
      <w:bodyDiv w:val="1"/>
      <w:marLeft w:val="0"/>
      <w:marRight w:val="0"/>
      <w:marTop w:val="0"/>
      <w:marBottom w:val="0"/>
      <w:divBdr>
        <w:top w:val="none" w:sz="0" w:space="0" w:color="auto"/>
        <w:left w:val="none" w:sz="0" w:space="0" w:color="auto"/>
        <w:bottom w:val="none" w:sz="0" w:space="0" w:color="auto"/>
        <w:right w:val="none" w:sz="0" w:space="0" w:color="auto"/>
      </w:divBdr>
    </w:div>
    <w:div w:id="671369444">
      <w:bodyDiv w:val="1"/>
      <w:marLeft w:val="0"/>
      <w:marRight w:val="0"/>
      <w:marTop w:val="0"/>
      <w:marBottom w:val="0"/>
      <w:divBdr>
        <w:top w:val="none" w:sz="0" w:space="0" w:color="auto"/>
        <w:left w:val="none" w:sz="0" w:space="0" w:color="auto"/>
        <w:bottom w:val="none" w:sz="0" w:space="0" w:color="auto"/>
        <w:right w:val="none" w:sz="0" w:space="0" w:color="auto"/>
      </w:divBdr>
    </w:div>
    <w:div w:id="686440816">
      <w:bodyDiv w:val="1"/>
      <w:marLeft w:val="0"/>
      <w:marRight w:val="0"/>
      <w:marTop w:val="0"/>
      <w:marBottom w:val="0"/>
      <w:divBdr>
        <w:top w:val="none" w:sz="0" w:space="0" w:color="auto"/>
        <w:left w:val="none" w:sz="0" w:space="0" w:color="auto"/>
        <w:bottom w:val="none" w:sz="0" w:space="0" w:color="auto"/>
        <w:right w:val="none" w:sz="0" w:space="0" w:color="auto"/>
      </w:divBdr>
    </w:div>
    <w:div w:id="691538086">
      <w:bodyDiv w:val="1"/>
      <w:marLeft w:val="0"/>
      <w:marRight w:val="0"/>
      <w:marTop w:val="0"/>
      <w:marBottom w:val="0"/>
      <w:divBdr>
        <w:top w:val="none" w:sz="0" w:space="0" w:color="auto"/>
        <w:left w:val="none" w:sz="0" w:space="0" w:color="auto"/>
        <w:bottom w:val="none" w:sz="0" w:space="0" w:color="auto"/>
        <w:right w:val="none" w:sz="0" w:space="0" w:color="auto"/>
      </w:divBdr>
    </w:div>
    <w:div w:id="708267473">
      <w:bodyDiv w:val="1"/>
      <w:marLeft w:val="0"/>
      <w:marRight w:val="0"/>
      <w:marTop w:val="0"/>
      <w:marBottom w:val="0"/>
      <w:divBdr>
        <w:top w:val="none" w:sz="0" w:space="0" w:color="auto"/>
        <w:left w:val="none" w:sz="0" w:space="0" w:color="auto"/>
        <w:bottom w:val="none" w:sz="0" w:space="0" w:color="auto"/>
        <w:right w:val="none" w:sz="0" w:space="0" w:color="auto"/>
      </w:divBdr>
    </w:div>
    <w:div w:id="709113464">
      <w:bodyDiv w:val="1"/>
      <w:marLeft w:val="0"/>
      <w:marRight w:val="0"/>
      <w:marTop w:val="0"/>
      <w:marBottom w:val="0"/>
      <w:divBdr>
        <w:top w:val="none" w:sz="0" w:space="0" w:color="auto"/>
        <w:left w:val="none" w:sz="0" w:space="0" w:color="auto"/>
        <w:bottom w:val="none" w:sz="0" w:space="0" w:color="auto"/>
        <w:right w:val="none" w:sz="0" w:space="0" w:color="auto"/>
      </w:divBdr>
    </w:div>
    <w:div w:id="716902879">
      <w:bodyDiv w:val="1"/>
      <w:marLeft w:val="0"/>
      <w:marRight w:val="0"/>
      <w:marTop w:val="0"/>
      <w:marBottom w:val="0"/>
      <w:divBdr>
        <w:top w:val="none" w:sz="0" w:space="0" w:color="auto"/>
        <w:left w:val="none" w:sz="0" w:space="0" w:color="auto"/>
        <w:bottom w:val="none" w:sz="0" w:space="0" w:color="auto"/>
        <w:right w:val="none" w:sz="0" w:space="0" w:color="auto"/>
      </w:divBdr>
    </w:div>
    <w:div w:id="717048528">
      <w:bodyDiv w:val="1"/>
      <w:marLeft w:val="0"/>
      <w:marRight w:val="0"/>
      <w:marTop w:val="0"/>
      <w:marBottom w:val="0"/>
      <w:divBdr>
        <w:top w:val="none" w:sz="0" w:space="0" w:color="auto"/>
        <w:left w:val="none" w:sz="0" w:space="0" w:color="auto"/>
        <w:bottom w:val="none" w:sz="0" w:space="0" w:color="auto"/>
        <w:right w:val="none" w:sz="0" w:space="0" w:color="auto"/>
      </w:divBdr>
    </w:div>
    <w:div w:id="719279844">
      <w:bodyDiv w:val="1"/>
      <w:marLeft w:val="0"/>
      <w:marRight w:val="0"/>
      <w:marTop w:val="0"/>
      <w:marBottom w:val="0"/>
      <w:divBdr>
        <w:top w:val="none" w:sz="0" w:space="0" w:color="auto"/>
        <w:left w:val="none" w:sz="0" w:space="0" w:color="auto"/>
        <w:bottom w:val="none" w:sz="0" w:space="0" w:color="auto"/>
        <w:right w:val="none" w:sz="0" w:space="0" w:color="auto"/>
      </w:divBdr>
    </w:div>
    <w:div w:id="719674200">
      <w:bodyDiv w:val="1"/>
      <w:marLeft w:val="0"/>
      <w:marRight w:val="0"/>
      <w:marTop w:val="0"/>
      <w:marBottom w:val="0"/>
      <w:divBdr>
        <w:top w:val="none" w:sz="0" w:space="0" w:color="auto"/>
        <w:left w:val="none" w:sz="0" w:space="0" w:color="auto"/>
        <w:bottom w:val="none" w:sz="0" w:space="0" w:color="auto"/>
        <w:right w:val="none" w:sz="0" w:space="0" w:color="auto"/>
      </w:divBdr>
    </w:div>
    <w:div w:id="728695501">
      <w:bodyDiv w:val="1"/>
      <w:marLeft w:val="0"/>
      <w:marRight w:val="0"/>
      <w:marTop w:val="0"/>
      <w:marBottom w:val="0"/>
      <w:divBdr>
        <w:top w:val="none" w:sz="0" w:space="0" w:color="auto"/>
        <w:left w:val="none" w:sz="0" w:space="0" w:color="auto"/>
        <w:bottom w:val="none" w:sz="0" w:space="0" w:color="auto"/>
        <w:right w:val="none" w:sz="0" w:space="0" w:color="auto"/>
      </w:divBdr>
    </w:div>
    <w:div w:id="739330914">
      <w:bodyDiv w:val="1"/>
      <w:marLeft w:val="0"/>
      <w:marRight w:val="0"/>
      <w:marTop w:val="0"/>
      <w:marBottom w:val="0"/>
      <w:divBdr>
        <w:top w:val="none" w:sz="0" w:space="0" w:color="auto"/>
        <w:left w:val="none" w:sz="0" w:space="0" w:color="auto"/>
        <w:bottom w:val="none" w:sz="0" w:space="0" w:color="auto"/>
        <w:right w:val="none" w:sz="0" w:space="0" w:color="auto"/>
      </w:divBdr>
    </w:div>
    <w:div w:id="755125975">
      <w:bodyDiv w:val="1"/>
      <w:marLeft w:val="0"/>
      <w:marRight w:val="0"/>
      <w:marTop w:val="0"/>
      <w:marBottom w:val="0"/>
      <w:divBdr>
        <w:top w:val="none" w:sz="0" w:space="0" w:color="auto"/>
        <w:left w:val="none" w:sz="0" w:space="0" w:color="auto"/>
        <w:bottom w:val="none" w:sz="0" w:space="0" w:color="auto"/>
        <w:right w:val="none" w:sz="0" w:space="0" w:color="auto"/>
      </w:divBdr>
    </w:div>
    <w:div w:id="757483919">
      <w:bodyDiv w:val="1"/>
      <w:marLeft w:val="0"/>
      <w:marRight w:val="0"/>
      <w:marTop w:val="0"/>
      <w:marBottom w:val="0"/>
      <w:divBdr>
        <w:top w:val="none" w:sz="0" w:space="0" w:color="auto"/>
        <w:left w:val="none" w:sz="0" w:space="0" w:color="auto"/>
        <w:bottom w:val="none" w:sz="0" w:space="0" w:color="auto"/>
        <w:right w:val="none" w:sz="0" w:space="0" w:color="auto"/>
      </w:divBdr>
    </w:div>
    <w:div w:id="767852267">
      <w:bodyDiv w:val="1"/>
      <w:marLeft w:val="0"/>
      <w:marRight w:val="0"/>
      <w:marTop w:val="0"/>
      <w:marBottom w:val="0"/>
      <w:divBdr>
        <w:top w:val="none" w:sz="0" w:space="0" w:color="auto"/>
        <w:left w:val="none" w:sz="0" w:space="0" w:color="auto"/>
        <w:bottom w:val="none" w:sz="0" w:space="0" w:color="auto"/>
        <w:right w:val="none" w:sz="0" w:space="0" w:color="auto"/>
      </w:divBdr>
    </w:div>
    <w:div w:id="784544531">
      <w:bodyDiv w:val="1"/>
      <w:marLeft w:val="0"/>
      <w:marRight w:val="0"/>
      <w:marTop w:val="0"/>
      <w:marBottom w:val="0"/>
      <w:divBdr>
        <w:top w:val="none" w:sz="0" w:space="0" w:color="auto"/>
        <w:left w:val="none" w:sz="0" w:space="0" w:color="auto"/>
        <w:bottom w:val="none" w:sz="0" w:space="0" w:color="auto"/>
        <w:right w:val="none" w:sz="0" w:space="0" w:color="auto"/>
      </w:divBdr>
    </w:div>
    <w:div w:id="784545159">
      <w:bodyDiv w:val="1"/>
      <w:marLeft w:val="0"/>
      <w:marRight w:val="0"/>
      <w:marTop w:val="0"/>
      <w:marBottom w:val="0"/>
      <w:divBdr>
        <w:top w:val="none" w:sz="0" w:space="0" w:color="auto"/>
        <w:left w:val="none" w:sz="0" w:space="0" w:color="auto"/>
        <w:bottom w:val="none" w:sz="0" w:space="0" w:color="auto"/>
        <w:right w:val="none" w:sz="0" w:space="0" w:color="auto"/>
      </w:divBdr>
      <w:divsChild>
        <w:div w:id="744257015">
          <w:marLeft w:val="0"/>
          <w:marRight w:val="0"/>
          <w:marTop w:val="0"/>
          <w:marBottom w:val="0"/>
          <w:divBdr>
            <w:top w:val="none" w:sz="0" w:space="0" w:color="auto"/>
            <w:left w:val="none" w:sz="0" w:space="0" w:color="auto"/>
            <w:bottom w:val="none" w:sz="0" w:space="0" w:color="auto"/>
            <w:right w:val="none" w:sz="0" w:space="0" w:color="auto"/>
          </w:divBdr>
        </w:div>
      </w:divsChild>
    </w:div>
    <w:div w:id="801461355">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06318416">
      <w:bodyDiv w:val="1"/>
      <w:marLeft w:val="0"/>
      <w:marRight w:val="0"/>
      <w:marTop w:val="0"/>
      <w:marBottom w:val="0"/>
      <w:divBdr>
        <w:top w:val="none" w:sz="0" w:space="0" w:color="auto"/>
        <w:left w:val="none" w:sz="0" w:space="0" w:color="auto"/>
        <w:bottom w:val="none" w:sz="0" w:space="0" w:color="auto"/>
        <w:right w:val="none" w:sz="0" w:space="0" w:color="auto"/>
      </w:divBdr>
    </w:div>
    <w:div w:id="841551734">
      <w:bodyDiv w:val="1"/>
      <w:marLeft w:val="0"/>
      <w:marRight w:val="0"/>
      <w:marTop w:val="0"/>
      <w:marBottom w:val="0"/>
      <w:divBdr>
        <w:top w:val="none" w:sz="0" w:space="0" w:color="auto"/>
        <w:left w:val="none" w:sz="0" w:space="0" w:color="auto"/>
        <w:bottom w:val="none" w:sz="0" w:space="0" w:color="auto"/>
        <w:right w:val="none" w:sz="0" w:space="0" w:color="auto"/>
      </w:divBdr>
    </w:div>
    <w:div w:id="842008071">
      <w:bodyDiv w:val="1"/>
      <w:marLeft w:val="0"/>
      <w:marRight w:val="0"/>
      <w:marTop w:val="0"/>
      <w:marBottom w:val="0"/>
      <w:divBdr>
        <w:top w:val="none" w:sz="0" w:space="0" w:color="auto"/>
        <w:left w:val="none" w:sz="0" w:space="0" w:color="auto"/>
        <w:bottom w:val="none" w:sz="0" w:space="0" w:color="auto"/>
        <w:right w:val="none" w:sz="0" w:space="0" w:color="auto"/>
      </w:divBdr>
    </w:div>
    <w:div w:id="846602317">
      <w:bodyDiv w:val="1"/>
      <w:marLeft w:val="0"/>
      <w:marRight w:val="0"/>
      <w:marTop w:val="0"/>
      <w:marBottom w:val="0"/>
      <w:divBdr>
        <w:top w:val="none" w:sz="0" w:space="0" w:color="auto"/>
        <w:left w:val="none" w:sz="0" w:space="0" w:color="auto"/>
        <w:bottom w:val="none" w:sz="0" w:space="0" w:color="auto"/>
        <w:right w:val="none" w:sz="0" w:space="0" w:color="auto"/>
      </w:divBdr>
    </w:div>
    <w:div w:id="851384694">
      <w:bodyDiv w:val="1"/>
      <w:marLeft w:val="0"/>
      <w:marRight w:val="0"/>
      <w:marTop w:val="0"/>
      <w:marBottom w:val="0"/>
      <w:divBdr>
        <w:top w:val="none" w:sz="0" w:space="0" w:color="auto"/>
        <w:left w:val="none" w:sz="0" w:space="0" w:color="auto"/>
        <w:bottom w:val="none" w:sz="0" w:space="0" w:color="auto"/>
        <w:right w:val="none" w:sz="0" w:space="0" w:color="auto"/>
      </w:divBdr>
    </w:div>
    <w:div w:id="862086129">
      <w:bodyDiv w:val="1"/>
      <w:marLeft w:val="0"/>
      <w:marRight w:val="0"/>
      <w:marTop w:val="0"/>
      <w:marBottom w:val="0"/>
      <w:divBdr>
        <w:top w:val="none" w:sz="0" w:space="0" w:color="auto"/>
        <w:left w:val="none" w:sz="0" w:space="0" w:color="auto"/>
        <w:bottom w:val="none" w:sz="0" w:space="0" w:color="auto"/>
        <w:right w:val="none" w:sz="0" w:space="0" w:color="auto"/>
      </w:divBdr>
    </w:div>
    <w:div w:id="866987857">
      <w:bodyDiv w:val="1"/>
      <w:marLeft w:val="0"/>
      <w:marRight w:val="0"/>
      <w:marTop w:val="0"/>
      <w:marBottom w:val="0"/>
      <w:divBdr>
        <w:top w:val="none" w:sz="0" w:space="0" w:color="auto"/>
        <w:left w:val="none" w:sz="0" w:space="0" w:color="auto"/>
        <w:bottom w:val="none" w:sz="0" w:space="0" w:color="auto"/>
        <w:right w:val="none" w:sz="0" w:space="0" w:color="auto"/>
      </w:divBdr>
    </w:div>
    <w:div w:id="868100809">
      <w:bodyDiv w:val="1"/>
      <w:marLeft w:val="0"/>
      <w:marRight w:val="0"/>
      <w:marTop w:val="0"/>
      <w:marBottom w:val="0"/>
      <w:divBdr>
        <w:top w:val="none" w:sz="0" w:space="0" w:color="auto"/>
        <w:left w:val="none" w:sz="0" w:space="0" w:color="auto"/>
        <w:bottom w:val="none" w:sz="0" w:space="0" w:color="auto"/>
        <w:right w:val="none" w:sz="0" w:space="0" w:color="auto"/>
      </w:divBdr>
    </w:div>
    <w:div w:id="878779033">
      <w:bodyDiv w:val="1"/>
      <w:marLeft w:val="0"/>
      <w:marRight w:val="0"/>
      <w:marTop w:val="0"/>
      <w:marBottom w:val="0"/>
      <w:divBdr>
        <w:top w:val="none" w:sz="0" w:space="0" w:color="auto"/>
        <w:left w:val="none" w:sz="0" w:space="0" w:color="auto"/>
        <w:bottom w:val="none" w:sz="0" w:space="0" w:color="auto"/>
        <w:right w:val="none" w:sz="0" w:space="0" w:color="auto"/>
      </w:divBdr>
    </w:div>
    <w:div w:id="896089202">
      <w:bodyDiv w:val="1"/>
      <w:marLeft w:val="0"/>
      <w:marRight w:val="0"/>
      <w:marTop w:val="0"/>
      <w:marBottom w:val="0"/>
      <w:divBdr>
        <w:top w:val="none" w:sz="0" w:space="0" w:color="auto"/>
        <w:left w:val="none" w:sz="0" w:space="0" w:color="auto"/>
        <w:bottom w:val="none" w:sz="0" w:space="0" w:color="auto"/>
        <w:right w:val="none" w:sz="0" w:space="0" w:color="auto"/>
      </w:divBdr>
    </w:div>
    <w:div w:id="900753449">
      <w:bodyDiv w:val="1"/>
      <w:marLeft w:val="0"/>
      <w:marRight w:val="0"/>
      <w:marTop w:val="0"/>
      <w:marBottom w:val="0"/>
      <w:divBdr>
        <w:top w:val="none" w:sz="0" w:space="0" w:color="auto"/>
        <w:left w:val="none" w:sz="0" w:space="0" w:color="auto"/>
        <w:bottom w:val="none" w:sz="0" w:space="0" w:color="auto"/>
        <w:right w:val="none" w:sz="0" w:space="0" w:color="auto"/>
      </w:divBdr>
    </w:div>
    <w:div w:id="910432943">
      <w:bodyDiv w:val="1"/>
      <w:marLeft w:val="0"/>
      <w:marRight w:val="0"/>
      <w:marTop w:val="0"/>
      <w:marBottom w:val="0"/>
      <w:divBdr>
        <w:top w:val="none" w:sz="0" w:space="0" w:color="auto"/>
        <w:left w:val="none" w:sz="0" w:space="0" w:color="auto"/>
        <w:bottom w:val="none" w:sz="0" w:space="0" w:color="auto"/>
        <w:right w:val="none" w:sz="0" w:space="0" w:color="auto"/>
      </w:divBdr>
    </w:div>
    <w:div w:id="917792675">
      <w:bodyDiv w:val="1"/>
      <w:marLeft w:val="0"/>
      <w:marRight w:val="0"/>
      <w:marTop w:val="0"/>
      <w:marBottom w:val="0"/>
      <w:divBdr>
        <w:top w:val="none" w:sz="0" w:space="0" w:color="auto"/>
        <w:left w:val="none" w:sz="0" w:space="0" w:color="auto"/>
        <w:bottom w:val="none" w:sz="0" w:space="0" w:color="auto"/>
        <w:right w:val="none" w:sz="0" w:space="0" w:color="auto"/>
      </w:divBdr>
    </w:div>
    <w:div w:id="921136832">
      <w:bodyDiv w:val="1"/>
      <w:marLeft w:val="0"/>
      <w:marRight w:val="0"/>
      <w:marTop w:val="0"/>
      <w:marBottom w:val="0"/>
      <w:divBdr>
        <w:top w:val="none" w:sz="0" w:space="0" w:color="auto"/>
        <w:left w:val="none" w:sz="0" w:space="0" w:color="auto"/>
        <w:bottom w:val="none" w:sz="0" w:space="0" w:color="auto"/>
        <w:right w:val="none" w:sz="0" w:space="0" w:color="auto"/>
      </w:divBdr>
    </w:div>
    <w:div w:id="948777959">
      <w:bodyDiv w:val="1"/>
      <w:marLeft w:val="0"/>
      <w:marRight w:val="0"/>
      <w:marTop w:val="0"/>
      <w:marBottom w:val="0"/>
      <w:divBdr>
        <w:top w:val="none" w:sz="0" w:space="0" w:color="auto"/>
        <w:left w:val="none" w:sz="0" w:space="0" w:color="auto"/>
        <w:bottom w:val="none" w:sz="0" w:space="0" w:color="auto"/>
        <w:right w:val="none" w:sz="0" w:space="0" w:color="auto"/>
      </w:divBdr>
    </w:div>
    <w:div w:id="964844929">
      <w:bodyDiv w:val="1"/>
      <w:marLeft w:val="0"/>
      <w:marRight w:val="0"/>
      <w:marTop w:val="0"/>
      <w:marBottom w:val="0"/>
      <w:divBdr>
        <w:top w:val="none" w:sz="0" w:space="0" w:color="auto"/>
        <w:left w:val="none" w:sz="0" w:space="0" w:color="auto"/>
        <w:bottom w:val="none" w:sz="0" w:space="0" w:color="auto"/>
        <w:right w:val="none" w:sz="0" w:space="0" w:color="auto"/>
      </w:divBdr>
    </w:div>
    <w:div w:id="975644000">
      <w:bodyDiv w:val="1"/>
      <w:marLeft w:val="0"/>
      <w:marRight w:val="0"/>
      <w:marTop w:val="0"/>
      <w:marBottom w:val="0"/>
      <w:divBdr>
        <w:top w:val="none" w:sz="0" w:space="0" w:color="auto"/>
        <w:left w:val="none" w:sz="0" w:space="0" w:color="auto"/>
        <w:bottom w:val="none" w:sz="0" w:space="0" w:color="auto"/>
        <w:right w:val="none" w:sz="0" w:space="0" w:color="auto"/>
      </w:divBdr>
    </w:div>
    <w:div w:id="980036520">
      <w:bodyDiv w:val="1"/>
      <w:marLeft w:val="0"/>
      <w:marRight w:val="0"/>
      <w:marTop w:val="0"/>
      <w:marBottom w:val="0"/>
      <w:divBdr>
        <w:top w:val="none" w:sz="0" w:space="0" w:color="auto"/>
        <w:left w:val="none" w:sz="0" w:space="0" w:color="auto"/>
        <w:bottom w:val="none" w:sz="0" w:space="0" w:color="auto"/>
        <w:right w:val="none" w:sz="0" w:space="0" w:color="auto"/>
      </w:divBdr>
    </w:div>
    <w:div w:id="986855840">
      <w:bodyDiv w:val="1"/>
      <w:marLeft w:val="0"/>
      <w:marRight w:val="0"/>
      <w:marTop w:val="0"/>
      <w:marBottom w:val="0"/>
      <w:divBdr>
        <w:top w:val="none" w:sz="0" w:space="0" w:color="auto"/>
        <w:left w:val="none" w:sz="0" w:space="0" w:color="auto"/>
        <w:bottom w:val="none" w:sz="0" w:space="0" w:color="auto"/>
        <w:right w:val="none" w:sz="0" w:space="0" w:color="auto"/>
      </w:divBdr>
    </w:div>
    <w:div w:id="996153319">
      <w:bodyDiv w:val="1"/>
      <w:marLeft w:val="0"/>
      <w:marRight w:val="0"/>
      <w:marTop w:val="0"/>
      <w:marBottom w:val="0"/>
      <w:divBdr>
        <w:top w:val="none" w:sz="0" w:space="0" w:color="auto"/>
        <w:left w:val="none" w:sz="0" w:space="0" w:color="auto"/>
        <w:bottom w:val="none" w:sz="0" w:space="0" w:color="auto"/>
        <w:right w:val="none" w:sz="0" w:space="0" w:color="auto"/>
      </w:divBdr>
    </w:div>
    <w:div w:id="1019509784">
      <w:bodyDiv w:val="1"/>
      <w:marLeft w:val="0"/>
      <w:marRight w:val="0"/>
      <w:marTop w:val="0"/>
      <w:marBottom w:val="0"/>
      <w:divBdr>
        <w:top w:val="none" w:sz="0" w:space="0" w:color="auto"/>
        <w:left w:val="none" w:sz="0" w:space="0" w:color="auto"/>
        <w:bottom w:val="none" w:sz="0" w:space="0" w:color="auto"/>
        <w:right w:val="none" w:sz="0" w:space="0" w:color="auto"/>
      </w:divBdr>
    </w:div>
    <w:div w:id="1038313129">
      <w:bodyDiv w:val="1"/>
      <w:marLeft w:val="0"/>
      <w:marRight w:val="0"/>
      <w:marTop w:val="0"/>
      <w:marBottom w:val="0"/>
      <w:divBdr>
        <w:top w:val="none" w:sz="0" w:space="0" w:color="auto"/>
        <w:left w:val="none" w:sz="0" w:space="0" w:color="auto"/>
        <w:bottom w:val="none" w:sz="0" w:space="0" w:color="auto"/>
        <w:right w:val="none" w:sz="0" w:space="0" w:color="auto"/>
      </w:divBdr>
    </w:div>
    <w:div w:id="1039429938">
      <w:bodyDiv w:val="1"/>
      <w:marLeft w:val="0"/>
      <w:marRight w:val="0"/>
      <w:marTop w:val="0"/>
      <w:marBottom w:val="0"/>
      <w:divBdr>
        <w:top w:val="none" w:sz="0" w:space="0" w:color="auto"/>
        <w:left w:val="none" w:sz="0" w:space="0" w:color="auto"/>
        <w:bottom w:val="none" w:sz="0" w:space="0" w:color="auto"/>
        <w:right w:val="none" w:sz="0" w:space="0" w:color="auto"/>
      </w:divBdr>
    </w:div>
    <w:div w:id="1054282271">
      <w:bodyDiv w:val="1"/>
      <w:marLeft w:val="0"/>
      <w:marRight w:val="0"/>
      <w:marTop w:val="0"/>
      <w:marBottom w:val="0"/>
      <w:divBdr>
        <w:top w:val="none" w:sz="0" w:space="0" w:color="auto"/>
        <w:left w:val="none" w:sz="0" w:space="0" w:color="auto"/>
        <w:bottom w:val="none" w:sz="0" w:space="0" w:color="auto"/>
        <w:right w:val="none" w:sz="0" w:space="0" w:color="auto"/>
      </w:divBdr>
    </w:div>
    <w:div w:id="1055854408">
      <w:bodyDiv w:val="1"/>
      <w:marLeft w:val="0"/>
      <w:marRight w:val="0"/>
      <w:marTop w:val="0"/>
      <w:marBottom w:val="0"/>
      <w:divBdr>
        <w:top w:val="none" w:sz="0" w:space="0" w:color="auto"/>
        <w:left w:val="none" w:sz="0" w:space="0" w:color="auto"/>
        <w:bottom w:val="none" w:sz="0" w:space="0" w:color="auto"/>
        <w:right w:val="none" w:sz="0" w:space="0" w:color="auto"/>
      </w:divBdr>
    </w:div>
    <w:div w:id="1060784925">
      <w:bodyDiv w:val="1"/>
      <w:marLeft w:val="0"/>
      <w:marRight w:val="0"/>
      <w:marTop w:val="0"/>
      <w:marBottom w:val="0"/>
      <w:divBdr>
        <w:top w:val="none" w:sz="0" w:space="0" w:color="auto"/>
        <w:left w:val="none" w:sz="0" w:space="0" w:color="auto"/>
        <w:bottom w:val="none" w:sz="0" w:space="0" w:color="auto"/>
        <w:right w:val="none" w:sz="0" w:space="0" w:color="auto"/>
      </w:divBdr>
    </w:div>
    <w:div w:id="1080101741">
      <w:bodyDiv w:val="1"/>
      <w:marLeft w:val="0"/>
      <w:marRight w:val="0"/>
      <w:marTop w:val="0"/>
      <w:marBottom w:val="0"/>
      <w:divBdr>
        <w:top w:val="none" w:sz="0" w:space="0" w:color="auto"/>
        <w:left w:val="none" w:sz="0" w:space="0" w:color="auto"/>
        <w:bottom w:val="none" w:sz="0" w:space="0" w:color="auto"/>
        <w:right w:val="none" w:sz="0" w:space="0" w:color="auto"/>
      </w:divBdr>
    </w:div>
    <w:div w:id="1094352417">
      <w:bodyDiv w:val="1"/>
      <w:marLeft w:val="0"/>
      <w:marRight w:val="0"/>
      <w:marTop w:val="0"/>
      <w:marBottom w:val="0"/>
      <w:divBdr>
        <w:top w:val="none" w:sz="0" w:space="0" w:color="auto"/>
        <w:left w:val="none" w:sz="0" w:space="0" w:color="auto"/>
        <w:bottom w:val="none" w:sz="0" w:space="0" w:color="auto"/>
        <w:right w:val="none" w:sz="0" w:space="0" w:color="auto"/>
      </w:divBdr>
    </w:div>
    <w:div w:id="1094664861">
      <w:bodyDiv w:val="1"/>
      <w:marLeft w:val="0"/>
      <w:marRight w:val="0"/>
      <w:marTop w:val="0"/>
      <w:marBottom w:val="0"/>
      <w:divBdr>
        <w:top w:val="none" w:sz="0" w:space="0" w:color="auto"/>
        <w:left w:val="none" w:sz="0" w:space="0" w:color="auto"/>
        <w:bottom w:val="none" w:sz="0" w:space="0" w:color="auto"/>
        <w:right w:val="none" w:sz="0" w:space="0" w:color="auto"/>
      </w:divBdr>
    </w:div>
    <w:div w:id="1100492717">
      <w:bodyDiv w:val="1"/>
      <w:marLeft w:val="0"/>
      <w:marRight w:val="0"/>
      <w:marTop w:val="0"/>
      <w:marBottom w:val="0"/>
      <w:divBdr>
        <w:top w:val="none" w:sz="0" w:space="0" w:color="auto"/>
        <w:left w:val="none" w:sz="0" w:space="0" w:color="auto"/>
        <w:bottom w:val="none" w:sz="0" w:space="0" w:color="auto"/>
        <w:right w:val="none" w:sz="0" w:space="0" w:color="auto"/>
      </w:divBdr>
    </w:div>
    <w:div w:id="1100876222">
      <w:bodyDiv w:val="1"/>
      <w:marLeft w:val="0"/>
      <w:marRight w:val="0"/>
      <w:marTop w:val="0"/>
      <w:marBottom w:val="0"/>
      <w:divBdr>
        <w:top w:val="none" w:sz="0" w:space="0" w:color="auto"/>
        <w:left w:val="none" w:sz="0" w:space="0" w:color="auto"/>
        <w:bottom w:val="none" w:sz="0" w:space="0" w:color="auto"/>
        <w:right w:val="none" w:sz="0" w:space="0" w:color="auto"/>
      </w:divBdr>
    </w:div>
    <w:div w:id="1103187674">
      <w:bodyDiv w:val="1"/>
      <w:marLeft w:val="0"/>
      <w:marRight w:val="0"/>
      <w:marTop w:val="0"/>
      <w:marBottom w:val="0"/>
      <w:divBdr>
        <w:top w:val="none" w:sz="0" w:space="0" w:color="auto"/>
        <w:left w:val="none" w:sz="0" w:space="0" w:color="auto"/>
        <w:bottom w:val="none" w:sz="0" w:space="0" w:color="auto"/>
        <w:right w:val="none" w:sz="0" w:space="0" w:color="auto"/>
      </w:divBdr>
    </w:div>
    <w:div w:id="1114980745">
      <w:bodyDiv w:val="1"/>
      <w:marLeft w:val="0"/>
      <w:marRight w:val="0"/>
      <w:marTop w:val="0"/>
      <w:marBottom w:val="0"/>
      <w:divBdr>
        <w:top w:val="none" w:sz="0" w:space="0" w:color="auto"/>
        <w:left w:val="none" w:sz="0" w:space="0" w:color="auto"/>
        <w:bottom w:val="none" w:sz="0" w:space="0" w:color="auto"/>
        <w:right w:val="none" w:sz="0" w:space="0" w:color="auto"/>
      </w:divBdr>
    </w:div>
    <w:div w:id="1138255926">
      <w:bodyDiv w:val="1"/>
      <w:marLeft w:val="0"/>
      <w:marRight w:val="0"/>
      <w:marTop w:val="0"/>
      <w:marBottom w:val="0"/>
      <w:divBdr>
        <w:top w:val="none" w:sz="0" w:space="0" w:color="auto"/>
        <w:left w:val="none" w:sz="0" w:space="0" w:color="auto"/>
        <w:bottom w:val="none" w:sz="0" w:space="0" w:color="auto"/>
        <w:right w:val="none" w:sz="0" w:space="0" w:color="auto"/>
      </w:divBdr>
    </w:div>
    <w:div w:id="1152481246">
      <w:bodyDiv w:val="1"/>
      <w:marLeft w:val="0"/>
      <w:marRight w:val="0"/>
      <w:marTop w:val="0"/>
      <w:marBottom w:val="0"/>
      <w:divBdr>
        <w:top w:val="none" w:sz="0" w:space="0" w:color="auto"/>
        <w:left w:val="none" w:sz="0" w:space="0" w:color="auto"/>
        <w:bottom w:val="none" w:sz="0" w:space="0" w:color="auto"/>
        <w:right w:val="none" w:sz="0" w:space="0" w:color="auto"/>
      </w:divBdr>
    </w:div>
    <w:div w:id="1154490406">
      <w:bodyDiv w:val="1"/>
      <w:marLeft w:val="0"/>
      <w:marRight w:val="0"/>
      <w:marTop w:val="0"/>
      <w:marBottom w:val="0"/>
      <w:divBdr>
        <w:top w:val="none" w:sz="0" w:space="0" w:color="auto"/>
        <w:left w:val="none" w:sz="0" w:space="0" w:color="auto"/>
        <w:bottom w:val="none" w:sz="0" w:space="0" w:color="auto"/>
        <w:right w:val="none" w:sz="0" w:space="0" w:color="auto"/>
      </w:divBdr>
    </w:div>
    <w:div w:id="1156068970">
      <w:bodyDiv w:val="1"/>
      <w:marLeft w:val="0"/>
      <w:marRight w:val="0"/>
      <w:marTop w:val="0"/>
      <w:marBottom w:val="0"/>
      <w:divBdr>
        <w:top w:val="none" w:sz="0" w:space="0" w:color="auto"/>
        <w:left w:val="none" w:sz="0" w:space="0" w:color="auto"/>
        <w:bottom w:val="none" w:sz="0" w:space="0" w:color="auto"/>
        <w:right w:val="none" w:sz="0" w:space="0" w:color="auto"/>
      </w:divBdr>
    </w:div>
    <w:div w:id="1167945100">
      <w:bodyDiv w:val="1"/>
      <w:marLeft w:val="0"/>
      <w:marRight w:val="0"/>
      <w:marTop w:val="0"/>
      <w:marBottom w:val="0"/>
      <w:divBdr>
        <w:top w:val="none" w:sz="0" w:space="0" w:color="auto"/>
        <w:left w:val="none" w:sz="0" w:space="0" w:color="auto"/>
        <w:bottom w:val="none" w:sz="0" w:space="0" w:color="auto"/>
        <w:right w:val="none" w:sz="0" w:space="0" w:color="auto"/>
      </w:divBdr>
    </w:div>
    <w:div w:id="1190723814">
      <w:bodyDiv w:val="1"/>
      <w:marLeft w:val="0"/>
      <w:marRight w:val="0"/>
      <w:marTop w:val="0"/>
      <w:marBottom w:val="0"/>
      <w:divBdr>
        <w:top w:val="none" w:sz="0" w:space="0" w:color="auto"/>
        <w:left w:val="none" w:sz="0" w:space="0" w:color="auto"/>
        <w:bottom w:val="none" w:sz="0" w:space="0" w:color="auto"/>
        <w:right w:val="none" w:sz="0" w:space="0" w:color="auto"/>
      </w:divBdr>
    </w:div>
    <w:div w:id="1203523003">
      <w:bodyDiv w:val="1"/>
      <w:marLeft w:val="0"/>
      <w:marRight w:val="0"/>
      <w:marTop w:val="0"/>
      <w:marBottom w:val="0"/>
      <w:divBdr>
        <w:top w:val="none" w:sz="0" w:space="0" w:color="auto"/>
        <w:left w:val="none" w:sz="0" w:space="0" w:color="auto"/>
        <w:bottom w:val="none" w:sz="0" w:space="0" w:color="auto"/>
        <w:right w:val="none" w:sz="0" w:space="0" w:color="auto"/>
      </w:divBdr>
    </w:div>
    <w:div w:id="1212229863">
      <w:bodyDiv w:val="1"/>
      <w:marLeft w:val="0"/>
      <w:marRight w:val="0"/>
      <w:marTop w:val="0"/>
      <w:marBottom w:val="0"/>
      <w:divBdr>
        <w:top w:val="none" w:sz="0" w:space="0" w:color="auto"/>
        <w:left w:val="none" w:sz="0" w:space="0" w:color="auto"/>
        <w:bottom w:val="none" w:sz="0" w:space="0" w:color="auto"/>
        <w:right w:val="none" w:sz="0" w:space="0" w:color="auto"/>
      </w:divBdr>
    </w:div>
    <w:div w:id="1239485853">
      <w:bodyDiv w:val="1"/>
      <w:marLeft w:val="0"/>
      <w:marRight w:val="0"/>
      <w:marTop w:val="0"/>
      <w:marBottom w:val="0"/>
      <w:divBdr>
        <w:top w:val="none" w:sz="0" w:space="0" w:color="auto"/>
        <w:left w:val="none" w:sz="0" w:space="0" w:color="auto"/>
        <w:bottom w:val="none" w:sz="0" w:space="0" w:color="auto"/>
        <w:right w:val="none" w:sz="0" w:space="0" w:color="auto"/>
      </w:divBdr>
    </w:div>
    <w:div w:id="1239709403">
      <w:bodyDiv w:val="1"/>
      <w:marLeft w:val="0"/>
      <w:marRight w:val="0"/>
      <w:marTop w:val="0"/>
      <w:marBottom w:val="0"/>
      <w:divBdr>
        <w:top w:val="none" w:sz="0" w:space="0" w:color="auto"/>
        <w:left w:val="none" w:sz="0" w:space="0" w:color="auto"/>
        <w:bottom w:val="none" w:sz="0" w:space="0" w:color="auto"/>
        <w:right w:val="none" w:sz="0" w:space="0" w:color="auto"/>
      </w:divBdr>
    </w:div>
    <w:div w:id="1251966888">
      <w:bodyDiv w:val="1"/>
      <w:marLeft w:val="0"/>
      <w:marRight w:val="0"/>
      <w:marTop w:val="0"/>
      <w:marBottom w:val="0"/>
      <w:divBdr>
        <w:top w:val="none" w:sz="0" w:space="0" w:color="auto"/>
        <w:left w:val="none" w:sz="0" w:space="0" w:color="auto"/>
        <w:bottom w:val="none" w:sz="0" w:space="0" w:color="auto"/>
        <w:right w:val="none" w:sz="0" w:space="0" w:color="auto"/>
      </w:divBdr>
    </w:div>
    <w:div w:id="1287934406">
      <w:bodyDiv w:val="1"/>
      <w:marLeft w:val="0"/>
      <w:marRight w:val="0"/>
      <w:marTop w:val="0"/>
      <w:marBottom w:val="0"/>
      <w:divBdr>
        <w:top w:val="none" w:sz="0" w:space="0" w:color="auto"/>
        <w:left w:val="none" w:sz="0" w:space="0" w:color="auto"/>
        <w:bottom w:val="none" w:sz="0" w:space="0" w:color="auto"/>
        <w:right w:val="none" w:sz="0" w:space="0" w:color="auto"/>
      </w:divBdr>
    </w:div>
    <w:div w:id="1291132833">
      <w:bodyDiv w:val="1"/>
      <w:marLeft w:val="0"/>
      <w:marRight w:val="0"/>
      <w:marTop w:val="0"/>
      <w:marBottom w:val="0"/>
      <w:divBdr>
        <w:top w:val="none" w:sz="0" w:space="0" w:color="auto"/>
        <w:left w:val="none" w:sz="0" w:space="0" w:color="auto"/>
        <w:bottom w:val="none" w:sz="0" w:space="0" w:color="auto"/>
        <w:right w:val="none" w:sz="0" w:space="0" w:color="auto"/>
      </w:divBdr>
    </w:div>
    <w:div w:id="1314411618">
      <w:bodyDiv w:val="1"/>
      <w:marLeft w:val="0"/>
      <w:marRight w:val="0"/>
      <w:marTop w:val="0"/>
      <w:marBottom w:val="0"/>
      <w:divBdr>
        <w:top w:val="none" w:sz="0" w:space="0" w:color="auto"/>
        <w:left w:val="none" w:sz="0" w:space="0" w:color="auto"/>
        <w:bottom w:val="none" w:sz="0" w:space="0" w:color="auto"/>
        <w:right w:val="none" w:sz="0" w:space="0" w:color="auto"/>
      </w:divBdr>
    </w:div>
    <w:div w:id="1319723470">
      <w:bodyDiv w:val="1"/>
      <w:marLeft w:val="0"/>
      <w:marRight w:val="0"/>
      <w:marTop w:val="0"/>
      <w:marBottom w:val="0"/>
      <w:divBdr>
        <w:top w:val="none" w:sz="0" w:space="0" w:color="auto"/>
        <w:left w:val="none" w:sz="0" w:space="0" w:color="auto"/>
        <w:bottom w:val="none" w:sz="0" w:space="0" w:color="auto"/>
        <w:right w:val="none" w:sz="0" w:space="0" w:color="auto"/>
      </w:divBdr>
    </w:div>
    <w:div w:id="1327830491">
      <w:bodyDiv w:val="1"/>
      <w:marLeft w:val="0"/>
      <w:marRight w:val="0"/>
      <w:marTop w:val="0"/>
      <w:marBottom w:val="0"/>
      <w:divBdr>
        <w:top w:val="none" w:sz="0" w:space="0" w:color="auto"/>
        <w:left w:val="none" w:sz="0" w:space="0" w:color="auto"/>
        <w:bottom w:val="none" w:sz="0" w:space="0" w:color="auto"/>
        <w:right w:val="none" w:sz="0" w:space="0" w:color="auto"/>
      </w:divBdr>
    </w:div>
    <w:div w:id="1339969644">
      <w:bodyDiv w:val="1"/>
      <w:marLeft w:val="0"/>
      <w:marRight w:val="0"/>
      <w:marTop w:val="0"/>
      <w:marBottom w:val="0"/>
      <w:divBdr>
        <w:top w:val="none" w:sz="0" w:space="0" w:color="auto"/>
        <w:left w:val="none" w:sz="0" w:space="0" w:color="auto"/>
        <w:bottom w:val="none" w:sz="0" w:space="0" w:color="auto"/>
        <w:right w:val="none" w:sz="0" w:space="0" w:color="auto"/>
      </w:divBdr>
    </w:div>
    <w:div w:id="1349865434">
      <w:bodyDiv w:val="1"/>
      <w:marLeft w:val="0"/>
      <w:marRight w:val="0"/>
      <w:marTop w:val="0"/>
      <w:marBottom w:val="0"/>
      <w:divBdr>
        <w:top w:val="none" w:sz="0" w:space="0" w:color="auto"/>
        <w:left w:val="none" w:sz="0" w:space="0" w:color="auto"/>
        <w:bottom w:val="none" w:sz="0" w:space="0" w:color="auto"/>
        <w:right w:val="none" w:sz="0" w:space="0" w:color="auto"/>
      </w:divBdr>
      <w:divsChild>
        <w:div w:id="1978940">
          <w:marLeft w:val="0"/>
          <w:marRight w:val="0"/>
          <w:marTop w:val="0"/>
          <w:marBottom w:val="0"/>
          <w:divBdr>
            <w:top w:val="none" w:sz="0" w:space="0" w:color="auto"/>
            <w:left w:val="none" w:sz="0" w:space="0" w:color="auto"/>
            <w:bottom w:val="none" w:sz="0" w:space="0" w:color="auto"/>
            <w:right w:val="none" w:sz="0" w:space="0" w:color="auto"/>
          </w:divBdr>
        </w:div>
      </w:divsChild>
    </w:div>
    <w:div w:id="1360203485">
      <w:bodyDiv w:val="1"/>
      <w:marLeft w:val="0"/>
      <w:marRight w:val="0"/>
      <w:marTop w:val="0"/>
      <w:marBottom w:val="0"/>
      <w:divBdr>
        <w:top w:val="none" w:sz="0" w:space="0" w:color="auto"/>
        <w:left w:val="none" w:sz="0" w:space="0" w:color="auto"/>
        <w:bottom w:val="none" w:sz="0" w:space="0" w:color="auto"/>
        <w:right w:val="none" w:sz="0" w:space="0" w:color="auto"/>
      </w:divBdr>
    </w:div>
    <w:div w:id="1365055607">
      <w:bodyDiv w:val="1"/>
      <w:marLeft w:val="0"/>
      <w:marRight w:val="0"/>
      <w:marTop w:val="0"/>
      <w:marBottom w:val="0"/>
      <w:divBdr>
        <w:top w:val="none" w:sz="0" w:space="0" w:color="auto"/>
        <w:left w:val="none" w:sz="0" w:space="0" w:color="auto"/>
        <w:bottom w:val="none" w:sz="0" w:space="0" w:color="auto"/>
        <w:right w:val="none" w:sz="0" w:space="0" w:color="auto"/>
      </w:divBdr>
    </w:div>
    <w:div w:id="1388987578">
      <w:bodyDiv w:val="1"/>
      <w:marLeft w:val="0"/>
      <w:marRight w:val="0"/>
      <w:marTop w:val="0"/>
      <w:marBottom w:val="0"/>
      <w:divBdr>
        <w:top w:val="none" w:sz="0" w:space="0" w:color="auto"/>
        <w:left w:val="none" w:sz="0" w:space="0" w:color="auto"/>
        <w:bottom w:val="none" w:sz="0" w:space="0" w:color="auto"/>
        <w:right w:val="none" w:sz="0" w:space="0" w:color="auto"/>
      </w:divBdr>
    </w:div>
    <w:div w:id="1402482427">
      <w:bodyDiv w:val="1"/>
      <w:marLeft w:val="0"/>
      <w:marRight w:val="0"/>
      <w:marTop w:val="0"/>
      <w:marBottom w:val="0"/>
      <w:divBdr>
        <w:top w:val="none" w:sz="0" w:space="0" w:color="auto"/>
        <w:left w:val="none" w:sz="0" w:space="0" w:color="auto"/>
        <w:bottom w:val="none" w:sz="0" w:space="0" w:color="auto"/>
        <w:right w:val="none" w:sz="0" w:space="0" w:color="auto"/>
      </w:divBdr>
    </w:div>
    <w:div w:id="1438678349">
      <w:bodyDiv w:val="1"/>
      <w:marLeft w:val="0"/>
      <w:marRight w:val="0"/>
      <w:marTop w:val="0"/>
      <w:marBottom w:val="0"/>
      <w:divBdr>
        <w:top w:val="none" w:sz="0" w:space="0" w:color="auto"/>
        <w:left w:val="none" w:sz="0" w:space="0" w:color="auto"/>
        <w:bottom w:val="none" w:sz="0" w:space="0" w:color="auto"/>
        <w:right w:val="none" w:sz="0" w:space="0" w:color="auto"/>
      </w:divBdr>
    </w:div>
    <w:div w:id="1444380082">
      <w:bodyDiv w:val="1"/>
      <w:marLeft w:val="0"/>
      <w:marRight w:val="0"/>
      <w:marTop w:val="0"/>
      <w:marBottom w:val="0"/>
      <w:divBdr>
        <w:top w:val="none" w:sz="0" w:space="0" w:color="auto"/>
        <w:left w:val="none" w:sz="0" w:space="0" w:color="auto"/>
        <w:bottom w:val="none" w:sz="0" w:space="0" w:color="auto"/>
        <w:right w:val="none" w:sz="0" w:space="0" w:color="auto"/>
      </w:divBdr>
    </w:div>
    <w:div w:id="1446268520">
      <w:bodyDiv w:val="1"/>
      <w:marLeft w:val="0"/>
      <w:marRight w:val="0"/>
      <w:marTop w:val="0"/>
      <w:marBottom w:val="0"/>
      <w:divBdr>
        <w:top w:val="none" w:sz="0" w:space="0" w:color="auto"/>
        <w:left w:val="none" w:sz="0" w:space="0" w:color="auto"/>
        <w:bottom w:val="none" w:sz="0" w:space="0" w:color="auto"/>
        <w:right w:val="none" w:sz="0" w:space="0" w:color="auto"/>
      </w:divBdr>
    </w:div>
    <w:div w:id="1458455494">
      <w:bodyDiv w:val="1"/>
      <w:marLeft w:val="0"/>
      <w:marRight w:val="0"/>
      <w:marTop w:val="0"/>
      <w:marBottom w:val="0"/>
      <w:divBdr>
        <w:top w:val="none" w:sz="0" w:space="0" w:color="auto"/>
        <w:left w:val="none" w:sz="0" w:space="0" w:color="auto"/>
        <w:bottom w:val="none" w:sz="0" w:space="0" w:color="auto"/>
        <w:right w:val="none" w:sz="0" w:space="0" w:color="auto"/>
      </w:divBdr>
    </w:div>
    <w:div w:id="1481771487">
      <w:bodyDiv w:val="1"/>
      <w:marLeft w:val="0"/>
      <w:marRight w:val="0"/>
      <w:marTop w:val="0"/>
      <w:marBottom w:val="0"/>
      <w:divBdr>
        <w:top w:val="none" w:sz="0" w:space="0" w:color="auto"/>
        <w:left w:val="none" w:sz="0" w:space="0" w:color="auto"/>
        <w:bottom w:val="none" w:sz="0" w:space="0" w:color="auto"/>
        <w:right w:val="none" w:sz="0" w:space="0" w:color="auto"/>
      </w:divBdr>
    </w:div>
    <w:div w:id="1487940246">
      <w:bodyDiv w:val="1"/>
      <w:marLeft w:val="0"/>
      <w:marRight w:val="0"/>
      <w:marTop w:val="0"/>
      <w:marBottom w:val="0"/>
      <w:divBdr>
        <w:top w:val="none" w:sz="0" w:space="0" w:color="auto"/>
        <w:left w:val="none" w:sz="0" w:space="0" w:color="auto"/>
        <w:bottom w:val="none" w:sz="0" w:space="0" w:color="auto"/>
        <w:right w:val="none" w:sz="0" w:space="0" w:color="auto"/>
      </w:divBdr>
    </w:div>
    <w:div w:id="1490949242">
      <w:bodyDiv w:val="1"/>
      <w:marLeft w:val="0"/>
      <w:marRight w:val="0"/>
      <w:marTop w:val="0"/>
      <w:marBottom w:val="0"/>
      <w:divBdr>
        <w:top w:val="none" w:sz="0" w:space="0" w:color="auto"/>
        <w:left w:val="none" w:sz="0" w:space="0" w:color="auto"/>
        <w:bottom w:val="none" w:sz="0" w:space="0" w:color="auto"/>
        <w:right w:val="none" w:sz="0" w:space="0" w:color="auto"/>
      </w:divBdr>
    </w:div>
    <w:div w:id="1499421222">
      <w:bodyDiv w:val="1"/>
      <w:marLeft w:val="0"/>
      <w:marRight w:val="0"/>
      <w:marTop w:val="0"/>
      <w:marBottom w:val="0"/>
      <w:divBdr>
        <w:top w:val="none" w:sz="0" w:space="0" w:color="auto"/>
        <w:left w:val="none" w:sz="0" w:space="0" w:color="auto"/>
        <w:bottom w:val="none" w:sz="0" w:space="0" w:color="auto"/>
        <w:right w:val="none" w:sz="0" w:space="0" w:color="auto"/>
      </w:divBdr>
    </w:div>
    <w:div w:id="1532644016">
      <w:bodyDiv w:val="1"/>
      <w:marLeft w:val="0"/>
      <w:marRight w:val="0"/>
      <w:marTop w:val="0"/>
      <w:marBottom w:val="0"/>
      <w:divBdr>
        <w:top w:val="none" w:sz="0" w:space="0" w:color="auto"/>
        <w:left w:val="none" w:sz="0" w:space="0" w:color="auto"/>
        <w:bottom w:val="none" w:sz="0" w:space="0" w:color="auto"/>
        <w:right w:val="none" w:sz="0" w:space="0" w:color="auto"/>
      </w:divBdr>
    </w:div>
    <w:div w:id="1549685504">
      <w:bodyDiv w:val="1"/>
      <w:marLeft w:val="0"/>
      <w:marRight w:val="0"/>
      <w:marTop w:val="0"/>
      <w:marBottom w:val="0"/>
      <w:divBdr>
        <w:top w:val="none" w:sz="0" w:space="0" w:color="auto"/>
        <w:left w:val="none" w:sz="0" w:space="0" w:color="auto"/>
        <w:bottom w:val="none" w:sz="0" w:space="0" w:color="auto"/>
        <w:right w:val="none" w:sz="0" w:space="0" w:color="auto"/>
      </w:divBdr>
    </w:div>
    <w:div w:id="1556547560">
      <w:bodyDiv w:val="1"/>
      <w:marLeft w:val="0"/>
      <w:marRight w:val="0"/>
      <w:marTop w:val="0"/>
      <w:marBottom w:val="0"/>
      <w:divBdr>
        <w:top w:val="none" w:sz="0" w:space="0" w:color="auto"/>
        <w:left w:val="none" w:sz="0" w:space="0" w:color="auto"/>
        <w:bottom w:val="none" w:sz="0" w:space="0" w:color="auto"/>
        <w:right w:val="none" w:sz="0" w:space="0" w:color="auto"/>
      </w:divBdr>
    </w:div>
    <w:div w:id="1559433032">
      <w:bodyDiv w:val="1"/>
      <w:marLeft w:val="0"/>
      <w:marRight w:val="0"/>
      <w:marTop w:val="0"/>
      <w:marBottom w:val="0"/>
      <w:divBdr>
        <w:top w:val="none" w:sz="0" w:space="0" w:color="auto"/>
        <w:left w:val="none" w:sz="0" w:space="0" w:color="auto"/>
        <w:bottom w:val="none" w:sz="0" w:space="0" w:color="auto"/>
        <w:right w:val="none" w:sz="0" w:space="0" w:color="auto"/>
      </w:divBdr>
    </w:div>
    <w:div w:id="1605530621">
      <w:bodyDiv w:val="1"/>
      <w:marLeft w:val="0"/>
      <w:marRight w:val="0"/>
      <w:marTop w:val="0"/>
      <w:marBottom w:val="0"/>
      <w:divBdr>
        <w:top w:val="none" w:sz="0" w:space="0" w:color="auto"/>
        <w:left w:val="none" w:sz="0" w:space="0" w:color="auto"/>
        <w:bottom w:val="none" w:sz="0" w:space="0" w:color="auto"/>
        <w:right w:val="none" w:sz="0" w:space="0" w:color="auto"/>
      </w:divBdr>
    </w:div>
    <w:div w:id="1615094823">
      <w:bodyDiv w:val="1"/>
      <w:marLeft w:val="0"/>
      <w:marRight w:val="0"/>
      <w:marTop w:val="0"/>
      <w:marBottom w:val="0"/>
      <w:divBdr>
        <w:top w:val="none" w:sz="0" w:space="0" w:color="auto"/>
        <w:left w:val="none" w:sz="0" w:space="0" w:color="auto"/>
        <w:bottom w:val="none" w:sz="0" w:space="0" w:color="auto"/>
        <w:right w:val="none" w:sz="0" w:space="0" w:color="auto"/>
      </w:divBdr>
    </w:div>
    <w:div w:id="1619602914">
      <w:bodyDiv w:val="1"/>
      <w:marLeft w:val="0"/>
      <w:marRight w:val="0"/>
      <w:marTop w:val="0"/>
      <w:marBottom w:val="0"/>
      <w:divBdr>
        <w:top w:val="none" w:sz="0" w:space="0" w:color="auto"/>
        <w:left w:val="none" w:sz="0" w:space="0" w:color="auto"/>
        <w:bottom w:val="none" w:sz="0" w:space="0" w:color="auto"/>
        <w:right w:val="none" w:sz="0" w:space="0" w:color="auto"/>
      </w:divBdr>
    </w:div>
    <w:div w:id="1630746286">
      <w:bodyDiv w:val="1"/>
      <w:marLeft w:val="0"/>
      <w:marRight w:val="0"/>
      <w:marTop w:val="0"/>
      <w:marBottom w:val="0"/>
      <w:divBdr>
        <w:top w:val="none" w:sz="0" w:space="0" w:color="auto"/>
        <w:left w:val="none" w:sz="0" w:space="0" w:color="auto"/>
        <w:bottom w:val="none" w:sz="0" w:space="0" w:color="auto"/>
        <w:right w:val="none" w:sz="0" w:space="0" w:color="auto"/>
      </w:divBdr>
    </w:div>
    <w:div w:id="1640260155">
      <w:bodyDiv w:val="1"/>
      <w:marLeft w:val="0"/>
      <w:marRight w:val="0"/>
      <w:marTop w:val="0"/>
      <w:marBottom w:val="0"/>
      <w:divBdr>
        <w:top w:val="none" w:sz="0" w:space="0" w:color="auto"/>
        <w:left w:val="none" w:sz="0" w:space="0" w:color="auto"/>
        <w:bottom w:val="none" w:sz="0" w:space="0" w:color="auto"/>
        <w:right w:val="none" w:sz="0" w:space="0" w:color="auto"/>
      </w:divBdr>
    </w:div>
    <w:div w:id="1647122591">
      <w:bodyDiv w:val="1"/>
      <w:marLeft w:val="0"/>
      <w:marRight w:val="0"/>
      <w:marTop w:val="0"/>
      <w:marBottom w:val="0"/>
      <w:divBdr>
        <w:top w:val="none" w:sz="0" w:space="0" w:color="auto"/>
        <w:left w:val="none" w:sz="0" w:space="0" w:color="auto"/>
        <w:bottom w:val="none" w:sz="0" w:space="0" w:color="auto"/>
        <w:right w:val="none" w:sz="0" w:space="0" w:color="auto"/>
      </w:divBdr>
    </w:div>
    <w:div w:id="1672367981">
      <w:bodyDiv w:val="1"/>
      <w:marLeft w:val="0"/>
      <w:marRight w:val="0"/>
      <w:marTop w:val="0"/>
      <w:marBottom w:val="0"/>
      <w:divBdr>
        <w:top w:val="none" w:sz="0" w:space="0" w:color="auto"/>
        <w:left w:val="none" w:sz="0" w:space="0" w:color="auto"/>
        <w:bottom w:val="none" w:sz="0" w:space="0" w:color="auto"/>
        <w:right w:val="none" w:sz="0" w:space="0" w:color="auto"/>
      </w:divBdr>
    </w:div>
    <w:div w:id="1721200877">
      <w:bodyDiv w:val="1"/>
      <w:marLeft w:val="0"/>
      <w:marRight w:val="0"/>
      <w:marTop w:val="0"/>
      <w:marBottom w:val="0"/>
      <w:divBdr>
        <w:top w:val="none" w:sz="0" w:space="0" w:color="auto"/>
        <w:left w:val="none" w:sz="0" w:space="0" w:color="auto"/>
        <w:bottom w:val="none" w:sz="0" w:space="0" w:color="auto"/>
        <w:right w:val="none" w:sz="0" w:space="0" w:color="auto"/>
      </w:divBdr>
    </w:div>
    <w:div w:id="1748189234">
      <w:bodyDiv w:val="1"/>
      <w:marLeft w:val="0"/>
      <w:marRight w:val="0"/>
      <w:marTop w:val="0"/>
      <w:marBottom w:val="0"/>
      <w:divBdr>
        <w:top w:val="none" w:sz="0" w:space="0" w:color="auto"/>
        <w:left w:val="none" w:sz="0" w:space="0" w:color="auto"/>
        <w:bottom w:val="none" w:sz="0" w:space="0" w:color="auto"/>
        <w:right w:val="none" w:sz="0" w:space="0" w:color="auto"/>
      </w:divBdr>
    </w:div>
    <w:div w:id="1756627110">
      <w:bodyDiv w:val="1"/>
      <w:marLeft w:val="0"/>
      <w:marRight w:val="0"/>
      <w:marTop w:val="0"/>
      <w:marBottom w:val="0"/>
      <w:divBdr>
        <w:top w:val="none" w:sz="0" w:space="0" w:color="auto"/>
        <w:left w:val="none" w:sz="0" w:space="0" w:color="auto"/>
        <w:bottom w:val="none" w:sz="0" w:space="0" w:color="auto"/>
        <w:right w:val="none" w:sz="0" w:space="0" w:color="auto"/>
      </w:divBdr>
    </w:div>
    <w:div w:id="1788767783">
      <w:bodyDiv w:val="1"/>
      <w:marLeft w:val="0"/>
      <w:marRight w:val="0"/>
      <w:marTop w:val="0"/>
      <w:marBottom w:val="0"/>
      <w:divBdr>
        <w:top w:val="none" w:sz="0" w:space="0" w:color="auto"/>
        <w:left w:val="none" w:sz="0" w:space="0" w:color="auto"/>
        <w:bottom w:val="none" w:sz="0" w:space="0" w:color="auto"/>
        <w:right w:val="none" w:sz="0" w:space="0" w:color="auto"/>
      </w:divBdr>
    </w:div>
    <w:div w:id="1790934280">
      <w:bodyDiv w:val="1"/>
      <w:marLeft w:val="0"/>
      <w:marRight w:val="0"/>
      <w:marTop w:val="0"/>
      <w:marBottom w:val="0"/>
      <w:divBdr>
        <w:top w:val="none" w:sz="0" w:space="0" w:color="auto"/>
        <w:left w:val="none" w:sz="0" w:space="0" w:color="auto"/>
        <w:bottom w:val="none" w:sz="0" w:space="0" w:color="auto"/>
        <w:right w:val="none" w:sz="0" w:space="0" w:color="auto"/>
      </w:divBdr>
    </w:div>
    <w:div w:id="1807241089">
      <w:bodyDiv w:val="1"/>
      <w:marLeft w:val="0"/>
      <w:marRight w:val="0"/>
      <w:marTop w:val="0"/>
      <w:marBottom w:val="0"/>
      <w:divBdr>
        <w:top w:val="none" w:sz="0" w:space="0" w:color="auto"/>
        <w:left w:val="none" w:sz="0" w:space="0" w:color="auto"/>
        <w:bottom w:val="none" w:sz="0" w:space="0" w:color="auto"/>
        <w:right w:val="none" w:sz="0" w:space="0" w:color="auto"/>
      </w:divBdr>
    </w:div>
    <w:div w:id="1822191985">
      <w:bodyDiv w:val="1"/>
      <w:marLeft w:val="0"/>
      <w:marRight w:val="0"/>
      <w:marTop w:val="0"/>
      <w:marBottom w:val="0"/>
      <w:divBdr>
        <w:top w:val="none" w:sz="0" w:space="0" w:color="auto"/>
        <w:left w:val="none" w:sz="0" w:space="0" w:color="auto"/>
        <w:bottom w:val="none" w:sz="0" w:space="0" w:color="auto"/>
        <w:right w:val="none" w:sz="0" w:space="0" w:color="auto"/>
      </w:divBdr>
    </w:div>
    <w:div w:id="1833596096">
      <w:bodyDiv w:val="1"/>
      <w:marLeft w:val="0"/>
      <w:marRight w:val="0"/>
      <w:marTop w:val="0"/>
      <w:marBottom w:val="0"/>
      <w:divBdr>
        <w:top w:val="none" w:sz="0" w:space="0" w:color="auto"/>
        <w:left w:val="none" w:sz="0" w:space="0" w:color="auto"/>
        <w:bottom w:val="none" w:sz="0" w:space="0" w:color="auto"/>
        <w:right w:val="none" w:sz="0" w:space="0" w:color="auto"/>
      </w:divBdr>
    </w:div>
    <w:div w:id="1851944245">
      <w:bodyDiv w:val="1"/>
      <w:marLeft w:val="0"/>
      <w:marRight w:val="0"/>
      <w:marTop w:val="0"/>
      <w:marBottom w:val="0"/>
      <w:divBdr>
        <w:top w:val="none" w:sz="0" w:space="0" w:color="auto"/>
        <w:left w:val="none" w:sz="0" w:space="0" w:color="auto"/>
        <w:bottom w:val="none" w:sz="0" w:space="0" w:color="auto"/>
        <w:right w:val="none" w:sz="0" w:space="0" w:color="auto"/>
      </w:divBdr>
    </w:div>
    <w:div w:id="1874610548">
      <w:bodyDiv w:val="1"/>
      <w:marLeft w:val="0"/>
      <w:marRight w:val="0"/>
      <w:marTop w:val="0"/>
      <w:marBottom w:val="0"/>
      <w:divBdr>
        <w:top w:val="none" w:sz="0" w:space="0" w:color="auto"/>
        <w:left w:val="none" w:sz="0" w:space="0" w:color="auto"/>
        <w:bottom w:val="none" w:sz="0" w:space="0" w:color="auto"/>
        <w:right w:val="none" w:sz="0" w:space="0" w:color="auto"/>
      </w:divBdr>
    </w:div>
    <w:div w:id="1877891996">
      <w:bodyDiv w:val="1"/>
      <w:marLeft w:val="0"/>
      <w:marRight w:val="0"/>
      <w:marTop w:val="0"/>
      <w:marBottom w:val="0"/>
      <w:divBdr>
        <w:top w:val="none" w:sz="0" w:space="0" w:color="auto"/>
        <w:left w:val="none" w:sz="0" w:space="0" w:color="auto"/>
        <w:bottom w:val="none" w:sz="0" w:space="0" w:color="auto"/>
        <w:right w:val="none" w:sz="0" w:space="0" w:color="auto"/>
      </w:divBdr>
    </w:div>
    <w:div w:id="1900901609">
      <w:bodyDiv w:val="1"/>
      <w:marLeft w:val="0"/>
      <w:marRight w:val="0"/>
      <w:marTop w:val="0"/>
      <w:marBottom w:val="0"/>
      <w:divBdr>
        <w:top w:val="none" w:sz="0" w:space="0" w:color="auto"/>
        <w:left w:val="none" w:sz="0" w:space="0" w:color="auto"/>
        <w:bottom w:val="none" w:sz="0" w:space="0" w:color="auto"/>
        <w:right w:val="none" w:sz="0" w:space="0" w:color="auto"/>
      </w:divBdr>
    </w:div>
    <w:div w:id="1910188725">
      <w:bodyDiv w:val="1"/>
      <w:marLeft w:val="0"/>
      <w:marRight w:val="0"/>
      <w:marTop w:val="0"/>
      <w:marBottom w:val="0"/>
      <w:divBdr>
        <w:top w:val="none" w:sz="0" w:space="0" w:color="auto"/>
        <w:left w:val="none" w:sz="0" w:space="0" w:color="auto"/>
        <w:bottom w:val="none" w:sz="0" w:space="0" w:color="auto"/>
        <w:right w:val="none" w:sz="0" w:space="0" w:color="auto"/>
      </w:divBdr>
    </w:div>
    <w:div w:id="1933009370">
      <w:bodyDiv w:val="1"/>
      <w:marLeft w:val="0"/>
      <w:marRight w:val="0"/>
      <w:marTop w:val="0"/>
      <w:marBottom w:val="0"/>
      <w:divBdr>
        <w:top w:val="none" w:sz="0" w:space="0" w:color="auto"/>
        <w:left w:val="none" w:sz="0" w:space="0" w:color="auto"/>
        <w:bottom w:val="none" w:sz="0" w:space="0" w:color="auto"/>
        <w:right w:val="none" w:sz="0" w:space="0" w:color="auto"/>
      </w:divBdr>
    </w:div>
    <w:div w:id="1961911955">
      <w:bodyDiv w:val="1"/>
      <w:marLeft w:val="0"/>
      <w:marRight w:val="0"/>
      <w:marTop w:val="0"/>
      <w:marBottom w:val="0"/>
      <w:divBdr>
        <w:top w:val="none" w:sz="0" w:space="0" w:color="auto"/>
        <w:left w:val="none" w:sz="0" w:space="0" w:color="auto"/>
        <w:bottom w:val="none" w:sz="0" w:space="0" w:color="auto"/>
        <w:right w:val="none" w:sz="0" w:space="0" w:color="auto"/>
      </w:divBdr>
    </w:div>
    <w:div w:id="1999456014">
      <w:bodyDiv w:val="1"/>
      <w:marLeft w:val="0"/>
      <w:marRight w:val="0"/>
      <w:marTop w:val="0"/>
      <w:marBottom w:val="0"/>
      <w:divBdr>
        <w:top w:val="none" w:sz="0" w:space="0" w:color="auto"/>
        <w:left w:val="none" w:sz="0" w:space="0" w:color="auto"/>
        <w:bottom w:val="none" w:sz="0" w:space="0" w:color="auto"/>
        <w:right w:val="none" w:sz="0" w:space="0" w:color="auto"/>
      </w:divBdr>
    </w:div>
    <w:div w:id="2000234891">
      <w:bodyDiv w:val="1"/>
      <w:marLeft w:val="0"/>
      <w:marRight w:val="0"/>
      <w:marTop w:val="0"/>
      <w:marBottom w:val="0"/>
      <w:divBdr>
        <w:top w:val="none" w:sz="0" w:space="0" w:color="auto"/>
        <w:left w:val="none" w:sz="0" w:space="0" w:color="auto"/>
        <w:bottom w:val="none" w:sz="0" w:space="0" w:color="auto"/>
        <w:right w:val="none" w:sz="0" w:space="0" w:color="auto"/>
      </w:divBdr>
    </w:div>
    <w:div w:id="2005892834">
      <w:bodyDiv w:val="1"/>
      <w:marLeft w:val="0"/>
      <w:marRight w:val="0"/>
      <w:marTop w:val="0"/>
      <w:marBottom w:val="0"/>
      <w:divBdr>
        <w:top w:val="none" w:sz="0" w:space="0" w:color="auto"/>
        <w:left w:val="none" w:sz="0" w:space="0" w:color="auto"/>
        <w:bottom w:val="none" w:sz="0" w:space="0" w:color="auto"/>
        <w:right w:val="none" w:sz="0" w:space="0" w:color="auto"/>
      </w:divBdr>
    </w:div>
    <w:div w:id="2012639788">
      <w:bodyDiv w:val="1"/>
      <w:marLeft w:val="0"/>
      <w:marRight w:val="0"/>
      <w:marTop w:val="0"/>
      <w:marBottom w:val="0"/>
      <w:divBdr>
        <w:top w:val="none" w:sz="0" w:space="0" w:color="auto"/>
        <w:left w:val="none" w:sz="0" w:space="0" w:color="auto"/>
        <w:bottom w:val="none" w:sz="0" w:space="0" w:color="auto"/>
        <w:right w:val="none" w:sz="0" w:space="0" w:color="auto"/>
      </w:divBdr>
    </w:div>
    <w:div w:id="2024890418">
      <w:bodyDiv w:val="1"/>
      <w:marLeft w:val="0"/>
      <w:marRight w:val="0"/>
      <w:marTop w:val="0"/>
      <w:marBottom w:val="0"/>
      <w:divBdr>
        <w:top w:val="none" w:sz="0" w:space="0" w:color="auto"/>
        <w:left w:val="none" w:sz="0" w:space="0" w:color="auto"/>
        <w:bottom w:val="none" w:sz="0" w:space="0" w:color="auto"/>
        <w:right w:val="none" w:sz="0" w:space="0" w:color="auto"/>
      </w:divBdr>
    </w:div>
    <w:div w:id="2039355384">
      <w:bodyDiv w:val="1"/>
      <w:marLeft w:val="0"/>
      <w:marRight w:val="0"/>
      <w:marTop w:val="0"/>
      <w:marBottom w:val="0"/>
      <w:divBdr>
        <w:top w:val="none" w:sz="0" w:space="0" w:color="auto"/>
        <w:left w:val="none" w:sz="0" w:space="0" w:color="auto"/>
        <w:bottom w:val="none" w:sz="0" w:space="0" w:color="auto"/>
        <w:right w:val="none" w:sz="0" w:space="0" w:color="auto"/>
      </w:divBdr>
    </w:div>
    <w:div w:id="2049641533">
      <w:bodyDiv w:val="1"/>
      <w:marLeft w:val="0"/>
      <w:marRight w:val="0"/>
      <w:marTop w:val="0"/>
      <w:marBottom w:val="0"/>
      <w:divBdr>
        <w:top w:val="none" w:sz="0" w:space="0" w:color="auto"/>
        <w:left w:val="none" w:sz="0" w:space="0" w:color="auto"/>
        <w:bottom w:val="none" w:sz="0" w:space="0" w:color="auto"/>
        <w:right w:val="none" w:sz="0" w:space="0" w:color="auto"/>
      </w:divBdr>
    </w:div>
    <w:div w:id="2059744649">
      <w:bodyDiv w:val="1"/>
      <w:marLeft w:val="0"/>
      <w:marRight w:val="0"/>
      <w:marTop w:val="0"/>
      <w:marBottom w:val="0"/>
      <w:divBdr>
        <w:top w:val="none" w:sz="0" w:space="0" w:color="auto"/>
        <w:left w:val="none" w:sz="0" w:space="0" w:color="auto"/>
        <w:bottom w:val="none" w:sz="0" w:space="0" w:color="auto"/>
        <w:right w:val="none" w:sz="0" w:space="0" w:color="auto"/>
      </w:divBdr>
    </w:div>
    <w:div w:id="2072537972">
      <w:bodyDiv w:val="1"/>
      <w:marLeft w:val="0"/>
      <w:marRight w:val="0"/>
      <w:marTop w:val="0"/>
      <w:marBottom w:val="0"/>
      <w:divBdr>
        <w:top w:val="none" w:sz="0" w:space="0" w:color="auto"/>
        <w:left w:val="none" w:sz="0" w:space="0" w:color="auto"/>
        <w:bottom w:val="none" w:sz="0" w:space="0" w:color="auto"/>
        <w:right w:val="none" w:sz="0" w:space="0" w:color="auto"/>
      </w:divBdr>
    </w:div>
    <w:div w:id="2075809456">
      <w:bodyDiv w:val="1"/>
      <w:marLeft w:val="0"/>
      <w:marRight w:val="0"/>
      <w:marTop w:val="0"/>
      <w:marBottom w:val="0"/>
      <w:divBdr>
        <w:top w:val="none" w:sz="0" w:space="0" w:color="auto"/>
        <w:left w:val="none" w:sz="0" w:space="0" w:color="auto"/>
        <w:bottom w:val="none" w:sz="0" w:space="0" w:color="auto"/>
        <w:right w:val="none" w:sz="0" w:space="0" w:color="auto"/>
      </w:divBdr>
    </w:div>
    <w:div w:id="2091998911">
      <w:bodyDiv w:val="1"/>
      <w:marLeft w:val="0"/>
      <w:marRight w:val="0"/>
      <w:marTop w:val="0"/>
      <w:marBottom w:val="0"/>
      <w:divBdr>
        <w:top w:val="none" w:sz="0" w:space="0" w:color="auto"/>
        <w:left w:val="none" w:sz="0" w:space="0" w:color="auto"/>
        <w:bottom w:val="none" w:sz="0" w:space="0" w:color="auto"/>
        <w:right w:val="none" w:sz="0" w:space="0" w:color="auto"/>
      </w:divBdr>
    </w:div>
    <w:div w:id="2100057081">
      <w:bodyDiv w:val="1"/>
      <w:marLeft w:val="0"/>
      <w:marRight w:val="0"/>
      <w:marTop w:val="0"/>
      <w:marBottom w:val="0"/>
      <w:divBdr>
        <w:top w:val="none" w:sz="0" w:space="0" w:color="auto"/>
        <w:left w:val="none" w:sz="0" w:space="0" w:color="auto"/>
        <w:bottom w:val="none" w:sz="0" w:space="0" w:color="auto"/>
        <w:right w:val="none" w:sz="0" w:space="0" w:color="auto"/>
      </w:divBdr>
    </w:div>
    <w:div w:id="2110272704">
      <w:bodyDiv w:val="1"/>
      <w:marLeft w:val="0"/>
      <w:marRight w:val="0"/>
      <w:marTop w:val="0"/>
      <w:marBottom w:val="0"/>
      <w:divBdr>
        <w:top w:val="none" w:sz="0" w:space="0" w:color="auto"/>
        <w:left w:val="none" w:sz="0" w:space="0" w:color="auto"/>
        <w:bottom w:val="none" w:sz="0" w:space="0" w:color="auto"/>
        <w:right w:val="none" w:sz="0" w:space="0" w:color="auto"/>
      </w:divBdr>
    </w:div>
    <w:div w:id="2111853009">
      <w:bodyDiv w:val="1"/>
      <w:marLeft w:val="0"/>
      <w:marRight w:val="0"/>
      <w:marTop w:val="0"/>
      <w:marBottom w:val="0"/>
      <w:divBdr>
        <w:top w:val="none" w:sz="0" w:space="0" w:color="auto"/>
        <w:left w:val="none" w:sz="0" w:space="0" w:color="auto"/>
        <w:bottom w:val="none" w:sz="0" w:space="0" w:color="auto"/>
        <w:right w:val="none" w:sz="0" w:space="0" w:color="auto"/>
      </w:divBdr>
    </w:div>
    <w:div w:id="21172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4.wmf"/><Relationship Id="rId42" Type="http://schemas.openxmlformats.org/officeDocument/2006/relationships/oleObject" Target="embeddings/oleObject13.bin"/><Relationship Id="rId63" Type="http://schemas.openxmlformats.org/officeDocument/2006/relationships/image" Target="media/image25.wmf"/><Relationship Id="rId84" Type="http://schemas.openxmlformats.org/officeDocument/2006/relationships/image" Target="media/image35.wmf"/><Relationship Id="rId138" Type="http://schemas.openxmlformats.org/officeDocument/2006/relationships/image" Target="media/image57.wmf"/><Relationship Id="rId159" Type="http://schemas.openxmlformats.org/officeDocument/2006/relationships/oleObject" Target="embeddings/oleObject80.bin"/><Relationship Id="rId170" Type="http://schemas.openxmlformats.org/officeDocument/2006/relationships/oleObject" Target="embeddings/oleObject86.bin"/><Relationship Id="rId191" Type="http://schemas.openxmlformats.org/officeDocument/2006/relationships/oleObject" Target="embeddings/oleObject98.bin"/><Relationship Id="rId205" Type="http://schemas.openxmlformats.org/officeDocument/2006/relationships/image" Target="media/image90.wmf"/><Relationship Id="rId226" Type="http://schemas.openxmlformats.org/officeDocument/2006/relationships/hyperlink" Target="https://www.mckinsey.com/industries/real-estate/our-insights/americans-are-embracing-flexible-work-and-they-want-more-of-it" TargetMode="External"/><Relationship Id="rId107" Type="http://schemas.openxmlformats.org/officeDocument/2006/relationships/oleObject" Target="embeddings/oleObject49.bin"/><Relationship Id="rId11" Type="http://schemas.openxmlformats.org/officeDocument/2006/relationships/hyperlink" Target="mailto:ram.pendyala@asu.edu" TargetMode="External"/><Relationship Id="rId32" Type="http://schemas.openxmlformats.org/officeDocument/2006/relationships/oleObject" Target="embeddings/oleObject8.bin"/><Relationship Id="rId53" Type="http://schemas.openxmlformats.org/officeDocument/2006/relationships/image" Target="media/image20.wmf"/><Relationship Id="rId74" Type="http://schemas.openxmlformats.org/officeDocument/2006/relationships/oleObject" Target="embeddings/oleObject29.bin"/><Relationship Id="rId128" Type="http://schemas.openxmlformats.org/officeDocument/2006/relationships/image" Target="media/image52.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image" Target="media/image70.wmf"/><Relationship Id="rId181" Type="http://schemas.openxmlformats.org/officeDocument/2006/relationships/oleObject" Target="embeddings/oleObject93.bin"/><Relationship Id="rId216" Type="http://schemas.openxmlformats.org/officeDocument/2006/relationships/oleObject" Target="embeddings/oleObject111.bin"/><Relationship Id="rId22" Type="http://schemas.openxmlformats.org/officeDocument/2006/relationships/oleObject" Target="embeddings/oleObject3.bin"/><Relationship Id="rId43" Type="http://schemas.openxmlformats.org/officeDocument/2006/relationships/image" Target="media/image15.wmf"/><Relationship Id="rId64" Type="http://schemas.openxmlformats.org/officeDocument/2006/relationships/oleObject" Target="embeddings/oleObject24.bin"/><Relationship Id="rId118" Type="http://schemas.openxmlformats.org/officeDocument/2006/relationships/image" Target="media/image47.wmf"/><Relationship Id="rId139" Type="http://schemas.openxmlformats.org/officeDocument/2006/relationships/oleObject" Target="embeddings/oleObject67.bin"/><Relationship Id="rId85" Type="http://schemas.openxmlformats.org/officeDocument/2006/relationships/oleObject" Target="embeddings/oleObject35.bin"/><Relationship Id="rId150" Type="http://schemas.openxmlformats.org/officeDocument/2006/relationships/image" Target="media/image63.wmf"/><Relationship Id="rId171" Type="http://schemas.openxmlformats.org/officeDocument/2006/relationships/oleObject" Target="embeddings/oleObject87.bin"/><Relationship Id="rId192" Type="http://schemas.openxmlformats.org/officeDocument/2006/relationships/image" Target="media/image84.wmf"/><Relationship Id="rId206" Type="http://schemas.openxmlformats.org/officeDocument/2006/relationships/oleObject" Target="embeddings/oleObject106.bin"/><Relationship Id="rId227" Type="http://schemas.openxmlformats.org/officeDocument/2006/relationships/hyperlink" Target="https://www.zippia.com/advice/remote-work-statistics/" TargetMode="External"/><Relationship Id="rId12" Type="http://schemas.openxmlformats.org/officeDocument/2006/relationships/hyperlink" Target="mailto:bhat@mail.utexas.edu" TargetMode="External"/><Relationship Id="rId33" Type="http://schemas.openxmlformats.org/officeDocument/2006/relationships/image" Target="media/image10.wmf"/><Relationship Id="rId108" Type="http://schemas.openxmlformats.org/officeDocument/2006/relationships/oleObject" Target="embeddings/oleObject50.bin"/><Relationship Id="rId129" Type="http://schemas.openxmlformats.org/officeDocument/2006/relationships/oleObject" Target="embeddings/oleObject62.bin"/><Relationship Id="rId54" Type="http://schemas.openxmlformats.org/officeDocument/2006/relationships/oleObject" Target="embeddings/oleObject19.bin"/><Relationship Id="rId75" Type="http://schemas.openxmlformats.org/officeDocument/2006/relationships/oleObject" Target="embeddings/oleObject30.bin"/><Relationship Id="rId96" Type="http://schemas.openxmlformats.org/officeDocument/2006/relationships/oleObject" Target="embeddings/oleObject41.bin"/><Relationship Id="rId140" Type="http://schemas.openxmlformats.org/officeDocument/2006/relationships/image" Target="media/image58.wmf"/><Relationship Id="rId161" Type="http://schemas.openxmlformats.org/officeDocument/2006/relationships/oleObject" Target="embeddings/oleObject81.bin"/><Relationship Id="rId182" Type="http://schemas.openxmlformats.org/officeDocument/2006/relationships/image" Target="media/image79.wmf"/><Relationship Id="rId217" Type="http://schemas.openxmlformats.org/officeDocument/2006/relationships/image" Target="media/image96.wmf"/><Relationship Id="rId6" Type="http://schemas.openxmlformats.org/officeDocument/2006/relationships/footnotes" Target="footnotes.xml"/><Relationship Id="rId23" Type="http://schemas.openxmlformats.org/officeDocument/2006/relationships/image" Target="media/image5.wmf"/><Relationship Id="rId119" Type="http://schemas.openxmlformats.org/officeDocument/2006/relationships/oleObject" Target="embeddings/oleObject57.bin"/><Relationship Id="rId44" Type="http://schemas.openxmlformats.org/officeDocument/2006/relationships/oleObject" Target="embeddings/oleObject14.bin"/><Relationship Id="rId65" Type="http://schemas.openxmlformats.org/officeDocument/2006/relationships/image" Target="media/image26.wmf"/><Relationship Id="rId86" Type="http://schemas.openxmlformats.org/officeDocument/2006/relationships/oleObject" Target="embeddings/oleObject36.bin"/><Relationship Id="rId130" Type="http://schemas.openxmlformats.org/officeDocument/2006/relationships/image" Target="media/image53.wmf"/><Relationship Id="rId151" Type="http://schemas.openxmlformats.org/officeDocument/2006/relationships/oleObject" Target="embeddings/oleObject73.bin"/><Relationship Id="rId172" Type="http://schemas.openxmlformats.org/officeDocument/2006/relationships/oleObject" Target="embeddings/oleObject88.bin"/><Relationship Id="rId193" Type="http://schemas.openxmlformats.org/officeDocument/2006/relationships/oleObject" Target="embeddings/oleObject99.bin"/><Relationship Id="rId207" Type="http://schemas.openxmlformats.org/officeDocument/2006/relationships/image" Target="media/image91.wmf"/><Relationship Id="rId228" Type="http://schemas.openxmlformats.org/officeDocument/2006/relationships/hyperlink" Target="https://www.gallup.com/workplace/310988/covid-19-working-from-home-guide.aspx" TargetMode="External"/><Relationship Id="rId13" Type="http://schemas.openxmlformats.org/officeDocument/2006/relationships/footer" Target="footer1.xml"/><Relationship Id="rId109" Type="http://schemas.openxmlformats.org/officeDocument/2006/relationships/oleObject" Target="embeddings/oleObject51.bin"/><Relationship Id="rId34" Type="http://schemas.openxmlformats.org/officeDocument/2006/relationships/oleObject" Target="embeddings/oleObject9.bin"/><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oleObject" Target="embeddings/oleObject42.bin"/><Relationship Id="rId120" Type="http://schemas.openxmlformats.org/officeDocument/2006/relationships/image" Target="media/image48.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4.bin"/><Relationship Id="rId218" Type="http://schemas.openxmlformats.org/officeDocument/2006/relationships/oleObject" Target="embeddings/oleObject112.bin"/><Relationship Id="rId24" Type="http://schemas.openxmlformats.org/officeDocument/2006/relationships/oleObject" Target="embeddings/oleObject4.bin"/><Relationship Id="rId45" Type="http://schemas.openxmlformats.org/officeDocument/2006/relationships/image" Target="media/image16.wmf"/><Relationship Id="rId66" Type="http://schemas.openxmlformats.org/officeDocument/2006/relationships/oleObject" Target="embeddings/oleObject25.bin"/><Relationship Id="rId87" Type="http://schemas.openxmlformats.org/officeDocument/2006/relationships/image" Target="media/image36.wmf"/><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64.wmf"/><Relationship Id="rId173" Type="http://schemas.openxmlformats.org/officeDocument/2006/relationships/image" Target="media/image75.wmf"/><Relationship Id="rId194" Type="http://schemas.openxmlformats.org/officeDocument/2006/relationships/image" Target="media/image85.wmf"/><Relationship Id="rId208" Type="http://schemas.openxmlformats.org/officeDocument/2006/relationships/oleObject" Target="embeddings/oleObject107.bin"/><Relationship Id="rId229" Type="http://schemas.openxmlformats.org/officeDocument/2006/relationships/hyperlink" Target="https://gov.texas.gov/news/post/governor-abbott-lifts-mask-mandate-opens-texas-100-percent" TargetMode="External"/><Relationship Id="rId14" Type="http://schemas.openxmlformats.org/officeDocument/2006/relationships/header" Target="header1.xml"/><Relationship Id="rId35" Type="http://schemas.openxmlformats.org/officeDocument/2006/relationships/image" Target="media/image11.wmf"/><Relationship Id="rId56" Type="http://schemas.openxmlformats.org/officeDocument/2006/relationships/oleObject" Target="embeddings/oleObject20.bin"/><Relationship Id="rId77" Type="http://schemas.openxmlformats.org/officeDocument/2006/relationships/oleObject" Target="embeddings/oleObject31.bin"/><Relationship Id="rId100" Type="http://schemas.openxmlformats.org/officeDocument/2006/relationships/image" Target="media/image42.wmf"/><Relationship Id="rId8" Type="http://schemas.openxmlformats.org/officeDocument/2006/relationships/hyperlink" Target="mailto:kasmussen29@utexas.edu" TargetMode="External"/><Relationship Id="rId98" Type="http://schemas.openxmlformats.org/officeDocument/2006/relationships/image" Target="media/image41.wmf"/><Relationship Id="rId121" Type="http://schemas.openxmlformats.org/officeDocument/2006/relationships/oleObject" Target="embeddings/oleObject58.bin"/><Relationship Id="rId142" Type="http://schemas.openxmlformats.org/officeDocument/2006/relationships/image" Target="media/image59.wmf"/><Relationship Id="rId163" Type="http://schemas.openxmlformats.org/officeDocument/2006/relationships/oleObject" Target="embeddings/oleObject82.bin"/><Relationship Id="rId184" Type="http://schemas.openxmlformats.org/officeDocument/2006/relationships/image" Target="media/image80.wmf"/><Relationship Id="rId219" Type="http://schemas.openxmlformats.org/officeDocument/2006/relationships/oleObject" Target="embeddings/oleObject113.bin"/><Relationship Id="rId230" Type="http://schemas.openxmlformats.org/officeDocument/2006/relationships/hyperlink" Target="https://www.pewresearch.org/social-trends/2022/02/16/covid-19-pandemic-continues-to-reshape-work-in-america/" TargetMode="External"/><Relationship Id="rId25" Type="http://schemas.openxmlformats.org/officeDocument/2006/relationships/image" Target="media/image6.wmf"/><Relationship Id="rId46" Type="http://schemas.openxmlformats.org/officeDocument/2006/relationships/oleObject" Target="embeddings/oleObject15.bin"/><Relationship Id="rId67" Type="http://schemas.openxmlformats.org/officeDocument/2006/relationships/image" Target="media/image27.wmf"/><Relationship Id="rId20" Type="http://schemas.openxmlformats.org/officeDocument/2006/relationships/oleObject" Target="embeddings/oleObject2.bin"/><Relationship Id="rId41" Type="http://schemas.openxmlformats.org/officeDocument/2006/relationships/image" Target="media/image14.wmf"/><Relationship Id="rId62" Type="http://schemas.openxmlformats.org/officeDocument/2006/relationships/oleObject" Target="embeddings/oleObject23.bin"/><Relationship Id="rId83" Type="http://schemas.openxmlformats.org/officeDocument/2006/relationships/oleObject" Target="embeddings/oleObject34.bin"/><Relationship Id="rId88" Type="http://schemas.openxmlformats.org/officeDocument/2006/relationships/oleObject" Target="embeddings/oleObject37.bin"/><Relationship Id="rId111" Type="http://schemas.openxmlformats.org/officeDocument/2006/relationships/oleObject" Target="embeddings/oleObject53.bin"/><Relationship Id="rId132" Type="http://schemas.openxmlformats.org/officeDocument/2006/relationships/image" Target="media/image54.wmf"/><Relationship Id="rId153" Type="http://schemas.openxmlformats.org/officeDocument/2006/relationships/oleObject" Target="embeddings/oleObject74.bin"/><Relationship Id="rId174" Type="http://schemas.openxmlformats.org/officeDocument/2006/relationships/oleObject" Target="embeddings/oleObject89.bin"/><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image" Target="media/image92.wmf"/><Relationship Id="rId190" Type="http://schemas.openxmlformats.org/officeDocument/2006/relationships/image" Target="media/image83.wmf"/><Relationship Id="rId204" Type="http://schemas.openxmlformats.org/officeDocument/2006/relationships/oleObject" Target="embeddings/oleObject105.bin"/><Relationship Id="rId220" Type="http://schemas.openxmlformats.org/officeDocument/2006/relationships/oleObject" Target="embeddings/oleObject114.bin"/><Relationship Id="rId225" Type="http://schemas.openxmlformats.org/officeDocument/2006/relationships/hyperlink" Target="https://www.axios.com/local/austin/2022/09/16/more-texans-working-from-home-census" TargetMode="External"/><Relationship Id="rId15" Type="http://schemas.openxmlformats.org/officeDocument/2006/relationships/footer" Target="footer2.xml"/><Relationship Id="rId36" Type="http://schemas.openxmlformats.org/officeDocument/2006/relationships/oleObject" Target="embeddings/oleObject10.bin"/><Relationship Id="rId57" Type="http://schemas.openxmlformats.org/officeDocument/2006/relationships/image" Target="media/image22.wmf"/><Relationship Id="rId106" Type="http://schemas.openxmlformats.org/officeDocument/2006/relationships/oleObject" Target="embeddings/oleObject48.bin"/><Relationship Id="rId127" Type="http://schemas.openxmlformats.org/officeDocument/2006/relationships/oleObject" Target="embeddings/oleObject61.bin"/><Relationship Id="rId10" Type="http://schemas.openxmlformats.org/officeDocument/2006/relationships/hyperlink" Target="mailto:ibatur@asu.edu" TargetMode="External"/><Relationship Id="rId31" Type="http://schemas.openxmlformats.org/officeDocument/2006/relationships/image" Target="media/image9.wmf"/><Relationship Id="rId52" Type="http://schemas.openxmlformats.org/officeDocument/2006/relationships/oleObject" Target="embeddings/oleObject18.bin"/><Relationship Id="rId73" Type="http://schemas.openxmlformats.org/officeDocument/2006/relationships/image" Target="media/image30.wmf"/><Relationship Id="rId78" Type="http://schemas.openxmlformats.org/officeDocument/2006/relationships/image" Target="media/image32.wmf"/><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49.wmf"/><Relationship Id="rId143" Type="http://schemas.openxmlformats.org/officeDocument/2006/relationships/oleObject" Target="embeddings/oleObject69.bin"/><Relationship Id="rId148" Type="http://schemas.openxmlformats.org/officeDocument/2006/relationships/image" Target="media/image62.wmf"/><Relationship Id="rId164" Type="http://schemas.openxmlformats.org/officeDocument/2006/relationships/image" Target="media/image72.wmf"/><Relationship Id="rId169" Type="http://schemas.openxmlformats.org/officeDocument/2006/relationships/image" Target="media/image74.wmf"/><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hyperlink" Target="mailto:aupal.mondal@utexas.edu" TargetMode="External"/><Relationship Id="rId180" Type="http://schemas.openxmlformats.org/officeDocument/2006/relationships/image" Target="media/image78.wmf"/><Relationship Id="rId210" Type="http://schemas.openxmlformats.org/officeDocument/2006/relationships/oleObject" Target="embeddings/oleObject108.bin"/><Relationship Id="rId215" Type="http://schemas.openxmlformats.org/officeDocument/2006/relationships/image" Target="media/image95.wmf"/><Relationship Id="rId26" Type="http://schemas.openxmlformats.org/officeDocument/2006/relationships/oleObject" Target="embeddings/oleObject5.bin"/><Relationship Id="rId231" Type="http://schemas.openxmlformats.org/officeDocument/2006/relationships/hyperlink" Target="https://www.epa.gov/sites/production/files/2014-03/documents/sld_userguide.pdf" TargetMode="External"/><Relationship Id="rId47" Type="http://schemas.openxmlformats.org/officeDocument/2006/relationships/image" Target="media/image17.wmf"/><Relationship Id="rId68" Type="http://schemas.openxmlformats.org/officeDocument/2006/relationships/oleObject" Target="embeddings/oleObject26.bin"/><Relationship Id="rId89" Type="http://schemas.openxmlformats.org/officeDocument/2006/relationships/image" Target="media/image37.wmf"/><Relationship Id="rId112" Type="http://schemas.openxmlformats.org/officeDocument/2006/relationships/image" Target="media/image44.wmf"/><Relationship Id="rId133" Type="http://schemas.openxmlformats.org/officeDocument/2006/relationships/oleObject" Target="embeddings/oleObject64.bin"/><Relationship Id="rId154" Type="http://schemas.openxmlformats.org/officeDocument/2006/relationships/image" Target="media/image65.wmf"/><Relationship Id="rId175" Type="http://schemas.openxmlformats.org/officeDocument/2006/relationships/oleObject" Target="embeddings/oleObject90.bin"/><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image" Target="media/image1.png"/><Relationship Id="rId221" Type="http://schemas.openxmlformats.org/officeDocument/2006/relationships/oleObject" Target="embeddings/oleObject115.bin"/><Relationship Id="rId37" Type="http://schemas.openxmlformats.org/officeDocument/2006/relationships/image" Target="media/image12.wmf"/><Relationship Id="rId58" Type="http://schemas.openxmlformats.org/officeDocument/2006/relationships/oleObject" Target="embeddings/oleObject21.bin"/><Relationship Id="rId79" Type="http://schemas.openxmlformats.org/officeDocument/2006/relationships/oleObject" Target="embeddings/oleObject32.bin"/><Relationship Id="rId102" Type="http://schemas.openxmlformats.org/officeDocument/2006/relationships/image" Target="media/image43.wmf"/><Relationship Id="rId123" Type="http://schemas.openxmlformats.org/officeDocument/2006/relationships/oleObject" Target="embeddings/oleObject59.bin"/><Relationship Id="rId144" Type="http://schemas.openxmlformats.org/officeDocument/2006/relationships/image" Target="media/image60.wmf"/><Relationship Id="rId90" Type="http://schemas.openxmlformats.org/officeDocument/2006/relationships/oleObject" Target="embeddings/oleObject38.bin"/><Relationship Id="rId165" Type="http://schemas.openxmlformats.org/officeDocument/2006/relationships/oleObject" Target="embeddings/oleObject83.bin"/><Relationship Id="rId186" Type="http://schemas.openxmlformats.org/officeDocument/2006/relationships/image" Target="media/image81.wmf"/><Relationship Id="rId211" Type="http://schemas.openxmlformats.org/officeDocument/2006/relationships/image" Target="media/image93.wmf"/><Relationship Id="rId232" Type="http://schemas.openxmlformats.org/officeDocument/2006/relationships/hyperlink" Target="https://news.gallup.com/poll/355907/remote-work-persisting-trending-permanent.aspx" TargetMode="External"/><Relationship Id="rId27" Type="http://schemas.openxmlformats.org/officeDocument/2006/relationships/image" Target="media/image7.wmf"/><Relationship Id="rId48" Type="http://schemas.openxmlformats.org/officeDocument/2006/relationships/oleObject" Target="embeddings/oleObject16.bin"/><Relationship Id="rId69" Type="http://schemas.openxmlformats.org/officeDocument/2006/relationships/image" Target="media/image28.wmf"/><Relationship Id="rId113" Type="http://schemas.openxmlformats.org/officeDocument/2006/relationships/oleObject" Target="embeddings/oleObject54.bin"/><Relationship Id="rId134" Type="http://schemas.openxmlformats.org/officeDocument/2006/relationships/image" Target="media/image55.wmf"/><Relationship Id="rId80" Type="http://schemas.openxmlformats.org/officeDocument/2006/relationships/image" Target="media/image33.wmf"/><Relationship Id="rId155" Type="http://schemas.openxmlformats.org/officeDocument/2006/relationships/oleObject" Target="embeddings/oleObject75.bin"/><Relationship Id="rId176" Type="http://schemas.openxmlformats.org/officeDocument/2006/relationships/image" Target="media/image76.wmf"/><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16.bin"/><Relationship Id="rId17" Type="http://schemas.openxmlformats.org/officeDocument/2006/relationships/image" Target="media/image2.wmf"/><Relationship Id="rId38" Type="http://schemas.openxmlformats.org/officeDocument/2006/relationships/oleObject" Target="embeddings/oleObject11.bin"/><Relationship Id="rId59" Type="http://schemas.openxmlformats.org/officeDocument/2006/relationships/image" Target="media/image23.wmf"/><Relationship Id="rId103" Type="http://schemas.openxmlformats.org/officeDocument/2006/relationships/oleObject" Target="embeddings/oleObject45.bin"/><Relationship Id="rId124" Type="http://schemas.openxmlformats.org/officeDocument/2006/relationships/image" Target="media/image50.wmf"/><Relationship Id="rId70" Type="http://schemas.openxmlformats.org/officeDocument/2006/relationships/oleObject" Target="embeddings/oleObject27.bin"/><Relationship Id="rId91" Type="http://schemas.openxmlformats.org/officeDocument/2006/relationships/image" Target="media/image38.wmf"/><Relationship Id="rId145" Type="http://schemas.openxmlformats.org/officeDocument/2006/relationships/oleObject" Target="embeddings/oleObject70.bin"/><Relationship Id="rId166" Type="http://schemas.openxmlformats.org/officeDocument/2006/relationships/image" Target="media/image73.wmf"/><Relationship Id="rId187" Type="http://schemas.openxmlformats.org/officeDocument/2006/relationships/oleObject" Target="embeddings/oleObject96.bin"/><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hyperlink" Target="https://www.gallup.com/workplace/390632/future-hybrid-work-key-questions-answered-data.aspx" TargetMode="External"/><Relationship Id="rId28" Type="http://schemas.openxmlformats.org/officeDocument/2006/relationships/oleObject" Target="embeddings/oleObject6.bin"/><Relationship Id="rId49" Type="http://schemas.openxmlformats.org/officeDocument/2006/relationships/image" Target="media/image18.wmf"/><Relationship Id="rId114" Type="http://schemas.openxmlformats.org/officeDocument/2006/relationships/image" Target="media/image45.wmf"/><Relationship Id="rId60" Type="http://schemas.openxmlformats.org/officeDocument/2006/relationships/oleObject" Target="embeddings/oleObject22.bin"/><Relationship Id="rId81" Type="http://schemas.openxmlformats.org/officeDocument/2006/relationships/oleObject" Target="embeddings/oleObject33.bin"/><Relationship Id="rId135" Type="http://schemas.openxmlformats.org/officeDocument/2006/relationships/oleObject" Target="embeddings/oleObject65.bin"/><Relationship Id="rId156" Type="http://schemas.openxmlformats.org/officeDocument/2006/relationships/image" Target="media/image66.wmf"/><Relationship Id="rId177" Type="http://schemas.openxmlformats.org/officeDocument/2006/relationships/oleObject" Target="embeddings/oleObject91.bin"/><Relationship Id="rId198" Type="http://schemas.openxmlformats.org/officeDocument/2006/relationships/oleObject" Target="embeddings/oleObject102.bin"/><Relationship Id="rId202" Type="http://schemas.openxmlformats.org/officeDocument/2006/relationships/oleObject" Target="embeddings/oleObject104.bin"/><Relationship Id="rId223" Type="http://schemas.openxmlformats.org/officeDocument/2006/relationships/hyperlink" Target="https://www.mckinsey.com/capabilities/people-and-organizational-performance/our-insights/reimagining-the-office-and-work-life-after-covid-19" TargetMode="External"/><Relationship Id="rId18" Type="http://schemas.openxmlformats.org/officeDocument/2006/relationships/oleObject" Target="embeddings/oleObject1.bin"/><Relationship Id="rId39" Type="http://schemas.openxmlformats.org/officeDocument/2006/relationships/image" Target="media/image13.wmf"/><Relationship Id="rId50" Type="http://schemas.openxmlformats.org/officeDocument/2006/relationships/oleObject" Target="embeddings/oleObject17.bin"/><Relationship Id="rId104" Type="http://schemas.openxmlformats.org/officeDocument/2006/relationships/oleObject" Target="embeddings/oleObject46.bin"/><Relationship Id="rId125" Type="http://schemas.openxmlformats.org/officeDocument/2006/relationships/oleObject" Target="embeddings/oleObject60.bin"/><Relationship Id="rId146" Type="http://schemas.openxmlformats.org/officeDocument/2006/relationships/image" Target="media/image61.wmf"/><Relationship Id="rId167" Type="http://schemas.openxmlformats.org/officeDocument/2006/relationships/oleObject" Target="embeddings/oleObject84.bin"/><Relationship Id="rId188" Type="http://schemas.openxmlformats.org/officeDocument/2006/relationships/image" Target="media/image82.wmf"/><Relationship Id="rId71" Type="http://schemas.openxmlformats.org/officeDocument/2006/relationships/image" Target="media/image29.wmf"/><Relationship Id="rId92" Type="http://schemas.openxmlformats.org/officeDocument/2006/relationships/oleObject" Target="embeddings/oleObject39.bin"/><Relationship Id="rId213" Type="http://schemas.openxmlformats.org/officeDocument/2006/relationships/image" Target="media/image94.wmf"/><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8.wmf"/><Relationship Id="rId40" Type="http://schemas.openxmlformats.org/officeDocument/2006/relationships/oleObject" Target="embeddings/oleObject12.bin"/><Relationship Id="rId115" Type="http://schemas.openxmlformats.org/officeDocument/2006/relationships/oleObject" Target="embeddings/oleObject55.bin"/><Relationship Id="rId136" Type="http://schemas.openxmlformats.org/officeDocument/2006/relationships/image" Target="media/image56.wmf"/><Relationship Id="rId157" Type="http://schemas.openxmlformats.org/officeDocument/2006/relationships/oleObject" Target="embeddings/oleObject76.bin"/><Relationship Id="rId178" Type="http://schemas.openxmlformats.org/officeDocument/2006/relationships/image" Target="media/image77.wmf"/><Relationship Id="rId61" Type="http://schemas.openxmlformats.org/officeDocument/2006/relationships/image" Target="media/image24.wmf"/><Relationship Id="rId82" Type="http://schemas.openxmlformats.org/officeDocument/2006/relationships/image" Target="media/image34.wmf"/><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image" Target="media/image3.wmf"/><Relationship Id="rId224" Type="http://schemas.openxmlformats.org/officeDocument/2006/relationships/hyperlink" Target="https://www.ncci.com/SecureDocuments/QEB/QEB_Q4_2020_RemoteWork.html" TargetMode="External"/><Relationship Id="rId30" Type="http://schemas.openxmlformats.org/officeDocument/2006/relationships/oleObject" Target="embeddings/oleObject7.bin"/><Relationship Id="rId105" Type="http://schemas.openxmlformats.org/officeDocument/2006/relationships/oleObject" Target="embeddings/oleObject47.bin"/><Relationship Id="rId126" Type="http://schemas.openxmlformats.org/officeDocument/2006/relationships/image" Target="media/image51.wmf"/><Relationship Id="rId147" Type="http://schemas.openxmlformats.org/officeDocument/2006/relationships/oleObject" Target="embeddings/oleObject71.bin"/><Relationship Id="rId168" Type="http://schemas.openxmlformats.org/officeDocument/2006/relationships/oleObject" Target="embeddings/oleObject85.bin"/><Relationship Id="rId51" Type="http://schemas.openxmlformats.org/officeDocument/2006/relationships/image" Target="media/image19.wmf"/><Relationship Id="rId72" Type="http://schemas.openxmlformats.org/officeDocument/2006/relationships/oleObject" Target="embeddings/oleObject28.bin"/><Relationship Id="rId93" Type="http://schemas.openxmlformats.org/officeDocument/2006/relationships/image" Target="media/image39.wmf"/><Relationship Id="rId18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oleObject" Target="embeddings/oleObject110.bin"/><Relationship Id="rId235" Type="http://schemas.openxmlformats.org/officeDocument/2006/relationships/theme" Target="theme/theme1.xml"/><Relationship Id="rId116" Type="http://schemas.openxmlformats.org/officeDocument/2006/relationships/image" Target="media/image46.wmf"/><Relationship Id="rId137" Type="http://schemas.openxmlformats.org/officeDocument/2006/relationships/oleObject" Target="embeddings/oleObject66.bin"/><Relationship Id="rId158" Type="http://schemas.openxmlformats.org/officeDocument/2006/relationships/image" Target="media/image69.wmf"/></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78.bin"/><Relationship Id="rId2" Type="http://schemas.openxmlformats.org/officeDocument/2006/relationships/oleObject" Target="embeddings/oleObject77.bin"/><Relationship Id="rId1" Type="http://schemas.openxmlformats.org/officeDocument/2006/relationships/image" Target="media/image67.wmf"/><Relationship Id="rId5" Type="http://schemas.openxmlformats.org/officeDocument/2006/relationships/oleObject" Target="embeddings/oleObject79.bin"/><Relationship Id="rId4"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09DD-9CFF-4F7F-8367-500B8606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20108</Words>
  <Characters>114619</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2023-05-04T01:15:00Z</cp:lastPrinted>
  <dcterms:created xsi:type="dcterms:W3CDTF">2023-12-15T20:54:00Z</dcterms:created>
  <dcterms:modified xsi:type="dcterms:W3CDTF">2023-12-15T20:54:00Z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32950308bac9f4d4b2a351bc33c047c9ca72c4ec124e13aa65f0fcdf24b2dc2e</vt:lpwstr>
  </property>
</Properties>
</file>