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84BFC" w14:textId="7DA82729" w:rsidR="00253C9E" w:rsidRPr="00F22A59" w:rsidRDefault="00281772" w:rsidP="0009178E">
      <w:pPr>
        <w:spacing w:after="240" w:line="240" w:lineRule="auto"/>
        <w:jc w:val="center"/>
        <w:rPr>
          <w:b/>
        </w:rPr>
      </w:pPr>
      <w:r>
        <w:rPr>
          <w:b/>
        </w:rPr>
        <w:t>Additional Results</w:t>
      </w:r>
      <w:r w:rsidR="00F22A59" w:rsidRPr="00F22A59">
        <w:rPr>
          <w:b/>
        </w:rPr>
        <w:t xml:space="preserve"> </w:t>
      </w:r>
      <w:r w:rsidR="00CB07D9">
        <w:rPr>
          <w:b/>
        </w:rPr>
        <w:t>to</w:t>
      </w:r>
    </w:p>
    <w:p w14:paraId="2EE7BE1E" w14:textId="77777777" w:rsidR="00F22A59" w:rsidRPr="00F22A59" w:rsidRDefault="00F22A59" w:rsidP="0009178E">
      <w:pPr>
        <w:spacing w:after="240" w:line="240" w:lineRule="auto"/>
        <w:jc w:val="center"/>
        <w:rPr>
          <w:b/>
        </w:rPr>
      </w:pPr>
      <w:r w:rsidRPr="00F22A59">
        <w:rPr>
          <w:b/>
        </w:rPr>
        <w:t>“</w:t>
      </w:r>
      <w:r w:rsidR="00FE7F23" w:rsidRPr="00FE7F23">
        <w:rPr>
          <w:b/>
        </w:rPr>
        <w:t xml:space="preserve">Incorporating Autonomous Vehicles in the Traditional Four Step Model: </w:t>
      </w:r>
      <w:r w:rsidR="00FE7F23">
        <w:rPr>
          <w:b/>
        </w:rPr>
        <w:br/>
      </w:r>
      <w:r w:rsidR="00FE7F23" w:rsidRPr="00FE7F23">
        <w:rPr>
          <w:b/>
        </w:rPr>
        <w:t>A Case Study in Dallas-Fort Worth</w:t>
      </w:r>
      <w:r w:rsidRPr="00F22A59">
        <w:rPr>
          <w:b/>
        </w:rPr>
        <w:t>”</w:t>
      </w:r>
    </w:p>
    <w:p w14:paraId="0B7547E3" w14:textId="77777777" w:rsidR="00F22A59" w:rsidRPr="00F22A59" w:rsidRDefault="00FE7F23" w:rsidP="0009178E">
      <w:pPr>
        <w:spacing w:after="360" w:line="240" w:lineRule="auto"/>
        <w:jc w:val="center"/>
      </w:pPr>
      <w:r>
        <w:t xml:space="preserve">Felipe F. Dias, </w:t>
      </w:r>
      <w:proofErr w:type="spellStart"/>
      <w:r>
        <w:t>Gopindra</w:t>
      </w:r>
      <w:proofErr w:type="spellEnd"/>
      <w:r>
        <w:t xml:space="preserve"> S. Nair, Natalia Ruiz </w:t>
      </w:r>
      <w:proofErr w:type="spellStart"/>
      <w:r>
        <w:t>Juri</w:t>
      </w:r>
      <w:proofErr w:type="spellEnd"/>
      <w:r>
        <w:t xml:space="preserve"> (corresponding author), </w:t>
      </w:r>
      <w:r>
        <w:br/>
        <w:t xml:space="preserve">Chandra R. Bhat, </w:t>
      </w:r>
      <w:proofErr w:type="spellStart"/>
      <w:r>
        <w:t>Arash</w:t>
      </w:r>
      <w:proofErr w:type="spellEnd"/>
      <w:r>
        <w:t xml:space="preserve"> Mirzaei</w:t>
      </w:r>
    </w:p>
    <w:p w14:paraId="2D5391C7" w14:textId="77777777" w:rsidR="005043CC" w:rsidRDefault="00F22A59" w:rsidP="0009178E">
      <w:pPr>
        <w:spacing w:after="0" w:line="240" w:lineRule="auto"/>
        <w:rPr>
          <w:b/>
        </w:rPr>
      </w:pPr>
      <w:r w:rsidRPr="00F22A59">
        <w:rPr>
          <w:b/>
        </w:rPr>
        <w:t xml:space="preserve">TABLE A.1 </w:t>
      </w:r>
      <w:r w:rsidR="00D90CEC">
        <w:rPr>
          <w:b/>
        </w:rPr>
        <w:t>Non-AV and AV-specific results</w:t>
      </w:r>
    </w:p>
    <w:p w14:paraId="7A0C4F9D" w14:textId="77777777" w:rsidR="005043CC" w:rsidRDefault="005043CC" w:rsidP="0009178E">
      <w:pPr>
        <w:spacing w:after="120" w:line="240" w:lineRule="auto"/>
      </w:pPr>
      <w:r>
        <w:t xml:space="preserve">(This table is to be read along with section </w:t>
      </w:r>
      <w:r w:rsidR="00794563">
        <w:t>5.2</w:t>
      </w:r>
      <w:r>
        <w:t xml:space="preserve"> of the original paper</w:t>
      </w:r>
      <w:r w:rsidR="007C0A97">
        <w:t>.</w:t>
      </w:r>
      <w:r>
        <w:t>)</w:t>
      </w:r>
    </w:p>
    <w:p w14:paraId="45572F73" w14:textId="77777777" w:rsidR="00D90CEC" w:rsidRDefault="00D90CEC" w:rsidP="0009178E">
      <w:pPr>
        <w:spacing w:after="0" w:line="240" w:lineRule="auto"/>
      </w:pPr>
    </w:p>
    <w:tbl>
      <w:tblPr>
        <w:tblW w:w="9535" w:type="dxa"/>
        <w:jc w:val="center"/>
        <w:tblLook w:val="04A0" w:firstRow="1" w:lastRow="0" w:firstColumn="1" w:lastColumn="0" w:noHBand="0" w:noVBand="1"/>
      </w:tblPr>
      <w:tblGrid>
        <w:gridCol w:w="1255"/>
        <w:gridCol w:w="1620"/>
        <w:gridCol w:w="1260"/>
        <w:gridCol w:w="1260"/>
        <w:gridCol w:w="1620"/>
        <w:gridCol w:w="1260"/>
        <w:gridCol w:w="1260"/>
      </w:tblGrid>
      <w:tr w:rsidR="00D90CEC" w:rsidRPr="00D90CEC" w14:paraId="5C130690" w14:textId="77777777" w:rsidTr="0009178E">
        <w:trPr>
          <w:trHeight w:val="30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72" w:type="dxa"/>
              <w:right w:w="72" w:type="dxa"/>
            </w:tcMar>
            <w:vAlign w:val="center"/>
            <w:hideMark/>
          </w:tcPr>
          <w:p w14:paraId="3CC41A88" w14:textId="77777777" w:rsidR="00D90CEC" w:rsidRPr="00D90CEC" w:rsidRDefault="00D90CEC" w:rsidP="00D90C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b/>
                <w:color w:val="000000"/>
                <w:sz w:val="22"/>
              </w:rPr>
              <w:t>Result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72" w:type="dxa"/>
              <w:right w:w="72" w:type="dxa"/>
            </w:tcMar>
            <w:vAlign w:val="center"/>
            <w:hideMark/>
          </w:tcPr>
          <w:p w14:paraId="4A3A9F62" w14:textId="77777777" w:rsidR="00D90CEC" w:rsidRPr="00D90CEC" w:rsidRDefault="00D90CEC" w:rsidP="00D90C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b/>
                <w:color w:val="000000"/>
                <w:sz w:val="22"/>
              </w:rPr>
              <w:t>Mode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72" w:type="dxa"/>
              <w:right w:w="72" w:type="dxa"/>
            </w:tcMar>
            <w:vAlign w:val="center"/>
            <w:hideMark/>
          </w:tcPr>
          <w:p w14:paraId="4601537C" w14:textId="77777777" w:rsidR="00D90CEC" w:rsidRPr="00D90CEC" w:rsidRDefault="00D90CEC" w:rsidP="00D90C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b/>
                <w:color w:val="000000"/>
                <w:sz w:val="22"/>
              </w:rPr>
              <w:t xml:space="preserve">Base – </w:t>
            </w:r>
            <w:r w:rsidR="00E33279">
              <w:rPr>
                <w:rFonts w:eastAsia="Times New Roman" w:cs="Times New Roman"/>
                <w:b/>
                <w:color w:val="000000"/>
                <w:sz w:val="22"/>
              </w:rPr>
              <w:br/>
            </w:r>
            <w:r w:rsidRPr="00D90CEC">
              <w:rPr>
                <w:rFonts w:eastAsia="Times New Roman" w:cs="Times New Roman"/>
                <w:b/>
                <w:color w:val="000000"/>
                <w:sz w:val="22"/>
              </w:rPr>
              <w:t>No AV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72" w:type="dxa"/>
              <w:right w:w="72" w:type="dxa"/>
            </w:tcMar>
            <w:vAlign w:val="center"/>
            <w:hideMark/>
          </w:tcPr>
          <w:p w14:paraId="3BEC9091" w14:textId="77777777" w:rsidR="00D90CEC" w:rsidRPr="00D90CEC" w:rsidRDefault="00D90CEC" w:rsidP="00D90C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b/>
                <w:color w:val="000000"/>
                <w:sz w:val="22"/>
              </w:rPr>
              <w:t>Base – High AV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72" w:type="dxa"/>
              <w:right w:w="72" w:type="dxa"/>
            </w:tcMar>
            <w:vAlign w:val="center"/>
            <w:hideMark/>
          </w:tcPr>
          <w:p w14:paraId="7D72E051" w14:textId="77777777" w:rsidR="00D90CEC" w:rsidRPr="00D90CEC" w:rsidRDefault="00D90CEC" w:rsidP="00D90C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b/>
                <w:color w:val="000000"/>
                <w:sz w:val="22"/>
              </w:rPr>
              <w:t>Increased Trip Generation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72" w:type="dxa"/>
              <w:right w:w="72" w:type="dxa"/>
            </w:tcMar>
            <w:vAlign w:val="center"/>
            <w:hideMark/>
          </w:tcPr>
          <w:p w14:paraId="3B1474DE" w14:textId="77777777" w:rsidR="00D90CEC" w:rsidRPr="00D90CEC" w:rsidRDefault="00D90CEC" w:rsidP="00D90C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b/>
                <w:color w:val="000000"/>
                <w:sz w:val="22"/>
              </w:rPr>
              <w:t>No Change in VOT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72" w:type="dxa"/>
              <w:right w:w="72" w:type="dxa"/>
            </w:tcMar>
            <w:vAlign w:val="center"/>
            <w:hideMark/>
          </w:tcPr>
          <w:p w14:paraId="1AD442CA" w14:textId="77777777" w:rsidR="00D90CEC" w:rsidRPr="00D90CEC" w:rsidRDefault="00D90CEC" w:rsidP="00D90C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b/>
                <w:color w:val="000000"/>
                <w:sz w:val="22"/>
              </w:rPr>
              <w:t>Capacity Decrease</w:t>
            </w:r>
          </w:p>
        </w:tc>
      </w:tr>
      <w:tr w:rsidR="00D90CEC" w:rsidRPr="00D90CEC" w14:paraId="6CCB35AF" w14:textId="77777777" w:rsidTr="0009178E">
        <w:trPr>
          <w:trHeight w:val="300"/>
          <w:jc w:val="center"/>
        </w:trPr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60EFB194" w14:textId="77777777" w:rsidR="00D90CEC" w:rsidRPr="00D90CEC" w:rsidRDefault="00D90CEC" w:rsidP="00D90C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Trips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67C70DA" w14:textId="77777777" w:rsidR="00D90CEC" w:rsidRPr="00D90CEC" w:rsidRDefault="00D90CEC" w:rsidP="00D90CE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Auto - Non-AV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F023F39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31,537,831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4405A5B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20,012,733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3D71712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20,012,937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D9CE859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20,012,471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78AA43C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20,015,102</w:t>
            </w:r>
          </w:p>
        </w:tc>
      </w:tr>
      <w:tr w:rsidR="00D90CEC" w:rsidRPr="00D90CEC" w14:paraId="19A58004" w14:textId="77777777" w:rsidTr="0009178E">
        <w:trPr>
          <w:trHeight w:val="30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AD77B00" w14:textId="77777777" w:rsidR="00D90CEC" w:rsidRPr="00D90CEC" w:rsidRDefault="00D90CEC" w:rsidP="00D90CE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79695BA" w14:textId="77777777" w:rsidR="00D90CEC" w:rsidRPr="00D90CEC" w:rsidRDefault="00D90CEC" w:rsidP="00D90CE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Auto - AV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6FADB88" w14:textId="77777777" w:rsidR="00D90CEC" w:rsidRPr="00D90CEC" w:rsidRDefault="00D90CEC" w:rsidP="00D90C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---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0C4DDE1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12,146,912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B80C2BF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12,473,110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5BC1A90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12,115,429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C53E5D8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12,138,898</w:t>
            </w:r>
          </w:p>
        </w:tc>
      </w:tr>
      <w:tr w:rsidR="00D90CEC" w:rsidRPr="00D90CEC" w14:paraId="29F04442" w14:textId="77777777" w:rsidTr="0009178E">
        <w:trPr>
          <w:trHeight w:val="300"/>
          <w:jc w:val="center"/>
        </w:trPr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7D2CC62F" w14:textId="77777777" w:rsidR="00D90CEC" w:rsidRPr="00D90CEC" w:rsidRDefault="00D90CEC" w:rsidP="00D90C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VMTs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9BBE3C6" w14:textId="77777777" w:rsidR="00D90CEC" w:rsidRPr="00D90CEC" w:rsidRDefault="00D90CEC" w:rsidP="00D90CE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Auto - Non-AV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81DEF94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284,954,405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F7CFA00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185,978,835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88FA7F1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184,918,753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A2AAF80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184,817,284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29BB15F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179,886,669</w:t>
            </w:r>
          </w:p>
        </w:tc>
      </w:tr>
      <w:tr w:rsidR="00D90CEC" w:rsidRPr="00D90CEC" w14:paraId="23C1D0CE" w14:textId="77777777" w:rsidTr="0009178E">
        <w:trPr>
          <w:trHeight w:val="30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1775B0B" w14:textId="77777777" w:rsidR="00D90CEC" w:rsidRPr="00D90CEC" w:rsidRDefault="00D90CEC" w:rsidP="00D90CE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AEC6EEA" w14:textId="77777777" w:rsidR="00D90CEC" w:rsidRPr="00D90CEC" w:rsidRDefault="00D90CEC" w:rsidP="00D90CE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Auto - AV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B67F082" w14:textId="77777777" w:rsidR="00D90CEC" w:rsidRPr="00D90CEC" w:rsidRDefault="00D90CEC" w:rsidP="00D90C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---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D8286F1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119,216,118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37F8B9E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120,693,312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F1BEB7D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115,543,844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D25F201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114,983,408</w:t>
            </w:r>
          </w:p>
        </w:tc>
      </w:tr>
      <w:tr w:rsidR="00D90CEC" w:rsidRPr="00D90CEC" w14:paraId="7DAAA1A9" w14:textId="77777777" w:rsidTr="0009178E">
        <w:trPr>
          <w:trHeight w:val="300"/>
          <w:jc w:val="center"/>
        </w:trPr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5D742A67" w14:textId="77777777" w:rsidR="00D90CEC" w:rsidRPr="00D90CEC" w:rsidRDefault="00D90CEC" w:rsidP="00D90C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VHTs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C8B9AC4" w14:textId="77777777" w:rsidR="00D90CEC" w:rsidRPr="00D90CEC" w:rsidRDefault="00D90CEC" w:rsidP="00D90CE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Auto - Non-AV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2BD39E1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9,099,179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0623D10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5,569,718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3CD5DDC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5,534,352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896B2F6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5,499,651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85C72BE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5,958,368</w:t>
            </w:r>
          </w:p>
        </w:tc>
      </w:tr>
      <w:tr w:rsidR="00D90CEC" w:rsidRPr="00D90CEC" w14:paraId="60F8CAD3" w14:textId="77777777" w:rsidTr="0009178E">
        <w:trPr>
          <w:trHeight w:val="30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608CAE8" w14:textId="77777777" w:rsidR="00D90CEC" w:rsidRPr="00D90CEC" w:rsidRDefault="00D90CEC" w:rsidP="00D90CE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A5CD928" w14:textId="77777777" w:rsidR="00D90CEC" w:rsidRPr="00D90CEC" w:rsidRDefault="00D90CEC" w:rsidP="00D90CE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Auto - AV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703BA30" w14:textId="77777777" w:rsidR="00D90CEC" w:rsidRPr="00D90CEC" w:rsidRDefault="00D90CEC" w:rsidP="00D90C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---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50A7112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3,780,950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CA08AC4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3,829,575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5F86920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3,611,514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5E5EE6F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4,100,215</w:t>
            </w:r>
          </w:p>
        </w:tc>
      </w:tr>
      <w:tr w:rsidR="00D90CEC" w:rsidRPr="00D90CEC" w14:paraId="47053CFA" w14:textId="77777777" w:rsidTr="0009178E">
        <w:trPr>
          <w:trHeight w:val="300"/>
          <w:jc w:val="center"/>
        </w:trPr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4389EAD3" w14:textId="77777777" w:rsidR="00D90CEC" w:rsidRPr="00D90CEC" w:rsidRDefault="00D90CEC" w:rsidP="00D90C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Avg. Travel</w:t>
            </w:r>
            <w:r w:rsidRPr="00D90CEC">
              <w:rPr>
                <w:rFonts w:eastAsia="Times New Roman" w:cs="Times New Roman"/>
                <w:color w:val="000000"/>
                <w:sz w:val="22"/>
              </w:rPr>
              <w:br/>
              <w:t>Time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D028941" w14:textId="77777777" w:rsidR="00D90CEC" w:rsidRPr="00D90CEC" w:rsidRDefault="00D90CEC" w:rsidP="00D90CE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Auto - Non-AV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5584BF9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17.31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7673C44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16.70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E7FC802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16.59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728BD42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16.49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0F1603A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17.86</w:t>
            </w:r>
          </w:p>
        </w:tc>
      </w:tr>
      <w:tr w:rsidR="00D90CEC" w:rsidRPr="00D90CEC" w14:paraId="222A0275" w14:textId="77777777" w:rsidTr="0009178E">
        <w:trPr>
          <w:trHeight w:val="30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F012D98" w14:textId="77777777" w:rsidR="00D90CEC" w:rsidRPr="00D90CEC" w:rsidRDefault="00D90CEC" w:rsidP="00D90CE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B3EFF4D" w14:textId="77777777" w:rsidR="00D90CEC" w:rsidRPr="00D90CEC" w:rsidRDefault="00D90CEC" w:rsidP="00D90CE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Auto - AV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AD51A12" w14:textId="77777777" w:rsidR="00D90CEC" w:rsidRPr="00D90CEC" w:rsidRDefault="00D90CEC" w:rsidP="00D90C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---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C55E9FF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18.68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6FEC417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18.42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6B561EC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17.89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77A8416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20.27</w:t>
            </w:r>
          </w:p>
        </w:tc>
      </w:tr>
      <w:tr w:rsidR="00D90CEC" w:rsidRPr="00D90CEC" w14:paraId="61B27E3D" w14:textId="77777777" w:rsidTr="0009178E">
        <w:trPr>
          <w:trHeight w:val="300"/>
          <w:jc w:val="center"/>
        </w:trPr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40ACFA67" w14:textId="77777777" w:rsidR="00D90CEC" w:rsidRPr="00D90CEC" w:rsidRDefault="00D90CEC" w:rsidP="00D90C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Avg. Trip</w:t>
            </w:r>
            <w:r w:rsidRPr="00D90CEC">
              <w:rPr>
                <w:rFonts w:eastAsia="Times New Roman" w:cs="Times New Roman"/>
                <w:color w:val="000000"/>
                <w:sz w:val="22"/>
              </w:rPr>
              <w:br/>
              <w:t>Distance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70F083A" w14:textId="77777777" w:rsidR="00D90CEC" w:rsidRPr="00D90CEC" w:rsidRDefault="00D90CEC" w:rsidP="00D90CE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Auto - Non-AV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6BB6580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9.04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E319D76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9.29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072C063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9.24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D4B6E01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9.24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1C8069D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8.99</w:t>
            </w:r>
          </w:p>
        </w:tc>
      </w:tr>
      <w:tr w:rsidR="00D90CEC" w:rsidRPr="00D90CEC" w14:paraId="3334582F" w14:textId="77777777" w:rsidTr="0009178E">
        <w:trPr>
          <w:trHeight w:val="30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7A1D5C3" w14:textId="77777777" w:rsidR="00D90CEC" w:rsidRPr="00D90CEC" w:rsidRDefault="00D90CEC" w:rsidP="00D90CE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6924706" w14:textId="77777777" w:rsidR="00D90CEC" w:rsidRPr="00D90CEC" w:rsidRDefault="00D90CEC" w:rsidP="00D90CE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Auto - AV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4BB78F7" w14:textId="77777777" w:rsidR="00D90CEC" w:rsidRPr="00D90CEC" w:rsidRDefault="00D90CEC" w:rsidP="00D90C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---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71C4FA8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9.81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428B527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9.68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8BA59D5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9.54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01510DA" w14:textId="77777777" w:rsidR="00D90CEC" w:rsidRPr="00D90CEC" w:rsidRDefault="00D90CEC" w:rsidP="00D90C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D90CEC">
              <w:rPr>
                <w:rFonts w:eastAsia="Times New Roman" w:cs="Times New Roman"/>
                <w:color w:val="000000"/>
                <w:sz w:val="22"/>
              </w:rPr>
              <w:t>9.47</w:t>
            </w:r>
          </w:p>
        </w:tc>
      </w:tr>
    </w:tbl>
    <w:p w14:paraId="7A27C682" w14:textId="77777777" w:rsidR="00D90CEC" w:rsidRDefault="00D90CEC" w:rsidP="005043CC">
      <w:pPr>
        <w:spacing w:line="240" w:lineRule="auto"/>
      </w:pPr>
    </w:p>
    <w:p w14:paraId="62F75559" w14:textId="2C39132C" w:rsidR="00794563" w:rsidRPr="005043CC" w:rsidRDefault="00215D1F" w:rsidP="005043CC">
      <w:pPr>
        <w:spacing w:line="240" w:lineRule="auto"/>
      </w:pPr>
      <w:r>
        <w:t>For all scenarios, AVs are associated with longer trips in terms of both time and distance</w:t>
      </w:r>
      <w:r w:rsidR="00F5336E">
        <w:t xml:space="preserve"> than </w:t>
      </w:r>
      <w:r w:rsidR="00DB4891">
        <w:t>N</w:t>
      </w:r>
      <w:r w:rsidR="00F5336E">
        <w:t>on-AVs</w:t>
      </w:r>
      <w:r>
        <w:t>. We did not expect to see thi</w:t>
      </w:r>
      <w:bookmarkStart w:id="0" w:name="_GoBack"/>
      <w:bookmarkEnd w:id="0"/>
      <w:r>
        <w:t xml:space="preserve">s effect in the “No Change in VOT” scenario, since that scenario directly </w:t>
      </w:r>
      <w:r w:rsidR="00DB4891">
        <w:t>assumes that</w:t>
      </w:r>
      <w:r>
        <w:t xml:space="preserve"> AVs have the same values of time as Non-AVs. </w:t>
      </w:r>
      <w:r w:rsidR="0047338E">
        <w:t>Notably, the difference between the average Non-AV and AV travel times and distances are smaller for the “No Change in VOT”</w:t>
      </w:r>
      <w:r w:rsidR="00D517ED">
        <w:t xml:space="preserve"> scenario</w:t>
      </w:r>
      <w:r w:rsidR="0047338E">
        <w:t>, but there still seems to be some residual difference between two</w:t>
      </w:r>
      <w:r w:rsidR="00D517ED">
        <w:t xml:space="preserve"> modes</w:t>
      </w:r>
      <w:r w:rsidR="0047338E">
        <w:t>. Th</w:t>
      </w:r>
      <w:r>
        <w:t xml:space="preserve">is is likely due to </w:t>
      </w:r>
      <w:r w:rsidR="00591917">
        <w:t>an</w:t>
      </w:r>
      <w:r w:rsidR="00255C77">
        <w:t xml:space="preserve"> </w:t>
      </w:r>
      <w:r>
        <w:t>assumpt</w:t>
      </w:r>
      <w:r w:rsidR="00591917">
        <w:t>ion</w:t>
      </w:r>
      <w:r w:rsidR="00255C77">
        <w:t xml:space="preserve"> made in our extension of the mode choice model</w:t>
      </w:r>
      <w:r>
        <w:t xml:space="preserve">. NCTCOG’s original mode choice model was segmented according to several categories: </w:t>
      </w:r>
      <w:r w:rsidR="00F80897">
        <w:t xml:space="preserve">income level, </w:t>
      </w:r>
      <w:r>
        <w:t>number of workers, number of adults, number of children, and, more importantly, number of vehicles</w:t>
      </w:r>
      <w:r w:rsidR="00591917">
        <w:t xml:space="preserve"> – each trip type was segmented slightly differently</w:t>
      </w:r>
      <w:r>
        <w:t xml:space="preserve">. When implementing our extension, we assumed that households that were deemed “AV households” </w:t>
      </w:r>
      <w:r w:rsidR="006E540A">
        <w:t>should not be segmented based on number vehicles in the household since a single AV could serve multiple household members simultaneously</w:t>
      </w:r>
      <w:r w:rsidR="00F80897">
        <w:t>.</w:t>
      </w:r>
      <w:r w:rsidR="006E540A">
        <w:t xml:space="preserve"> </w:t>
      </w:r>
      <w:r w:rsidR="00F80897">
        <w:t xml:space="preserve">All other segmentations remained, only number of vehicles was removed. </w:t>
      </w:r>
      <w:r w:rsidR="00C529B7">
        <w:t>Th</w:t>
      </w:r>
      <w:r w:rsidR="0047338E">
        <w:t xml:space="preserve">is was done by </w:t>
      </w:r>
      <w:r w:rsidR="00C529B7">
        <w:t>copy</w:t>
      </w:r>
      <w:r w:rsidR="0047338E">
        <w:t>ing</w:t>
      </w:r>
      <w:r w:rsidR="00C529B7">
        <w:t xml:space="preserve"> the mode choice model from the highest level of vehicle ownership to all other vehicle ownership categories. </w:t>
      </w:r>
      <w:r w:rsidR="00D700CC">
        <w:t xml:space="preserve">This, combined with the higher sensitivity towards travel time (for </w:t>
      </w:r>
      <w:r w:rsidR="000E3DEA">
        <w:t>the AV mode</w:t>
      </w:r>
      <w:r w:rsidR="00D700CC">
        <w:t xml:space="preserve"> in the “No Change in VOT” scenario compared to</w:t>
      </w:r>
      <w:r w:rsidR="000E3DEA">
        <w:t xml:space="preserve"> the AV mode in</w:t>
      </w:r>
      <w:r w:rsidR="00D700CC">
        <w:t xml:space="preserve"> the “Base – High AV” scenario) likely pushed travelers away from the Auto – AV mode to other modes (as evidenced by Auto-AV’s lower number of trips), leading to different geographic spreads of AV trips</w:t>
      </w:r>
      <w:r w:rsidR="005903CA">
        <w:t>, ultimately generating slightly longer trips</w:t>
      </w:r>
      <w:r w:rsidR="0061551D">
        <w:t>.</w:t>
      </w:r>
      <w:r w:rsidR="000E3DEA">
        <w:t xml:space="preserve"> This could also just be an odd non-representative numerical artifact </w:t>
      </w:r>
      <w:r w:rsidR="005903CA">
        <w:t xml:space="preserve">resulting from the accumulation of slight differences across the multiple pieces of the model. </w:t>
      </w:r>
    </w:p>
    <w:sectPr w:rsidR="00794563" w:rsidRPr="005043CC" w:rsidSect="00F22A59">
      <w:pgSz w:w="12240" w:h="15840"/>
      <w:pgMar w:top="990" w:right="1440" w:bottom="9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Euclid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16A5"/>
    <w:multiLevelType w:val="hybridMultilevel"/>
    <w:tmpl w:val="43AA4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81CF9"/>
    <w:multiLevelType w:val="hybridMultilevel"/>
    <w:tmpl w:val="39C22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73DF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A59"/>
    <w:rsid w:val="00036DE9"/>
    <w:rsid w:val="0009178E"/>
    <w:rsid w:val="000B2999"/>
    <w:rsid w:val="000E0B01"/>
    <w:rsid w:val="000E3DEA"/>
    <w:rsid w:val="00150518"/>
    <w:rsid w:val="001D3EB5"/>
    <w:rsid w:val="001F7888"/>
    <w:rsid w:val="00215D1F"/>
    <w:rsid w:val="002165FE"/>
    <w:rsid w:val="002349F8"/>
    <w:rsid w:val="00253C9E"/>
    <w:rsid w:val="00255C77"/>
    <w:rsid w:val="00281772"/>
    <w:rsid w:val="002F72E6"/>
    <w:rsid w:val="003A7E1A"/>
    <w:rsid w:val="003B0CDB"/>
    <w:rsid w:val="003B3455"/>
    <w:rsid w:val="003D4FBE"/>
    <w:rsid w:val="00426AD7"/>
    <w:rsid w:val="0047338E"/>
    <w:rsid w:val="004D3208"/>
    <w:rsid w:val="005043CC"/>
    <w:rsid w:val="00514E1A"/>
    <w:rsid w:val="0054726F"/>
    <w:rsid w:val="00557C56"/>
    <w:rsid w:val="005903CA"/>
    <w:rsid w:val="00591917"/>
    <w:rsid w:val="005D6807"/>
    <w:rsid w:val="0061551D"/>
    <w:rsid w:val="006833B0"/>
    <w:rsid w:val="006E540A"/>
    <w:rsid w:val="00727C19"/>
    <w:rsid w:val="00736EDF"/>
    <w:rsid w:val="00794563"/>
    <w:rsid w:val="007C0A97"/>
    <w:rsid w:val="007C0CA4"/>
    <w:rsid w:val="007D6A58"/>
    <w:rsid w:val="008D202A"/>
    <w:rsid w:val="008D608A"/>
    <w:rsid w:val="00967765"/>
    <w:rsid w:val="009B5D51"/>
    <w:rsid w:val="00A454D1"/>
    <w:rsid w:val="00A70BC3"/>
    <w:rsid w:val="00A73EEB"/>
    <w:rsid w:val="00AD6A8E"/>
    <w:rsid w:val="00B13A62"/>
    <w:rsid w:val="00B448C7"/>
    <w:rsid w:val="00C012D0"/>
    <w:rsid w:val="00C14849"/>
    <w:rsid w:val="00C529B7"/>
    <w:rsid w:val="00C65DF1"/>
    <w:rsid w:val="00C97F8F"/>
    <w:rsid w:val="00CB07D9"/>
    <w:rsid w:val="00CF575B"/>
    <w:rsid w:val="00D144F3"/>
    <w:rsid w:val="00D517ED"/>
    <w:rsid w:val="00D700CC"/>
    <w:rsid w:val="00D7387D"/>
    <w:rsid w:val="00D86894"/>
    <w:rsid w:val="00D90CEC"/>
    <w:rsid w:val="00D916D4"/>
    <w:rsid w:val="00D965AC"/>
    <w:rsid w:val="00DB4891"/>
    <w:rsid w:val="00E33279"/>
    <w:rsid w:val="00E7557B"/>
    <w:rsid w:val="00E84FF0"/>
    <w:rsid w:val="00E909F2"/>
    <w:rsid w:val="00EA0EEA"/>
    <w:rsid w:val="00F22A59"/>
    <w:rsid w:val="00F5336E"/>
    <w:rsid w:val="00F80897"/>
    <w:rsid w:val="00F82F76"/>
    <w:rsid w:val="00FE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8F6B"/>
  <w15:chartTrackingRefBased/>
  <w15:docId w15:val="{C46002CF-A499-4E4F-A1C3-58242D8D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A59"/>
    <w:pPr>
      <w:spacing w:line="36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849"/>
    <w:pPr>
      <w:keepNext/>
      <w:keepLines/>
      <w:numPr>
        <w:numId w:val="3"/>
      </w:numPr>
      <w:spacing w:before="320" w:after="40"/>
      <w:outlineLvl w:val="0"/>
    </w:pPr>
    <w:rPr>
      <w:rFonts w:eastAsiaTheme="majorEastAsia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849"/>
    <w:pPr>
      <w:keepNext/>
      <w:keepLines/>
      <w:numPr>
        <w:ilvl w:val="1"/>
        <w:numId w:val="3"/>
      </w:numPr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849"/>
    <w:pPr>
      <w:keepNext/>
      <w:keepLines/>
      <w:numPr>
        <w:ilvl w:val="2"/>
        <w:numId w:val="3"/>
      </w:numPr>
      <w:spacing w:before="120" w:after="0"/>
      <w:outlineLvl w:val="2"/>
    </w:pPr>
    <w:rPr>
      <w:rFonts w:asciiTheme="majorHAnsi" w:eastAsiaTheme="majorEastAsia" w:hAnsiTheme="majorHAnsi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849"/>
    <w:pPr>
      <w:keepNext/>
      <w:keepLines/>
      <w:numPr>
        <w:ilvl w:val="3"/>
        <w:numId w:val="3"/>
      </w:numPr>
      <w:spacing w:before="120" w:after="0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849"/>
    <w:pPr>
      <w:keepNext/>
      <w:keepLines/>
      <w:numPr>
        <w:ilvl w:val="4"/>
        <w:numId w:val="3"/>
      </w:numPr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849"/>
    <w:pPr>
      <w:keepNext/>
      <w:keepLines/>
      <w:numPr>
        <w:ilvl w:val="5"/>
        <w:numId w:val="3"/>
      </w:numPr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849"/>
    <w:pPr>
      <w:keepNext/>
      <w:keepLines/>
      <w:numPr>
        <w:ilvl w:val="6"/>
        <w:numId w:val="3"/>
      </w:numPr>
      <w:spacing w:before="120" w:after="0"/>
      <w:outlineLvl w:val="6"/>
    </w:pPr>
    <w:rPr>
      <w:rFonts w:asciiTheme="minorHAnsi" w:hAnsiTheme="minorHAns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849"/>
    <w:pPr>
      <w:keepNext/>
      <w:keepLines/>
      <w:numPr>
        <w:ilvl w:val="7"/>
        <w:numId w:val="3"/>
      </w:numPr>
      <w:spacing w:before="120" w:after="0"/>
      <w:outlineLvl w:val="7"/>
    </w:pPr>
    <w:rPr>
      <w:rFonts w:asciiTheme="minorHAnsi" w:hAnsiTheme="minorHAnsi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849"/>
    <w:pPr>
      <w:keepNext/>
      <w:keepLines/>
      <w:numPr>
        <w:ilvl w:val="8"/>
        <w:numId w:val="3"/>
      </w:numPr>
      <w:spacing w:before="120" w:after="0"/>
      <w:outlineLvl w:val="8"/>
    </w:pPr>
    <w:rPr>
      <w:rFonts w:asciiTheme="minorHAnsi" w:hAnsiTheme="minorHAns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849"/>
    <w:rPr>
      <w:rFonts w:ascii="Times New Roman" w:eastAsiaTheme="majorEastAsia" w:hAnsi="Times New Roman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849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84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84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849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84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849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849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849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D965AC"/>
    <w:rPr>
      <w:b/>
      <w:bCs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14849"/>
    <w:pPr>
      <w:spacing w:after="0" w:line="240" w:lineRule="auto"/>
      <w:contextualSpacing/>
    </w:pPr>
    <w:rPr>
      <w:rFonts w:eastAsiaTheme="majorEastAsia" w:cstheme="majorBidi"/>
      <w:b/>
      <w:bCs/>
      <w:spacing w:val="-7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14849"/>
    <w:rPr>
      <w:rFonts w:ascii="Times New Roman" w:eastAsiaTheme="majorEastAsia" w:hAnsi="Times New Roman" w:cstheme="majorBidi"/>
      <w:b/>
      <w:bCs/>
      <w:spacing w:val="-7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84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484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14849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14849"/>
    <w:rPr>
      <w:i/>
      <w:iCs/>
      <w:color w:val="auto"/>
    </w:rPr>
  </w:style>
  <w:style w:type="paragraph" w:styleId="NoSpacing">
    <w:name w:val="No Spacing"/>
    <w:uiPriority w:val="1"/>
    <w:qFormat/>
    <w:rsid w:val="00C1484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1484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1484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84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849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C14849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C14849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14849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14849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C14849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4849"/>
    <w:pPr>
      <w:outlineLvl w:val="9"/>
    </w:pPr>
  </w:style>
  <w:style w:type="paragraph" w:styleId="ListParagraph">
    <w:name w:val="List Paragraph"/>
    <w:basedOn w:val="Normal"/>
    <w:uiPriority w:val="34"/>
    <w:qFormat/>
    <w:rsid w:val="00C148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3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3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36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36E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36E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36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0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s27556\Box%20Sync\Doc%20Styles\Research%20Std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14919B92-BF8E-4020-BCE6-D6F58478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Research Std Doc</Template>
  <TotalTime>0</TotalTime>
  <Pages>1</Pages>
  <Words>426</Words>
  <Characters>2429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Cockrell School of Engineering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Sivakumar Nair, Gopindra</dc:creator>
  <cp:keywords/>
  <dc:description/>
  <cp:lastModifiedBy>Macias, Lisa J</cp:lastModifiedBy>
  <cp:revision>2</cp:revision>
  <dcterms:created xsi:type="dcterms:W3CDTF">2020-01-29T21:02:00Z</dcterms:created>
  <dcterms:modified xsi:type="dcterms:W3CDTF">2020-01-29T21:02:00Z</dcterms:modified>
</cp:coreProperties>
</file>