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369D80" w14:textId="77777777" w:rsidR="00540E05" w:rsidRPr="00D14CD7" w:rsidRDefault="00540E05" w:rsidP="00540E05">
      <w:pPr>
        <w:spacing w:after="0" w:line="240" w:lineRule="auto"/>
        <w:jc w:val="center"/>
        <w:rPr>
          <w:b/>
          <w:color w:val="000000" w:themeColor="text1"/>
        </w:rPr>
      </w:pPr>
      <w:bookmarkStart w:id="0" w:name="_Hlk134994937"/>
    </w:p>
    <w:p w14:paraId="5E07DBAD" w14:textId="77777777" w:rsidR="00540E05" w:rsidRPr="00D14CD7" w:rsidRDefault="00540E05" w:rsidP="00540E05">
      <w:pPr>
        <w:spacing w:after="0" w:line="240" w:lineRule="auto"/>
        <w:jc w:val="center"/>
        <w:rPr>
          <w:b/>
          <w:color w:val="000000" w:themeColor="text1"/>
        </w:rPr>
      </w:pPr>
    </w:p>
    <w:p w14:paraId="6BD0F920" w14:textId="527893DB" w:rsidR="00D37DE8" w:rsidRPr="00D14CD7" w:rsidRDefault="00702501" w:rsidP="00702501">
      <w:pPr>
        <w:spacing w:after="0" w:line="240" w:lineRule="auto"/>
        <w:jc w:val="center"/>
        <w:rPr>
          <w:b/>
          <w:color w:val="000000" w:themeColor="text1"/>
        </w:rPr>
      </w:pPr>
      <w:r w:rsidRPr="00D14CD7">
        <w:rPr>
          <w:b/>
          <w:color w:val="000000" w:themeColor="text1"/>
        </w:rPr>
        <w:t xml:space="preserve">Eating-out </w:t>
      </w:r>
      <w:r w:rsidRPr="00D14CD7">
        <w:rPr>
          <w:b/>
          <w:bCs/>
          <w:color w:val="000000" w:themeColor="text1"/>
        </w:rPr>
        <w:t>Behavior across Different</w:t>
      </w:r>
      <w:r w:rsidRPr="00D14CD7">
        <w:rPr>
          <w:b/>
          <w:color w:val="000000" w:themeColor="text1"/>
        </w:rPr>
        <w:t xml:space="preserve"> Restaurant </w:t>
      </w:r>
      <w:r w:rsidRPr="00D14CD7">
        <w:rPr>
          <w:b/>
          <w:bCs/>
          <w:color w:val="000000" w:themeColor="text1"/>
        </w:rPr>
        <w:t>Segment Types</w:t>
      </w:r>
      <w:r w:rsidRPr="00D14CD7">
        <w:rPr>
          <w:b/>
          <w:color w:val="000000" w:themeColor="text1"/>
        </w:rPr>
        <w:t>: Implications for Transportation, Public Health, and Food Service Sectors</w:t>
      </w:r>
    </w:p>
    <w:p w14:paraId="4F6755D4" w14:textId="4A548D0B" w:rsidR="0090271B" w:rsidRPr="00D14CD7" w:rsidRDefault="0090271B" w:rsidP="00540E05">
      <w:pPr>
        <w:spacing w:after="0" w:line="240" w:lineRule="auto"/>
        <w:rPr>
          <w:b/>
          <w:bCs/>
          <w:color w:val="000000" w:themeColor="text1"/>
        </w:rPr>
      </w:pPr>
    </w:p>
    <w:p w14:paraId="28B3AF79" w14:textId="55D34686" w:rsidR="0090271B" w:rsidRPr="00D14CD7" w:rsidRDefault="0090271B" w:rsidP="00540E05">
      <w:pPr>
        <w:spacing w:after="0" w:line="240" w:lineRule="auto"/>
        <w:rPr>
          <w:b/>
          <w:bCs/>
          <w:color w:val="000000" w:themeColor="text1"/>
        </w:rPr>
      </w:pPr>
    </w:p>
    <w:p w14:paraId="48DDC07B" w14:textId="7E2E1D33" w:rsidR="00540E05" w:rsidRPr="00D14CD7" w:rsidRDefault="00540E05" w:rsidP="00540E05">
      <w:pPr>
        <w:spacing w:after="0" w:line="240" w:lineRule="auto"/>
        <w:rPr>
          <w:b/>
          <w:bCs/>
          <w:color w:val="000000" w:themeColor="text1"/>
        </w:rPr>
      </w:pPr>
    </w:p>
    <w:p w14:paraId="4A232AA8" w14:textId="77777777" w:rsidR="00540E05" w:rsidRPr="00D14CD7" w:rsidRDefault="00540E05" w:rsidP="00540E05">
      <w:pPr>
        <w:spacing w:after="0" w:line="240" w:lineRule="auto"/>
        <w:rPr>
          <w:b/>
          <w:bCs/>
          <w:color w:val="000000" w:themeColor="text1"/>
        </w:rPr>
      </w:pPr>
    </w:p>
    <w:p w14:paraId="4E39A7C7" w14:textId="60C99851" w:rsidR="00D37DE8" w:rsidRDefault="00D37DE8" w:rsidP="00540E05">
      <w:pPr>
        <w:spacing w:after="0" w:line="240" w:lineRule="auto"/>
        <w:rPr>
          <w:b/>
          <w:bCs/>
          <w:color w:val="000000" w:themeColor="text1"/>
        </w:rPr>
      </w:pPr>
    </w:p>
    <w:p w14:paraId="30E53FAE" w14:textId="77777777" w:rsidR="00235349" w:rsidRPr="00D14CD7" w:rsidRDefault="00235349" w:rsidP="00540E05">
      <w:pPr>
        <w:spacing w:after="0" w:line="240" w:lineRule="auto"/>
        <w:rPr>
          <w:b/>
          <w:bCs/>
          <w:color w:val="000000" w:themeColor="text1"/>
        </w:rPr>
      </w:pPr>
    </w:p>
    <w:p w14:paraId="4AF22A33" w14:textId="074500C4" w:rsidR="00D37DE8" w:rsidRPr="00D14CD7" w:rsidRDefault="00D37DE8" w:rsidP="00540E05">
      <w:pPr>
        <w:spacing w:after="0" w:line="240" w:lineRule="auto"/>
        <w:rPr>
          <w:b/>
          <w:bCs/>
          <w:color w:val="000000" w:themeColor="text1"/>
        </w:rPr>
      </w:pPr>
      <w:r w:rsidRPr="00D14CD7">
        <w:rPr>
          <w:b/>
          <w:bCs/>
          <w:color w:val="000000" w:themeColor="text1"/>
        </w:rPr>
        <w:t xml:space="preserve">Angela </w:t>
      </w:r>
      <w:r w:rsidR="00F078A8" w:rsidRPr="00D14CD7">
        <w:rPr>
          <w:b/>
          <w:bCs/>
          <w:color w:val="000000" w:themeColor="text1"/>
        </w:rPr>
        <w:t xml:space="preserve">J. </w:t>
      </w:r>
      <w:r w:rsidRPr="00D14CD7">
        <w:rPr>
          <w:b/>
          <w:bCs/>
          <w:color w:val="000000" w:themeColor="text1"/>
        </w:rPr>
        <w:t>Haddad</w:t>
      </w:r>
    </w:p>
    <w:p w14:paraId="4749BDD2" w14:textId="77777777" w:rsidR="00D37DE8" w:rsidRPr="00D14CD7" w:rsidRDefault="00D37DE8" w:rsidP="00540E05">
      <w:pPr>
        <w:spacing w:after="0" w:line="240" w:lineRule="auto"/>
        <w:rPr>
          <w:color w:val="000000" w:themeColor="text1"/>
        </w:rPr>
      </w:pPr>
      <w:r w:rsidRPr="00D14CD7">
        <w:rPr>
          <w:color w:val="000000" w:themeColor="text1"/>
        </w:rPr>
        <w:t>The University of Texas at Austin</w:t>
      </w:r>
    </w:p>
    <w:p w14:paraId="7303EC37" w14:textId="77777777" w:rsidR="00D37DE8" w:rsidRPr="00D14CD7" w:rsidRDefault="00D37DE8" w:rsidP="00540E05">
      <w:pPr>
        <w:spacing w:after="0" w:line="240" w:lineRule="auto"/>
        <w:rPr>
          <w:color w:val="000000" w:themeColor="text1"/>
        </w:rPr>
      </w:pPr>
      <w:r w:rsidRPr="00D14CD7">
        <w:rPr>
          <w:color w:val="000000" w:themeColor="text1"/>
        </w:rPr>
        <w:t>Department of Civil, Architectural and Environmental Engineering</w:t>
      </w:r>
    </w:p>
    <w:p w14:paraId="7889EC65" w14:textId="77777777" w:rsidR="00D37DE8" w:rsidRPr="00D14CD7" w:rsidRDefault="00D37DE8" w:rsidP="00540E05">
      <w:pPr>
        <w:spacing w:after="0" w:line="240" w:lineRule="auto"/>
        <w:rPr>
          <w:color w:val="000000" w:themeColor="text1"/>
        </w:rPr>
      </w:pPr>
      <w:r w:rsidRPr="00D14CD7">
        <w:rPr>
          <w:color w:val="000000" w:themeColor="text1"/>
        </w:rPr>
        <w:t>301 E. Dean Keeton St. Stop C1761, Austin TX 78712, USA</w:t>
      </w:r>
    </w:p>
    <w:p w14:paraId="5E3EC69E" w14:textId="54040525" w:rsidR="00D37DE8" w:rsidRPr="00D14CD7" w:rsidRDefault="00D37DE8" w:rsidP="00540E05">
      <w:pPr>
        <w:spacing w:after="0" w:line="240" w:lineRule="auto"/>
        <w:rPr>
          <w:color w:val="000000" w:themeColor="text1"/>
        </w:rPr>
      </w:pPr>
      <w:r w:rsidRPr="00D14CD7">
        <w:rPr>
          <w:color w:val="000000" w:themeColor="text1"/>
        </w:rPr>
        <w:t xml:space="preserve">Email: </w:t>
      </w:r>
      <w:hyperlink r:id="rId8" w:history="1">
        <w:r w:rsidR="007E2CED" w:rsidRPr="00D14CD7">
          <w:rPr>
            <w:rStyle w:val="Hyperlink"/>
            <w:color w:val="000000" w:themeColor="text1"/>
          </w:rPr>
          <w:t>angela.haddad@utexas.edu</w:t>
        </w:r>
      </w:hyperlink>
      <w:r w:rsidR="007E2CED" w:rsidRPr="00D14CD7">
        <w:rPr>
          <w:color w:val="000000" w:themeColor="text1"/>
        </w:rPr>
        <w:t xml:space="preserve"> </w:t>
      </w:r>
    </w:p>
    <w:p w14:paraId="295672D7" w14:textId="77777777" w:rsidR="00D37DE8" w:rsidRPr="00D14CD7" w:rsidRDefault="00D37DE8" w:rsidP="00540E05">
      <w:pPr>
        <w:spacing w:after="0" w:line="240" w:lineRule="auto"/>
        <w:rPr>
          <w:b/>
          <w:bCs/>
          <w:color w:val="000000" w:themeColor="text1"/>
        </w:rPr>
      </w:pPr>
    </w:p>
    <w:p w14:paraId="74807AF8" w14:textId="77777777" w:rsidR="00D37DE8" w:rsidRPr="00D14CD7" w:rsidRDefault="00D37DE8" w:rsidP="00540E05">
      <w:pPr>
        <w:spacing w:after="0" w:line="240" w:lineRule="auto"/>
        <w:rPr>
          <w:b/>
          <w:bCs/>
          <w:color w:val="000000" w:themeColor="text1"/>
        </w:rPr>
      </w:pPr>
      <w:r w:rsidRPr="00D14CD7">
        <w:rPr>
          <w:b/>
          <w:bCs/>
          <w:color w:val="000000" w:themeColor="text1"/>
        </w:rPr>
        <w:t>Aupal Mondal</w:t>
      </w:r>
    </w:p>
    <w:p w14:paraId="7FFA6643" w14:textId="77777777" w:rsidR="00D37DE8" w:rsidRPr="00D14CD7" w:rsidRDefault="00D37DE8" w:rsidP="00540E05">
      <w:pPr>
        <w:spacing w:after="0" w:line="240" w:lineRule="auto"/>
        <w:rPr>
          <w:color w:val="000000" w:themeColor="text1"/>
        </w:rPr>
      </w:pPr>
      <w:r w:rsidRPr="00D14CD7">
        <w:rPr>
          <w:color w:val="000000" w:themeColor="text1"/>
        </w:rPr>
        <w:t>The University of Texas at Austin</w:t>
      </w:r>
    </w:p>
    <w:p w14:paraId="44322761" w14:textId="77777777" w:rsidR="00D37DE8" w:rsidRPr="00D14CD7" w:rsidRDefault="00D37DE8" w:rsidP="00540E05">
      <w:pPr>
        <w:spacing w:after="0" w:line="240" w:lineRule="auto"/>
        <w:rPr>
          <w:color w:val="000000" w:themeColor="text1"/>
        </w:rPr>
      </w:pPr>
      <w:r w:rsidRPr="00D14CD7">
        <w:rPr>
          <w:color w:val="000000" w:themeColor="text1"/>
        </w:rPr>
        <w:t>Department of Civil, Architectural and Environmental Engineering</w:t>
      </w:r>
    </w:p>
    <w:p w14:paraId="531D84A3" w14:textId="77777777" w:rsidR="00D37DE8" w:rsidRPr="00D14CD7" w:rsidRDefault="00D37DE8" w:rsidP="00540E05">
      <w:pPr>
        <w:spacing w:after="0" w:line="240" w:lineRule="auto"/>
        <w:rPr>
          <w:color w:val="000000" w:themeColor="text1"/>
        </w:rPr>
      </w:pPr>
      <w:r w:rsidRPr="00D14CD7">
        <w:rPr>
          <w:color w:val="000000" w:themeColor="text1"/>
        </w:rPr>
        <w:t>301 E. Dean Keeton St. Stop C1761, Austin TX 78712, USA</w:t>
      </w:r>
    </w:p>
    <w:p w14:paraId="2E76373C" w14:textId="1EA92BD7" w:rsidR="00D37DE8" w:rsidRPr="00D14CD7" w:rsidRDefault="00D37DE8" w:rsidP="00540E05">
      <w:pPr>
        <w:spacing w:after="0" w:line="240" w:lineRule="auto"/>
        <w:rPr>
          <w:color w:val="000000" w:themeColor="text1"/>
        </w:rPr>
      </w:pPr>
      <w:r w:rsidRPr="00D14CD7">
        <w:rPr>
          <w:color w:val="000000" w:themeColor="text1"/>
        </w:rPr>
        <w:t xml:space="preserve">Email: </w:t>
      </w:r>
      <w:hyperlink r:id="rId9" w:history="1">
        <w:r w:rsidR="007E2CED" w:rsidRPr="00D14CD7">
          <w:rPr>
            <w:rStyle w:val="Hyperlink"/>
            <w:color w:val="000000" w:themeColor="text1"/>
          </w:rPr>
          <w:t>aupal.mondal@utexas.edu</w:t>
        </w:r>
      </w:hyperlink>
      <w:r w:rsidR="007E2CED" w:rsidRPr="00D14CD7">
        <w:rPr>
          <w:color w:val="000000" w:themeColor="text1"/>
        </w:rPr>
        <w:t xml:space="preserve"> </w:t>
      </w:r>
    </w:p>
    <w:p w14:paraId="0831C05B" w14:textId="77777777" w:rsidR="00D37DE8" w:rsidRPr="00D14CD7" w:rsidRDefault="00D37DE8" w:rsidP="00540E05">
      <w:pPr>
        <w:spacing w:after="0" w:line="240" w:lineRule="auto"/>
        <w:rPr>
          <w:b/>
          <w:bCs/>
          <w:color w:val="000000" w:themeColor="text1"/>
        </w:rPr>
      </w:pPr>
    </w:p>
    <w:p w14:paraId="77AD2870" w14:textId="599AD80C" w:rsidR="00D37DE8" w:rsidRPr="00D14CD7" w:rsidRDefault="00D37DE8" w:rsidP="00540E05">
      <w:pPr>
        <w:spacing w:after="0" w:line="240" w:lineRule="auto"/>
        <w:rPr>
          <w:b/>
          <w:bCs/>
          <w:color w:val="000000" w:themeColor="text1"/>
        </w:rPr>
      </w:pPr>
      <w:r w:rsidRPr="00D14CD7">
        <w:rPr>
          <w:b/>
          <w:bCs/>
          <w:color w:val="000000" w:themeColor="text1"/>
        </w:rPr>
        <w:t>Chandra R. Bhat</w:t>
      </w:r>
      <w:r w:rsidR="007E2CED" w:rsidRPr="00D14CD7">
        <w:rPr>
          <w:b/>
          <w:bCs/>
          <w:color w:val="000000" w:themeColor="text1"/>
        </w:rPr>
        <w:t xml:space="preserve"> </w:t>
      </w:r>
      <w:r w:rsidR="007E2CED" w:rsidRPr="00D14CD7">
        <w:rPr>
          <w:b/>
          <w:color w:val="000000" w:themeColor="text1"/>
        </w:rPr>
        <w:t>(corresponding author)</w:t>
      </w:r>
    </w:p>
    <w:p w14:paraId="48F55888" w14:textId="77777777" w:rsidR="00D37DE8" w:rsidRPr="00D14CD7" w:rsidRDefault="00D37DE8" w:rsidP="00540E05">
      <w:pPr>
        <w:spacing w:after="0" w:line="240" w:lineRule="auto"/>
        <w:rPr>
          <w:color w:val="000000" w:themeColor="text1"/>
        </w:rPr>
      </w:pPr>
      <w:r w:rsidRPr="00D14CD7">
        <w:rPr>
          <w:color w:val="000000" w:themeColor="text1"/>
        </w:rPr>
        <w:t>The University of Texas at Austin</w:t>
      </w:r>
    </w:p>
    <w:p w14:paraId="07523F63" w14:textId="77777777" w:rsidR="00D37DE8" w:rsidRPr="00D14CD7" w:rsidRDefault="00D37DE8" w:rsidP="00540E05">
      <w:pPr>
        <w:spacing w:after="0" w:line="240" w:lineRule="auto"/>
        <w:rPr>
          <w:color w:val="000000" w:themeColor="text1"/>
        </w:rPr>
      </w:pPr>
      <w:r w:rsidRPr="00D14CD7">
        <w:rPr>
          <w:color w:val="000000" w:themeColor="text1"/>
        </w:rPr>
        <w:t>Department of Civil, Architectural and Environmental Engineering</w:t>
      </w:r>
    </w:p>
    <w:p w14:paraId="7956749B" w14:textId="77777777" w:rsidR="00D37DE8" w:rsidRPr="00D14CD7" w:rsidRDefault="00D37DE8" w:rsidP="00540E05">
      <w:pPr>
        <w:spacing w:after="0" w:line="240" w:lineRule="auto"/>
        <w:rPr>
          <w:color w:val="000000" w:themeColor="text1"/>
        </w:rPr>
      </w:pPr>
      <w:r w:rsidRPr="00D14CD7">
        <w:rPr>
          <w:color w:val="000000" w:themeColor="text1"/>
        </w:rPr>
        <w:t>301 E. Dean Keeton St. Stop C1761, Austin TX 78712, USA</w:t>
      </w:r>
    </w:p>
    <w:p w14:paraId="66ABE25D" w14:textId="576946DB" w:rsidR="00D37DE8" w:rsidRPr="00D14CD7" w:rsidRDefault="00D37DE8" w:rsidP="00540E05">
      <w:pPr>
        <w:spacing w:after="0" w:line="240" w:lineRule="auto"/>
        <w:rPr>
          <w:color w:val="000000" w:themeColor="text1"/>
        </w:rPr>
        <w:sectPr w:rsidR="00D37DE8" w:rsidRPr="00D14CD7">
          <w:pgSz w:w="12240" w:h="15840"/>
          <w:pgMar w:top="1440" w:right="1440" w:bottom="1440" w:left="1440" w:header="720" w:footer="720" w:gutter="0"/>
          <w:cols w:space="720"/>
          <w:docGrid w:linePitch="360"/>
        </w:sectPr>
      </w:pPr>
      <w:r w:rsidRPr="00D14CD7">
        <w:rPr>
          <w:color w:val="000000" w:themeColor="text1"/>
        </w:rPr>
        <w:t xml:space="preserve">Tel: +1-512-471-4535; Email: </w:t>
      </w:r>
      <w:hyperlink r:id="rId10" w:history="1">
        <w:r w:rsidR="007E2CED" w:rsidRPr="00D14CD7">
          <w:rPr>
            <w:rStyle w:val="Hyperlink"/>
            <w:color w:val="000000" w:themeColor="text1"/>
          </w:rPr>
          <w:t>bhat@mail.utexas.edu</w:t>
        </w:r>
      </w:hyperlink>
      <w:r w:rsidR="007E2CED" w:rsidRPr="00D14CD7">
        <w:rPr>
          <w:color w:val="000000" w:themeColor="text1"/>
        </w:rPr>
        <w:t xml:space="preserve"> </w:t>
      </w:r>
    </w:p>
    <w:bookmarkEnd w:id="0"/>
    <w:p w14:paraId="39BB440B" w14:textId="3BD5DABE" w:rsidR="00DF24CE" w:rsidRPr="00D14CD7" w:rsidRDefault="00AE0A4C" w:rsidP="00540E05">
      <w:pPr>
        <w:pStyle w:val="Heading1"/>
        <w:numPr>
          <w:ilvl w:val="0"/>
          <w:numId w:val="0"/>
        </w:numPr>
        <w:spacing w:after="0" w:line="240" w:lineRule="auto"/>
        <w:ind w:left="360" w:hanging="360"/>
        <w:rPr>
          <w:color w:val="000000" w:themeColor="text1"/>
        </w:rPr>
      </w:pPr>
      <w:r w:rsidRPr="00D14CD7">
        <w:rPr>
          <w:bCs/>
          <w:color w:val="000000" w:themeColor="text1"/>
        </w:rPr>
        <w:lastRenderedPageBreak/>
        <w:t>ABSTRACT</w:t>
      </w:r>
    </w:p>
    <w:p w14:paraId="7E1B8039" w14:textId="2B07B924" w:rsidR="00DF24CE" w:rsidRPr="00D14CD7" w:rsidRDefault="000B53BF" w:rsidP="00540E05">
      <w:pPr>
        <w:spacing w:after="0" w:line="240" w:lineRule="auto"/>
        <w:rPr>
          <w:color w:val="000000" w:themeColor="text1"/>
        </w:rPr>
      </w:pPr>
      <w:bookmarkStart w:id="1" w:name="_Hlk171333304"/>
      <w:r w:rsidRPr="00CE528A">
        <w:t xml:space="preserve">This paper investigates the </w:t>
      </w:r>
      <w:r w:rsidR="009A6B2E" w:rsidRPr="00CE528A">
        <w:t>factors</w:t>
      </w:r>
      <w:r w:rsidRPr="00CE528A">
        <w:t xml:space="preserve"> shaping dining-out preferences, focusing on the allocation of monthly weekday dinner occasions across four key restaurant </w:t>
      </w:r>
      <w:r w:rsidR="00752D99" w:rsidRPr="00CE528A">
        <w:t>segments</w:t>
      </w:r>
      <w:bookmarkEnd w:id="1"/>
      <w:r w:rsidRPr="00CE528A">
        <w:t xml:space="preserve">: quick-service restaurants (QSRs), coffeehouses (CHs), casual-service restaurants (CSRs), and full-service restaurants (FSRs). </w:t>
      </w:r>
      <w:r w:rsidR="00DF24CE" w:rsidRPr="00CE528A">
        <w:t>The paper employs a Multiple Discrete-Count Extreme Value (MDCNTEV) modeling approach to analyze the data obtained from an online survey conducted in Texas in 2022. The findings reveal the compromises and considerations consumers make when determining their dining habits. Model estimation results indicate</w:t>
      </w:r>
      <w:r w:rsidR="00BC4CBB" w:rsidRPr="00CE528A">
        <w:t xml:space="preserve"> that</w:t>
      </w:r>
      <w:r w:rsidR="00DF24CE" w:rsidRPr="00CE528A">
        <w:t xml:space="preserve"> </w:t>
      </w:r>
      <w:r w:rsidR="00BC4CBB" w:rsidRPr="00CE528A">
        <w:t xml:space="preserve">frequent restaurant diners </w:t>
      </w:r>
      <w:r w:rsidRPr="00CE528A">
        <w:t>are</w:t>
      </w:r>
      <w:r w:rsidR="00BC4CBB" w:rsidRPr="00CE528A">
        <w:t xml:space="preserve"> white, affluent, single men, own multiple vehicles, and work full-time from a physical workplace location. </w:t>
      </w:r>
      <w:r w:rsidRPr="00CE528A">
        <w:t xml:space="preserve">There are also notable </w:t>
      </w:r>
      <w:r w:rsidR="00752D99" w:rsidRPr="00CE528A">
        <w:t>differences</w:t>
      </w:r>
      <w:r w:rsidRPr="00CE528A">
        <w:t xml:space="preserve"> </w:t>
      </w:r>
      <w:r w:rsidR="00752D99" w:rsidRPr="00CE528A">
        <w:t xml:space="preserve">in those </w:t>
      </w:r>
      <w:r w:rsidR="00A40E11" w:rsidRPr="00CE528A">
        <w:t>who</w:t>
      </w:r>
      <w:r w:rsidR="00752D99" w:rsidRPr="00CE528A">
        <w:t xml:space="preserve"> tend to patronize different </w:t>
      </w:r>
      <w:r w:rsidRPr="00CE528A">
        <w:t>restaurant segments.</w:t>
      </w:r>
      <w:r w:rsidR="0090271B" w:rsidRPr="00CE528A">
        <w:t xml:space="preserve"> </w:t>
      </w:r>
      <w:r w:rsidRPr="00CE528A">
        <w:t>QSRs</w:t>
      </w:r>
      <w:r w:rsidR="00BC4CBB" w:rsidRPr="00CE528A">
        <w:t xml:space="preserve"> attract young</w:t>
      </w:r>
      <w:r w:rsidRPr="00CE528A">
        <w:t>er</w:t>
      </w:r>
      <w:r w:rsidR="00BC4CBB" w:rsidRPr="00CE528A">
        <w:t>, non-white, low-income individuals living with roommates, and residing in QSR-dense areas</w:t>
      </w:r>
      <w:r w:rsidRPr="00CE528A">
        <w:t>. CHs primarily</w:t>
      </w:r>
      <w:r w:rsidR="00BC4CBB" w:rsidRPr="00CE528A">
        <w:t xml:space="preserve"> draw in younger, non-white, working individuals</w:t>
      </w:r>
      <w:r w:rsidRPr="00CE528A">
        <w:t>. CSRs</w:t>
      </w:r>
      <w:r w:rsidR="00BC4CBB" w:rsidRPr="00CE528A">
        <w:t xml:space="preserve"> are favored by older individuals, single white women, car-less individuals, and</w:t>
      </w:r>
      <w:r w:rsidRPr="00CE528A">
        <w:t xml:space="preserve"> residents of high-restaurant-density areas. FSRs</w:t>
      </w:r>
      <w:r w:rsidR="00BC4CBB" w:rsidRPr="00CE528A">
        <w:t xml:space="preserve"> </w:t>
      </w:r>
      <w:r w:rsidRPr="00CE528A">
        <w:t>are popular among</w:t>
      </w:r>
      <w:r w:rsidR="00BC4CBB" w:rsidRPr="00CE528A">
        <w:t xml:space="preserve"> non-white</w:t>
      </w:r>
      <w:r w:rsidRPr="00CE528A">
        <w:t>, high-income</w:t>
      </w:r>
      <w:r w:rsidR="00BC4CBB" w:rsidRPr="00CE528A">
        <w:t xml:space="preserve"> individuals</w:t>
      </w:r>
      <w:r w:rsidRPr="00CE528A">
        <w:t xml:space="preserve">. Our findings highlight the multifaceted interactions of demographic, socioeconomic, lifestyle, and location factors influencing consumer </w:t>
      </w:r>
      <w:r w:rsidR="00752D99" w:rsidRPr="00CE528A">
        <w:t xml:space="preserve">dining </w:t>
      </w:r>
      <w:r w:rsidRPr="00CE528A">
        <w:t>behavior, offering valuable insights for the transportation</w:t>
      </w:r>
      <w:r w:rsidR="00752D99" w:rsidRPr="00CE528A">
        <w:t xml:space="preserve"> and urban planning</w:t>
      </w:r>
      <w:r w:rsidRPr="00CE528A">
        <w:t>, public health, and food service sectors</w:t>
      </w:r>
      <w:r w:rsidRPr="00D14CD7">
        <w:rPr>
          <w:color w:val="000000" w:themeColor="text1"/>
        </w:rPr>
        <w:t>.</w:t>
      </w:r>
    </w:p>
    <w:p w14:paraId="478C101A" w14:textId="28187E1F" w:rsidR="00BC4CBB" w:rsidRPr="00D14CD7" w:rsidRDefault="00BC4CBB" w:rsidP="00540E05">
      <w:pPr>
        <w:spacing w:after="0" w:line="240" w:lineRule="auto"/>
        <w:rPr>
          <w:color w:val="000000" w:themeColor="text1"/>
        </w:rPr>
      </w:pPr>
    </w:p>
    <w:p w14:paraId="7A6327D5" w14:textId="377A6263" w:rsidR="00BC4CBB" w:rsidRPr="00D14CD7" w:rsidRDefault="00BC4CBB" w:rsidP="007E2CED">
      <w:pPr>
        <w:spacing w:after="0" w:line="240" w:lineRule="auto"/>
        <w:rPr>
          <w:color w:val="000000" w:themeColor="text1"/>
        </w:rPr>
      </w:pPr>
      <w:r w:rsidRPr="00D14CD7">
        <w:rPr>
          <w:b/>
          <w:bCs/>
          <w:color w:val="000000" w:themeColor="text1"/>
        </w:rPr>
        <w:t>Keywords</w:t>
      </w:r>
      <w:r w:rsidR="00AE0A4C" w:rsidRPr="00D14CD7">
        <w:rPr>
          <w:color w:val="000000" w:themeColor="text1"/>
        </w:rPr>
        <w:t>:</w:t>
      </w:r>
      <w:r w:rsidR="007E2CED" w:rsidRPr="00D14CD7">
        <w:rPr>
          <w:color w:val="000000" w:themeColor="text1"/>
        </w:rPr>
        <w:t xml:space="preserve"> </w:t>
      </w:r>
      <w:r w:rsidR="00CF5BB1" w:rsidRPr="00D14CD7">
        <w:rPr>
          <w:color w:val="000000" w:themeColor="text1"/>
        </w:rPr>
        <w:t xml:space="preserve">Consumer </w:t>
      </w:r>
      <w:r w:rsidR="00752D99" w:rsidRPr="00D14CD7">
        <w:rPr>
          <w:color w:val="000000" w:themeColor="text1"/>
        </w:rPr>
        <w:t xml:space="preserve">dining </w:t>
      </w:r>
      <w:r w:rsidR="00CF5BB1" w:rsidRPr="00D14CD7">
        <w:rPr>
          <w:color w:val="000000" w:themeColor="text1"/>
        </w:rPr>
        <w:t xml:space="preserve">behavior; </w:t>
      </w:r>
      <w:r w:rsidR="006F43D5" w:rsidRPr="00D14CD7">
        <w:rPr>
          <w:color w:val="000000" w:themeColor="text1"/>
        </w:rPr>
        <w:t xml:space="preserve">Teleworking; Built Environment; </w:t>
      </w:r>
      <w:r w:rsidR="00CF5BB1" w:rsidRPr="00D14CD7">
        <w:rPr>
          <w:color w:val="000000" w:themeColor="text1"/>
        </w:rPr>
        <w:t>Multiple Discrete-Count Extreme Value model; Count model</w:t>
      </w:r>
    </w:p>
    <w:p w14:paraId="7160F46A" w14:textId="77777777" w:rsidR="00BC4CBB" w:rsidRPr="00D14CD7" w:rsidRDefault="00BC4CBB" w:rsidP="007E2CED">
      <w:pPr>
        <w:spacing w:after="0" w:line="240" w:lineRule="auto"/>
        <w:rPr>
          <w:color w:val="000000" w:themeColor="text1"/>
        </w:rPr>
      </w:pPr>
    </w:p>
    <w:p w14:paraId="618C219D" w14:textId="5FE91C5A" w:rsidR="00DF24CE" w:rsidRPr="00D14CD7" w:rsidRDefault="00A63375" w:rsidP="00A63375">
      <w:pPr>
        <w:jc w:val="left"/>
        <w:rPr>
          <w:color w:val="000000" w:themeColor="text1"/>
        </w:rPr>
      </w:pPr>
      <w:r w:rsidRPr="00D14CD7">
        <w:rPr>
          <w:color w:val="000000" w:themeColor="text1"/>
        </w:rPr>
        <w:br w:type="page"/>
      </w:r>
    </w:p>
    <w:p w14:paraId="0CCE37AB" w14:textId="0D0E27A4" w:rsidR="000B2640" w:rsidRPr="00D14CD7" w:rsidRDefault="00A63375" w:rsidP="00540E05">
      <w:pPr>
        <w:pStyle w:val="Heading1"/>
        <w:spacing w:after="0" w:line="240" w:lineRule="auto"/>
        <w:rPr>
          <w:color w:val="000000" w:themeColor="text1"/>
        </w:rPr>
      </w:pPr>
      <w:r w:rsidRPr="00D14CD7">
        <w:rPr>
          <w:color w:val="000000" w:themeColor="text1"/>
        </w:rPr>
        <w:lastRenderedPageBreak/>
        <w:t>INTRODUCTION</w:t>
      </w:r>
    </w:p>
    <w:p w14:paraId="70743EAD" w14:textId="0C0CD2A1" w:rsidR="00215C98" w:rsidRPr="00D14CD7" w:rsidRDefault="000B2640" w:rsidP="0068023F">
      <w:pPr>
        <w:spacing w:after="0" w:line="240" w:lineRule="auto"/>
        <w:rPr>
          <w:color w:val="000000" w:themeColor="text1"/>
        </w:rPr>
      </w:pPr>
      <w:bookmarkStart w:id="2" w:name="_Hlk118545560"/>
      <w:r w:rsidRPr="00D14CD7">
        <w:rPr>
          <w:color w:val="000000" w:themeColor="text1"/>
        </w:rPr>
        <w:t xml:space="preserve">The past two decades have witnessed a </w:t>
      </w:r>
      <w:r w:rsidR="00CB0070" w:rsidRPr="00D14CD7">
        <w:rPr>
          <w:color w:val="000000" w:themeColor="text1"/>
        </w:rPr>
        <w:t xml:space="preserve">significant </w:t>
      </w:r>
      <w:r w:rsidRPr="00D14CD7">
        <w:rPr>
          <w:color w:val="000000" w:themeColor="text1"/>
        </w:rPr>
        <w:t>shift in public sentiment toward eating</w:t>
      </w:r>
      <w:r w:rsidR="000C4AC2" w:rsidRPr="00D14CD7">
        <w:rPr>
          <w:color w:val="000000" w:themeColor="text1"/>
        </w:rPr>
        <w:t xml:space="preserve"> </w:t>
      </w:r>
      <w:r w:rsidRPr="00D14CD7">
        <w:rPr>
          <w:color w:val="000000" w:themeColor="text1"/>
        </w:rPr>
        <w:t>out</w:t>
      </w:r>
      <w:r w:rsidR="007B0FDC" w:rsidRPr="00D14CD7">
        <w:rPr>
          <w:color w:val="000000" w:themeColor="text1"/>
        </w:rPr>
        <w:t xml:space="preserve"> at restaurants</w:t>
      </w:r>
      <w:r w:rsidRPr="00D14CD7">
        <w:rPr>
          <w:color w:val="000000" w:themeColor="text1"/>
        </w:rPr>
        <w:t>.</w:t>
      </w:r>
      <w:r w:rsidR="0016279C" w:rsidRPr="00D14CD7">
        <w:rPr>
          <w:color w:val="000000" w:themeColor="text1"/>
        </w:rPr>
        <w:t xml:space="preserve"> </w:t>
      </w:r>
      <w:r w:rsidR="003B34FD" w:rsidRPr="00D14CD7">
        <w:rPr>
          <w:color w:val="000000" w:themeColor="text1"/>
        </w:rPr>
        <w:t xml:space="preserve">Previous research has shown that consumers prefer dining out not only because it is a convenient option, but also because it is a social and cultural activity </w:t>
      </w:r>
      <w:r w:rsidR="003D5C2C" w:rsidRPr="00D14CD7">
        <w:rPr>
          <w:color w:val="000000" w:themeColor="text1"/>
        </w:rPr>
        <w:t xml:space="preserve">that contributes to the overall well-being of individuals. </w:t>
      </w:r>
      <w:r w:rsidR="00215C98" w:rsidRPr="00D14CD7">
        <w:rPr>
          <w:color w:val="000000" w:themeColor="text1"/>
        </w:rPr>
        <w:t xml:space="preserve">In 2021, households spent 55% of their food budget on meals consumed outside of the home, resulting in the restaurant and food service industry earning over $799 billion in sales </w:t>
      </w:r>
      <w:r w:rsidR="007D43FB" w:rsidRPr="00D14CD7">
        <w:rPr>
          <w:color w:val="000000" w:themeColor="text1"/>
        </w:rPr>
        <w:fldChar w:fldCharType="begin"/>
      </w:r>
      <w:r w:rsidR="008C27ED" w:rsidRPr="00D14CD7">
        <w:rPr>
          <w:color w:val="000000" w:themeColor="text1"/>
        </w:rPr>
        <w:instrText xml:space="preserve"> ADDIN ZOTERO_ITEM CSL_CITATION {"citationID":"1VDRoIlU","properties":{"formattedCitation":"(National Restaurant Association, 2022; U.S. Department of Agriculture, 2021)","plainCitation":"(National Restaurant Association, 2022; U.S. Department of Agriculture, 2021)","dontUpdate":true,"noteIndex":0},"citationItems":[{"id":936,"uris":["http://zotero.org/users/9292995/items/PLD7DBXU"],"itemData":{"id":936,"type":"report","title":"State of the Restaurant Industry","URL":"https://restaurant.org/research-and-media/research/research-reports/state-of-the-industry/","author":[{"literal":"National Restaurant Association"}],"issued":{"date-parts":[["2022"]]}}},{"id":935,"uris":["http://zotero.org/users/9292995/items/KLFKQHML"],"itemData":{"id":935,"type":"report","title":"2021 U.S. food-away-from-home spending 10 percent higher than pre-pandemic levels","URL":"https://www.ers.usda.gov/data-products/chart-gallery/gallery/chart-detail/?chartId=58364#:~:text=Food%2Daway%2Dfrom%2Dhome%20spending%20accounted%20for%2055%20percent,COVID%2D19%20pandemic%20share%20levels.","author":[{"literal":"U.S. Department of Agriculture"}],"issued":{"date-parts":[["2021"]]}}}],"schema":"https://github.com/citation-style-language/schema/raw/master/csl-citation.json"} </w:instrText>
      </w:r>
      <w:r w:rsidR="007D43FB" w:rsidRPr="00D14CD7">
        <w:rPr>
          <w:color w:val="000000" w:themeColor="text1"/>
        </w:rPr>
        <w:fldChar w:fldCharType="separate"/>
      </w:r>
      <w:r w:rsidR="00A5216B" w:rsidRPr="00D14CD7">
        <w:rPr>
          <w:color w:val="000000" w:themeColor="text1"/>
        </w:rPr>
        <w:t>(National Restaurant Association, 2022</w:t>
      </w:r>
      <w:r w:rsidR="008C27ED" w:rsidRPr="00D14CD7">
        <w:rPr>
          <w:color w:val="000000" w:themeColor="text1"/>
        </w:rPr>
        <w:t>,</w:t>
      </w:r>
      <w:r w:rsidR="00A5216B" w:rsidRPr="00D14CD7">
        <w:rPr>
          <w:color w:val="000000" w:themeColor="text1"/>
        </w:rPr>
        <w:t xml:space="preserve"> U.S. Department of Agriculture, 2021)</w:t>
      </w:r>
      <w:r w:rsidR="007D43FB" w:rsidRPr="00D14CD7">
        <w:rPr>
          <w:color w:val="000000" w:themeColor="text1"/>
        </w:rPr>
        <w:fldChar w:fldCharType="end"/>
      </w:r>
      <w:r w:rsidR="00C434F1" w:rsidRPr="00D14CD7">
        <w:rPr>
          <w:color w:val="000000" w:themeColor="text1"/>
        </w:rPr>
        <w:t xml:space="preserve">. As the restaurant industry </w:t>
      </w:r>
      <w:r w:rsidR="00576418" w:rsidRPr="00D14CD7">
        <w:rPr>
          <w:color w:val="000000" w:themeColor="text1"/>
        </w:rPr>
        <w:t xml:space="preserve">continues to </w:t>
      </w:r>
      <w:r w:rsidR="00C434F1" w:rsidRPr="00D14CD7">
        <w:rPr>
          <w:color w:val="000000" w:themeColor="text1"/>
        </w:rPr>
        <w:t>grow</w:t>
      </w:r>
      <w:r w:rsidR="009D31D7" w:rsidRPr="00D14CD7">
        <w:rPr>
          <w:color w:val="000000" w:themeColor="text1"/>
        </w:rPr>
        <w:t>,</w:t>
      </w:r>
      <w:r w:rsidR="00C434F1" w:rsidRPr="00D14CD7">
        <w:rPr>
          <w:color w:val="000000" w:themeColor="text1"/>
        </w:rPr>
        <w:t xml:space="preserve"> and </w:t>
      </w:r>
      <w:r w:rsidR="00576418" w:rsidRPr="00D14CD7">
        <w:rPr>
          <w:color w:val="000000" w:themeColor="text1"/>
        </w:rPr>
        <w:t xml:space="preserve">as </w:t>
      </w:r>
      <w:r w:rsidR="00C434F1" w:rsidRPr="00D14CD7">
        <w:rPr>
          <w:color w:val="000000" w:themeColor="text1"/>
        </w:rPr>
        <w:t xml:space="preserve">individual preferences pivot toward more </w:t>
      </w:r>
      <w:r w:rsidR="001A552A" w:rsidRPr="00D14CD7">
        <w:rPr>
          <w:color w:val="000000" w:themeColor="text1"/>
        </w:rPr>
        <w:t>dining</w:t>
      </w:r>
      <w:r w:rsidR="00C434F1" w:rsidRPr="00D14CD7">
        <w:rPr>
          <w:color w:val="000000" w:themeColor="text1"/>
        </w:rPr>
        <w:t xml:space="preserve"> out, restaurant choices are becoming more sophisticated and complex. </w:t>
      </w:r>
    </w:p>
    <w:p w14:paraId="0FB89F7F" w14:textId="4933674E" w:rsidR="00397E2C" w:rsidRPr="00D14CD7" w:rsidRDefault="00A84900" w:rsidP="0068023F">
      <w:pPr>
        <w:spacing w:after="0" w:line="240" w:lineRule="auto"/>
        <w:ind w:firstLine="720"/>
        <w:rPr>
          <w:color w:val="000000" w:themeColor="text1"/>
        </w:rPr>
      </w:pPr>
      <w:r w:rsidRPr="00D14CD7">
        <w:rPr>
          <w:color w:val="000000" w:themeColor="text1"/>
        </w:rPr>
        <w:t xml:space="preserve">In today’s market, </w:t>
      </w:r>
      <w:r w:rsidR="0022056A" w:rsidRPr="00D14CD7">
        <w:rPr>
          <w:color w:val="000000" w:themeColor="text1"/>
        </w:rPr>
        <w:t>consumers are presented with a range of restaurant segments, each offering distinct attributes, service</w:t>
      </w:r>
      <w:r w:rsidR="008C27ED" w:rsidRPr="00D14CD7">
        <w:rPr>
          <w:color w:val="000000" w:themeColor="text1"/>
        </w:rPr>
        <w:t>s</w:t>
      </w:r>
      <w:r w:rsidR="0022056A" w:rsidRPr="00D14CD7">
        <w:rPr>
          <w:color w:val="000000" w:themeColor="text1"/>
        </w:rPr>
        <w:t>, and environments t</w:t>
      </w:r>
      <w:r w:rsidR="008F250C" w:rsidRPr="00D14CD7">
        <w:rPr>
          <w:color w:val="000000" w:themeColor="text1"/>
        </w:rPr>
        <w:t>hat</w:t>
      </w:r>
      <w:r w:rsidR="0022056A" w:rsidRPr="00D14CD7">
        <w:rPr>
          <w:color w:val="000000" w:themeColor="text1"/>
        </w:rPr>
        <w:t xml:space="preserve"> meet varying customer needs and expectations. These segments </w:t>
      </w:r>
      <w:r w:rsidR="00C434F1" w:rsidRPr="00D14CD7">
        <w:rPr>
          <w:color w:val="000000" w:themeColor="text1"/>
        </w:rPr>
        <w:t>includ</w:t>
      </w:r>
      <w:r w:rsidR="0022056A" w:rsidRPr="00D14CD7">
        <w:rPr>
          <w:color w:val="000000" w:themeColor="text1"/>
        </w:rPr>
        <w:t>e</w:t>
      </w:r>
      <w:r w:rsidR="000B2640" w:rsidRPr="00D14CD7">
        <w:rPr>
          <w:color w:val="000000" w:themeColor="text1"/>
        </w:rPr>
        <w:t xml:space="preserve"> fast-food</w:t>
      </w:r>
      <w:r w:rsidR="004C78C5" w:rsidRPr="00D14CD7">
        <w:rPr>
          <w:color w:val="000000" w:themeColor="text1"/>
        </w:rPr>
        <w:t xml:space="preserve"> restaurants (referred to as quick-service restaurants</w:t>
      </w:r>
      <w:r w:rsidR="000C4AC2" w:rsidRPr="00D14CD7">
        <w:rPr>
          <w:color w:val="000000" w:themeColor="text1"/>
        </w:rPr>
        <w:t>, or</w:t>
      </w:r>
      <w:r w:rsidR="004C78C5" w:rsidRPr="00D14CD7">
        <w:rPr>
          <w:color w:val="000000" w:themeColor="text1"/>
        </w:rPr>
        <w:t xml:space="preserve"> QSR</w:t>
      </w:r>
      <w:r w:rsidR="000C4AC2" w:rsidRPr="00D14CD7">
        <w:rPr>
          <w:color w:val="000000" w:themeColor="text1"/>
        </w:rPr>
        <w:t>s</w:t>
      </w:r>
      <w:r w:rsidR="004C78C5" w:rsidRPr="00D14CD7">
        <w:rPr>
          <w:color w:val="000000" w:themeColor="text1"/>
        </w:rPr>
        <w:t>)</w:t>
      </w:r>
      <w:r w:rsidR="000B2640" w:rsidRPr="00D14CD7">
        <w:rPr>
          <w:color w:val="000000" w:themeColor="text1"/>
        </w:rPr>
        <w:t xml:space="preserve">, </w:t>
      </w:r>
      <w:r w:rsidR="004C78C5" w:rsidRPr="00D14CD7">
        <w:rPr>
          <w:color w:val="000000" w:themeColor="text1"/>
        </w:rPr>
        <w:t xml:space="preserve">casual </w:t>
      </w:r>
      <w:r w:rsidR="000C4AC2" w:rsidRPr="00D14CD7">
        <w:rPr>
          <w:color w:val="000000" w:themeColor="text1"/>
        </w:rPr>
        <w:t xml:space="preserve">service </w:t>
      </w:r>
      <w:r w:rsidR="004C78C5" w:rsidRPr="00D14CD7">
        <w:rPr>
          <w:color w:val="000000" w:themeColor="text1"/>
        </w:rPr>
        <w:t>restaurants (</w:t>
      </w:r>
      <w:r w:rsidR="000C4AC2" w:rsidRPr="00D14CD7">
        <w:rPr>
          <w:color w:val="000000" w:themeColor="text1"/>
        </w:rPr>
        <w:t>or CSRs)</w:t>
      </w:r>
      <w:r w:rsidR="004C78C5" w:rsidRPr="00D14CD7">
        <w:rPr>
          <w:color w:val="000000" w:themeColor="text1"/>
        </w:rPr>
        <w:t>, and fine dining restaurants (referred to as full-service restaurants</w:t>
      </w:r>
      <w:r w:rsidR="000C4AC2" w:rsidRPr="00D14CD7">
        <w:rPr>
          <w:color w:val="000000" w:themeColor="text1"/>
        </w:rPr>
        <w:t>, or</w:t>
      </w:r>
      <w:r w:rsidR="004C78C5" w:rsidRPr="00D14CD7">
        <w:rPr>
          <w:color w:val="000000" w:themeColor="text1"/>
        </w:rPr>
        <w:t xml:space="preserve"> FSR</w:t>
      </w:r>
      <w:r w:rsidR="000C4AC2" w:rsidRPr="00D14CD7">
        <w:rPr>
          <w:color w:val="000000" w:themeColor="text1"/>
        </w:rPr>
        <w:t>s</w:t>
      </w:r>
      <w:r w:rsidR="004C78C5" w:rsidRPr="00D14CD7">
        <w:rPr>
          <w:color w:val="000000" w:themeColor="text1"/>
        </w:rPr>
        <w:t>).</w:t>
      </w:r>
      <w:r w:rsidR="0022056A" w:rsidRPr="00D14CD7">
        <w:rPr>
          <w:color w:val="000000" w:themeColor="text1"/>
        </w:rPr>
        <w:t xml:space="preserve"> </w:t>
      </w:r>
      <w:r w:rsidR="008F250C" w:rsidRPr="00D14CD7">
        <w:rPr>
          <w:color w:val="000000" w:themeColor="text1"/>
        </w:rPr>
        <w:t>In addition to</w:t>
      </w:r>
      <w:r w:rsidR="003B3E6D" w:rsidRPr="00D14CD7">
        <w:rPr>
          <w:color w:val="000000" w:themeColor="text1"/>
        </w:rPr>
        <w:t xml:space="preserve"> selecting among </w:t>
      </w:r>
      <w:r w:rsidR="008C27ED" w:rsidRPr="00D14CD7">
        <w:rPr>
          <w:color w:val="000000" w:themeColor="text1"/>
        </w:rPr>
        <w:t xml:space="preserve">the </w:t>
      </w:r>
      <w:r w:rsidR="007F4B92" w:rsidRPr="00D14CD7">
        <w:rPr>
          <w:color w:val="000000" w:themeColor="text1"/>
        </w:rPr>
        <w:t>many</w:t>
      </w:r>
      <w:r w:rsidR="003B3E6D" w:rsidRPr="00D14CD7">
        <w:rPr>
          <w:color w:val="000000" w:themeColor="text1"/>
        </w:rPr>
        <w:t xml:space="preserve"> restaurant segments, </w:t>
      </w:r>
      <w:r w:rsidR="0022056A" w:rsidRPr="00D14CD7">
        <w:rPr>
          <w:color w:val="000000" w:themeColor="text1"/>
        </w:rPr>
        <w:t>consumers also have to consider the different channels through which meals can be consumed, including in-person dining, in-person pickup, and delivery</w:t>
      </w:r>
      <w:r w:rsidR="00EA1F7A" w:rsidRPr="00D14CD7">
        <w:rPr>
          <w:color w:val="000000" w:themeColor="text1"/>
        </w:rPr>
        <w:t xml:space="preserve"> </w:t>
      </w:r>
      <w:bookmarkStart w:id="3" w:name="_Hlk141102280"/>
      <w:r w:rsidR="00EA1F7A" w:rsidRPr="00D14CD7">
        <w:rPr>
          <w:color w:val="000000" w:themeColor="text1"/>
        </w:rPr>
        <w:fldChar w:fldCharType="begin"/>
      </w:r>
      <w:r w:rsidR="00FB3566" w:rsidRPr="00D14CD7">
        <w:rPr>
          <w:color w:val="000000" w:themeColor="text1"/>
        </w:rPr>
        <w:instrText xml:space="preserve"> ADDIN ZOTERO_ITEM CSL_CITATION {"citationID":"gRgyou9V","properties":{"formattedCitation":"(Dias et al., 2020; W. Kim &amp; Wang, 2021)","plainCitation":"(Dias et al., 2020; W. Kim &amp; Wang, 2021)","dontUpdate":true,"noteIndex":0},"citationItems":[{"id":425,"uris":["http://zotero.org/users/9292995/items/VYA5VQBP"],"itemData":{"id":425,"type":"article-journal","container-title":"Transportation Research Part C: Emerging Technologies","ISSN":"0968-090X","journalAbbreviation":"Transportation Research Part C: Emerging Technologies","note":"publisher: Elsevier","page":"643-656","title":"A comparison of online and in-person activity engagement: The case of shopping and eating meals","volume":"114","author":[{"family":"Dias","given":"Felipe F"},{"family":"Lavieri","given":"Patricia S"},{"family":"Sharda","given":"Shivam"},{"family":"Khoeini","given":"Sara"},{"family":"Bhat","given":"Chandra R"},{"family":"Pendyala","given":"Ram M"},{"family":"Pinjari","given":"Abdul R"},{"family":"Ramadurai","given":"Gitakrishnan"},{"family":"Srinivasan","given":"Karthik K"}],"issued":{"date-parts":[["2020"]]}}},{"id":416,"uris":["http://zotero.org/users/9292995/items/ESXZI25A"],"itemData":{"id":416,"type":"article-journal","container-title":"Transportation Research Part C: Emerging Technologies","ISSN":"0968-090X","journalAbbreviation":"Transportation Research Part C: Emerging Technologies","note":"publisher: Elsevier","page":"103052","title":"To be online or in-store: Analysis of retail, grocery, and food shopping in New York city","volume":"126","author":[{"family":"Kim","given":"Woojung"},{"family":"Wang","given":"Xiaokun Cara"}],"issued":{"date-parts":[["2021"]]}}}],"schema":"https://github.com/citation-style-language/schema/raw/master/csl-citation.json"} </w:instrText>
      </w:r>
      <w:r w:rsidR="00EA1F7A" w:rsidRPr="00D14CD7">
        <w:rPr>
          <w:color w:val="000000" w:themeColor="text1"/>
        </w:rPr>
        <w:fldChar w:fldCharType="separate"/>
      </w:r>
      <w:r w:rsidR="00EA1F7A" w:rsidRPr="00D14CD7">
        <w:rPr>
          <w:color w:val="000000" w:themeColor="text1"/>
        </w:rPr>
        <w:t>(see, for example</w:t>
      </w:r>
      <w:r w:rsidR="00A40E11">
        <w:rPr>
          <w:color w:val="000000" w:themeColor="text1"/>
        </w:rPr>
        <w:t>,</w:t>
      </w:r>
      <w:r w:rsidR="00EA1F7A" w:rsidRPr="00D14CD7">
        <w:rPr>
          <w:color w:val="000000" w:themeColor="text1"/>
        </w:rPr>
        <w:t xml:space="preserve"> Dias et al., 2020, and Kim and Wang, 2021)</w:t>
      </w:r>
      <w:r w:rsidR="00EA1F7A" w:rsidRPr="00D14CD7">
        <w:rPr>
          <w:color w:val="000000" w:themeColor="text1"/>
        </w:rPr>
        <w:fldChar w:fldCharType="end"/>
      </w:r>
      <w:r w:rsidR="0022056A" w:rsidRPr="00D14CD7">
        <w:rPr>
          <w:color w:val="000000" w:themeColor="text1"/>
        </w:rPr>
        <w:t>.</w:t>
      </w:r>
      <w:r w:rsidR="003B3E6D" w:rsidRPr="00D14CD7">
        <w:rPr>
          <w:color w:val="000000" w:themeColor="text1"/>
        </w:rPr>
        <w:t xml:space="preserve"> </w:t>
      </w:r>
      <w:bookmarkEnd w:id="3"/>
      <w:r w:rsidR="00BA61BE" w:rsidRPr="00D14CD7">
        <w:rPr>
          <w:color w:val="000000" w:themeColor="text1"/>
        </w:rPr>
        <w:t xml:space="preserve">Over the </w:t>
      </w:r>
      <w:r w:rsidR="007F4B92" w:rsidRPr="00D14CD7">
        <w:rPr>
          <w:color w:val="000000" w:themeColor="text1"/>
        </w:rPr>
        <w:t>p</w:t>
      </w:r>
      <w:r w:rsidR="00BA61BE" w:rsidRPr="00D14CD7">
        <w:rPr>
          <w:color w:val="000000" w:themeColor="text1"/>
        </w:rPr>
        <w:t xml:space="preserve">ast decade, the </w:t>
      </w:r>
      <w:r w:rsidR="00397E2C" w:rsidRPr="00D14CD7">
        <w:rPr>
          <w:color w:val="000000" w:themeColor="text1"/>
        </w:rPr>
        <w:t>popularity of</w:t>
      </w:r>
      <w:r w:rsidR="008C27ED" w:rsidRPr="00D14CD7">
        <w:rPr>
          <w:color w:val="000000" w:themeColor="text1"/>
        </w:rPr>
        <w:t xml:space="preserve"> </w:t>
      </w:r>
      <w:r w:rsidR="00397E2C" w:rsidRPr="00D14CD7">
        <w:rPr>
          <w:color w:val="000000" w:themeColor="text1"/>
        </w:rPr>
        <w:t xml:space="preserve">pickup and delivery channels </w:t>
      </w:r>
      <w:r w:rsidR="00BA61BE" w:rsidRPr="00D14CD7">
        <w:rPr>
          <w:color w:val="000000" w:themeColor="text1"/>
        </w:rPr>
        <w:t>ha</w:t>
      </w:r>
      <w:r w:rsidR="007F4B92" w:rsidRPr="00D14CD7">
        <w:rPr>
          <w:color w:val="000000" w:themeColor="text1"/>
        </w:rPr>
        <w:t>s</w:t>
      </w:r>
      <w:r w:rsidR="00BA61BE" w:rsidRPr="00D14CD7">
        <w:rPr>
          <w:color w:val="000000" w:themeColor="text1"/>
        </w:rPr>
        <w:t xml:space="preserve"> </w:t>
      </w:r>
      <w:r w:rsidR="00397E2C" w:rsidRPr="00D14CD7">
        <w:rPr>
          <w:color w:val="000000" w:themeColor="text1"/>
        </w:rPr>
        <w:t xml:space="preserve">increased tremendously due to the development of technology platforms, such as Uber Eats, </w:t>
      </w:r>
      <w:proofErr w:type="spellStart"/>
      <w:r w:rsidR="00397E2C" w:rsidRPr="00D14CD7">
        <w:rPr>
          <w:color w:val="000000" w:themeColor="text1"/>
        </w:rPr>
        <w:t>DoorDash</w:t>
      </w:r>
      <w:proofErr w:type="spellEnd"/>
      <w:r w:rsidR="00397E2C" w:rsidRPr="00D14CD7">
        <w:rPr>
          <w:color w:val="000000" w:themeColor="text1"/>
        </w:rPr>
        <w:t xml:space="preserve">, and </w:t>
      </w:r>
      <w:proofErr w:type="spellStart"/>
      <w:r w:rsidR="00397E2C" w:rsidRPr="00D14CD7">
        <w:rPr>
          <w:color w:val="000000" w:themeColor="text1"/>
        </w:rPr>
        <w:t>Grubhub</w:t>
      </w:r>
      <w:proofErr w:type="spellEnd"/>
      <w:r w:rsidR="00397E2C" w:rsidRPr="00D14CD7">
        <w:rPr>
          <w:color w:val="000000" w:themeColor="text1"/>
        </w:rPr>
        <w:t>. The COVID-19 pandemic in early 2020 further accelerated this growth due to restaurant closures, lockdowns, social distancing measures, and fear of infection</w:t>
      </w:r>
      <w:r w:rsidR="008C27ED" w:rsidRPr="00D14CD7">
        <w:rPr>
          <w:color w:val="000000" w:themeColor="text1"/>
        </w:rPr>
        <w:t xml:space="preserve"> </w:t>
      </w:r>
      <w:r w:rsidR="008C27ED" w:rsidRPr="00D14CD7">
        <w:rPr>
          <w:color w:val="000000" w:themeColor="text1"/>
        </w:rPr>
        <w:fldChar w:fldCharType="begin"/>
      </w:r>
      <w:r w:rsidR="008C27ED" w:rsidRPr="00D14CD7">
        <w:rPr>
          <w:color w:val="000000" w:themeColor="text1"/>
        </w:rPr>
        <w:instrText xml:space="preserve"> ADDIN ZOTERO_ITEM CSL_CITATION {"citationID":"E9zagRvg","properties":{"formattedCitation":"(Ahuja et al., 2021; Shi &amp; Xu, 2021)","plainCitation":"(Ahuja et al., 2021; Shi &amp; Xu, 2021)","dontUpdate":true,"noteIndex":0},"citationItems":[{"id":447,"uris":["http://zotero.org/users/9292995/items/8I3PCUPI"],"itemData":{"id":447,"type":"report","publisher":"Mckinsey","title":"Ordering in: The rapid evolution of food delivery","URL":"https://www.mckinsey.com/industries/technology-media-and-telecommunications/our-insights/ordering-in-the-rapid-evolution-of-food-delivery","author":[{"family":"Ahuja","given":"Kabir"},{"family":"Chandra","given":"Vishwa"},{"family":"Lord","given":"Victoria"},{"family":"Peens","given":"Curtis"}],"issued":{"date-parts":[["2021"]]}}},{"id":487,"uris":["http://zotero.org/users/9292995/items/GSLJGEMK"],"itemData":{"id":487,"type":"article-journal","container-title":"Trends on Restaurant Service Demand amid the COVID-19 Pandemic (October 1, 2021)","journalAbbreviation":"Trends on Restaurant Service Demand amid the COVID-19 Pandemic (October 1, 2021)","title":"Dine in or Take out? Trends on Restaurant Service Demand amid the COVID-19 Pandemic","author":[{"family":"Shi","given":"Linxuan"},{"family":"Xu","given":"Zhengtian"}],"issued":{"date-parts":[["2021"]]}}}],"schema":"https://github.com/citation-style-language/schema/raw/master/csl-citation.json"} </w:instrText>
      </w:r>
      <w:r w:rsidR="008C27ED" w:rsidRPr="00D14CD7">
        <w:rPr>
          <w:color w:val="000000" w:themeColor="text1"/>
        </w:rPr>
        <w:fldChar w:fldCharType="separate"/>
      </w:r>
      <w:r w:rsidR="008C27ED" w:rsidRPr="00D14CD7">
        <w:rPr>
          <w:color w:val="000000" w:themeColor="text1"/>
        </w:rPr>
        <w:t>(Ahuja et al., 2021, Shi and Xu, 2021)</w:t>
      </w:r>
      <w:r w:rsidR="008C27ED" w:rsidRPr="00D14CD7">
        <w:rPr>
          <w:color w:val="000000" w:themeColor="text1"/>
        </w:rPr>
        <w:fldChar w:fldCharType="end"/>
      </w:r>
      <w:r w:rsidR="00397E2C" w:rsidRPr="00D14CD7">
        <w:rPr>
          <w:color w:val="000000" w:themeColor="text1"/>
        </w:rPr>
        <w:t>.</w:t>
      </w:r>
    </w:p>
    <w:p w14:paraId="18A7435A" w14:textId="2260B3B5" w:rsidR="007F4B92" w:rsidRPr="00D14CD7" w:rsidRDefault="00BA2517" w:rsidP="0068023F">
      <w:pPr>
        <w:spacing w:after="0" w:line="240" w:lineRule="auto"/>
        <w:ind w:firstLine="720"/>
        <w:rPr>
          <w:color w:val="000000" w:themeColor="text1"/>
        </w:rPr>
      </w:pPr>
      <w:r w:rsidRPr="00D14CD7">
        <w:rPr>
          <w:color w:val="000000" w:themeColor="text1"/>
        </w:rPr>
        <w:t>D</w:t>
      </w:r>
      <w:r w:rsidR="00400C43" w:rsidRPr="00D14CD7">
        <w:rPr>
          <w:color w:val="000000" w:themeColor="text1"/>
        </w:rPr>
        <w:t xml:space="preserve">espite </w:t>
      </w:r>
      <w:r w:rsidRPr="00D14CD7">
        <w:rPr>
          <w:color w:val="000000" w:themeColor="text1"/>
        </w:rPr>
        <w:t>the</w:t>
      </w:r>
      <w:r w:rsidR="00062B8D" w:rsidRPr="00D14CD7">
        <w:rPr>
          <w:color w:val="000000" w:themeColor="text1"/>
        </w:rPr>
        <w:t xml:space="preserve"> </w:t>
      </w:r>
      <w:r w:rsidR="008F250C" w:rsidRPr="00D14CD7">
        <w:rPr>
          <w:color w:val="000000" w:themeColor="text1"/>
        </w:rPr>
        <w:t>decrease</w:t>
      </w:r>
      <w:r w:rsidRPr="00D14CD7">
        <w:rPr>
          <w:color w:val="000000" w:themeColor="text1"/>
        </w:rPr>
        <w:t xml:space="preserve"> in demand</w:t>
      </w:r>
      <w:r w:rsidR="008F250C" w:rsidRPr="00D14CD7">
        <w:rPr>
          <w:color w:val="000000" w:themeColor="text1"/>
        </w:rPr>
        <w:t xml:space="preserve"> for eating out</w:t>
      </w:r>
      <w:r w:rsidR="00062B8D" w:rsidRPr="00D14CD7">
        <w:rPr>
          <w:color w:val="000000" w:themeColor="text1"/>
        </w:rPr>
        <w:t xml:space="preserve"> during the height of the pandemic</w:t>
      </w:r>
      <w:r w:rsidR="00400C43" w:rsidRPr="00D14CD7">
        <w:rPr>
          <w:color w:val="000000" w:themeColor="text1"/>
        </w:rPr>
        <w:t xml:space="preserve">, </w:t>
      </w:r>
      <w:r w:rsidR="004F2107" w:rsidRPr="00D14CD7">
        <w:rPr>
          <w:color w:val="000000" w:themeColor="text1"/>
        </w:rPr>
        <w:t xml:space="preserve">in-person dining has </w:t>
      </w:r>
      <w:r w:rsidR="008C27ED" w:rsidRPr="00D14CD7">
        <w:rPr>
          <w:color w:val="000000" w:themeColor="text1"/>
        </w:rPr>
        <w:t xml:space="preserve">mostly </w:t>
      </w:r>
      <w:r w:rsidR="004F2107" w:rsidRPr="00D14CD7">
        <w:rPr>
          <w:color w:val="000000" w:themeColor="text1"/>
        </w:rPr>
        <w:t xml:space="preserve">rebounded </w:t>
      </w:r>
      <w:r w:rsidR="00F97753" w:rsidRPr="00D14CD7">
        <w:rPr>
          <w:color w:val="000000" w:themeColor="text1"/>
        </w:rPr>
        <w:t xml:space="preserve">in the past couple of years </w:t>
      </w:r>
      <w:r w:rsidR="004F2107" w:rsidRPr="00D14CD7">
        <w:rPr>
          <w:color w:val="000000" w:themeColor="text1"/>
        </w:rPr>
        <w:t xml:space="preserve">to pre-pandemic levels. </w:t>
      </w:r>
      <w:r w:rsidR="00A760F4" w:rsidRPr="00D14CD7">
        <w:rPr>
          <w:color w:val="000000" w:themeColor="text1"/>
        </w:rPr>
        <w:t xml:space="preserve">Extensive </w:t>
      </w:r>
      <w:r w:rsidR="004F2107" w:rsidRPr="00D14CD7">
        <w:rPr>
          <w:color w:val="000000" w:themeColor="text1"/>
        </w:rPr>
        <w:t>data collected</w:t>
      </w:r>
      <w:r w:rsidR="005D34D4" w:rsidRPr="00D14CD7">
        <w:rPr>
          <w:color w:val="000000" w:themeColor="text1"/>
        </w:rPr>
        <w:t xml:space="preserve"> </w:t>
      </w:r>
      <w:r w:rsidR="001F3F33" w:rsidRPr="00D14CD7">
        <w:rPr>
          <w:color w:val="000000" w:themeColor="text1"/>
        </w:rPr>
        <w:t xml:space="preserve">between </w:t>
      </w:r>
      <w:r w:rsidR="00A760F4" w:rsidRPr="00D14CD7">
        <w:rPr>
          <w:color w:val="000000" w:themeColor="text1"/>
        </w:rPr>
        <w:t>February</w:t>
      </w:r>
      <w:r w:rsidR="001F3F33" w:rsidRPr="00D14CD7">
        <w:rPr>
          <w:color w:val="000000" w:themeColor="text1"/>
        </w:rPr>
        <w:t xml:space="preserve"> 2020 and</w:t>
      </w:r>
      <w:r w:rsidR="00A760F4" w:rsidRPr="00D14CD7">
        <w:rPr>
          <w:color w:val="000000" w:themeColor="text1"/>
        </w:rPr>
        <w:t xml:space="preserve"> December 2022 reveals a sharp decrease in the percentage of in-person diners</w:t>
      </w:r>
      <w:r w:rsidR="005D34D4" w:rsidRPr="00D14CD7">
        <w:rPr>
          <w:color w:val="000000" w:themeColor="text1"/>
        </w:rPr>
        <w:t>, with the lowest point occurring between April and May of 2020</w:t>
      </w:r>
      <w:r w:rsidR="00794B61" w:rsidRPr="00D14CD7">
        <w:rPr>
          <w:color w:val="000000" w:themeColor="text1"/>
        </w:rPr>
        <w:t>. However, this trend began to reverse gradually after</w:t>
      </w:r>
      <w:r w:rsidR="00A760F4" w:rsidRPr="00D14CD7">
        <w:rPr>
          <w:color w:val="000000" w:themeColor="text1"/>
        </w:rPr>
        <w:t xml:space="preserve"> the wide</w:t>
      </w:r>
      <w:r w:rsidR="00794B61" w:rsidRPr="00D14CD7">
        <w:rPr>
          <w:color w:val="000000" w:themeColor="text1"/>
        </w:rPr>
        <w:t>spread</w:t>
      </w:r>
      <w:r w:rsidR="00A760F4" w:rsidRPr="00D14CD7">
        <w:rPr>
          <w:color w:val="000000" w:themeColor="text1"/>
        </w:rPr>
        <w:t xml:space="preserve"> administration of </w:t>
      </w:r>
      <w:r w:rsidR="005970AF" w:rsidRPr="00D14CD7">
        <w:rPr>
          <w:color w:val="000000" w:themeColor="text1"/>
        </w:rPr>
        <w:t xml:space="preserve">COVID-19 </w:t>
      </w:r>
      <w:r w:rsidR="00A760F4" w:rsidRPr="00D14CD7">
        <w:rPr>
          <w:color w:val="000000" w:themeColor="text1"/>
        </w:rPr>
        <w:t xml:space="preserve">vaccines in 2021. </w:t>
      </w:r>
      <w:r w:rsidR="00794B61" w:rsidRPr="00D14CD7">
        <w:rPr>
          <w:color w:val="000000" w:themeColor="text1"/>
        </w:rPr>
        <w:t>Notably</w:t>
      </w:r>
      <w:r w:rsidR="00A760F4" w:rsidRPr="00D14CD7">
        <w:rPr>
          <w:color w:val="000000" w:themeColor="text1"/>
        </w:rPr>
        <w:t xml:space="preserve">, since </w:t>
      </w:r>
      <w:r w:rsidR="005970AF" w:rsidRPr="00D14CD7">
        <w:rPr>
          <w:color w:val="000000" w:themeColor="text1"/>
        </w:rPr>
        <w:t>early</w:t>
      </w:r>
      <w:r w:rsidR="00A760F4" w:rsidRPr="00D14CD7">
        <w:rPr>
          <w:color w:val="000000" w:themeColor="text1"/>
        </w:rPr>
        <w:t xml:space="preserve"> 2022, the percentage of in-person diners has </w:t>
      </w:r>
      <w:r w:rsidR="00794B61" w:rsidRPr="00D14CD7">
        <w:rPr>
          <w:color w:val="000000" w:themeColor="text1"/>
        </w:rPr>
        <w:t>consistently</w:t>
      </w:r>
      <w:r w:rsidR="00A760F4" w:rsidRPr="00D14CD7">
        <w:rPr>
          <w:color w:val="000000" w:themeColor="text1"/>
        </w:rPr>
        <w:t xml:space="preserve"> matched that of 2019, the year preceding the pandemic</w:t>
      </w:r>
      <w:r w:rsidR="005D34D4" w:rsidRPr="00D14CD7">
        <w:rPr>
          <w:color w:val="000000" w:themeColor="text1"/>
        </w:rPr>
        <w:t xml:space="preserve"> </w:t>
      </w:r>
      <w:r w:rsidR="00794B61" w:rsidRPr="00D14CD7">
        <w:rPr>
          <w:color w:val="000000" w:themeColor="text1"/>
        </w:rPr>
        <w:fldChar w:fldCharType="begin"/>
      </w:r>
      <w:r w:rsidR="00794B61" w:rsidRPr="00D14CD7">
        <w:rPr>
          <w:color w:val="000000" w:themeColor="text1"/>
        </w:rPr>
        <w:instrText xml:space="preserve"> ADDIN ZOTERO_ITEM CSL_CITATION {"citationID":"gcosfbNt","properties":{"formattedCitation":"(OpenTable, 2022)","plainCitation":"(OpenTable, 2022)","noteIndex":0},"citationItems":[{"id":587,"uris":["http://zotero.org/users/9292995/items/WRIHFNZH"],"itemData":{"id":587,"type":"webpage","container-title":"OpenTable","language":"en-US","title":"State of the Industry","URL":"https://www.opentable.com/state-of-industry","author":[{"literal":"OpenTable"}],"accessed":{"date-parts":[["2022",6,2]]},"issued":{"date-parts":[["2022"]]}}}],"schema":"https://github.com/citation-style-language/schema/raw/master/csl-citation.json"} </w:instrText>
      </w:r>
      <w:r w:rsidR="00794B61" w:rsidRPr="00D14CD7">
        <w:rPr>
          <w:color w:val="000000" w:themeColor="text1"/>
        </w:rPr>
        <w:fldChar w:fldCharType="separate"/>
      </w:r>
      <w:r w:rsidR="00794B61" w:rsidRPr="00D14CD7">
        <w:rPr>
          <w:color w:val="000000" w:themeColor="text1"/>
        </w:rPr>
        <w:t>(OpenTable, 2022)</w:t>
      </w:r>
      <w:r w:rsidR="00794B61" w:rsidRPr="00D14CD7">
        <w:rPr>
          <w:color w:val="000000" w:themeColor="text1"/>
        </w:rPr>
        <w:fldChar w:fldCharType="end"/>
      </w:r>
      <w:r w:rsidR="00A760F4" w:rsidRPr="00D14CD7">
        <w:rPr>
          <w:color w:val="000000" w:themeColor="text1"/>
        </w:rPr>
        <w:t>.</w:t>
      </w:r>
      <w:r w:rsidR="005D34D4" w:rsidRPr="00D14CD7">
        <w:rPr>
          <w:color w:val="000000" w:themeColor="text1"/>
        </w:rPr>
        <w:t xml:space="preserve"> </w:t>
      </w:r>
      <w:r w:rsidR="004F2107" w:rsidRPr="00D14CD7">
        <w:rPr>
          <w:color w:val="000000" w:themeColor="text1"/>
        </w:rPr>
        <w:t>At the same time,</w:t>
      </w:r>
      <w:r w:rsidR="00397E2C" w:rsidRPr="00D14CD7">
        <w:rPr>
          <w:color w:val="000000" w:themeColor="text1"/>
        </w:rPr>
        <w:t xml:space="preserve"> Yelp's data </w:t>
      </w:r>
      <w:r w:rsidR="00794B61" w:rsidRPr="00D14CD7">
        <w:rPr>
          <w:color w:val="000000" w:themeColor="text1"/>
        </w:rPr>
        <w:t xml:space="preserve">corresponding to the first quarter of 2022 </w:t>
      </w:r>
      <w:r w:rsidR="00397E2C" w:rsidRPr="00D14CD7">
        <w:rPr>
          <w:color w:val="000000" w:themeColor="text1"/>
        </w:rPr>
        <w:t xml:space="preserve">shows a </w:t>
      </w:r>
      <w:r w:rsidR="009D31D7" w:rsidRPr="00D14CD7">
        <w:rPr>
          <w:color w:val="000000" w:themeColor="text1"/>
        </w:rPr>
        <w:t>remarkable</w:t>
      </w:r>
      <w:r w:rsidR="00397E2C" w:rsidRPr="00D14CD7">
        <w:rPr>
          <w:color w:val="000000" w:themeColor="text1"/>
        </w:rPr>
        <w:t xml:space="preserve"> 6,360% increase in</w:t>
      </w:r>
      <w:r w:rsidR="008F250C" w:rsidRPr="00D14CD7">
        <w:rPr>
          <w:color w:val="000000" w:themeColor="text1"/>
        </w:rPr>
        <w:t xml:space="preserve"> online</w:t>
      </w:r>
      <w:r w:rsidR="00397E2C" w:rsidRPr="00D14CD7">
        <w:rPr>
          <w:color w:val="000000" w:themeColor="text1"/>
        </w:rPr>
        <w:t xml:space="preserve"> searches for indoor dining </w:t>
      </w:r>
      <w:r w:rsidR="007B0FDC" w:rsidRPr="00D14CD7">
        <w:rPr>
          <w:color w:val="000000" w:themeColor="text1"/>
        </w:rPr>
        <w:t xml:space="preserve">at restaurants </w:t>
      </w:r>
      <w:r w:rsidR="00397E2C" w:rsidRPr="00D14CD7">
        <w:rPr>
          <w:color w:val="000000" w:themeColor="text1"/>
        </w:rPr>
        <w:t xml:space="preserve">compared to </w:t>
      </w:r>
      <w:r w:rsidR="009D31D7" w:rsidRPr="00D14CD7">
        <w:rPr>
          <w:color w:val="000000" w:themeColor="text1"/>
        </w:rPr>
        <w:t>2019</w:t>
      </w:r>
      <w:r w:rsidR="00397E2C" w:rsidRPr="00D14CD7">
        <w:rPr>
          <w:color w:val="000000" w:themeColor="text1"/>
        </w:rPr>
        <w:t xml:space="preserve"> when indoor dining was the norm</w:t>
      </w:r>
      <w:r w:rsidR="00E934B1" w:rsidRPr="00D14CD7">
        <w:rPr>
          <w:color w:val="000000" w:themeColor="text1"/>
        </w:rPr>
        <w:t xml:space="preserve"> </w:t>
      </w:r>
      <w:bookmarkStart w:id="4" w:name="_Hlk139538612"/>
      <w:r w:rsidR="00E934B1" w:rsidRPr="00D14CD7">
        <w:rPr>
          <w:color w:val="000000" w:themeColor="text1"/>
        </w:rPr>
        <w:fldChar w:fldCharType="begin"/>
      </w:r>
      <w:r w:rsidR="00E934B1" w:rsidRPr="00D14CD7">
        <w:rPr>
          <w:color w:val="000000" w:themeColor="text1"/>
        </w:rPr>
        <w:instrText xml:space="preserve"> ADDIN ZOTERO_ITEM CSL_CITATION {"citationID":"NH6eLJV2","properties":{"formattedCitation":"(Yelp, 2022)","plainCitation":"(Yelp, 2022)","noteIndex":0},"citationItems":[{"id":1043,"uris":["http://zotero.org/users/9292995/items/ZK8ZUG9Y"],"itemData":{"id":1043,"type":"report","title":"Yelp Data Reveals How the Labor Shortage and Inflation are Impacting the Restaurant Industry as People Flock Back to On-Premise Dining","URL":"https://www.yelpeconomicaverage.com/state-of-the-restaurant-industry-2022.html","author":[{"literal":"Yelp"}],"issued":{"date-parts":[["2022"]]}}}],"schema":"https://github.com/citation-style-language/schema/raw/master/csl-citation.json"} </w:instrText>
      </w:r>
      <w:r w:rsidR="00E934B1" w:rsidRPr="00D14CD7">
        <w:rPr>
          <w:color w:val="000000" w:themeColor="text1"/>
        </w:rPr>
        <w:fldChar w:fldCharType="separate"/>
      </w:r>
      <w:r w:rsidR="00E934B1" w:rsidRPr="00D14CD7">
        <w:rPr>
          <w:color w:val="000000" w:themeColor="text1"/>
        </w:rPr>
        <w:t>(Yelp, 2022)</w:t>
      </w:r>
      <w:r w:rsidR="00E934B1" w:rsidRPr="00D14CD7">
        <w:rPr>
          <w:color w:val="000000" w:themeColor="text1"/>
        </w:rPr>
        <w:fldChar w:fldCharType="end"/>
      </w:r>
      <w:r w:rsidR="00397E2C" w:rsidRPr="00D14CD7">
        <w:rPr>
          <w:color w:val="000000" w:themeColor="text1"/>
        </w:rPr>
        <w:t>.</w:t>
      </w:r>
      <w:r w:rsidR="009D31D7" w:rsidRPr="00D14CD7">
        <w:rPr>
          <w:color w:val="000000" w:themeColor="text1"/>
        </w:rPr>
        <w:t xml:space="preserve"> </w:t>
      </w:r>
      <w:bookmarkEnd w:id="4"/>
      <w:r w:rsidR="007F4B92" w:rsidRPr="00D14CD7">
        <w:rPr>
          <w:color w:val="000000" w:themeColor="text1"/>
        </w:rPr>
        <w:t xml:space="preserve">While </w:t>
      </w:r>
      <w:r w:rsidR="009D31D7" w:rsidRPr="00D14CD7">
        <w:rPr>
          <w:color w:val="000000" w:themeColor="text1"/>
        </w:rPr>
        <w:t>Yelp’s data represents consumer online search activity rather than actual dining behavior</w:t>
      </w:r>
      <w:r w:rsidR="007F4B92" w:rsidRPr="00D14CD7">
        <w:rPr>
          <w:color w:val="000000" w:themeColor="text1"/>
        </w:rPr>
        <w:t>, the desire to eat out is clear</w:t>
      </w:r>
      <w:r w:rsidR="009D31D7" w:rsidRPr="00D14CD7">
        <w:rPr>
          <w:color w:val="000000" w:themeColor="text1"/>
        </w:rPr>
        <w:t>. Overall</w:t>
      </w:r>
      <w:r w:rsidR="007F4B92" w:rsidRPr="00D14CD7">
        <w:rPr>
          <w:color w:val="000000" w:themeColor="text1"/>
        </w:rPr>
        <w:t>,</w:t>
      </w:r>
      <w:r w:rsidR="009D31D7" w:rsidRPr="00D14CD7">
        <w:rPr>
          <w:color w:val="000000" w:themeColor="text1"/>
        </w:rPr>
        <w:t xml:space="preserve"> these industry and consumer statistics</w:t>
      </w:r>
      <w:r w:rsidR="009A6AC4" w:rsidRPr="00D14CD7">
        <w:rPr>
          <w:color w:val="000000" w:themeColor="text1"/>
        </w:rPr>
        <w:t xml:space="preserve"> highlight the resiliency of in-person </w:t>
      </w:r>
      <w:r w:rsidR="000B0E58" w:rsidRPr="00D14CD7">
        <w:rPr>
          <w:color w:val="000000" w:themeColor="text1"/>
        </w:rPr>
        <w:t xml:space="preserve">restaurant </w:t>
      </w:r>
      <w:r w:rsidR="009A6AC4" w:rsidRPr="00D14CD7">
        <w:rPr>
          <w:color w:val="000000" w:themeColor="text1"/>
        </w:rPr>
        <w:t xml:space="preserve">dining and further suggest that consumers </w:t>
      </w:r>
      <w:r w:rsidR="003B3E6D" w:rsidRPr="00D14CD7">
        <w:rPr>
          <w:color w:val="000000" w:themeColor="text1"/>
        </w:rPr>
        <w:t xml:space="preserve">still </w:t>
      </w:r>
      <w:r w:rsidR="009A6AC4" w:rsidRPr="00D14CD7">
        <w:rPr>
          <w:color w:val="000000" w:themeColor="text1"/>
        </w:rPr>
        <w:t>value the full restaurant experience, including social interaction, ambiance, and table service.</w:t>
      </w:r>
      <w:r w:rsidR="0022056A" w:rsidRPr="00D14CD7">
        <w:rPr>
          <w:color w:val="000000" w:themeColor="text1"/>
        </w:rPr>
        <w:t xml:space="preserve"> </w:t>
      </w:r>
    </w:p>
    <w:p w14:paraId="1A14C06D" w14:textId="07468AE5" w:rsidR="000B0E58" w:rsidRPr="00D14CD7" w:rsidRDefault="007F4B92" w:rsidP="0068023F">
      <w:pPr>
        <w:spacing w:after="0" w:line="240" w:lineRule="auto"/>
        <w:ind w:firstLine="720"/>
        <w:rPr>
          <w:color w:val="000000" w:themeColor="text1"/>
        </w:rPr>
      </w:pPr>
      <w:r w:rsidRPr="00D14CD7">
        <w:rPr>
          <w:color w:val="000000" w:themeColor="text1"/>
        </w:rPr>
        <w:t xml:space="preserve">The </w:t>
      </w:r>
      <w:r w:rsidR="00062B8D" w:rsidRPr="00D14CD7">
        <w:rPr>
          <w:color w:val="000000" w:themeColor="text1"/>
        </w:rPr>
        <w:t xml:space="preserve">renewed </w:t>
      </w:r>
      <w:r w:rsidR="000B0E58" w:rsidRPr="00D14CD7">
        <w:rPr>
          <w:color w:val="000000" w:themeColor="text1"/>
        </w:rPr>
        <w:t xml:space="preserve">intensity of in-person restaurant dining (which we will also refer to as </w:t>
      </w:r>
      <w:r w:rsidR="007D3C36" w:rsidRPr="00D14CD7">
        <w:rPr>
          <w:color w:val="000000" w:themeColor="text1"/>
        </w:rPr>
        <w:t xml:space="preserve">the </w:t>
      </w:r>
      <w:r w:rsidR="000B0E58" w:rsidRPr="00D14CD7">
        <w:rPr>
          <w:color w:val="000000" w:themeColor="text1"/>
        </w:rPr>
        <w:t>“</w:t>
      </w:r>
      <w:r w:rsidRPr="00D14CD7">
        <w:rPr>
          <w:color w:val="000000" w:themeColor="text1"/>
        </w:rPr>
        <w:t>eat-out</w:t>
      </w:r>
      <w:r w:rsidR="000B0E58" w:rsidRPr="00D14CD7">
        <w:rPr>
          <w:color w:val="000000" w:themeColor="text1"/>
        </w:rPr>
        <w:t>”</w:t>
      </w:r>
      <w:r w:rsidRPr="00D14CD7">
        <w:rPr>
          <w:color w:val="000000" w:themeColor="text1"/>
        </w:rPr>
        <w:t xml:space="preserve"> channel</w:t>
      </w:r>
      <w:r w:rsidR="000B0E58" w:rsidRPr="00D14CD7">
        <w:rPr>
          <w:color w:val="000000" w:themeColor="text1"/>
        </w:rPr>
        <w:t xml:space="preserve"> in the rest of this paper)</w:t>
      </w:r>
      <w:r w:rsidRPr="00D14CD7">
        <w:rPr>
          <w:color w:val="000000" w:themeColor="text1"/>
        </w:rPr>
        <w:t xml:space="preserve">, while clearly </w:t>
      </w:r>
      <w:r w:rsidR="00F97753" w:rsidRPr="00D14CD7">
        <w:rPr>
          <w:color w:val="000000" w:themeColor="text1"/>
        </w:rPr>
        <w:t xml:space="preserve">showing movement back toward </w:t>
      </w:r>
      <w:r w:rsidRPr="00D14CD7">
        <w:rPr>
          <w:color w:val="000000" w:themeColor="text1"/>
        </w:rPr>
        <w:t xml:space="preserve">pre-pandemic levels, has not been uniform across all </w:t>
      </w:r>
      <w:r w:rsidR="00397E2C" w:rsidRPr="00D14CD7">
        <w:rPr>
          <w:color w:val="000000" w:themeColor="text1"/>
        </w:rPr>
        <w:t>restaurant segments</w:t>
      </w:r>
      <w:r w:rsidR="000B0E58" w:rsidRPr="00D14CD7">
        <w:rPr>
          <w:color w:val="000000" w:themeColor="text1"/>
        </w:rPr>
        <w:t xml:space="preserve">. In particular, </w:t>
      </w:r>
      <w:r w:rsidR="004F2107" w:rsidRPr="00D14CD7">
        <w:rPr>
          <w:color w:val="000000" w:themeColor="text1"/>
        </w:rPr>
        <w:t>QSRs have re</w:t>
      </w:r>
      <w:r w:rsidR="000B0E58" w:rsidRPr="00D14CD7">
        <w:rPr>
          <w:color w:val="000000" w:themeColor="text1"/>
        </w:rPr>
        <w:t>covered back to</w:t>
      </w:r>
      <w:r w:rsidR="004F2107" w:rsidRPr="00D14CD7">
        <w:rPr>
          <w:color w:val="000000" w:themeColor="text1"/>
        </w:rPr>
        <w:t xml:space="preserve"> pre-pandemic level sales</w:t>
      </w:r>
      <w:r w:rsidR="008C27ED" w:rsidRPr="00D14CD7">
        <w:rPr>
          <w:color w:val="000000" w:themeColor="text1"/>
        </w:rPr>
        <w:t>,</w:t>
      </w:r>
      <w:r w:rsidR="004F2107" w:rsidRPr="00D14CD7">
        <w:rPr>
          <w:color w:val="000000" w:themeColor="text1"/>
        </w:rPr>
        <w:t xml:space="preserve"> </w:t>
      </w:r>
      <w:r w:rsidR="000B0E58" w:rsidRPr="00D14CD7">
        <w:rPr>
          <w:color w:val="000000" w:themeColor="text1"/>
        </w:rPr>
        <w:t>but</w:t>
      </w:r>
      <w:r w:rsidR="004F2107" w:rsidRPr="00D14CD7">
        <w:rPr>
          <w:color w:val="000000" w:themeColor="text1"/>
        </w:rPr>
        <w:t xml:space="preserve"> FSR </w:t>
      </w:r>
      <w:r w:rsidR="009D31D7" w:rsidRPr="00D14CD7">
        <w:rPr>
          <w:color w:val="000000" w:themeColor="text1"/>
        </w:rPr>
        <w:t xml:space="preserve">and CSR </w:t>
      </w:r>
      <w:r w:rsidR="000B0E58" w:rsidRPr="00D14CD7">
        <w:rPr>
          <w:color w:val="000000" w:themeColor="text1"/>
        </w:rPr>
        <w:t xml:space="preserve">sales </w:t>
      </w:r>
      <w:r w:rsidR="004F2107" w:rsidRPr="00D14CD7">
        <w:rPr>
          <w:color w:val="000000" w:themeColor="text1"/>
        </w:rPr>
        <w:t>have yet to</w:t>
      </w:r>
      <w:r w:rsidR="009D31D7" w:rsidRPr="00D14CD7">
        <w:rPr>
          <w:color w:val="000000" w:themeColor="text1"/>
        </w:rPr>
        <w:t xml:space="preserve"> fully</w:t>
      </w:r>
      <w:r w:rsidR="004F2107" w:rsidRPr="00D14CD7">
        <w:rPr>
          <w:color w:val="000000" w:themeColor="text1"/>
        </w:rPr>
        <w:t xml:space="preserve"> recover.</w:t>
      </w:r>
      <w:r w:rsidR="009A6AC4" w:rsidRPr="00D14CD7">
        <w:rPr>
          <w:color w:val="000000" w:themeColor="text1"/>
        </w:rPr>
        <w:t xml:space="preserve"> </w:t>
      </w:r>
      <w:r w:rsidR="004F2107" w:rsidRPr="00D14CD7">
        <w:rPr>
          <w:color w:val="000000" w:themeColor="text1"/>
        </w:rPr>
        <w:t xml:space="preserve">This discrepancy reflects dissimilarities across restaurant segments </w:t>
      </w:r>
      <w:bookmarkStart w:id="5" w:name="_Hlk139538645"/>
      <w:r w:rsidR="004F2107" w:rsidRPr="00D14CD7">
        <w:rPr>
          <w:color w:val="000000" w:themeColor="text1"/>
        </w:rPr>
        <w:fldChar w:fldCharType="begin"/>
      </w:r>
      <w:r w:rsidR="00E44093" w:rsidRPr="00D14CD7">
        <w:rPr>
          <w:color w:val="000000" w:themeColor="text1"/>
        </w:rPr>
        <w:instrText xml:space="preserve"> ADDIN ZOTERO_ITEM CSL_CITATION {"citationID":"gFoxuie0","properties":{"formattedCitation":"(Marchesi &amp; McLaughlin, 2022)","plainCitation":"(Marchesi &amp; McLaughlin, 2022)","dontUpdate":true,"noteIndex":0},"citationItems":[{"id":945,"uris":["http://zotero.org/users/9292995/items/BHPK62RN"],"itemData":{"id":945,"type":"report","title":"COVID-19 Working Paper: The Impact of COVID-19 Pandemic on Food-Away-From-Home Spending","author":[{"family":"Marchesi","given":"Keenan"},{"family":"McLaughlin","given":"Patrick W"}],"issued":{"date-parts":[["2022"]]}}}],"schema":"https://github.com/citation-style-language/schema/raw/master/csl-citation.json"} </w:instrText>
      </w:r>
      <w:r w:rsidR="004F2107" w:rsidRPr="00D14CD7">
        <w:rPr>
          <w:color w:val="000000" w:themeColor="text1"/>
        </w:rPr>
        <w:fldChar w:fldCharType="separate"/>
      </w:r>
      <w:r w:rsidR="004F2107" w:rsidRPr="00D14CD7">
        <w:rPr>
          <w:color w:val="000000" w:themeColor="text1"/>
        </w:rPr>
        <w:t>(Marchesi and McLaughlin, 2022)</w:t>
      </w:r>
      <w:r w:rsidR="004F2107" w:rsidRPr="00D14CD7">
        <w:rPr>
          <w:color w:val="000000" w:themeColor="text1"/>
        </w:rPr>
        <w:fldChar w:fldCharType="end"/>
      </w:r>
      <w:r w:rsidR="00421EA0" w:rsidRPr="00D14CD7">
        <w:rPr>
          <w:color w:val="000000" w:themeColor="text1"/>
        </w:rPr>
        <w:t xml:space="preserve">, </w:t>
      </w:r>
      <w:bookmarkEnd w:id="5"/>
      <w:r w:rsidR="00421EA0" w:rsidRPr="00D14CD7">
        <w:rPr>
          <w:color w:val="000000" w:themeColor="text1"/>
        </w:rPr>
        <w:t xml:space="preserve">based on the unique experience afforded by each restaurant segment in the cognitive mind space of consumers. In this regard, </w:t>
      </w:r>
      <w:r w:rsidR="000B0E58" w:rsidRPr="00D14CD7">
        <w:rPr>
          <w:color w:val="000000" w:themeColor="text1"/>
        </w:rPr>
        <w:t xml:space="preserve">both hedonic and utilitarian motives serve as a foundation to determine the overall value of </w:t>
      </w:r>
      <w:r w:rsidR="00421EA0" w:rsidRPr="00D14CD7">
        <w:rPr>
          <w:color w:val="000000" w:themeColor="text1"/>
        </w:rPr>
        <w:t xml:space="preserve">the </w:t>
      </w:r>
      <w:r w:rsidR="000B0E58" w:rsidRPr="00D14CD7">
        <w:rPr>
          <w:color w:val="000000" w:themeColor="text1"/>
        </w:rPr>
        <w:t xml:space="preserve">dining experience </w:t>
      </w:r>
      <w:bookmarkStart w:id="6" w:name="_Hlk139538764"/>
      <w:r w:rsidR="000B0E58" w:rsidRPr="00D14CD7">
        <w:rPr>
          <w:color w:val="000000" w:themeColor="text1"/>
        </w:rPr>
        <w:fldChar w:fldCharType="begin"/>
      </w:r>
      <w:r w:rsidR="000B0E58" w:rsidRPr="00D14CD7">
        <w:rPr>
          <w:color w:val="000000" w:themeColor="text1"/>
        </w:rPr>
        <w:instrText xml:space="preserve"> ADDIN ZOTERO_ITEM CSL_CITATION {"citationID":"kZyL5GqV","properties":{"formattedCitation":"(S. Kim &amp; Chung, 2011; Ryu &amp; Han, 2010; Shin et al., 2019)","plainCitation":"(S. Kim &amp; Chung, 2011; Ryu &amp; Han, 2010; Shin et al., 2019)","dontUpdate":true,"noteIndex":0},"citationItems":[{"id":908,"uris":["http://zotero.org/users/9292995/items/8XETL23G"],"itemData":{"id":908,"type":"article-journal","title":"Restaurant selection criteria: Understanding the roles of restaurant type and customers’ sociodemographic characteristics","author":[{"family":"Kim","given":"Soyeon"},{"family":"Chung","given":"Jae-Eun"}],"issued":{"date-parts":[["2011"]]}}},{"id":919,"uris":["http://zotero.org/users/9292995/items/KXVYHJ44"],"itemData":{"id":919,"type":"article-journal","container-title":"Journal of Hospitality &amp; Tourism Research","ISSN":"1096-3480","issue":"3","journalAbbreviation":"Journal of Hospitality &amp; Tourism Research","note":"publisher: SAGE Publications Sage CA: Los Angeles, CA","page":"310-329","title":"Influence of the quality of food, service, and physical environment on customer satisfaction and behavioral intention in quick-casual restaurants: Moderating role of perceived price","volume":"34","author":[{"family":"Ryu","given":"Kisang"},{"family":"Han","given":"Heesup"}],"issued":{"date-parts":[["2010"]]}}},{"id":946,"uris":["http://zotero.org/users/9292995/items/6PTHN74Z"],"itemData":{"id":946,"type":"article-journal","container-title":"International Journal of Hospitality Management","ISSN":"0278-4319","journalAbbreviation":"International Journal of Hospitality Management","note":"publisher: Elsevier","page":"11-20","title":"Consumer values and service quality perceptions of food truck experiences","volume":"79","author":[{"family":"Shin","given":"Yeon Ho"},{"family":"Kim","given":"Haemi"},{"family":"Severt","given":"Kimberly"}],"issued":{"date-parts":[["2019"]]}}}],"schema":"https://github.com/citation-style-language/schema/raw/master/csl-citation.json"} </w:instrText>
      </w:r>
      <w:r w:rsidR="000B0E58" w:rsidRPr="00D14CD7">
        <w:rPr>
          <w:color w:val="000000" w:themeColor="text1"/>
        </w:rPr>
        <w:fldChar w:fldCharType="separate"/>
      </w:r>
      <w:r w:rsidR="000B0E58" w:rsidRPr="00D14CD7">
        <w:rPr>
          <w:color w:val="000000" w:themeColor="text1"/>
        </w:rPr>
        <w:t>(Kim and Chung, 2011, Ryu and Han, 2010, Shin et al., 2019</w:t>
      </w:r>
      <w:r w:rsidR="000B0E58" w:rsidRPr="00D14CD7">
        <w:rPr>
          <w:color w:val="000000" w:themeColor="text1"/>
        </w:rPr>
        <w:fldChar w:fldCharType="end"/>
      </w:r>
      <w:r w:rsidR="000B0E58" w:rsidRPr="00D14CD7">
        <w:rPr>
          <w:color w:val="000000" w:themeColor="text1"/>
        </w:rPr>
        <w:t xml:space="preserve">). </w:t>
      </w:r>
      <w:bookmarkEnd w:id="6"/>
      <w:r w:rsidR="000B0E58" w:rsidRPr="00D14CD7">
        <w:rPr>
          <w:color w:val="000000" w:themeColor="text1"/>
        </w:rPr>
        <w:t xml:space="preserve">Hedonic motives are pleasure-oriented and relate to the enjoyment derived from eating out, while utilitarian motives are function-oriented </w:t>
      </w:r>
      <w:r w:rsidR="00BF1FD2" w:rsidRPr="00D14CD7">
        <w:rPr>
          <w:color w:val="000000" w:themeColor="text1"/>
        </w:rPr>
        <w:t xml:space="preserve">and </w:t>
      </w:r>
      <w:r w:rsidR="00421EA0" w:rsidRPr="00D14CD7">
        <w:rPr>
          <w:color w:val="000000" w:themeColor="text1"/>
        </w:rPr>
        <w:t>associa</w:t>
      </w:r>
      <w:r w:rsidR="0063035B" w:rsidRPr="00D14CD7">
        <w:rPr>
          <w:color w:val="000000" w:themeColor="text1"/>
        </w:rPr>
        <w:t xml:space="preserve">ted with </w:t>
      </w:r>
      <w:r w:rsidR="005970AF" w:rsidRPr="00D14CD7">
        <w:rPr>
          <w:color w:val="000000" w:themeColor="text1"/>
        </w:rPr>
        <w:t xml:space="preserve">the </w:t>
      </w:r>
      <w:r w:rsidR="000B0E58" w:rsidRPr="00D14CD7">
        <w:rPr>
          <w:color w:val="000000" w:themeColor="text1"/>
        </w:rPr>
        <w:t>cost, convenience, and accessibility</w:t>
      </w:r>
      <w:r w:rsidR="0063035B" w:rsidRPr="00D14CD7">
        <w:rPr>
          <w:color w:val="000000" w:themeColor="text1"/>
        </w:rPr>
        <w:t xml:space="preserve"> of eating out</w:t>
      </w:r>
      <w:r w:rsidR="000B0E58" w:rsidRPr="00D14CD7">
        <w:rPr>
          <w:color w:val="000000" w:themeColor="text1"/>
        </w:rPr>
        <w:t xml:space="preserve"> </w:t>
      </w:r>
      <w:r w:rsidR="000B0E58" w:rsidRPr="00D14CD7">
        <w:rPr>
          <w:color w:val="000000" w:themeColor="text1"/>
        </w:rPr>
        <w:fldChar w:fldCharType="begin"/>
      </w:r>
      <w:r w:rsidR="000B0E58" w:rsidRPr="00D14CD7">
        <w:rPr>
          <w:color w:val="000000" w:themeColor="text1"/>
        </w:rPr>
        <w:instrText xml:space="preserve"> ADDIN ZOTERO_ITEM CSL_CITATION {"citationID":"lz1UCJNq","properties":{"formattedCitation":"(S. Kim &amp; Chung, 2011; Ryu &amp; Han, 2010; Shin et al., 2019)","plainCitation":"(S. Kim &amp; Chung, 2011; Ryu &amp; Han, 2010; Shin et al., 2019)","dontUpdate":true,"noteIndex":0},"citationItems":[{"id":908,"uris":["http://zotero.org/users/9292995/items/8XETL23G"],"itemData":{"id":908,"type":"article-journal","title":"Restaurant selection criteria: Understanding the roles of restaurant type and customers’ sociodemographic characteristics","author":[{"family":"Kim","given":"Soyeon"},{"family":"Chung","given":"Jae-Eun"}],"issued":{"date-parts":[["2011"]]}}},{"id":919,"uris":["http://zotero.org/users/9292995/items/KXVYHJ44"],"itemData":{"id":919,"type":"article-journal","container-title":"Journal of Hospitality &amp; Tourism Research","ISSN":"1096-3480","issue":"3","journalAbbreviation":"Journal of Hospitality &amp; Tourism Research","note":"publisher: SAGE Publications Sage CA: Los Angeles, CA","page":"310-329","title":"Influence of the quality of food, service, and physical environment on customer satisfaction and behavioral intention in quick-casual restaurants: Moderating role of perceived price","volume":"34","author":[{"family":"Ryu","given":"Kisang"},{"family":"Han","given":"Heesup"}],"issued":{"date-parts":[["2010"]]}}},{"id":946,"uris":["http://zotero.org/users/9292995/items/6PTHN74Z"],"itemData":{"id":946,"type":"article-journal","container-title":"International Journal of Hospitality Management","ISSN":"0278-4319","journalAbbreviation":"International Journal of Hospitality Management","note":"publisher: Elsevier","page":"11-20","title":"Consumer values and service quality perceptions of food truck experiences","volume":"79","author":[{"family":"Shin","given":"Yeon Ho"},{"family":"Kim","given":"Haemi"},{"family":"Severt","given":"Kimberly"}],"issued":{"date-parts":[["2019"]]}}}],"schema":"https://github.com/citation-style-language/schema/raw/master/csl-citation.json"} </w:instrText>
      </w:r>
      <w:r w:rsidR="000B0E58" w:rsidRPr="00D14CD7">
        <w:rPr>
          <w:color w:val="000000" w:themeColor="text1"/>
        </w:rPr>
        <w:fldChar w:fldCharType="separate"/>
      </w:r>
      <w:r w:rsidR="000B0E58" w:rsidRPr="00D14CD7">
        <w:rPr>
          <w:color w:val="000000" w:themeColor="text1"/>
        </w:rPr>
        <w:t>(Kim and Chung, 2011, Ryu and Han, 2010, Shin et al., 2019)</w:t>
      </w:r>
      <w:r w:rsidR="000B0E58" w:rsidRPr="00D14CD7">
        <w:rPr>
          <w:color w:val="000000" w:themeColor="text1"/>
        </w:rPr>
        <w:fldChar w:fldCharType="end"/>
      </w:r>
      <w:r w:rsidR="000B0E58" w:rsidRPr="00D14CD7">
        <w:rPr>
          <w:color w:val="000000" w:themeColor="text1"/>
        </w:rPr>
        <w:t xml:space="preserve">. </w:t>
      </w:r>
      <w:r w:rsidR="00062B8D" w:rsidRPr="00D14CD7">
        <w:rPr>
          <w:color w:val="000000" w:themeColor="text1"/>
        </w:rPr>
        <w:t xml:space="preserve">Of course, the precise boundary between hedonic and utilitarian motives may be blurred </w:t>
      </w:r>
      <w:r w:rsidR="00062B8D" w:rsidRPr="00D14CD7">
        <w:rPr>
          <w:color w:val="000000" w:themeColor="text1"/>
        </w:rPr>
        <w:lastRenderedPageBreak/>
        <w:t>in the sense that the motives may be characterized as a continuum in the mental map of consumers. In this continuum</w:t>
      </w:r>
      <w:r w:rsidR="000B0E58" w:rsidRPr="00D14CD7">
        <w:rPr>
          <w:color w:val="000000" w:themeColor="text1"/>
        </w:rPr>
        <w:t xml:space="preserve">, QSRs </w:t>
      </w:r>
      <w:r w:rsidR="00421EA0" w:rsidRPr="00D14CD7">
        <w:rPr>
          <w:color w:val="000000" w:themeColor="text1"/>
        </w:rPr>
        <w:t xml:space="preserve">appeal to utilitarian motives for dining out, through their emphasis on </w:t>
      </w:r>
      <w:r w:rsidR="000B0E58" w:rsidRPr="00D14CD7">
        <w:rPr>
          <w:color w:val="000000" w:themeColor="text1"/>
        </w:rPr>
        <w:t xml:space="preserve">affordability, efficiency, and productivity </w:t>
      </w:r>
      <w:r w:rsidR="00421EA0" w:rsidRPr="00D14CD7">
        <w:rPr>
          <w:color w:val="000000" w:themeColor="text1"/>
        </w:rPr>
        <w:t xml:space="preserve">rather than necessarily </w:t>
      </w:r>
      <w:r w:rsidR="000B0E58" w:rsidRPr="00D14CD7">
        <w:rPr>
          <w:color w:val="000000" w:themeColor="text1"/>
        </w:rPr>
        <w:t xml:space="preserve">ambiance and other </w:t>
      </w:r>
      <w:r w:rsidR="00421EA0" w:rsidRPr="00D14CD7">
        <w:rPr>
          <w:color w:val="000000" w:themeColor="text1"/>
        </w:rPr>
        <w:t>hedonic motives</w:t>
      </w:r>
      <w:r w:rsidR="000B0E58" w:rsidRPr="00D14CD7">
        <w:rPr>
          <w:color w:val="000000" w:themeColor="text1"/>
        </w:rPr>
        <w:t xml:space="preserve"> </w:t>
      </w:r>
      <w:bookmarkStart w:id="7" w:name="_Hlk139538800"/>
      <w:r w:rsidR="000B0E58" w:rsidRPr="00D14CD7">
        <w:rPr>
          <w:color w:val="000000" w:themeColor="text1"/>
        </w:rPr>
        <w:fldChar w:fldCharType="begin"/>
      </w:r>
      <w:r w:rsidR="000B0E58" w:rsidRPr="00D14CD7">
        <w:rPr>
          <w:color w:val="000000" w:themeColor="text1"/>
        </w:rPr>
        <w:instrText xml:space="preserve"> ADDIN ZOTERO_ITEM CSL_CITATION {"citationID":"G2AqKiRQ","properties":{"formattedCitation":"(Parsa et al., 2020)","plainCitation":"(Parsa et al., 2020)","noteIndex":0},"citationItems":[{"id":909,"uris":["http://zotero.org/users/9292995/items/QPZXQNYT"],"itemData":{"id":909,"type":"article-journal","container-title":"Cornell Hospitality Quarterly","ISSN":"1938-9655","issue":"4","journalAbbreviation":"Cornell Hospitality Quarterly","note":"publisher: SAGE Publications Sage CA: Los Angeles, CA","page":"379-400","title":"New classification system for the US restaurant industry: Application of utilitarian and hedonic continuum model","volume":"61","author":[{"family":"Parsa","given":"HG"},{"family":"Shuster","given":"Barry K"},{"family":"Bujisic","given":"Milos"}],"issued":{"date-parts":[["2020"]]}}}],"schema":"https://github.com/citation-style-language/schema/raw/master/csl-citation.json"} </w:instrText>
      </w:r>
      <w:r w:rsidR="000B0E58" w:rsidRPr="00D14CD7">
        <w:rPr>
          <w:color w:val="000000" w:themeColor="text1"/>
        </w:rPr>
        <w:fldChar w:fldCharType="separate"/>
      </w:r>
      <w:r w:rsidR="008F1E84" w:rsidRPr="00D14CD7">
        <w:rPr>
          <w:color w:val="000000" w:themeColor="text1"/>
        </w:rPr>
        <w:t>(Parsa et al., 2020)</w:t>
      </w:r>
      <w:r w:rsidR="000B0E58" w:rsidRPr="00D14CD7">
        <w:rPr>
          <w:color w:val="000000" w:themeColor="text1"/>
        </w:rPr>
        <w:fldChar w:fldCharType="end"/>
      </w:r>
      <w:r w:rsidR="000B0E58" w:rsidRPr="00D14CD7">
        <w:rPr>
          <w:color w:val="000000" w:themeColor="text1"/>
        </w:rPr>
        <w:t xml:space="preserve">. </w:t>
      </w:r>
      <w:bookmarkEnd w:id="7"/>
      <w:r w:rsidR="00421EA0" w:rsidRPr="00D14CD7">
        <w:rPr>
          <w:color w:val="000000" w:themeColor="text1"/>
        </w:rPr>
        <w:t xml:space="preserve">Accordingly, </w:t>
      </w:r>
      <w:r w:rsidR="000B0E58" w:rsidRPr="00D14CD7">
        <w:rPr>
          <w:color w:val="000000" w:themeColor="text1"/>
        </w:rPr>
        <w:t xml:space="preserve">QSRs are typically chains that limit their menus to specific products that are prepared in a standardized manner </w:t>
      </w:r>
      <w:r w:rsidR="00421EA0" w:rsidRPr="00D14CD7">
        <w:rPr>
          <w:color w:val="000000" w:themeColor="text1"/>
        </w:rPr>
        <w:t xml:space="preserve">to enable </w:t>
      </w:r>
      <w:r w:rsidR="000B0E58" w:rsidRPr="00D14CD7">
        <w:rPr>
          <w:color w:val="000000" w:themeColor="text1"/>
        </w:rPr>
        <w:t xml:space="preserve">quick production </w:t>
      </w:r>
      <w:bookmarkStart w:id="8" w:name="_Hlk139538809"/>
      <w:r w:rsidR="000B0E58" w:rsidRPr="00D14CD7">
        <w:rPr>
          <w:color w:val="000000" w:themeColor="text1"/>
        </w:rPr>
        <w:fldChar w:fldCharType="begin"/>
      </w:r>
      <w:r w:rsidR="000B0E58" w:rsidRPr="00D14CD7">
        <w:rPr>
          <w:color w:val="000000" w:themeColor="text1"/>
        </w:rPr>
        <w:instrText xml:space="preserve"> ADDIN ZOTERO_ITEM CSL_CITATION {"citationID":"yGCi2pqE","properties":{"formattedCitation":"(Canziani et al., 2016)","plainCitation":"(Canziani et al., 2016)","noteIndex":0},"citationItems":[{"id":452,"uris":["http://zotero.org/users/9292995/items/HNFSIMP6"],"itemData":{"id":452,"type":"article-journal","container-title":"International Journal of Contemporary Hospitality Management","ISSN":"0959-6119","journalAbbreviation":"International Journal of Contemporary Hospitality Management","note":"publisher: Emerald Group Publishing Limited","title":"Classifying restaurants to improve usability of restaurant research","author":[{"family":"Canziani","given":"Bonnie Farber"},{"family":"Almanza","given":"Barbara"},{"family":"Frash","given":"Robert E"},{"family":"McKeig","given":"Merrick J"},{"family":"Sullivan-Reid","given":"Caitlin"}],"issued":{"date-parts":[["2016"]]}}}],"schema":"https://github.com/citation-style-language/schema/raw/master/csl-citation.json"} </w:instrText>
      </w:r>
      <w:r w:rsidR="000B0E58" w:rsidRPr="00D14CD7">
        <w:rPr>
          <w:color w:val="000000" w:themeColor="text1"/>
        </w:rPr>
        <w:fldChar w:fldCharType="separate"/>
      </w:r>
      <w:r w:rsidR="000B0E58" w:rsidRPr="00D14CD7">
        <w:rPr>
          <w:color w:val="000000" w:themeColor="text1"/>
        </w:rPr>
        <w:t>(Canziani et al., 2016)</w:t>
      </w:r>
      <w:r w:rsidR="000B0E58" w:rsidRPr="00D14CD7">
        <w:rPr>
          <w:color w:val="000000" w:themeColor="text1"/>
        </w:rPr>
        <w:fldChar w:fldCharType="end"/>
      </w:r>
      <w:r w:rsidR="000B0E58" w:rsidRPr="00D14CD7">
        <w:rPr>
          <w:color w:val="000000" w:themeColor="text1"/>
        </w:rPr>
        <w:t xml:space="preserve">. </w:t>
      </w:r>
      <w:bookmarkEnd w:id="8"/>
      <w:r w:rsidR="00062B8D" w:rsidRPr="00D14CD7">
        <w:rPr>
          <w:color w:val="000000" w:themeColor="text1"/>
        </w:rPr>
        <w:t xml:space="preserve">At the other end of the spectrum, FSRs appeal more to the hedonic motives of individuals more so than mainstream utilitarian considerations, through their offering of the highest quality of service, ingredients, and atmosphere </w:t>
      </w:r>
      <w:bookmarkStart w:id="9" w:name="_Hlk139538844"/>
      <w:r w:rsidR="00062B8D" w:rsidRPr="00D14CD7">
        <w:rPr>
          <w:color w:val="000000" w:themeColor="text1"/>
        </w:rPr>
        <w:fldChar w:fldCharType="begin"/>
      </w:r>
      <w:r w:rsidR="00062B8D" w:rsidRPr="00D14CD7">
        <w:rPr>
          <w:color w:val="000000" w:themeColor="text1"/>
        </w:rPr>
        <w:instrText xml:space="preserve"> ADDIN ZOTERO_ITEM CSL_CITATION {"citationID":"1svpAQv7","properties":{"formattedCitation":"(Canziani et al., 2016; Harrington et al., 2011)","plainCitation":"(Canziani et al., 2016; Harrington et al., 2011)","dontUpdate":true,"noteIndex":0},"citationItems":[{"id":452,"uris":["http://zotero.org/users/9292995/items/HNFSIMP6"],"itemData":{"id":452,"type":"article-journal","container-title":"International Journal of Contemporary Hospitality Management","ISSN":"0959-6119","journalAbbreviation":"International Journal of Contemporary Hospitality Management","note":"publisher: Emerald Group Publishing Limited","title":"Classifying restaurants to improve usability of restaurant research","author":[{"family":"Canziani","given":"Bonnie Farber"},{"family":"Almanza","given":"Barbara"},{"family":"Frash","given":"Robert E"},{"family":"McKeig","given":"Merrick J"},{"family":"Sullivan-Reid","given":"Caitlin"}],"issued":{"date-parts":[["2016"]]}}},{"id":464,"uris":["http://zotero.org/users/9292995/items/KBD676EZ"],"itemData":{"id":464,"type":"article-journal","container-title":"Journal of Foodservice Business Research","ISSN":"1537-8020","issue":"3","journalAbbreviation":"Journal of Foodservice Business Research","note":"publisher: Taylor &amp; Francis","page":"272-289","title":"Fine-dining restaurant selection: Direct and moderating effects of customer attributes","volume":"14","author":[{"family":"Harrington","given":"Robert J"},{"family":"Ottenbacher","given":"Michael C"},{"family":"Kendall","given":"KW"}],"issued":{"date-parts":[["2011"]]}}}],"schema":"https://github.com/citation-style-language/schema/raw/master/csl-citation.json"} </w:instrText>
      </w:r>
      <w:r w:rsidR="00062B8D" w:rsidRPr="00D14CD7">
        <w:rPr>
          <w:color w:val="000000" w:themeColor="text1"/>
        </w:rPr>
        <w:fldChar w:fldCharType="separate"/>
      </w:r>
      <w:r w:rsidR="00062B8D" w:rsidRPr="00D14CD7">
        <w:rPr>
          <w:color w:val="000000" w:themeColor="text1"/>
        </w:rPr>
        <w:t>(Harrington et al., 2011</w:t>
      </w:r>
      <w:r w:rsidR="00794B61" w:rsidRPr="00D14CD7">
        <w:rPr>
          <w:color w:val="000000" w:themeColor="text1"/>
        </w:rPr>
        <w:t>,</w:t>
      </w:r>
      <w:r w:rsidR="00062B8D" w:rsidRPr="00D14CD7">
        <w:rPr>
          <w:color w:val="000000" w:themeColor="text1"/>
        </w:rPr>
        <w:t xml:space="preserve"> Canziani et al., 2016</w:t>
      </w:r>
      <w:r w:rsidR="00794B61" w:rsidRPr="00D14CD7">
        <w:rPr>
          <w:color w:val="000000" w:themeColor="text1"/>
        </w:rPr>
        <w:t>,</w:t>
      </w:r>
      <w:r w:rsidR="00062B8D" w:rsidRPr="00D14CD7">
        <w:rPr>
          <w:color w:val="000000" w:themeColor="text1"/>
        </w:rPr>
        <w:t xml:space="preserve"> Parsa et al., 2020)</w:t>
      </w:r>
      <w:r w:rsidR="00062B8D" w:rsidRPr="00D14CD7">
        <w:rPr>
          <w:color w:val="000000" w:themeColor="text1"/>
        </w:rPr>
        <w:fldChar w:fldCharType="end"/>
      </w:r>
      <w:r w:rsidR="00062B8D" w:rsidRPr="00D14CD7">
        <w:rPr>
          <w:color w:val="000000" w:themeColor="text1"/>
        </w:rPr>
        <w:t xml:space="preserve">. </w:t>
      </w:r>
      <w:bookmarkEnd w:id="9"/>
      <w:r w:rsidR="00062B8D" w:rsidRPr="00D14CD7">
        <w:rPr>
          <w:color w:val="000000" w:themeColor="text1"/>
        </w:rPr>
        <w:t xml:space="preserve">Menus are carefully designed by professional chefs and typically provide a large selection of alcoholic drink choices </w:t>
      </w:r>
      <w:bookmarkStart w:id="10" w:name="_Hlk139538901"/>
      <w:r w:rsidR="00062B8D" w:rsidRPr="00D14CD7">
        <w:rPr>
          <w:color w:val="000000" w:themeColor="text1"/>
        </w:rPr>
        <w:fldChar w:fldCharType="begin"/>
      </w:r>
      <w:r w:rsidR="00062B8D" w:rsidRPr="00D14CD7">
        <w:rPr>
          <w:color w:val="000000" w:themeColor="text1"/>
        </w:rPr>
        <w:instrText xml:space="preserve"> ADDIN ZOTERO_ITEM CSL_CITATION {"citationID":"KTUxhM5h","properties":{"formattedCitation":"(Parsa et al., 2020; Walker, 2017)","plainCitation":"(Parsa et al., 2020; Walker, 2017)","dontUpdate":true,"noteIndex":0},"citationItems":[{"id":909,"uris":["http://zotero.org/users/9292995/items/QPZXQNYT"],"itemData":{"id":909,"type":"article-journal","container-title":"Cornell Hospitality Quarterly","ISSN":"1938-9655","issue":"4","journalAbbreviation":"Cornell Hospitality Quarterly","note":"publisher: SAGE Publications Sage CA: Los Angeles, CA","page":"379-400","title":"New classification system for the US restaurant industry: Application of utilitarian and hedonic continuum model","volume":"61","author":[{"family":"Parsa","given":"HG"},{"family":"Shuster","given":"Barry K"},{"family":"Bujisic","given":"Milos"}],"issued":{"date-parts":[["2020"]]}}},{"id":911,"uris":["http://zotero.org/users/9292995/items/B3K3KXAE"],"itemData":{"id":911,"type":"chapter","container-title":"Exploring the hospitality industry","edition":"3","ISBN":"1-292-10280-2","publisher":"Pearson","title":"Restaurants","author":[{"family":"Walker","given":"John"}],"issued":{"date-parts":[["2017"]]}}}],"schema":"https://github.com/citation-style-language/schema/raw/master/csl-citation.json"} </w:instrText>
      </w:r>
      <w:r w:rsidR="00062B8D" w:rsidRPr="00D14CD7">
        <w:rPr>
          <w:color w:val="000000" w:themeColor="text1"/>
        </w:rPr>
        <w:fldChar w:fldCharType="separate"/>
      </w:r>
      <w:r w:rsidR="00062B8D" w:rsidRPr="00D14CD7">
        <w:rPr>
          <w:color w:val="000000" w:themeColor="text1"/>
        </w:rPr>
        <w:t>(Parsa et al., 2020, Walker, 2017)</w:t>
      </w:r>
      <w:r w:rsidR="00062B8D" w:rsidRPr="00D14CD7">
        <w:rPr>
          <w:color w:val="000000" w:themeColor="text1"/>
        </w:rPr>
        <w:fldChar w:fldCharType="end"/>
      </w:r>
      <w:r w:rsidR="00062B8D" w:rsidRPr="00D14CD7">
        <w:rPr>
          <w:color w:val="000000" w:themeColor="text1"/>
        </w:rPr>
        <w:t xml:space="preserve">. </w:t>
      </w:r>
      <w:bookmarkEnd w:id="10"/>
      <w:r w:rsidR="00062B8D" w:rsidRPr="00D14CD7">
        <w:rPr>
          <w:color w:val="000000" w:themeColor="text1"/>
        </w:rPr>
        <w:t xml:space="preserve">The service involves highly trained wait staff who are often formally dressed. In return, patrons are expected to maintain a certain dress code and cover a high check </w:t>
      </w:r>
      <w:bookmarkStart w:id="11" w:name="_Hlk139538914"/>
      <w:r w:rsidR="00062B8D" w:rsidRPr="00D14CD7">
        <w:rPr>
          <w:color w:val="000000" w:themeColor="text1"/>
        </w:rPr>
        <w:fldChar w:fldCharType="begin"/>
      </w:r>
      <w:r w:rsidR="00062B8D" w:rsidRPr="00D14CD7">
        <w:rPr>
          <w:color w:val="000000" w:themeColor="text1"/>
        </w:rPr>
        <w:instrText xml:space="preserve"> ADDIN ZOTERO_ITEM CSL_CITATION {"citationID":"VZ6e6L8f","properties":{"formattedCitation":"(Hwang &amp; Ok, 2013; Parsa et al., 2020)","plainCitation":"(Hwang &amp; Ok, 2013; Parsa et al., 2020)","dontUpdate":true,"noteIndex":0},"citationItems":[{"id":914,"uris":["http://zotero.org/users/9292995/items/JXKADJMD"],"itemData":{"id":914,"type":"article-journal","container-title":"International Journal of Hospitality Management","ISSN":"0278-4319","journalAbbreviation":"International Journal of Hospitality Management","note":"publisher: Elsevier","page":"121-131","title":"The antecedents and consequence of consumer attitudes toward restaurant brands: A comparative study between casual and fine dining restaurants","volume":"32","author":[{"family":"Hwang","given":"Jinsoo"},{"family":"Ok","given":"Chihyung"}],"issued":{"date-parts":[["2013"]]}}},{"id":909,"uris":["http://zotero.org/users/9292995/items/QPZXQNYT"],"itemData":{"id":909,"type":"article-journal","container-title":"Cornell Hospitality Quarterly","ISSN":"1938-9655","issue":"4","journalAbbreviation":"Cornell Hospitality Quarterly","note":"publisher: SAGE Publications Sage CA: Los Angeles, CA","page":"379-400","title":"New classification system for the US restaurant industry: Application of utilitarian and hedonic continuum model","volume":"61","author":[{"family":"Parsa","given":"HG"},{"family":"Shuster","given":"Barry K"},{"family":"Bujisic","given":"Milos"}],"issued":{"date-parts":[["2020"]]}}}],"schema":"https://github.com/citation-style-language/schema/raw/master/csl-citation.json"} </w:instrText>
      </w:r>
      <w:r w:rsidR="00062B8D" w:rsidRPr="00D14CD7">
        <w:rPr>
          <w:color w:val="000000" w:themeColor="text1"/>
        </w:rPr>
        <w:fldChar w:fldCharType="separate"/>
      </w:r>
      <w:r w:rsidR="00062B8D" w:rsidRPr="00D14CD7">
        <w:rPr>
          <w:color w:val="000000" w:themeColor="text1"/>
        </w:rPr>
        <w:t>(Hwang and Ok, 2013, Parsa et al., 2020)</w:t>
      </w:r>
      <w:r w:rsidR="00062B8D" w:rsidRPr="00D14CD7">
        <w:rPr>
          <w:color w:val="000000" w:themeColor="text1"/>
        </w:rPr>
        <w:fldChar w:fldCharType="end"/>
      </w:r>
      <w:r w:rsidR="00062B8D" w:rsidRPr="00D14CD7">
        <w:rPr>
          <w:color w:val="000000" w:themeColor="text1"/>
        </w:rPr>
        <w:t xml:space="preserve">. </w:t>
      </w:r>
      <w:bookmarkEnd w:id="11"/>
      <w:r w:rsidR="00062B8D" w:rsidRPr="00D14CD7">
        <w:rPr>
          <w:color w:val="000000" w:themeColor="text1"/>
        </w:rPr>
        <w:t xml:space="preserve">Between the utilitarian and hedonic ends, lies the appeal of CSRs, which </w:t>
      </w:r>
      <w:r w:rsidR="000B0E58" w:rsidRPr="00D14CD7">
        <w:rPr>
          <w:color w:val="000000" w:themeColor="text1"/>
        </w:rPr>
        <w:t>offer full-service dining with servers placing and serving the orders of seated diners.</w:t>
      </w:r>
      <w:r w:rsidR="00062B8D" w:rsidRPr="00D14CD7">
        <w:rPr>
          <w:color w:val="000000" w:themeColor="text1"/>
        </w:rPr>
        <w:t xml:space="preserve"> </w:t>
      </w:r>
      <w:r w:rsidR="000B0E58" w:rsidRPr="00D14CD7">
        <w:rPr>
          <w:color w:val="000000" w:themeColor="text1"/>
        </w:rPr>
        <w:t xml:space="preserve">CSR prices are moderate and the atmosphere is informal, friendly, and laid-back </w:t>
      </w:r>
      <w:r w:rsidR="000B0E58" w:rsidRPr="00D14CD7">
        <w:rPr>
          <w:color w:val="000000" w:themeColor="text1"/>
        </w:rPr>
        <w:fldChar w:fldCharType="begin"/>
      </w:r>
      <w:r w:rsidR="000B0E58" w:rsidRPr="00D14CD7">
        <w:rPr>
          <w:color w:val="000000" w:themeColor="text1"/>
        </w:rPr>
        <w:instrText xml:space="preserve"> ADDIN ZOTERO_ITEM CSL_CITATION {"citationID":"oOQmOuRy","properties":{"formattedCitation":"(Hwang &amp; Ok, 2013)","plainCitation":"(Hwang &amp; Ok, 2013)","dontUpdate":true,"noteIndex":0},"citationItems":[{"id":914,"uris":["http://zotero.org/users/9292995/items/JXKADJMD"],"itemData":{"id":914,"type":"article-journal","container-title":"International Journal of Hospitality Management","ISSN":"0278-4319","journalAbbreviation":"International Journal of Hospitality Management","note":"publisher: Elsevier","page":"121-131","title":"The antecedents and consequence of consumer attitudes toward restaurant brands: A comparative study between casual and fine dining restaurants","volume":"32","author":[{"family":"Hwang","given":"Jinsoo"},{"family":"Ok","given":"Chihyung"}],"issued":{"date-parts":[["2013"]]}}}],"schema":"https://github.com/citation-style-language/schema/raw/master/csl-citation.json"} </w:instrText>
      </w:r>
      <w:r w:rsidR="000B0E58" w:rsidRPr="00D14CD7">
        <w:rPr>
          <w:color w:val="000000" w:themeColor="text1"/>
        </w:rPr>
        <w:fldChar w:fldCharType="separate"/>
      </w:r>
      <w:r w:rsidR="000B0E58" w:rsidRPr="00D14CD7">
        <w:rPr>
          <w:color w:val="000000" w:themeColor="text1"/>
        </w:rPr>
        <w:t>(Hwang and Ok, 2013)</w:t>
      </w:r>
      <w:r w:rsidR="000B0E58" w:rsidRPr="00D14CD7">
        <w:rPr>
          <w:color w:val="000000" w:themeColor="text1"/>
        </w:rPr>
        <w:fldChar w:fldCharType="end"/>
      </w:r>
      <w:r w:rsidR="000B0E58" w:rsidRPr="00D14CD7">
        <w:rPr>
          <w:color w:val="000000" w:themeColor="text1"/>
        </w:rPr>
        <w:t xml:space="preserve">. Their menus are often diverse and include comfort foods, tried and true items, and limited alcohol options </w:t>
      </w:r>
      <w:r w:rsidR="000B0E58" w:rsidRPr="00D14CD7">
        <w:rPr>
          <w:color w:val="000000" w:themeColor="text1"/>
        </w:rPr>
        <w:fldChar w:fldCharType="begin"/>
      </w:r>
      <w:r w:rsidR="000B0E58" w:rsidRPr="00D14CD7">
        <w:rPr>
          <w:color w:val="000000" w:themeColor="text1"/>
        </w:rPr>
        <w:instrText xml:space="preserve"> ADDIN ZOTERO_ITEM CSL_CITATION {"citationID":"i4L2Me33","properties":{"formattedCitation":"(Parsa et al., 2020; Walker, 2017)","plainCitation":"(Parsa et al., 2020; Walker, 2017)","dontUpdate":true,"noteIndex":0},"citationItems":[{"id":909,"uris":["http://zotero.org/users/9292995/items/QPZXQNYT"],"itemData":{"id":909,"type":"article-journal","container-title":"Cornell Hospitality Quarterly","ISSN":"1938-9655","issue":"4","journalAbbreviation":"Cornell Hospitality Quarterly","note":"publisher: SAGE Publications Sage CA: Los Angeles, CA","page":"379-400","title":"New classification system for the US restaurant industry: Application of utilitarian and hedonic continuum model","volume":"61","author":[{"family":"Parsa","given":"HG"},{"family":"Shuster","given":"Barry K"},{"family":"Bujisic","given":"Milos"}],"issued":{"date-parts":[["2020"]]}}},{"id":911,"uris":["http://zotero.org/users/9292995/items/B3K3KXAE"],"itemData":{"id":911,"type":"chapter","container-title":"Exploring the hospitality industry","edition":"3","ISBN":"1-292-10280-2","publisher":"Pearson","title":"Restaurants","author":[{"family":"Walker","given":"John"}],"issued":{"date-parts":[["2017"]]}}}],"schema":"https://github.com/citation-style-language/schema/raw/master/csl-citation.json"} </w:instrText>
      </w:r>
      <w:r w:rsidR="000B0E58" w:rsidRPr="00D14CD7">
        <w:rPr>
          <w:color w:val="000000" w:themeColor="text1"/>
        </w:rPr>
        <w:fldChar w:fldCharType="separate"/>
      </w:r>
      <w:r w:rsidR="000B0E58" w:rsidRPr="00D14CD7">
        <w:rPr>
          <w:color w:val="000000" w:themeColor="text1"/>
        </w:rPr>
        <w:t>(Parsa et al., 2020, Walker, 2017)</w:t>
      </w:r>
      <w:r w:rsidR="000B0E58" w:rsidRPr="00D14CD7">
        <w:rPr>
          <w:color w:val="000000" w:themeColor="text1"/>
        </w:rPr>
        <w:fldChar w:fldCharType="end"/>
      </w:r>
      <w:r w:rsidR="000B0E58" w:rsidRPr="00D14CD7">
        <w:rPr>
          <w:color w:val="000000" w:themeColor="text1"/>
        </w:rPr>
        <w:t xml:space="preserve">. This segment includes a vast range of restaurants, such as ethnic, family, and midscale casual </w:t>
      </w:r>
      <w:r w:rsidR="000B0E58" w:rsidRPr="00D14CD7">
        <w:rPr>
          <w:color w:val="000000" w:themeColor="text1"/>
        </w:rPr>
        <w:fldChar w:fldCharType="begin"/>
      </w:r>
      <w:r w:rsidR="000B0E58" w:rsidRPr="00D14CD7">
        <w:rPr>
          <w:color w:val="000000" w:themeColor="text1"/>
        </w:rPr>
        <w:instrText xml:space="preserve"> ADDIN ZOTERO_ITEM CSL_CITATION {"citationID":"V12MIUy6","properties":{"formattedCitation":"(Walker, 2017)","plainCitation":"(Walker, 2017)","noteIndex":0},"citationItems":[{"id":911,"uris":["http://zotero.org/users/9292995/items/B3K3KXAE"],"itemData":{"id":911,"type":"chapter","container-title":"Exploring the hospitality industry","edition":"3","ISBN":"1-292-10280-2","publisher":"Pearson","title":"Restaurants","author":[{"family":"Walker","given":"John"}],"issued":{"date-parts":[["2017"]]}}}],"schema":"https://github.com/citation-style-language/schema/raw/master/csl-citation.json"} </w:instrText>
      </w:r>
      <w:r w:rsidR="000B0E58" w:rsidRPr="00D14CD7">
        <w:rPr>
          <w:color w:val="000000" w:themeColor="text1"/>
        </w:rPr>
        <w:fldChar w:fldCharType="separate"/>
      </w:r>
      <w:r w:rsidR="000B0E58" w:rsidRPr="00D14CD7">
        <w:rPr>
          <w:color w:val="000000" w:themeColor="text1"/>
        </w:rPr>
        <w:t>(Walker, 2017)</w:t>
      </w:r>
      <w:r w:rsidR="000B0E58" w:rsidRPr="00D14CD7">
        <w:rPr>
          <w:color w:val="000000" w:themeColor="text1"/>
        </w:rPr>
        <w:fldChar w:fldCharType="end"/>
      </w:r>
      <w:r w:rsidR="000B0E58" w:rsidRPr="00D14CD7">
        <w:rPr>
          <w:color w:val="000000" w:themeColor="text1"/>
        </w:rPr>
        <w:t xml:space="preserve">. </w:t>
      </w:r>
    </w:p>
    <w:p w14:paraId="207A4DED" w14:textId="28DE45E6" w:rsidR="00540E05" w:rsidRPr="00D14CD7" w:rsidRDefault="00F97753" w:rsidP="0068023F">
      <w:pPr>
        <w:spacing w:after="0" w:line="240" w:lineRule="auto"/>
        <w:ind w:firstLine="720"/>
        <w:rPr>
          <w:color w:val="000000" w:themeColor="text1"/>
        </w:rPr>
      </w:pPr>
      <w:bookmarkStart w:id="12" w:name="_Hlk175126451"/>
      <w:r w:rsidRPr="00D14CD7">
        <w:rPr>
          <w:color w:val="000000" w:themeColor="text1"/>
        </w:rPr>
        <w:t xml:space="preserve">Clearly, </w:t>
      </w:r>
      <w:r w:rsidR="009F14AB" w:rsidRPr="00D14CD7">
        <w:rPr>
          <w:color w:val="000000" w:themeColor="text1"/>
        </w:rPr>
        <w:t xml:space="preserve">each </w:t>
      </w:r>
      <w:r w:rsidRPr="00D14CD7">
        <w:rPr>
          <w:color w:val="000000" w:themeColor="text1"/>
        </w:rPr>
        <w:t>restaurant segment offer</w:t>
      </w:r>
      <w:r w:rsidR="009F14AB" w:rsidRPr="00D14CD7">
        <w:rPr>
          <w:color w:val="000000" w:themeColor="text1"/>
        </w:rPr>
        <w:t>s</w:t>
      </w:r>
      <w:r w:rsidRPr="00D14CD7">
        <w:rPr>
          <w:color w:val="000000" w:themeColor="text1"/>
        </w:rPr>
        <w:t xml:space="preserve"> a distinct mix of utilitarian and hedonic stimulation through </w:t>
      </w:r>
      <w:r w:rsidR="009F14AB" w:rsidRPr="00D14CD7">
        <w:rPr>
          <w:color w:val="000000" w:themeColor="text1"/>
        </w:rPr>
        <w:t xml:space="preserve">associated </w:t>
      </w:r>
      <w:r w:rsidRPr="00D14CD7">
        <w:rPr>
          <w:color w:val="000000" w:themeColor="text1"/>
        </w:rPr>
        <w:t xml:space="preserve">attributes, </w:t>
      </w:r>
      <w:r w:rsidR="000B0E58" w:rsidRPr="00D14CD7">
        <w:rPr>
          <w:color w:val="000000" w:themeColor="text1"/>
        </w:rPr>
        <w:t xml:space="preserve">as </w:t>
      </w:r>
      <w:r w:rsidR="0063035B" w:rsidRPr="00D14CD7">
        <w:rPr>
          <w:color w:val="000000" w:themeColor="text1"/>
        </w:rPr>
        <w:t xml:space="preserve">also </w:t>
      </w:r>
      <w:r w:rsidRPr="00D14CD7">
        <w:rPr>
          <w:color w:val="000000" w:themeColor="text1"/>
        </w:rPr>
        <w:t xml:space="preserve">summarized </w:t>
      </w:r>
      <w:r w:rsidR="000B0E58" w:rsidRPr="00D14CD7">
        <w:rPr>
          <w:color w:val="000000" w:themeColor="text1"/>
        </w:rPr>
        <w:t xml:space="preserve">in Table 1. </w:t>
      </w:r>
      <w:r w:rsidRPr="00D14CD7">
        <w:rPr>
          <w:color w:val="000000" w:themeColor="text1"/>
        </w:rPr>
        <w:t xml:space="preserve">At the same time, consumers too continually shift and adjust their desired mix </w:t>
      </w:r>
      <w:r w:rsidR="00D768A8" w:rsidRPr="00D14CD7">
        <w:rPr>
          <w:color w:val="000000" w:themeColor="text1"/>
        </w:rPr>
        <w:t xml:space="preserve">of utilitarian and hedonic desires. </w:t>
      </w:r>
      <w:r w:rsidR="000B0E58" w:rsidRPr="00D14CD7">
        <w:rPr>
          <w:color w:val="000000" w:themeColor="text1"/>
        </w:rPr>
        <w:t xml:space="preserve">This behavior is supported by the theory of </w:t>
      </w:r>
      <w:r w:rsidR="00D768A8" w:rsidRPr="00D14CD7">
        <w:rPr>
          <w:color w:val="000000" w:themeColor="text1"/>
        </w:rPr>
        <w:t>“</w:t>
      </w:r>
      <w:r w:rsidR="000B0E58" w:rsidRPr="00D14CD7">
        <w:rPr>
          <w:color w:val="000000" w:themeColor="text1"/>
        </w:rPr>
        <w:t>optimal arousal</w:t>
      </w:r>
      <w:r w:rsidR="00D768A8" w:rsidRPr="00D14CD7">
        <w:rPr>
          <w:color w:val="000000" w:themeColor="text1"/>
        </w:rPr>
        <w:t>”,</w:t>
      </w:r>
      <w:r w:rsidR="000B0E58" w:rsidRPr="00D14CD7">
        <w:rPr>
          <w:color w:val="000000" w:themeColor="text1"/>
        </w:rPr>
        <w:t xml:space="preserve"> which suggests that repeated experiences in similar restaurant types can result in diminishing satisfaction due to decreasing marginal utility </w:t>
      </w:r>
      <w:bookmarkStart w:id="13" w:name="_Hlk139539046"/>
      <w:r w:rsidR="000B0E58" w:rsidRPr="00D14CD7">
        <w:rPr>
          <w:color w:val="000000" w:themeColor="text1"/>
        </w:rPr>
        <w:fldChar w:fldCharType="begin"/>
      </w:r>
      <w:r w:rsidR="000B0E58" w:rsidRPr="00D14CD7">
        <w:rPr>
          <w:color w:val="000000" w:themeColor="text1"/>
        </w:rPr>
        <w:instrText xml:space="preserve"> ADDIN ZOTERO_ITEM CSL_CITATION {"citationID":"IFfaJbWO","properties":{"formattedCitation":"(Chua et al., 2020; Foxall, 1993; S. Lee et al., 2020)","plainCitation":"(Chua et al., 2020; Foxall, 1993; S. Lee et al., 2020)","dontUpdate":true,"noteIndex":0},"citationItems":[{"id":450,"uris":["http://zotero.org/users/9292995/items/XYHEQWLY"],"itemData":{"id":450,"type":"article-journal","container-title":"International journal of environmental research and public health","issue":"17","journalAbbreviation":"International journal of environmental research and public health","note":"publisher: Multidisciplinary Digital Publishing Institute","page":"6276","title":"Customer restaurant choice: an empirical analysis of restaurant types and eating-out occasions","volume":"17","author":[{"family":"Chua","given":"Bee-Lia"},{"family":"Karim","given":"Shahrim"},{"family":"Lee","given":"Sanghyeop"},{"family":"Han","given":"Heesup"}],"issued":{"date-parts":[["2020"]]}}},{"id":944,"uris":["http://zotero.org/users/9292995/items/HRXUWGK9"],"itemData":{"id":944,"type":"article-journal","container-title":"British Food Journal","ISSN":"0007-070X","issue":"9","journalAbbreviation":"British Food Journal","note":"publisher: MCB UP Ltd","page":"32-36","title":"The influence of cognitive style on consumers′ variety seeking among food innovations","volume":"95","author":[{"family":"Foxall","given":"Gordon R"}],"issued":{"date-parts":[["1993"]]}}},{"id":453,"uris":["http://zotero.org/users/9292995/items/CACETA3V"],"itemData":{"id":453,"type":"article-journal","container-title":"Journal of Hospitality and Tourism Management","ISSN":"1447-6770","journalAbbreviation":"Journal of Hospitality and Tourism Management","note":"publisher: Elsevier","page":"220-231","title":"Variety-seeking motivations and customer behaviors for new restaurants: An empirical comparison among full-service, quick-casual, and quick-service restaurants","volume":"43","author":[{"family":"Lee","given":"Sanghyeop"},{"family":"Chua","given":"Bee-Lia"},{"family":"Han","given":"Heesup"}],"issued":{"date-parts":[["2020"]]}}}],"schema":"https://github.com/citation-style-language/schema/raw/master/csl-citation.json"} </w:instrText>
      </w:r>
      <w:r w:rsidR="000B0E58" w:rsidRPr="00D14CD7">
        <w:rPr>
          <w:color w:val="000000" w:themeColor="text1"/>
        </w:rPr>
        <w:fldChar w:fldCharType="separate"/>
      </w:r>
      <w:r w:rsidR="000B0E58" w:rsidRPr="00D14CD7">
        <w:rPr>
          <w:color w:val="000000" w:themeColor="text1"/>
        </w:rPr>
        <w:t>(Chua et al., 2020; Foxall, 1993</w:t>
      </w:r>
      <w:r w:rsidR="00794B61" w:rsidRPr="00D14CD7">
        <w:rPr>
          <w:color w:val="000000" w:themeColor="text1"/>
        </w:rPr>
        <w:t>,</w:t>
      </w:r>
      <w:r w:rsidR="000B0E58" w:rsidRPr="00D14CD7">
        <w:rPr>
          <w:color w:val="000000" w:themeColor="text1"/>
        </w:rPr>
        <w:t xml:space="preserve"> Lee et al., 2020)</w:t>
      </w:r>
      <w:r w:rsidR="000B0E58" w:rsidRPr="00D14CD7">
        <w:rPr>
          <w:color w:val="000000" w:themeColor="text1"/>
        </w:rPr>
        <w:fldChar w:fldCharType="end"/>
      </w:r>
      <w:r w:rsidR="000B0E58" w:rsidRPr="00D14CD7">
        <w:rPr>
          <w:color w:val="000000" w:themeColor="text1"/>
        </w:rPr>
        <w:t xml:space="preserve">. </w:t>
      </w:r>
      <w:bookmarkEnd w:id="13"/>
      <w:r w:rsidR="00A44A01" w:rsidRPr="00D14CD7">
        <w:rPr>
          <w:color w:val="000000" w:themeColor="text1"/>
        </w:rPr>
        <w:t xml:space="preserve">In fact, </w:t>
      </w:r>
      <w:r w:rsidR="00A44A01" w:rsidRPr="00D14CD7">
        <w:rPr>
          <w:color w:val="000000" w:themeColor="text1"/>
        </w:rPr>
        <w:fldChar w:fldCharType="begin"/>
      </w:r>
      <w:r w:rsidR="00A44A01" w:rsidRPr="00D14CD7">
        <w:rPr>
          <w:color w:val="000000" w:themeColor="text1"/>
        </w:rPr>
        <w:instrText xml:space="preserve"> ADDIN ZOTERO_ITEM CSL_CITATION {"citationID":"uKh2tbmZ","properties":{"formattedCitation":"(H. S. Jung &amp; Yoon, 2012)","plainCitation":"(H. S. Jung &amp; Yoon, 2012)","dontUpdate":true,"noteIndex":0},"citationItems":[{"id":941,"uris":["http://zotero.org/users/9292995/items/PIL7D6AI"],"itemData":{"id":941,"type":"article-journal","container-title":"International Journal of Hospitality Management","ISSN":"0278-4319","issue":"3","journalAbbreviation":"International Journal of Hospitality Management","note":"publisher: Elsevier","page":"875-884","title":"Why do satisfied customers switch? Focus on the restaurant patron variety-seeking orientation and purchase decision involvement","volume":"31","author":[{"family":"Jung","given":"Hyo Sun"},{"family":"Yoon","given":"Hye Hyun"}],"issued":{"date-parts":[["2012"]]}}}],"schema":"https://github.com/citation-style-language/schema/raw/master/csl-citation.json"} </w:instrText>
      </w:r>
      <w:r w:rsidR="00A44A01" w:rsidRPr="00D14CD7">
        <w:rPr>
          <w:color w:val="000000" w:themeColor="text1"/>
        </w:rPr>
        <w:fldChar w:fldCharType="separate"/>
      </w:r>
      <w:r w:rsidR="00A44A01" w:rsidRPr="00D14CD7">
        <w:rPr>
          <w:color w:val="000000" w:themeColor="text1"/>
        </w:rPr>
        <w:t>Jung and Yoon (2012)</w:t>
      </w:r>
      <w:r w:rsidR="00A44A01" w:rsidRPr="00D14CD7">
        <w:rPr>
          <w:color w:val="000000" w:themeColor="text1"/>
        </w:rPr>
        <w:fldChar w:fldCharType="end"/>
      </w:r>
      <w:r w:rsidR="00A44A01" w:rsidRPr="00D14CD7">
        <w:rPr>
          <w:color w:val="000000" w:themeColor="text1"/>
        </w:rPr>
        <w:t xml:space="preserve"> suggest that even highly satisfied customers still exhibit an intention to switch to other restaurants due to a variety-seeking orientation. Further, because different individuals </w:t>
      </w:r>
      <w:r w:rsidR="001268DE" w:rsidRPr="00D14CD7">
        <w:rPr>
          <w:color w:val="000000" w:themeColor="text1"/>
        </w:rPr>
        <w:t xml:space="preserve">will, in general, have different preferences for their respective utilitarian and hedonic desires, there will be heterogeneity across individuals in the intensity of </w:t>
      </w:r>
      <w:r w:rsidR="00BF1FD2" w:rsidRPr="00D14CD7">
        <w:rPr>
          <w:color w:val="000000" w:themeColor="text1"/>
        </w:rPr>
        <w:t>variety-seeking</w:t>
      </w:r>
      <w:r w:rsidR="00A44A01" w:rsidRPr="00D14CD7">
        <w:rPr>
          <w:color w:val="000000" w:themeColor="text1"/>
        </w:rPr>
        <w:t xml:space="preserve">  </w:t>
      </w:r>
      <w:bookmarkStart w:id="14" w:name="_Hlk139539073"/>
      <w:r w:rsidR="00A44A01" w:rsidRPr="00D14CD7">
        <w:rPr>
          <w:color w:val="000000" w:themeColor="text1"/>
        </w:rPr>
        <w:fldChar w:fldCharType="begin"/>
      </w:r>
      <w:r w:rsidR="00A44A01" w:rsidRPr="00D14CD7">
        <w:rPr>
          <w:color w:val="000000" w:themeColor="text1"/>
        </w:rPr>
        <w:instrText xml:space="preserve"> ADDIN ZOTERO_ITEM CSL_CITATION {"citationID":"Q68CROsh","properties":{"formattedCitation":"(Ha, 2020)","plainCitation":"(Ha, 2020)","noteIndex":0},"citationItems":[{"id":474,"uris":["http://zotero.org/users/9292995/items/RFE5NRXW"],"itemData":{"id":474,"type":"article-journal","container-title":"International Journal of Hospitality &amp; Tourism Administration","ISSN":"1525-6480","issue":"4","journalAbbreviation":"International Journal of Hospitality &amp; Tourism Administration","note":"publisher: Taylor &amp; Francis","page":"456-470","title":"Why do people try different restaurants? The investigation of personality, involvement, and customer satisfaction","volume":"21","author":[{"family":"Ha","given":"Jooyeon"}],"issued":{"date-parts":[["2020"]]}}}],"schema":"https://github.com/citation-style-language/schema/raw/master/csl-citation.json"} </w:instrText>
      </w:r>
      <w:r w:rsidR="00A44A01" w:rsidRPr="00D14CD7">
        <w:rPr>
          <w:color w:val="000000" w:themeColor="text1"/>
        </w:rPr>
        <w:fldChar w:fldCharType="separate"/>
      </w:r>
      <w:r w:rsidR="00A44A01" w:rsidRPr="00D14CD7">
        <w:rPr>
          <w:color w:val="000000" w:themeColor="text1"/>
        </w:rPr>
        <w:t>(Ha, 2020)</w:t>
      </w:r>
      <w:r w:rsidR="00A44A01" w:rsidRPr="00D14CD7">
        <w:rPr>
          <w:color w:val="000000" w:themeColor="text1"/>
        </w:rPr>
        <w:fldChar w:fldCharType="end"/>
      </w:r>
      <w:r w:rsidR="00A44A01" w:rsidRPr="00D14CD7">
        <w:rPr>
          <w:color w:val="000000" w:themeColor="text1"/>
        </w:rPr>
        <w:t>.</w:t>
      </w:r>
      <w:r w:rsidR="005C2D9E" w:rsidRPr="00D14CD7">
        <w:rPr>
          <w:color w:val="000000" w:themeColor="text1"/>
        </w:rPr>
        <w:t xml:space="preserve"> </w:t>
      </w:r>
      <w:bookmarkEnd w:id="14"/>
      <w:r w:rsidR="00F74DB0" w:rsidRPr="00D14CD7">
        <w:rPr>
          <w:color w:val="000000" w:themeColor="text1"/>
        </w:rPr>
        <w:t>Furthermore,</w:t>
      </w:r>
      <w:r w:rsidR="00F74DB0" w:rsidRPr="00D14CD7">
        <w:rPr>
          <w:rFonts w:eastAsia="Times New Roman"/>
          <w:color w:val="000000" w:themeColor="text1"/>
        </w:rPr>
        <w:t xml:space="preserve"> </w:t>
      </w:r>
      <w:r w:rsidR="004D2A6C" w:rsidRPr="00D14CD7">
        <w:rPr>
          <w:rFonts w:eastAsia="Times New Roman"/>
          <w:color w:val="000000" w:themeColor="text1"/>
        </w:rPr>
        <w:t>variety-seeking</w:t>
      </w:r>
      <w:r w:rsidR="00F74DB0" w:rsidRPr="00D14CD7">
        <w:rPr>
          <w:rFonts w:eastAsia="Times New Roman"/>
          <w:color w:val="000000" w:themeColor="text1"/>
        </w:rPr>
        <w:t xml:space="preserve"> behavior persists across different financial situations. While some studies suggest decreased variety seeking among financially constrained individuals (see Fan et al. 2020), others have found evidence of consumer resilience and adaptive strategies. For instance, research has shown that consumers with low socioeconomic status who perceive low economic mobility may actually seek more variety as a coping mechanism to compensate for their low sense of personal control (see Yoon and Kim, 2018, and Hamilton et al., 2019). </w:t>
      </w:r>
      <w:r w:rsidR="005C2D9E" w:rsidRPr="00D14CD7">
        <w:rPr>
          <w:color w:val="000000" w:themeColor="text1"/>
        </w:rPr>
        <w:t xml:space="preserve">Overall, </w:t>
      </w:r>
      <w:r w:rsidR="000B0E58" w:rsidRPr="00D14CD7">
        <w:rPr>
          <w:color w:val="000000" w:themeColor="text1"/>
        </w:rPr>
        <w:t xml:space="preserve">consumers </w:t>
      </w:r>
      <w:r w:rsidR="00BF1FD2" w:rsidRPr="00D14CD7">
        <w:rPr>
          <w:color w:val="000000" w:themeColor="text1"/>
        </w:rPr>
        <w:t>patronize</w:t>
      </w:r>
      <w:r w:rsidR="00D768A8" w:rsidRPr="00D14CD7">
        <w:rPr>
          <w:color w:val="000000" w:themeColor="text1"/>
        </w:rPr>
        <w:t xml:space="preserve"> a </w:t>
      </w:r>
      <w:r w:rsidR="000B0E58" w:rsidRPr="00D14CD7">
        <w:rPr>
          <w:color w:val="000000" w:themeColor="text1"/>
        </w:rPr>
        <w:t>“portfolio” (or bundle) of restaurant segments that</w:t>
      </w:r>
      <w:r w:rsidR="00D768A8" w:rsidRPr="00D14CD7">
        <w:rPr>
          <w:color w:val="000000" w:themeColor="text1"/>
        </w:rPr>
        <w:t xml:space="preserve">, over a period of time, provide them optimal utility in their quest for fulfilling both utilitarian and hedonic desires. </w:t>
      </w:r>
      <w:r w:rsidR="00166F11" w:rsidRPr="00D14CD7">
        <w:rPr>
          <w:color w:val="000000" w:themeColor="text1"/>
        </w:rPr>
        <w:t xml:space="preserve">Such </w:t>
      </w:r>
      <w:r w:rsidR="004D2A6C" w:rsidRPr="00D14CD7">
        <w:rPr>
          <w:color w:val="000000" w:themeColor="text1"/>
        </w:rPr>
        <w:t>variety-seeking behavior also would imply that an exogenous variable that increases the choice of one particular segment while pulling away from other segments</w:t>
      </w:r>
      <w:r w:rsidR="000E2913" w:rsidRPr="00D14CD7">
        <w:rPr>
          <w:color w:val="000000" w:themeColor="text1"/>
        </w:rPr>
        <w:t xml:space="preserve"> may also have a “push” effect. For example, an increase in the number of fast</w:t>
      </w:r>
      <w:r w:rsidR="00794B61" w:rsidRPr="00D14CD7">
        <w:rPr>
          <w:color w:val="000000" w:themeColor="text1"/>
        </w:rPr>
        <w:t xml:space="preserve"> </w:t>
      </w:r>
      <w:r w:rsidR="000E2913" w:rsidRPr="00D14CD7">
        <w:rPr>
          <w:color w:val="000000" w:themeColor="text1"/>
        </w:rPr>
        <w:t xml:space="preserve">food restaurants in an individual’s residential neighborhood may increase fast food consumption, at the expense of consumption at other restaurant segments due to a </w:t>
      </w:r>
      <w:r w:rsidR="0063035B" w:rsidRPr="00D14CD7">
        <w:rPr>
          <w:color w:val="000000" w:themeColor="text1"/>
        </w:rPr>
        <w:t>“</w:t>
      </w:r>
      <w:r w:rsidR="000E2913" w:rsidRPr="00D14CD7">
        <w:rPr>
          <w:color w:val="000000" w:themeColor="text1"/>
        </w:rPr>
        <w:t>pull-based</w:t>
      </w:r>
      <w:r w:rsidR="0063035B" w:rsidRPr="00D14CD7">
        <w:rPr>
          <w:color w:val="000000" w:themeColor="text1"/>
        </w:rPr>
        <w:t>”</w:t>
      </w:r>
      <w:r w:rsidR="000E2913" w:rsidRPr="00D14CD7">
        <w:rPr>
          <w:color w:val="000000" w:themeColor="text1"/>
        </w:rPr>
        <w:t xml:space="preserve"> substitution effect. But, because fast food restaurants are typically lower cost than other segments, and because of variety seeking, there may be </w:t>
      </w:r>
      <w:r w:rsidR="00261B43" w:rsidRPr="00D14CD7">
        <w:rPr>
          <w:color w:val="000000" w:themeColor="text1"/>
        </w:rPr>
        <w:t xml:space="preserve">an increase in total eat-out count. That is, </w:t>
      </w:r>
      <w:r w:rsidR="000E2913" w:rsidRPr="00D14CD7">
        <w:rPr>
          <w:color w:val="000000" w:themeColor="text1"/>
        </w:rPr>
        <w:t xml:space="preserve">a combination of income and </w:t>
      </w:r>
      <w:r w:rsidR="004D2A6C" w:rsidRPr="00D14CD7">
        <w:rPr>
          <w:color w:val="000000" w:themeColor="text1"/>
        </w:rPr>
        <w:t>variety-seeking</w:t>
      </w:r>
      <w:r w:rsidR="000E2913" w:rsidRPr="00D14CD7">
        <w:rPr>
          <w:color w:val="000000" w:themeColor="text1"/>
        </w:rPr>
        <w:t xml:space="preserve"> effects </w:t>
      </w:r>
      <w:r w:rsidR="00261B43" w:rsidRPr="00D14CD7">
        <w:rPr>
          <w:color w:val="000000" w:themeColor="text1"/>
        </w:rPr>
        <w:t xml:space="preserve">can increase total eat-outs and </w:t>
      </w:r>
      <w:r w:rsidR="000E2913" w:rsidRPr="00D14CD7">
        <w:rPr>
          <w:color w:val="000000" w:themeColor="text1"/>
        </w:rPr>
        <w:t>“push</w:t>
      </w:r>
      <w:r w:rsidR="00261B43" w:rsidRPr="00D14CD7">
        <w:rPr>
          <w:color w:val="000000" w:themeColor="text1"/>
        </w:rPr>
        <w:t>”</w:t>
      </w:r>
      <w:r w:rsidR="000E2913" w:rsidRPr="00D14CD7">
        <w:rPr>
          <w:color w:val="000000" w:themeColor="text1"/>
        </w:rPr>
        <w:t xml:space="preserve"> consumption toward other segments. Thus, in this situation, while the consumption of fast food will necessarily increase, the consumption of other segments may increase or decrease.</w:t>
      </w:r>
    </w:p>
    <w:p w14:paraId="65D3A229" w14:textId="6F26A3C6" w:rsidR="009C6B9D" w:rsidRPr="00D14CD7" w:rsidRDefault="009C6B9D" w:rsidP="0068023F">
      <w:pPr>
        <w:spacing w:after="0" w:line="240" w:lineRule="auto"/>
        <w:ind w:firstLine="720"/>
        <w:rPr>
          <w:color w:val="000000" w:themeColor="text1"/>
        </w:rPr>
      </w:pPr>
      <w:r w:rsidRPr="00D14CD7">
        <w:rPr>
          <w:color w:val="000000" w:themeColor="text1"/>
        </w:rPr>
        <w:lastRenderedPageBreak/>
        <w:t xml:space="preserve">Motivated by the preceding discussion, in this paper, we estimate an individual-level portfolio choice model of restaurant segments over the period of a month as a function of individual/household demographics, employment characteristics, and residential built environment (BE) attributes while accommodating variety seeking and the bundled nature of the dining-out consumption behavior. Specifically, we develop a multivariate count model that produces as output the total monthly weekday dinner eat-out occasions (referred to as “total eat-outs”) of an individual as well the total eat-outs broken down by restaurant segment. The restaurant segments include (1) QSR (including food trucks), (2) coffee houses (CH), (3) CSR, and (4) FSR. The CH segment, while not discussed earlier, is considered a fourth segment, given the growing popularity of CHs. </w:t>
      </w:r>
    </w:p>
    <w:p w14:paraId="023FD68C" w14:textId="62D172F8" w:rsidR="004D2A6C" w:rsidRPr="004E3632" w:rsidRDefault="004D2A6C" w:rsidP="0068023F">
      <w:pPr>
        <w:spacing w:after="0" w:line="240" w:lineRule="auto"/>
        <w:ind w:firstLine="720"/>
      </w:pPr>
      <w:r w:rsidRPr="004E3632">
        <w:t xml:space="preserve">The rest of this paper is structured as follows. The next section provides a brief overview of earlier relevant studies and positions the current study. Section 3 discusses the objectives and contributions of this research. Sections 4 and 5 present the methodology for the survey data collection process and modeling. Section 6 presents the estimation results. </w:t>
      </w:r>
      <w:r w:rsidR="004E3632" w:rsidRPr="004E3632">
        <w:t xml:space="preserve">Section 7 discusses the magnitudes of impacts of variables on the outcomes and discusses policy implications related to transportation systems, urban planning, public health, and social equity. </w:t>
      </w:r>
      <w:r w:rsidRPr="004E3632">
        <w:t>The final section concludes by summarizing our findings and discussing policy implications.</w:t>
      </w:r>
    </w:p>
    <w:bookmarkEnd w:id="12"/>
    <w:p w14:paraId="4F6FD5E9" w14:textId="4228560F" w:rsidR="000B0E58" w:rsidRPr="00D14CD7" w:rsidRDefault="000E2913" w:rsidP="0068023F">
      <w:pPr>
        <w:spacing w:after="0" w:line="240" w:lineRule="auto"/>
        <w:ind w:firstLine="720"/>
        <w:rPr>
          <w:color w:val="000000" w:themeColor="text1"/>
        </w:rPr>
      </w:pPr>
      <w:r w:rsidRPr="00D14CD7">
        <w:rPr>
          <w:color w:val="000000" w:themeColor="text1"/>
        </w:rPr>
        <w:t xml:space="preserve"> </w:t>
      </w:r>
    </w:p>
    <w:p w14:paraId="143E255A" w14:textId="77777777" w:rsidR="004D2A6C" w:rsidRPr="00D14CD7" w:rsidRDefault="004D2A6C" w:rsidP="0068023F">
      <w:pPr>
        <w:pStyle w:val="Heading1"/>
        <w:spacing w:after="0" w:line="240" w:lineRule="auto"/>
        <w:rPr>
          <w:color w:val="000000" w:themeColor="text1"/>
        </w:rPr>
      </w:pPr>
      <w:r w:rsidRPr="00D14CD7">
        <w:rPr>
          <w:color w:val="000000" w:themeColor="text1"/>
        </w:rPr>
        <w:t>RELEVANT BACKGROUND</w:t>
      </w:r>
    </w:p>
    <w:p w14:paraId="2F2BB2DB" w14:textId="1A16B9ED" w:rsidR="004D2A6C" w:rsidRPr="00D14CD7" w:rsidRDefault="004D2A6C" w:rsidP="0068023F">
      <w:pPr>
        <w:spacing w:after="0" w:line="240" w:lineRule="auto"/>
        <w:rPr>
          <w:color w:val="000000" w:themeColor="text1"/>
        </w:rPr>
      </w:pPr>
      <w:r w:rsidRPr="00D14CD7">
        <w:rPr>
          <w:color w:val="000000" w:themeColor="text1"/>
        </w:rPr>
        <w:t xml:space="preserve">The past two decades have experienced a surge in research dealing with restaurants and eat-out activities, though not in the transportation field. DiPietro (2017), Rodríguez-López et al. (2020), and </w:t>
      </w:r>
      <w:proofErr w:type="spellStart"/>
      <w:r w:rsidRPr="00D14CD7">
        <w:rPr>
          <w:color w:val="000000" w:themeColor="text1"/>
        </w:rPr>
        <w:t>Rejeb</w:t>
      </w:r>
      <w:proofErr w:type="spellEnd"/>
      <w:r w:rsidRPr="00D14CD7">
        <w:rPr>
          <w:color w:val="000000" w:themeColor="text1"/>
        </w:rPr>
        <w:t xml:space="preserve"> et al. (2022) have recently conducted comprehensive bibliometric analyses of the related published academic research. Through a comprehensive review of the existing literature, we are able to group earlier studies into five distinct paths of analysis (A through E), as presented in Figure 1 and discussed below</w:t>
      </w:r>
      <w:r w:rsidR="009C6B9D" w:rsidRPr="00D14CD7">
        <w:rPr>
          <w:color w:val="000000" w:themeColor="text1"/>
        </w:rPr>
        <w:t>.</w:t>
      </w:r>
    </w:p>
    <w:p w14:paraId="3A794823" w14:textId="77777777" w:rsidR="004D2A6C" w:rsidRPr="00D14CD7" w:rsidRDefault="004D2A6C" w:rsidP="0068023F">
      <w:pPr>
        <w:spacing w:after="0" w:line="240" w:lineRule="auto"/>
        <w:ind w:firstLine="720"/>
        <w:rPr>
          <w:color w:val="000000" w:themeColor="text1"/>
        </w:rPr>
      </w:pPr>
      <w:r w:rsidRPr="00D14CD7">
        <w:rPr>
          <w:color w:val="000000" w:themeColor="text1"/>
        </w:rPr>
        <w:t xml:space="preserve">In general, almost all earlier studies examine factors that influence consumers' perceptions of restaurant-specific attributes (such as price, food quality, service quality, menu variety, and location in relation to the residential/work office location). Such relationships, which expressly consider the effects of consumer characteristics (that is, consider the individual-attribute link represented by Path C in Figure 1), and also sometimes control for event type (Path A) and restaurant segment (Path B), are estimated (imputed) from the choice of restaurant from a larger set of unlabeled restaurant alternatives, each with specific attributes (that is, by using the restaurant choice as the endogenous outcome; see bottom of Figure 1). The endogenous outcome itself in the studies may be in the form of the last eat-out occasion (see </w:t>
      </w:r>
      <w:r w:rsidRPr="00D14CD7">
        <w:rPr>
          <w:color w:val="000000" w:themeColor="text1"/>
        </w:rPr>
        <w:fldChar w:fldCharType="begin"/>
      </w:r>
      <w:r w:rsidRPr="00D14CD7">
        <w:rPr>
          <w:color w:val="000000" w:themeColor="text1"/>
        </w:rPr>
        <w:instrText xml:space="preserve"> ADDIN ZOTERO_ITEM CSL_CITATION {"citationID":"vUKyf7At","properties":{"formattedCitation":"(Chua et al., 2020; Ha &amp; Jang, 2013)","plainCitation":"(Chua et al., 2020; Ha &amp; Jang, 2013)","dontUpdate":true,"noteIndex":0},"citationItems":[{"id":450,"uris":["http://zotero.org/users/9292995/items/XYHEQWLY"],"itemData":{"id":450,"type":"article-journal","container-title":"International journal of environmental research and public health","issue":"17","journalAbbreviation":"International journal of environmental research and public health","note":"publisher: Multidisciplinary Digital Publishing Institute","page":"6276","title":"Customer restaurant choice: an empirical analysis of restaurant types and eating-out occasions","volume":"17","author":[{"family":"Chua","given":"Bee-Lia"},{"family":"Karim","given":"Shahrim"},{"family":"Lee","given":"Sanghyeop"},{"family":"Han","given":"Heesup"}],"issued":{"date-parts":[["2020"]]}}},{"id":451,"uris":["http://zotero.org/users/9292995/items/KQXYEPRI"],"itemData":{"id":451,"type":"article-journal","container-title":"International Journal of Contemporary Hospitality Management","ISSN":"0959-6119","journalAbbreviation":"International Journal of Contemporary Hospitality Management","note":"publisher: Emerald Group Publishing Limited","title":"Attributes, consequences, and consumer values: A means‐end chain approach across restaurant segments","author":[{"family":"Ha","given":"Jooyeon"},{"family":"Jang","given":"SooCheong Shawn"}],"issued":{"date-parts":[["2013"]]}}}],"schema":"https://github.com/citation-style-language/schema/raw/master/csl-citation.json"} </w:instrText>
      </w:r>
      <w:r w:rsidRPr="00D14CD7">
        <w:rPr>
          <w:color w:val="000000" w:themeColor="text1"/>
        </w:rPr>
        <w:fldChar w:fldCharType="separate"/>
      </w:r>
      <w:r w:rsidRPr="00D14CD7">
        <w:rPr>
          <w:color w:val="000000" w:themeColor="text1"/>
        </w:rPr>
        <w:t>Chua et al. (2020) and Ha and Jang (2013</w:t>
      </w:r>
      <w:r w:rsidRPr="00D14CD7">
        <w:rPr>
          <w:color w:val="000000" w:themeColor="text1"/>
        </w:rPr>
        <w:fldChar w:fldCharType="end"/>
      </w:r>
      <w:r w:rsidRPr="00D14CD7">
        <w:rPr>
          <w:color w:val="000000" w:themeColor="text1"/>
        </w:rPr>
        <w:t xml:space="preserve">)), typical eat-out occasion (see </w:t>
      </w:r>
      <w:r w:rsidRPr="00D14CD7">
        <w:rPr>
          <w:color w:val="000000" w:themeColor="text1"/>
        </w:rPr>
        <w:fldChar w:fldCharType="begin"/>
      </w:r>
      <w:r w:rsidRPr="00D14CD7">
        <w:rPr>
          <w:color w:val="000000" w:themeColor="text1"/>
        </w:rPr>
        <w:instrText xml:space="preserve"> ADDIN ZOTERO_ITEM CSL_CITATION {"citationID":"AWI22XgG","properties":{"formattedCitation":"(Harrington et al., 2011, 2013; Olise et al., 2015)","plainCitation":"(Harrington et al., 2011, 2013; Olise et al., 2015)","dontUpdate":true,"noteIndex":0},"citationItems":[{"id":464,"uris":["http://zotero.org/users/9292995/items/KBD676EZ"],"itemData":{"id":464,"type":"article-journal","container-title":"Journal of Foodservice Business Research","ISSN":"1537-8020","issue":"3","journalAbbreviation":"Journal of Foodservice Business Research","note":"publisher: Taylor &amp; Francis","page":"272-289","title":"Fine-dining restaurant selection: Direct and moderating effects of customer attributes","volume":"14","author":[{"family":"Harrington","given":"Robert J"},{"family":"Ottenbacher","given":"Michael C"},{"family":"Kendall","given":"KW"}],"issued":{"date-parts":[["2011"]]}}},{"id":460,"uris":["http://zotero.org/users/9292995/items/7SIQWSDJ"],"itemData":{"id":460,"type":"article-journal","container-title":"Journal of quality assurance in hospitality &amp; tourism","ISSN":"1528-008X","issue":"1","journalAbbreviation":"Journal of quality assurance in hospitality &amp; tourism","note":"publisher: Taylor &amp; Francis","page":"81-100","title":"QSR choice: Key restaurant attributes and the roles of gender, age and dining frequency","volume":"14","author":[{"family":"Harrington","given":"Robert J"},{"family":"Ottenbacher","given":"Michael C"},{"family":"Way","given":"Kelly A"}],"issued":{"date-parts":[["2013"]]}}},{"id":918,"uris":["http://zotero.org/users/9292995/items/HGNASI6L"],"itemData":{"id":918,"type":"article-journal","container-title":"International Journal of Economics, Commerce and Management","issue":"11","journalAbbreviation":"International Journal of Economics, Commerce and Management","page":"686-701","title":"Factors influencing customers patronage of fast food restaurants","volume":"3","author":[{"family":"Olise","given":"Moses C"},{"family":"Okoli","given":"Moses I"},{"family":"Ekeke","given":"John N"}],"issued":{"date-parts":[["2015"]]}}}],"schema":"https://github.com/citation-style-language/schema/raw/master/csl-citation.json"} </w:instrText>
      </w:r>
      <w:r w:rsidRPr="00D14CD7">
        <w:rPr>
          <w:color w:val="000000" w:themeColor="text1"/>
        </w:rPr>
        <w:fldChar w:fldCharType="separate"/>
      </w:r>
      <w:r w:rsidRPr="00D14CD7">
        <w:rPr>
          <w:color w:val="000000" w:themeColor="text1"/>
        </w:rPr>
        <w:t>Harrington et al. (2011, 2013) and Olise et al. (2015)</w:t>
      </w:r>
      <w:r w:rsidRPr="00D14CD7">
        <w:rPr>
          <w:color w:val="000000" w:themeColor="text1"/>
        </w:rPr>
        <w:fldChar w:fldCharType="end"/>
      </w:r>
      <w:r w:rsidRPr="00D14CD7">
        <w:rPr>
          <w:color w:val="000000" w:themeColor="text1"/>
        </w:rPr>
        <w:t xml:space="preserve">), or revisit intention when already at a restaurant (see </w:t>
      </w:r>
      <w:r w:rsidRPr="00D14CD7">
        <w:rPr>
          <w:color w:val="000000" w:themeColor="text1"/>
        </w:rPr>
        <w:fldChar w:fldCharType="begin"/>
      </w:r>
      <w:r w:rsidRPr="00D14CD7">
        <w:rPr>
          <w:color w:val="000000" w:themeColor="text1"/>
        </w:rPr>
        <w:instrText xml:space="preserve"> ADDIN ZOTERO_ITEM CSL_CITATION {"citationID":"jU8Ck3AF","properties":{"formattedCitation":"(Rajput &amp; Gahfoor, 2020; Ryu &amp; Han, 2010)","plainCitation":"(Rajput &amp; Gahfoor, 2020; Ryu &amp; Han, 2010)","dontUpdate":true,"noteIndex":0},"citationItems":[{"id":923,"uris":["http://zotero.org/users/9292995/items/Q5GYEZTR"],"itemData":{"id":923,"type":"article-journal","container-title":"Future Business Journal","ISSN":"2314-7210","issue":"1","journalAbbreviation":"Future Business Journal","note":"publisher: Springer","page":"1-12","title":"Satisfaction and revisit intentions at fast food restaurants","volume":"6","author":[{"family":"Rajput","given":"Amer"},{"family":"Gahfoor","given":"Raja Zohaib"}],"issued":{"date-parts":[["2020"]]}}},{"id":919,"uris":["http://zotero.org/users/9292995/items/KXVYHJ44"],"itemData":{"id":919,"type":"article-journal","container-title":"Journal of Hospitality &amp; Tourism Research","ISSN":"1096-3480","issue":"3","journalAbbreviation":"Journal of Hospitality &amp; Tourism Research","note":"publisher: SAGE Publications Sage CA: Los Angeles, CA","page":"310-329","title":"Influence of the quality of food, service, and physical environment on customer satisfaction and behavioral intention in quick-casual restaurants: Moderating role of perceived price","volume":"34","author":[{"family":"Ryu","given":"Kisang"},{"family":"Han","given":"Heesup"}],"issued":{"date-parts":[["2010"]]}}}],"schema":"https://github.com/citation-style-language/schema/raw/master/csl-citation.json"} </w:instrText>
      </w:r>
      <w:r w:rsidRPr="00D14CD7">
        <w:rPr>
          <w:color w:val="000000" w:themeColor="text1"/>
        </w:rPr>
        <w:fldChar w:fldCharType="separate"/>
      </w:r>
      <w:r w:rsidRPr="00D14CD7">
        <w:rPr>
          <w:color w:val="000000" w:themeColor="text1"/>
        </w:rPr>
        <w:t>Rajput and Gahfoor (2020), and Ryu and Han (2010</w:t>
      </w:r>
      <w:r w:rsidRPr="00D14CD7">
        <w:rPr>
          <w:color w:val="000000" w:themeColor="text1"/>
        </w:rPr>
        <w:fldChar w:fldCharType="end"/>
      </w:r>
      <w:r w:rsidRPr="00D14CD7">
        <w:rPr>
          <w:color w:val="000000" w:themeColor="text1"/>
        </w:rPr>
        <w:t xml:space="preserve">)). A few studies have also used stated choice experiments, presenting two to three unlabeled restaurant alternatives with specified restaurant-specific attributes and asking respondents to pick one alternative (see, for example, </w:t>
      </w:r>
      <w:r w:rsidRPr="00D14CD7">
        <w:rPr>
          <w:color w:val="000000" w:themeColor="text1"/>
        </w:rPr>
        <w:fldChar w:fldCharType="begin"/>
      </w:r>
      <w:r w:rsidRPr="00D14CD7">
        <w:rPr>
          <w:color w:val="000000" w:themeColor="text1"/>
        </w:rPr>
        <w:instrText xml:space="preserve"> ADDIN ZOTERO_ITEM CSL_CITATION {"citationID":"HmfY1pvE","properties":{"formattedCitation":"(J. M. Jung et al., 2015)","plainCitation":"(J. M. Jung et al., 2015)","dontUpdate":true,"noteIndex":0},"citationItems":[{"id":466,"uris":["http://zotero.org/users/9292995/items/7L4Q9IJ2"],"itemData":{"id":466,"type":"article-journal","container-title":"International Journal of Hospitality Management","ISSN":"0278-4319","journalAbbreviation":"International Journal of Hospitality Management","note":"publisher: Elsevier","page":"88-98","title":"A conflict of choice: How consumers choose where to go for dinner","volume":"45","author":[{"family":"Jung","given":"Jae Man"},{"family":"Sydnor","given":"Sandra"},{"family":"Lee","given":"Seul Ki"},{"family":"Almanza","given":"Barbara"}],"issued":{"date-parts":[["2015"]]}}}],"schema":"https://github.com/citation-style-language/schema/raw/master/csl-citation.json"} </w:instrText>
      </w:r>
      <w:r w:rsidRPr="00D14CD7">
        <w:rPr>
          <w:color w:val="000000" w:themeColor="text1"/>
        </w:rPr>
        <w:fldChar w:fldCharType="separate"/>
      </w:r>
      <w:r w:rsidRPr="00D14CD7">
        <w:rPr>
          <w:color w:val="000000" w:themeColor="text1"/>
        </w:rPr>
        <w:t>Jung et al. (2015</w:t>
      </w:r>
      <w:r w:rsidRPr="00D14CD7">
        <w:rPr>
          <w:color w:val="000000" w:themeColor="text1"/>
        </w:rPr>
        <w:fldChar w:fldCharType="end"/>
      </w:r>
      <w:r w:rsidRPr="00D14CD7">
        <w:rPr>
          <w:color w:val="000000" w:themeColor="text1"/>
        </w:rPr>
        <w:t>)).</w:t>
      </w:r>
      <w:r w:rsidRPr="00D14CD7">
        <w:rPr>
          <w:rStyle w:val="FootnoteReference"/>
          <w:color w:val="000000" w:themeColor="text1"/>
        </w:rPr>
        <w:footnoteReference w:id="2"/>
      </w:r>
      <w:r w:rsidRPr="00D14CD7">
        <w:rPr>
          <w:color w:val="000000" w:themeColor="text1"/>
        </w:rPr>
        <w:t xml:space="preserve"> Almost all these earlier studies, however, either consider (a) all restaurant segment categories together without distinguishing among </w:t>
      </w:r>
      <w:r w:rsidRPr="00D14CD7">
        <w:rPr>
          <w:color w:val="000000" w:themeColor="text1"/>
        </w:rPr>
        <w:lastRenderedPageBreak/>
        <w:t>restaurant segments (that is, ignore Path B entirely – Group 1 studies), or (b) focus on only one specific restaurant segment (thus acknowledging the Path B “segment-attribute link”, but not modeling the choice of restaurant segment as a horizontal choice of all restaurant segments at once – Group 2 studies).</w:t>
      </w:r>
      <w:r w:rsidRPr="00D14CD7">
        <w:rPr>
          <w:rStyle w:val="FootnoteReference"/>
          <w:color w:val="000000" w:themeColor="text1"/>
        </w:rPr>
        <w:footnoteReference w:id="3"/>
      </w:r>
      <w:r w:rsidRPr="00D14CD7">
        <w:rPr>
          <w:color w:val="000000" w:themeColor="text1"/>
        </w:rPr>
        <w:t xml:space="preserve"> </w:t>
      </w:r>
    </w:p>
    <w:p w14:paraId="59D1329E" w14:textId="77777777" w:rsidR="004D2A6C" w:rsidRPr="00D14CD7" w:rsidRDefault="004D2A6C" w:rsidP="0068023F">
      <w:pPr>
        <w:spacing w:after="0" w:line="240" w:lineRule="auto"/>
        <w:ind w:firstLine="720"/>
        <w:rPr>
          <w:color w:val="000000" w:themeColor="text1"/>
        </w:rPr>
      </w:pPr>
    </w:p>
    <w:p w14:paraId="498FB150" w14:textId="77777777" w:rsidR="004D2A6C" w:rsidRPr="00D14CD7" w:rsidRDefault="004D2A6C" w:rsidP="0068023F">
      <w:pPr>
        <w:pStyle w:val="Heading2"/>
        <w:spacing w:before="0" w:after="0" w:line="240" w:lineRule="auto"/>
        <w:rPr>
          <w:color w:val="000000" w:themeColor="text1"/>
        </w:rPr>
      </w:pPr>
      <w:r w:rsidRPr="00D14CD7">
        <w:rPr>
          <w:color w:val="000000" w:themeColor="text1"/>
        </w:rPr>
        <w:t xml:space="preserve"> Studies Ignoring Path B Entirely (Group 1)</w:t>
      </w:r>
    </w:p>
    <w:p w14:paraId="289222B4" w14:textId="77777777" w:rsidR="004D2A6C" w:rsidRPr="00D14CD7" w:rsidRDefault="004D2A6C" w:rsidP="0068023F">
      <w:pPr>
        <w:spacing w:after="0" w:line="240" w:lineRule="auto"/>
        <w:rPr>
          <w:color w:val="000000" w:themeColor="text1"/>
        </w:rPr>
      </w:pPr>
      <w:r w:rsidRPr="00D14CD7">
        <w:rPr>
          <w:color w:val="000000" w:themeColor="text1"/>
        </w:rPr>
        <w:t xml:space="preserve">An example of a study that did not differentiate restaurant segments is Choi et al. (2009), who reported significant differences based on consumer characteristics in the ranking of restaurant attributes. Specifically, Choi et al. (2009) revealed that taste, cleanliness, service quality, and menu healthiness were attributes that exhibited significant differences based on gender, with women expressing a stronger preference. Additionally, higher-income individuals placed greater emphasis on service quality and ambiance compared to lower-income consumers. Choi et al. also reported that the availability of healthy meals was significantly more important to older consumers. Another similar study by Alonso et al. (2013) also identified significant discrepancies in restaurant attribute preferences by gender and age. In particular, women placed more emphasis on service timeliness and the health aspects of menu items compared to men. Additionally, consumers aged 40 to 49 showed less sensitivity to the attribute of “A feeling of openness and space in a restaurant” compared to other age groups. However, income and education levels were not found to significantly impact restaurant attribute preference in the study. More recently, a 2016 survey in the U.S. found that younger individuals earning less than $35,000 a year and living in a single-person household placed more emphasis on price, while older individuals earning a high income and residing in urban and suburban areas indicated a higher influence of service quality </w:t>
      </w:r>
      <w:r w:rsidRPr="00D14CD7">
        <w:rPr>
          <w:color w:val="000000" w:themeColor="text1"/>
        </w:rPr>
        <w:fldChar w:fldCharType="begin"/>
      </w:r>
      <w:r w:rsidRPr="00D14CD7">
        <w:rPr>
          <w:color w:val="000000" w:themeColor="text1"/>
        </w:rPr>
        <w:instrText xml:space="preserve"> ADDIN ZOTERO_ITEM CSL_CITATION {"citationID":"bcdgZqOQ","properties":{"formattedCitation":"(Statista, 2016)","plainCitation":"(Statista, 2016)","noteIndex":0},"citationItems":[{"id":557,"uris":["http://zotero.org/users/9292995/items/QP4YW9JJ"],"itemData":{"id":557,"type":"webpage","abstract":"The statistic shows the share of consumers using food delivery services in the United States in 2016, by gender.","container-title":"Statista","language":"en","title":"Frequency of using food delivery services U.S. 2016, by gender","URL":"https://www.statista.com/statistics/259193/ordering-takeout-delivery-from-restaurants-in-the-us-by-gender/","author":[{"literal":"Statista"}],"accessed":{"date-parts":[["2022",5,18]]},"issued":{"date-parts":[["2016"]]}}}],"schema":"https://github.com/citation-style-language/schema/raw/master/csl-citation.json"} </w:instrText>
      </w:r>
      <w:r w:rsidRPr="00D14CD7">
        <w:rPr>
          <w:color w:val="000000" w:themeColor="text1"/>
        </w:rPr>
        <w:fldChar w:fldCharType="separate"/>
      </w:r>
      <w:r w:rsidRPr="00D14CD7">
        <w:rPr>
          <w:color w:val="000000" w:themeColor="text1"/>
        </w:rPr>
        <w:t>(Statista, 2016)</w:t>
      </w:r>
      <w:r w:rsidRPr="00D14CD7">
        <w:rPr>
          <w:color w:val="000000" w:themeColor="text1"/>
        </w:rPr>
        <w:fldChar w:fldCharType="end"/>
      </w:r>
      <w:r w:rsidRPr="00D14CD7">
        <w:rPr>
          <w:color w:val="000000" w:themeColor="text1"/>
        </w:rPr>
        <w:t>. Nevertheless, all consumers ranked food quality as the most significant restaurant attribute.</w:t>
      </w:r>
    </w:p>
    <w:p w14:paraId="094A28AA" w14:textId="77777777" w:rsidR="004D2A6C" w:rsidRPr="00D14CD7" w:rsidRDefault="004D2A6C" w:rsidP="0068023F">
      <w:pPr>
        <w:spacing w:after="0" w:line="240" w:lineRule="auto"/>
        <w:rPr>
          <w:color w:val="000000" w:themeColor="text1"/>
        </w:rPr>
      </w:pPr>
      <w:r w:rsidRPr="00D14CD7">
        <w:rPr>
          <w:color w:val="000000" w:themeColor="text1"/>
        </w:rPr>
        <w:t xml:space="preserve"> </w:t>
      </w:r>
    </w:p>
    <w:p w14:paraId="7D06A9FE" w14:textId="77777777" w:rsidR="004D2A6C" w:rsidRPr="00D14CD7" w:rsidRDefault="004D2A6C" w:rsidP="0068023F">
      <w:pPr>
        <w:pStyle w:val="Heading2"/>
        <w:spacing w:before="0" w:after="0" w:line="240" w:lineRule="auto"/>
        <w:rPr>
          <w:color w:val="000000" w:themeColor="text1"/>
        </w:rPr>
      </w:pPr>
      <w:r w:rsidRPr="00D14CD7">
        <w:rPr>
          <w:color w:val="000000" w:themeColor="text1"/>
        </w:rPr>
        <w:t xml:space="preserve"> Studies Considering a Single Restaurant Segment (Group 2)</w:t>
      </w:r>
    </w:p>
    <w:p w14:paraId="03B463DF" w14:textId="6C661B8A" w:rsidR="004D2A6C" w:rsidRPr="00D14CD7" w:rsidRDefault="004D2A6C" w:rsidP="0068023F">
      <w:pPr>
        <w:spacing w:after="0" w:line="240" w:lineRule="auto"/>
        <w:rPr>
          <w:color w:val="000000" w:themeColor="text1"/>
        </w:rPr>
      </w:pPr>
      <w:r w:rsidRPr="00D14CD7">
        <w:rPr>
          <w:color w:val="000000" w:themeColor="text1"/>
        </w:rPr>
        <w:t xml:space="preserve">Another group of studies evaluated the effect of consumer characteristics on the importance levels of restaurant attributes for different restaurant segments separately. For example, Harrington et al. (2013) studied the importance of the various attributes in the context of QSRs by asking survey respondents to rank the importance of several selection factors. They found that younger individuals tend to place higher importance on price, value, and convenience, while older individuals prioritize food quality and ambiance to a greater extent </w:t>
      </w:r>
      <w:r w:rsidRPr="00D14CD7">
        <w:rPr>
          <w:color w:val="000000" w:themeColor="text1"/>
        </w:rPr>
        <w:fldChar w:fldCharType="begin"/>
      </w:r>
      <w:r w:rsidRPr="00D14CD7">
        <w:rPr>
          <w:color w:val="000000" w:themeColor="text1"/>
        </w:rPr>
        <w:instrText xml:space="preserve"> ADDIN ZOTERO_ITEM CSL_CITATION {"citationID":"7wMcFn1L","properties":{"formattedCitation":"(Harrington et al., 2013)","plainCitation":"(Harrington et al., 2013)","noteIndex":0},"citationItems":[{"id":460,"uris":["http://zotero.org/users/9292995/items/7SIQWSDJ"],"itemData":{"id":460,"type":"article-journal","container-title":"Journal of quality assurance in hospitality &amp; tourism","ISSN":"1528-008X","issue":"1","journalAbbreviation":"Journal of quality assurance in hospitality &amp; tourism","note":"publisher: Taylor &amp; Francis","page":"81-100","title":"QSR choice: Key restaurant attributes and the roles of gender, age and dining frequency","volume":"14","author":[{"family":"Harrington","given":"Robert J"},{"family":"Ottenbacher","given":"Michael C"},{"family":"Way","given":"Kelly A"}],"issued":{"date-parts":[["2013"]]}}}],"schema":"https://github.com/citation-style-language/schema/raw/master/csl-citation.json"} </w:instrText>
      </w:r>
      <w:r w:rsidRPr="00D14CD7">
        <w:rPr>
          <w:color w:val="000000" w:themeColor="text1"/>
        </w:rPr>
        <w:fldChar w:fldCharType="separate"/>
      </w:r>
      <w:r w:rsidRPr="00D14CD7">
        <w:rPr>
          <w:color w:val="000000" w:themeColor="text1"/>
        </w:rPr>
        <w:t>(Harrington et al., 2013)</w:t>
      </w:r>
      <w:r w:rsidRPr="00D14CD7">
        <w:rPr>
          <w:color w:val="000000" w:themeColor="text1"/>
        </w:rPr>
        <w:fldChar w:fldCharType="end"/>
      </w:r>
      <w:r w:rsidRPr="00D14CD7">
        <w:rPr>
          <w:color w:val="000000" w:themeColor="text1"/>
        </w:rPr>
        <w:t xml:space="preserve">. In the context of CSRs, </w:t>
      </w:r>
      <w:r w:rsidRPr="00D14CD7">
        <w:rPr>
          <w:color w:val="000000" w:themeColor="text1"/>
        </w:rPr>
        <w:fldChar w:fldCharType="begin"/>
      </w:r>
      <w:r w:rsidRPr="00D14CD7">
        <w:rPr>
          <w:color w:val="000000" w:themeColor="text1"/>
        </w:rPr>
        <w:instrText xml:space="preserve"> ADDIN ZOTERO_ITEM CSL_CITATION {"citationID":"p1maNH2M","properties":{"formattedCitation":"(Duncan et al., 2015)","plainCitation":"(Duncan et al., 2015)","dontUpdate":true,"noteIndex":0},"citationItems":[{"id":931,"uris":["http://zotero.org/users/9292995/items/8KDK3BWU"],"itemData":{"id":931,"type":"article-journal","container-title":"British Food Journal","ISSN":"0007-070X","journalAbbreviation":"British Food Journal","note":"publisher: Emerald Group Publishing Limited","title":"Using factor-cluster analysis to segment patrons of casual dining establishments in the United States","author":[{"family":"Duncan","given":"Jennifer L"},{"family":"Josiam","given":"Bharath M"},{"family":"Kim","given":"Young Hoon"},{"family":"Kalldin","given":"Alexandria C"}],"issued":{"date-parts":[["2015"]]}}}],"schema":"https://github.com/citation-style-language/schema/raw/master/csl-citation.json"} </w:instrText>
      </w:r>
      <w:r w:rsidRPr="00D14CD7">
        <w:rPr>
          <w:color w:val="000000" w:themeColor="text1"/>
        </w:rPr>
        <w:fldChar w:fldCharType="separate"/>
      </w:r>
      <w:r w:rsidRPr="00D14CD7">
        <w:rPr>
          <w:color w:val="000000" w:themeColor="text1"/>
        </w:rPr>
        <w:t>Duncan et al., (2015)</w:t>
      </w:r>
      <w:r w:rsidRPr="00D14CD7">
        <w:rPr>
          <w:color w:val="000000" w:themeColor="text1"/>
        </w:rPr>
        <w:fldChar w:fldCharType="end"/>
      </w:r>
      <w:r w:rsidRPr="00D14CD7">
        <w:rPr>
          <w:color w:val="000000" w:themeColor="text1"/>
        </w:rPr>
        <w:t xml:space="preserve"> classified older consumers as “Functional Feasters” who prioritize restaurant cleanliness and location over the quality of service and ambiance. Additionally, Harrington et al. (2011) found that gender and age significantly influence the importance of restaurant attributes in FSR settings. Women rated price, quality, and dietary attributes as substantially more important than men when selecting an FSR. Regarding age, older consumers placed a higher emphasis on reputation, quality, and ambiance factors rather than price, compared to their younger counterparts. Similarly, Ma et al. (2014) concluded, also in the context of the FSR segment, that women tend to assign higher ratings to factors such as food quality, service quality, and image compared to men. In contrast, Lee and Hwang (2011) did not find </w:t>
      </w:r>
      <w:r w:rsidRPr="00D14CD7">
        <w:rPr>
          <w:color w:val="000000" w:themeColor="text1"/>
        </w:rPr>
        <w:lastRenderedPageBreak/>
        <w:t xml:space="preserve">significant gender differences in attitudes toward service quality at FSRs. However, their conclusion </w:t>
      </w:r>
      <w:r w:rsidR="009C6B9D" w:rsidRPr="00D14CD7">
        <w:rPr>
          <w:color w:val="000000" w:themeColor="text1"/>
        </w:rPr>
        <w:t>regarding age aligned with Harrington et al. (2011)</w:t>
      </w:r>
      <w:r w:rsidRPr="00D14CD7">
        <w:rPr>
          <w:color w:val="000000" w:themeColor="text1"/>
        </w:rPr>
        <w:t xml:space="preserve">. Furthermore, Lee and Hwang investigated the effect of income on attitudes toward service quality attributes and found that low-income consumers generally hold more negative attitudes toward overall service quality at luxury restaurants, a distinction not examined by Harrington et al. (2013). </w:t>
      </w:r>
    </w:p>
    <w:p w14:paraId="3A681962" w14:textId="77777777" w:rsidR="004D2A6C" w:rsidRPr="00D14CD7" w:rsidRDefault="004D2A6C" w:rsidP="0068023F">
      <w:pPr>
        <w:spacing w:after="0" w:line="240" w:lineRule="auto"/>
        <w:rPr>
          <w:color w:val="000000" w:themeColor="text1"/>
        </w:rPr>
      </w:pPr>
      <w:r w:rsidRPr="00D14CD7">
        <w:rPr>
          <w:color w:val="000000" w:themeColor="text1"/>
        </w:rPr>
        <w:t xml:space="preserve"> </w:t>
      </w:r>
    </w:p>
    <w:p w14:paraId="46A2A75B" w14:textId="243B5E04" w:rsidR="004D2A6C" w:rsidRPr="00D14CD7" w:rsidRDefault="004D2A6C" w:rsidP="0068023F">
      <w:pPr>
        <w:pStyle w:val="Heading2"/>
        <w:spacing w:before="0" w:after="0" w:line="240" w:lineRule="auto"/>
        <w:rPr>
          <w:color w:val="000000" w:themeColor="text1"/>
        </w:rPr>
      </w:pPr>
      <w:r w:rsidRPr="00D14CD7">
        <w:rPr>
          <w:color w:val="000000" w:themeColor="text1"/>
        </w:rPr>
        <w:t xml:space="preserve"> Critical Analysis of Existing Literature</w:t>
      </w:r>
    </w:p>
    <w:p w14:paraId="68FB3755" w14:textId="77777777" w:rsidR="004D2A6C" w:rsidRPr="00D14CD7" w:rsidRDefault="004D2A6C" w:rsidP="0068023F">
      <w:pPr>
        <w:spacing w:after="0" w:line="240" w:lineRule="auto"/>
        <w:rPr>
          <w:color w:val="000000" w:themeColor="text1"/>
        </w:rPr>
      </w:pPr>
      <w:r w:rsidRPr="00D14CD7">
        <w:rPr>
          <w:color w:val="000000" w:themeColor="text1"/>
        </w:rPr>
        <w:t xml:space="preserve">The preceding sections have underscored the importance of distinguishing among restaurant segments when considering consumer heterogeneity in restaurant attribute preferences (that is, highlighting the importance of considering Paths B and C together). However, according to Ha and Jang (2013), given the overwhelming number of restaurant choice possibilities, consumers actually engage in a more rationally-bounded two-stage process when selecting restaurants in ways that align with their desired values. They initially identify and choose a specific segment that caters to their needs, preferences, and situational factors. Once a segment is chosen, consumers evaluate the attributes of the restaurants within that segment, with the evaluation process potentially varying based on the consumers' individual characteristics. This emphasizes that individual-level characteristics have a first precursor impact on restaurant segment choice (Path E in Figure 1 or the individual-restaurant segment link), and then, given the choice of a restaurant segment at any point in time (Path B), affect restaurant attribute preferences (Path C) leading up to a specific restaurant choice within the restaurant segment. This points to the importance of modeling Path E before moving to Paths B and C. </w:t>
      </w:r>
    </w:p>
    <w:p w14:paraId="08869997" w14:textId="1481160E" w:rsidR="004D2A6C" w:rsidRPr="00D14CD7" w:rsidRDefault="004D2A6C" w:rsidP="0068023F">
      <w:pPr>
        <w:spacing w:after="0" w:line="240" w:lineRule="auto"/>
        <w:ind w:firstLine="720"/>
        <w:rPr>
          <w:color w:val="000000" w:themeColor="text1"/>
        </w:rPr>
      </w:pPr>
      <w:r w:rsidRPr="00D14CD7">
        <w:rPr>
          <w:color w:val="000000" w:themeColor="text1"/>
        </w:rPr>
        <w:t xml:space="preserve">Surprisingly, there </w:t>
      </w:r>
      <w:r w:rsidR="00A40E11">
        <w:rPr>
          <w:color w:val="000000" w:themeColor="text1"/>
        </w:rPr>
        <w:t>is little literature on</w:t>
      </w:r>
      <w:r w:rsidRPr="00D14CD7">
        <w:rPr>
          <w:color w:val="000000" w:themeColor="text1"/>
        </w:rPr>
        <w:t xml:space="preserve"> Path E (the individual-restaurant segment choice link), which </w:t>
      </w:r>
      <w:r w:rsidR="009C6B9D" w:rsidRPr="00D14CD7">
        <w:rPr>
          <w:color w:val="000000" w:themeColor="text1"/>
        </w:rPr>
        <w:t>will be the</w:t>
      </w:r>
      <w:r w:rsidRPr="00D14CD7">
        <w:rPr>
          <w:color w:val="000000" w:themeColor="text1"/>
        </w:rPr>
        <w:t xml:space="preserve"> focus of the current study. And the few studies that examine path E confine their attention to the QSR segment. For instance, Athens et al. (2016) and Moore et al. (2009) examined the influence of consumers’ proximity to QSRs on the weekly frequency of fast-food dining, consistently finding a significant positive association between residential density/accessibility of QSR restaurants and QSR patronage. The Athens et al. study considered the self-reported weekly count of fast-food restaurant visits, while the Moore et al. study categorized the self-reported weekly count into the three categories of “never”,” &lt;1 time/week”, and ≥1 time/week. The former study did not investigate variations in dining frequency based on consumer demographic characteristics, while the latter found that white, higher income, and more highly educated participants were less likely to be influenced by proximity effects in their fast food consumption frequency. Similar to Athens et al. and Moore et al</w:t>
      </w:r>
      <w:r w:rsidR="009C6B9D" w:rsidRPr="00D14CD7">
        <w:rPr>
          <w:color w:val="000000" w:themeColor="text1"/>
        </w:rPr>
        <w:t>.</w:t>
      </w:r>
      <w:r w:rsidRPr="00D14CD7">
        <w:rPr>
          <w:color w:val="000000" w:themeColor="text1"/>
        </w:rPr>
        <w:t xml:space="preserve">, </w:t>
      </w:r>
      <w:proofErr w:type="spellStart"/>
      <w:r w:rsidRPr="00D14CD7">
        <w:rPr>
          <w:color w:val="000000" w:themeColor="text1"/>
        </w:rPr>
        <w:t>AlTamimi</w:t>
      </w:r>
      <w:proofErr w:type="spellEnd"/>
      <w:r w:rsidRPr="00D14CD7">
        <w:rPr>
          <w:color w:val="000000" w:themeColor="text1"/>
        </w:rPr>
        <w:t xml:space="preserve"> et al. (2022) also used a categorical measure of fast food consumption, but in the form of two binary variables: whether or not there typically is a fast food intake one or more times a month, and whether or not there is a fast food intake one or more times in a day. </w:t>
      </w:r>
      <w:proofErr w:type="spellStart"/>
      <w:r w:rsidRPr="00D14CD7">
        <w:rPr>
          <w:color w:val="000000" w:themeColor="text1"/>
        </w:rPr>
        <w:t>AlTamimi</w:t>
      </w:r>
      <w:proofErr w:type="spellEnd"/>
      <w:r w:rsidRPr="00D14CD7">
        <w:rPr>
          <w:color w:val="000000" w:themeColor="text1"/>
        </w:rPr>
        <w:t xml:space="preserve"> et al. confined their analysis to younger adults between the ages of 20-35 years in the population of men in Saudi Arabia, and reported increased fast food consumption among older age individuals living with family, and with high education and income levels. In contrast to </w:t>
      </w:r>
      <w:proofErr w:type="spellStart"/>
      <w:r w:rsidRPr="00D14CD7">
        <w:rPr>
          <w:color w:val="000000" w:themeColor="text1"/>
        </w:rPr>
        <w:t>AlTamimi</w:t>
      </w:r>
      <w:proofErr w:type="spellEnd"/>
      <w:r w:rsidRPr="00D14CD7">
        <w:rPr>
          <w:color w:val="000000" w:themeColor="text1"/>
        </w:rPr>
        <w:t xml:space="preserve"> et al., Hidaka et al. (2018) examined weekly QSR patronage frequency, but specifically in the week prior to the survey (rather than in a typical week), in the three categories of “None,” “Once a week”, and “≥2 times a week.” While </w:t>
      </w:r>
      <w:proofErr w:type="spellStart"/>
      <w:r w:rsidRPr="00D14CD7">
        <w:rPr>
          <w:color w:val="000000" w:themeColor="text1"/>
        </w:rPr>
        <w:t>AlTamimi</w:t>
      </w:r>
      <w:proofErr w:type="spellEnd"/>
      <w:r w:rsidRPr="00D14CD7">
        <w:rPr>
          <w:color w:val="000000" w:themeColor="text1"/>
        </w:rPr>
        <w:t xml:space="preserve"> et al. focused on younger adults, Hidaka et al. confined their analysis to a sample of older (50-79 years of age) low-income adults. Their results revealed a positive association between highly educated employed women and their weekly fast-food consumption. The authors attributed these findings to the time poverty experienced by women because of their typically asymmetric share of domestic responsibilities. </w:t>
      </w:r>
    </w:p>
    <w:p w14:paraId="6829B1C5" w14:textId="66CF5369" w:rsidR="004D2A6C" w:rsidRPr="00D14CD7" w:rsidRDefault="004D2A6C" w:rsidP="0068023F">
      <w:pPr>
        <w:spacing w:after="0" w:line="240" w:lineRule="auto"/>
        <w:ind w:firstLine="720"/>
        <w:rPr>
          <w:color w:val="000000" w:themeColor="text1"/>
        </w:rPr>
      </w:pPr>
      <w:r w:rsidRPr="00D14CD7">
        <w:rPr>
          <w:color w:val="000000" w:themeColor="text1"/>
        </w:rPr>
        <w:lastRenderedPageBreak/>
        <w:t xml:space="preserve">The studies above have provided important insights regarding QSR patronage over either a week or a month. </w:t>
      </w:r>
      <w:r w:rsidR="009C6B9D" w:rsidRPr="00D14CD7">
        <w:rPr>
          <w:color w:val="000000" w:themeColor="text1"/>
        </w:rPr>
        <w:t>However,</w:t>
      </w:r>
      <w:r w:rsidRPr="00D14CD7">
        <w:rPr>
          <w:color w:val="000000" w:themeColor="text1"/>
        </w:rPr>
        <w:t xml:space="preserve"> no study that we are aware of has focused on predicting the frequency of CSR and/or FSR visits. The general emphasis on the QSR restaurant segment in the literature is ostensibly because QSR is the restaurant category most tied to health-related concerns. However, from a broader transportation, public health, and restaurant service perspective, it is important to consider participation in each type of restaurant segment. Besides, as discussed in Section 1, each restaurant segment offers a distinct mix of utilitarian and hedonic stimulation, and so there is a clear need to recognize the “portfolio” (or bundled) nature of restaurant segment choices over a period of time, such as a month, rather than as a series of single discrete-choice decisions at each eat-out occasion. </w:t>
      </w:r>
    </w:p>
    <w:p w14:paraId="116A3B5C" w14:textId="3373FB7C" w:rsidR="004D2A6C" w:rsidRPr="00D14CD7" w:rsidRDefault="004D2A6C" w:rsidP="0068023F">
      <w:pPr>
        <w:spacing w:after="0" w:line="240" w:lineRule="auto"/>
        <w:rPr>
          <w:color w:val="000000" w:themeColor="text1"/>
        </w:rPr>
      </w:pPr>
    </w:p>
    <w:p w14:paraId="03838D55" w14:textId="575D4BE9" w:rsidR="004D2A6C" w:rsidRPr="00D14CD7" w:rsidRDefault="004D2A6C" w:rsidP="0068023F">
      <w:pPr>
        <w:pStyle w:val="Heading1"/>
        <w:spacing w:after="0" w:line="240" w:lineRule="auto"/>
        <w:rPr>
          <w:color w:val="000000" w:themeColor="text1"/>
        </w:rPr>
      </w:pPr>
      <w:r w:rsidRPr="00D14CD7">
        <w:rPr>
          <w:color w:val="000000" w:themeColor="text1"/>
        </w:rPr>
        <w:t>OBJECTIVES AND CONTRIBUTIONS</w:t>
      </w:r>
    </w:p>
    <w:p w14:paraId="6D0F457A" w14:textId="63D53071" w:rsidR="004D2A6C" w:rsidRPr="00D14CD7" w:rsidRDefault="009C6B9D" w:rsidP="0068023F">
      <w:pPr>
        <w:spacing w:after="0" w:line="240" w:lineRule="auto"/>
        <w:rPr>
          <w:color w:val="000000" w:themeColor="text1"/>
        </w:rPr>
      </w:pPr>
      <w:r w:rsidRPr="00D14CD7">
        <w:rPr>
          <w:color w:val="000000" w:themeColor="text1"/>
        </w:rPr>
        <w:t xml:space="preserve">This research introduces a novel approach to modeling individual dining behaviors. We develop </w:t>
      </w:r>
      <w:r w:rsidR="004D2A6C" w:rsidRPr="00D14CD7">
        <w:rPr>
          <w:color w:val="000000" w:themeColor="text1"/>
        </w:rPr>
        <w:t>an individual-level portfolio multivariate count model that</w:t>
      </w:r>
      <w:r w:rsidRPr="00D14CD7">
        <w:rPr>
          <w:color w:val="000000" w:themeColor="text1"/>
        </w:rPr>
        <w:t xml:space="preserve"> estimates two key aspects of an individual's </w:t>
      </w:r>
      <w:r w:rsidR="00D14CD7">
        <w:rPr>
          <w:color w:val="000000" w:themeColor="text1"/>
        </w:rPr>
        <w:t>dining-out patterns: the total number of weekday dinner eat-out occasions per month,</w:t>
      </w:r>
      <w:r w:rsidRPr="00D14CD7">
        <w:rPr>
          <w:color w:val="000000" w:themeColor="text1"/>
        </w:rPr>
        <w:t xml:space="preserve"> and how these occasions are distributed across different restaurant segments.</w:t>
      </w:r>
      <w:r w:rsidR="004D2A6C" w:rsidRPr="00D14CD7">
        <w:rPr>
          <w:color w:val="000000" w:themeColor="text1"/>
        </w:rPr>
        <w:t xml:space="preserve"> The </w:t>
      </w:r>
      <w:r w:rsidRPr="00D14CD7">
        <w:rPr>
          <w:color w:val="000000" w:themeColor="text1"/>
        </w:rPr>
        <w:t xml:space="preserve">proposed </w:t>
      </w:r>
      <w:r w:rsidR="004D2A6C" w:rsidRPr="00D14CD7">
        <w:rPr>
          <w:color w:val="000000" w:themeColor="text1"/>
        </w:rPr>
        <w:t xml:space="preserve">model is explicitly based on the “optimal arousal” process underlying dining consumption. This, combined with the unique utilitarian/hedonic mix offered by each restaurant segment, leads to our formulation of the dining choice process as a deliberate </w:t>
      </w:r>
      <w:r w:rsidR="0068023F">
        <w:rPr>
          <w:color w:val="000000" w:themeColor="text1"/>
        </w:rPr>
        <w:t>“</w:t>
      </w:r>
      <w:r w:rsidR="004D2A6C" w:rsidRPr="00D14CD7">
        <w:rPr>
          <w:color w:val="000000" w:themeColor="text1"/>
        </w:rPr>
        <w:t>at-once</w:t>
      </w:r>
      <w:r w:rsidR="0068023F">
        <w:rPr>
          <w:color w:val="000000" w:themeColor="text1"/>
        </w:rPr>
        <w:t>”</w:t>
      </w:r>
      <w:r w:rsidR="004D2A6C" w:rsidRPr="00D14CD7">
        <w:rPr>
          <w:color w:val="000000" w:themeColor="text1"/>
        </w:rPr>
        <w:t xml:space="preserve"> horizontal choice of a portfolio of restaurant segment participation occasions over a period of time. To do so, we employ the Multiple Discrete-Count Extreme Value (MDCNTEV) modeling approach recently proposed by Bhat (2022). The primary data for this study is obtained from a 2022 online survey collected in Texas and includes information on individuals’ food service venue choices for their eat-out dining occasions, as well as individual and household characteristics. </w:t>
      </w:r>
    </w:p>
    <w:p w14:paraId="11AC249A" w14:textId="7AE7E904" w:rsidR="0062204E" w:rsidRPr="00D14CD7" w:rsidRDefault="004D2A6C" w:rsidP="0068023F">
      <w:pPr>
        <w:spacing w:after="0" w:line="240" w:lineRule="auto"/>
        <w:ind w:firstLine="720"/>
        <w:rPr>
          <w:color w:val="000000" w:themeColor="text1"/>
        </w:rPr>
      </w:pPr>
      <w:r w:rsidRPr="00D14CD7">
        <w:rPr>
          <w:color w:val="000000" w:themeColor="text1"/>
        </w:rPr>
        <w:t xml:space="preserve">To our knowledge, this is the first study to consider the frequency of participation in each restaurant segment, while also accounting for variety-seeking and joint portfolio choice. In doing so, we acknowledge the heterogeneity across individuals in the preference for each segment, as well as in the variety-seeking behavior across segments. Also, in contrast to a multivariate count model that would mechanically stitch the counts of participation across different types of segments without considering variety seeking or complex income/substitution effects, we develop a model that accommodates both of these issues. In doing so, our study incorporates four key considerations. </w:t>
      </w:r>
      <w:r w:rsidRPr="00D14CD7">
        <w:rPr>
          <w:color w:val="000000" w:themeColor="text1"/>
          <w:u w:val="single"/>
        </w:rPr>
        <w:t>First</w:t>
      </w:r>
      <w:r w:rsidRPr="00D14CD7">
        <w:rPr>
          <w:color w:val="000000" w:themeColor="text1"/>
        </w:rPr>
        <w:t xml:space="preserve">, it expressly focuses on the eat-out (that is, dine-in at the restaurant) counts, because of the clear passenger travel demand and restaurant service impact of eat-outs. </w:t>
      </w:r>
      <w:r w:rsidRPr="00D14CD7">
        <w:rPr>
          <w:color w:val="000000" w:themeColor="text1"/>
          <w:u w:val="single"/>
        </w:rPr>
        <w:t>Second</w:t>
      </w:r>
      <w:r w:rsidRPr="00D14CD7">
        <w:rPr>
          <w:color w:val="000000" w:themeColor="text1"/>
        </w:rPr>
        <w:t xml:space="preserve">, it considers a </w:t>
      </w:r>
      <w:r w:rsidRPr="00D14CD7">
        <w:rPr>
          <w:color w:val="000000" w:themeColor="text1"/>
          <w:u w:val="single"/>
        </w:rPr>
        <w:t>monthly</w:t>
      </w:r>
      <w:r w:rsidRPr="00D14CD7">
        <w:rPr>
          <w:color w:val="000000" w:themeColor="text1"/>
        </w:rPr>
        <w:t xml:space="preserve"> count of eat-outs by segment, which is better able to model the cardinal count of actual eat-outs rather than force the analyst to employ a bracketed representation of eat-outs when considering a weekly time period (because of the relatively few weekly episodes of eat-out). </w:t>
      </w:r>
      <w:r w:rsidRPr="00D14CD7">
        <w:rPr>
          <w:color w:val="000000" w:themeColor="text1"/>
          <w:u w:val="single"/>
        </w:rPr>
        <w:t>Third</w:t>
      </w:r>
      <w:r w:rsidRPr="00D14CD7">
        <w:rPr>
          <w:color w:val="000000" w:themeColor="text1"/>
        </w:rPr>
        <w:t xml:space="preserve">, the study implements the Multiple Discrete-Count Extreme Value (MDCNTEV) modeling framework (Bhat, 2022). This two-stage method initially addresses multiple discreteness by viewing consumer choice as a portfolio choice made within a specified time frame. Following this, the second stage assesses total demand as a cumulative count, representing the aggregation of all consumption events. Specifically, we focus on examining consumers’ discrete restaurant segment decisions over a single month, along with the number of their total monthly eat-out occasions. </w:t>
      </w:r>
      <w:r w:rsidRPr="00D14CD7">
        <w:rPr>
          <w:color w:val="000000" w:themeColor="text1"/>
          <w:u w:val="single"/>
        </w:rPr>
        <w:t>Fourth</w:t>
      </w:r>
      <w:r w:rsidRPr="00D14CD7">
        <w:rPr>
          <w:color w:val="000000" w:themeColor="text1"/>
        </w:rPr>
        <w:t xml:space="preserve">, in addition to presenting model estimates, our study extends the analysis to include “what-if” scenarios, quantifying the effects of variations in essential built-environment and sociodemographic variables on the overall frequency of dining out at restaurants and the distribution of restaurant visits across different segments. By conducting these analyses, we gain </w:t>
      </w:r>
      <w:r w:rsidRPr="00D14CD7">
        <w:rPr>
          <w:color w:val="000000" w:themeColor="text1"/>
        </w:rPr>
        <w:lastRenderedPageBreak/>
        <w:t>insights into the implications of dining choices for the transportation and urban planning, public health, and food service fields. Specifically, f</w:t>
      </w:r>
      <w:bookmarkStart w:id="15" w:name="_Hlk171258504"/>
      <w:bookmarkStart w:id="16" w:name="_Hlk119651148"/>
      <w:r w:rsidR="00451E2E" w:rsidRPr="00D14CD7">
        <w:rPr>
          <w:color w:val="000000" w:themeColor="text1"/>
        </w:rPr>
        <w:t xml:space="preserve">rom a </w:t>
      </w:r>
      <w:bookmarkStart w:id="17" w:name="_Hlk139461649"/>
      <w:r w:rsidR="00451E2E" w:rsidRPr="00D14CD7">
        <w:rPr>
          <w:color w:val="000000" w:themeColor="text1"/>
          <w:u w:val="single"/>
        </w:rPr>
        <w:t>transportation</w:t>
      </w:r>
      <w:r w:rsidR="00794B61" w:rsidRPr="00D14CD7">
        <w:rPr>
          <w:color w:val="000000" w:themeColor="text1"/>
          <w:u w:val="single"/>
        </w:rPr>
        <w:t xml:space="preserve"> and urban</w:t>
      </w:r>
      <w:r w:rsidR="00451E2E" w:rsidRPr="00D14CD7">
        <w:rPr>
          <w:color w:val="000000" w:themeColor="text1"/>
          <w:u w:val="single"/>
        </w:rPr>
        <w:t xml:space="preserve"> planning perspective</w:t>
      </w:r>
      <w:bookmarkEnd w:id="17"/>
      <w:r w:rsidR="00451E2E" w:rsidRPr="00D14CD7">
        <w:rPr>
          <w:color w:val="000000" w:themeColor="text1"/>
        </w:rPr>
        <w:t xml:space="preserve">, </w:t>
      </w:r>
      <w:r w:rsidR="00D72DFF" w:rsidRPr="00D14CD7">
        <w:rPr>
          <w:color w:val="000000" w:themeColor="text1"/>
        </w:rPr>
        <w:t xml:space="preserve">it is important to understand that travel demand is fundamentally derived from the need to participate in activities distributed across space and time. Eating out is one such activity that generates significant travel demand. Consequently, </w:t>
      </w:r>
      <w:r w:rsidR="00451E2E" w:rsidRPr="00D14CD7">
        <w:rPr>
          <w:color w:val="000000" w:themeColor="text1"/>
        </w:rPr>
        <w:t xml:space="preserve">models forecasting </w:t>
      </w:r>
      <w:bookmarkEnd w:id="15"/>
      <w:r w:rsidR="00451E2E" w:rsidRPr="00D14CD7">
        <w:rPr>
          <w:color w:val="000000" w:themeColor="text1"/>
        </w:rPr>
        <w:t xml:space="preserve">the total eat-out count by restaurant segment type can be used along with land-use models of restaurant locations by restaurant segment to better characterize the generation of eat-out trips as well as the location of eat-out trips. </w:t>
      </w:r>
      <w:r w:rsidR="00E00035" w:rsidRPr="00D14CD7">
        <w:rPr>
          <w:color w:val="000000" w:themeColor="text1"/>
        </w:rPr>
        <w:t xml:space="preserve">These models can be integrated into activity-based models that, for the most part, today either use an aggregate social/recreational activity purpose or an aggregate eat-out purpose without disaggregation by restaurant segment type. </w:t>
      </w:r>
      <w:bookmarkStart w:id="18" w:name="_Hlk119651310"/>
      <w:bookmarkEnd w:id="16"/>
      <w:r w:rsidR="00E00035" w:rsidRPr="00D14CD7">
        <w:rPr>
          <w:color w:val="000000" w:themeColor="text1"/>
        </w:rPr>
        <w:t xml:space="preserve">In addition, we consider </w:t>
      </w:r>
      <w:r w:rsidR="008A44EF" w:rsidRPr="00D14CD7">
        <w:rPr>
          <w:color w:val="000000" w:themeColor="text1"/>
        </w:rPr>
        <w:t xml:space="preserve">the effects of </w:t>
      </w:r>
      <w:r w:rsidR="00E00035" w:rsidRPr="00D14CD7">
        <w:rPr>
          <w:color w:val="000000" w:themeColor="text1"/>
        </w:rPr>
        <w:t>a substantially changed landscape of work arrangements, as well as residential BE effects</w:t>
      </w:r>
      <w:r w:rsidR="008A44EF" w:rsidRPr="00D14CD7">
        <w:rPr>
          <w:color w:val="000000" w:themeColor="text1"/>
        </w:rPr>
        <w:t>,</w:t>
      </w:r>
      <w:r w:rsidR="00E00035" w:rsidRPr="00D14CD7">
        <w:rPr>
          <w:color w:val="000000" w:themeColor="text1"/>
        </w:rPr>
        <w:t xml:space="preserve"> </w:t>
      </w:r>
      <w:r w:rsidR="008A44EF" w:rsidRPr="00D14CD7">
        <w:rPr>
          <w:color w:val="000000" w:themeColor="text1"/>
        </w:rPr>
        <w:t>on eat-out activity patterns.</w:t>
      </w:r>
      <w:r w:rsidR="006F2781" w:rsidRPr="00D14CD7">
        <w:rPr>
          <w:color w:val="000000" w:themeColor="text1"/>
        </w:rPr>
        <w:t xml:space="preserve"> The consideration of BE effects</w:t>
      </w:r>
      <w:r w:rsidR="0094173D" w:rsidRPr="00D14CD7">
        <w:rPr>
          <w:color w:val="000000" w:themeColor="text1"/>
        </w:rPr>
        <w:t xml:space="preserve"> </w:t>
      </w:r>
      <w:r w:rsidR="006F2781" w:rsidRPr="00D14CD7">
        <w:rPr>
          <w:color w:val="000000" w:themeColor="text1"/>
        </w:rPr>
        <w:t xml:space="preserve">provides insights </w:t>
      </w:r>
      <w:r w:rsidR="00794B61" w:rsidRPr="00D14CD7">
        <w:rPr>
          <w:color w:val="000000" w:themeColor="text1"/>
        </w:rPr>
        <w:t>into</w:t>
      </w:r>
      <w:r w:rsidR="006F2781" w:rsidRPr="00D14CD7">
        <w:rPr>
          <w:color w:val="000000" w:themeColor="text1"/>
        </w:rPr>
        <w:t xml:space="preserve"> land-use and zoning policies. </w:t>
      </w:r>
      <w:r w:rsidR="008A44EF" w:rsidRPr="00D14CD7">
        <w:rPr>
          <w:color w:val="000000" w:themeColor="text1"/>
        </w:rPr>
        <w:t xml:space="preserve">From a </w:t>
      </w:r>
      <w:r w:rsidR="008A44EF" w:rsidRPr="00D14CD7">
        <w:rPr>
          <w:color w:val="000000" w:themeColor="text1"/>
          <w:u w:val="single"/>
        </w:rPr>
        <w:t>public health perspective</w:t>
      </w:r>
      <w:r w:rsidR="008A44EF" w:rsidRPr="00D14CD7">
        <w:rPr>
          <w:color w:val="000000" w:themeColor="text1"/>
        </w:rPr>
        <w:t>, non-home</w:t>
      </w:r>
      <w:r w:rsidR="00794B61" w:rsidRPr="00D14CD7">
        <w:rPr>
          <w:color w:val="000000" w:themeColor="text1"/>
        </w:rPr>
        <w:t>-</w:t>
      </w:r>
      <w:r w:rsidR="008A44EF" w:rsidRPr="00D14CD7">
        <w:rPr>
          <w:color w:val="000000" w:themeColor="text1"/>
        </w:rPr>
        <w:t>cooked meals are generally associated with poorer diet quality than home-cooked meals (see</w:t>
      </w:r>
      <w:r w:rsidR="00297319" w:rsidRPr="00D14CD7">
        <w:rPr>
          <w:color w:val="000000" w:themeColor="text1"/>
        </w:rPr>
        <w:t xml:space="preserve"> </w:t>
      </w:r>
      <w:r w:rsidR="00794B61" w:rsidRPr="00D14CD7">
        <w:rPr>
          <w:color w:val="000000" w:themeColor="text1"/>
        </w:rPr>
        <w:fldChar w:fldCharType="begin"/>
      </w:r>
      <w:r w:rsidR="00794B61" w:rsidRPr="00D14CD7">
        <w:rPr>
          <w:color w:val="000000" w:themeColor="text1"/>
        </w:rPr>
        <w:instrText xml:space="preserve"> ADDIN ZOTERO_ITEM CSL_CITATION {"citationID":"LRxUKdbn","properties":{"formattedCitation":"(Wellard-Cole et al., 2022)","plainCitation":"(Wellard-Cole et al., 2022)","dontUpdate":true,"noteIndex":0},"citationItems":[{"id":839,"uris":["http://zotero.org/users/9292995/items/KBUQ2N8K"],"itemData":{"id":839,"type":"article-journal","container-title":"Critical Reviews in Food Science and Nutrition","ISSN":"1040-8398","issue":"20","journalAbbreviation":"Critical Reviews in Food Science and Nutrition","note":"publisher: Taylor &amp; Francis","page":"5511-5522","title":"Contribution of foods prepared away from home to intakes of energy and nutrients of public health concern in adults: A systematic review","volume":"62","author":[{"family":"Wellard-Cole","given":"Lyndal"},{"family":"Davies","given":"Alyse"},{"family":"Allman-Farinelli","given":"Margaret"}],"issued":{"date-parts":[["2022"]]}}}],"schema":"https://github.com/citation-style-language/schema/raw/master/csl-citation.json"} </w:instrText>
      </w:r>
      <w:r w:rsidR="00794B61" w:rsidRPr="00D14CD7">
        <w:rPr>
          <w:color w:val="000000" w:themeColor="text1"/>
        </w:rPr>
        <w:fldChar w:fldCharType="separate"/>
      </w:r>
      <w:r w:rsidR="00794B61" w:rsidRPr="00D14CD7">
        <w:rPr>
          <w:color w:val="000000" w:themeColor="text1"/>
        </w:rPr>
        <w:t>Wellard-Cole et al., 2022</w:t>
      </w:r>
      <w:r w:rsidR="00794B61" w:rsidRPr="00D14CD7">
        <w:rPr>
          <w:color w:val="000000" w:themeColor="text1"/>
        </w:rPr>
        <w:fldChar w:fldCharType="end"/>
      </w:r>
      <w:r w:rsidR="00794B61" w:rsidRPr="00D14CD7">
        <w:rPr>
          <w:color w:val="000000" w:themeColor="text1"/>
        </w:rPr>
        <w:t xml:space="preserve"> </w:t>
      </w:r>
      <w:r w:rsidR="00297319" w:rsidRPr="00D14CD7">
        <w:rPr>
          <w:color w:val="000000" w:themeColor="text1"/>
        </w:rPr>
        <w:t>for an extensive review</w:t>
      </w:r>
      <w:r w:rsidR="008A44EF" w:rsidRPr="00D14CD7">
        <w:rPr>
          <w:color w:val="000000" w:themeColor="text1"/>
        </w:rPr>
        <w:t xml:space="preserve">). This is especially so for QSRs that typically offer affordable, but calorie-rich and nutrient-poor meals. Thus, the number of eat-outs and the patronage patterns by restaurant segment have implications for physical health. </w:t>
      </w:r>
      <w:r w:rsidR="00AF5AD7" w:rsidRPr="00D14CD7">
        <w:rPr>
          <w:color w:val="000000" w:themeColor="text1"/>
        </w:rPr>
        <w:t>Models such as the one estimated here can, therefore,</w:t>
      </w:r>
      <w:r w:rsidR="008A44EF" w:rsidRPr="00D14CD7">
        <w:rPr>
          <w:color w:val="000000" w:themeColor="text1"/>
        </w:rPr>
        <w:t xml:space="preserve"> uncover health disparities, particularly among specific groups such as dual-earner couples, single mothers, individuals with lower income, and racial/ethnic minorities. </w:t>
      </w:r>
      <w:r w:rsidR="00297319" w:rsidRPr="00D14CD7">
        <w:rPr>
          <w:color w:val="000000" w:themeColor="text1"/>
        </w:rPr>
        <w:t xml:space="preserve">From a </w:t>
      </w:r>
      <w:r w:rsidR="00297319" w:rsidRPr="00D14CD7">
        <w:rPr>
          <w:color w:val="000000" w:themeColor="text1"/>
          <w:u w:val="single"/>
        </w:rPr>
        <w:t>food services standpoint</w:t>
      </w:r>
      <w:r w:rsidR="00297319" w:rsidRPr="00D14CD7">
        <w:rPr>
          <w:color w:val="000000" w:themeColor="text1"/>
        </w:rPr>
        <w:t>, particularly after the onset of the pandemic, it is cr</w:t>
      </w:r>
      <w:r w:rsidR="00BF1FD2" w:rsidRPr="00D14CD7">
        <w:rPr>
          <w:color w:val="000000" w:themeColor="text1"/>
        </w:rPr>
        <w:t>itical</w:t>
      </w:r>
      <w:r w:rsidR="00297319" w:rsidRPr="00D14CD7">
        <w:rPr>
          <w:color w:val="000000" w:themeColor="text1"/>
        </w:rPr>
        <w:t xml:space="preserve"> that restauranteurs and food service professionals understand the factors that drive consumers to eat out and influence their restaurant segment selection, so they can cater to their customer base and implement effective marketing strategies </w:t>
      </w:r>
      <w:r w:rsidR="00297319" w:rsidRPr="00D14CD7">
        <w:rPr>
          <w:color w:val="000000" w:themeColor="text1"/>
        </w:rPr>
        <w:fldChar w:fldCharType="begin"/>
      </w:r>
      <w:r w:rsidR="005970AF" w:rsidRPr="00D14CD7">
        <w:rPr>
          <w:color w:val="000000" w:themeColor="text1"/>
        </w:rPr>
        <w:instrText xml:space="preserve"> ADDIN ZOTERO_ITEM CSL_CITATION {"citationID":"sX6hDLkt","properties":{"formattedCitation":"(Chua et al., 2020; Ha &amp; Jang, 2013)","plainCitation":"(Chua et al., 2020; Ha &amp; Jang, 2013)","dontUpdate":true,"noteIndex":0},"citationItems":[{"id":450,"uris":["http://zotero.org/users/9292995/items/XYHEQWLY"],"itemData":{"id":450,"type":"article-journal","container-title":"International journal of environmental research and public health","issue":"17","journalAbbreviation":"International journal of environmental research and public health","note":"publisher: Multidisciplinary Digital Publishing Institute","page":"6276","title":"Customer restaurant choice: an empirical analysis of restaurant types and eating-out occasions","volume":"17","author":[{"family":"Chua","given":"Bee-Lia"},{"family":"Karim","given":"Shahrim"},{"family":"Lee","given":"Sanghyeop"},{"family":"Han","given":"Heesup"}],"issued":{"date-parts":[["2020"]]}}},{"id":451,"uris":["http://zotero.org/users/9292995/items/KQXYEPRI"],"itemData":{"id":451,"type":"article-journal","container-title":"International Journal of Contemporary Hospitality Management","ISSN":"0959-6119","journalAbbreviation":"International Journal of Contemporary Hospitality Management","note":"publisher: Emerald Group Publishing Limited","title":"Attributes, consequences, and consumer values: A means‐end chain approach across restaurant segments","author":[{"family":"Ha","given":"Jooyeon"},{"family":"Jang","given":"SooCheong Shawn"}],"issued":{"date-parts":[["2013"]]}}}],"schema":"https://github.com/citation-style-language/schema/raw/master/csl-citation.json"} </w:instrText>
      </w:r>
      <w:r w:rsidR="00297319" w:rsidRPr="00D14CD7">
        <w:rPr>
          <w:color w:val="000000" w:themeColor="text1"/>
        </w:rPr>
        <w:fldChar w:fldCharType="separate"/>
      </w:r>
      <w:r w:rsidR="008F1E84" w:rsidRPr="00D14CD7">
        <w:rPr>
          <w:color w:val="000000" w:themeColor="text1"/>
        </w:rPr>
        <w:t>(Chua et al., 2020</w:t>
      </w:r>
      <w:r w:rsidR="00794B61" w:rsidRPr="00D14CD7">
        <w:rPr>
          <w:color w:val="000000" w:themeColor="text1"/>
        </w:rPr>
        <w:t>,</w:t>
      </w:r>
      <w:r w:rsidR="008F1E84" w:rsidRPr="00D14CD7">
        <w:rPr>
          <w:color w:val="000000" w:themeColor="text1"/>
        </w:rPr>
        <w:t xml:space="preserve"> Ha </w:t>
      </w:r>
      <w:r w:rsidR="00794B61" w:rsidRPr="00D14CD7">
        <w:rPr>
          <w:color w:val="000000" w:themeColor="text1"/>
        </w:rPr>
        <w:t>and</w:t>
      </w:r>
      <w:r w:rsidR="008F1E84" w:rsidRPr="00D14CD7">
        <w:rPr>
          <w:color w:val="000000" w:themeColor="text1"/>
        </w:rPr>
        <w:t xml:space="preserve"> Jang, 2013)</w:t>
      </w:r>
      <w:r w:rsidR="00297319" w:rsidRPr="00D14CD7">
        <w:rPr>
          <w:color w:val="000000" w:themeColor="text1"/>
        </w:rPr>
        <w:fldChar w:fldCharType="end"/>
      </w:r>
      <w:r w:rsidR="00297319" w:rsidRPr="00D14CD7">
        <w:rPr>
          <w:color w:val="000000" w:themeColor="text1"/>
        </w:rPr>
        <w:t>. Such insights</w:t>
      </w:r>
      <w:r w:rsidR="0062204E" w:rsidRPr="00D14CD7">
        <w:rPr>
          <w:color w:val="000000" w:themeColor="text1"/>
        </w:rPr>
        <w:t>, to be accurate,</w:t>
      </w:r>
      <w:r w:rsidR="00297319" w:rsidRPr="00D14CD7">
        <w:rPr>
          <w:color w:val="000000" w:themeColor="text1"/>
        </w:rPr>
        <w:t xml:space="preserve"> need to accommodate satiation effects in restaurant type choice, recognizing that decisions regarding segment choice are not</w:t>
      </w:r>
      <w:r w:rsidR="0062204E" w:rsidRPr="00D14CD7">
        <w:rPr>
          <w:color w:val="000000" w:themeColor="text1"/>
        </w:rPr>
        <w:t xml:space="preserve"> </w:t>
      </w:r>
      <w:r w:rsidR="00297319" w:rsidRPr="00D14CD7">
        <w:rPr>
          <w:color w:val="000000" w:themeColor="text1"/>
        </w:rPr>
        <w:t>single discrete choice</w:t>
      </w:r>
      <w:r w:rsidR="0062204E" w:rsidRPr="00D14CD7">
        <w:rPr>
          <w:color w:val="000000" w:themeColor="text1"/>
        </w:rPr>
        <w:t xml:space="preserve"> occasions in a vertical process over time</w:t>
      </w:r>
      <w:r w:rsidR="00297319" w:rsidRPr="00D14CD7">
        <w:rPr>
          <w:color w:val="000000" w:themeColor="text1"/>
        </w:rPr>
        <w:t xml:space="preserve">, but </w:t>
      </w:r>
      <w:r w:rsidR="0062204E" w:rsidRPr="00D14CD7">
        <w:rPr>
          <w:color w:val="000000" w:themeColor="text1"/>
        </w:rPr>
        <w:t xml:space="preserve">constitute a deliberate </w:t>
      </w:r>
      <w:r w:rsidR="0068023F">
        <w:rPr>
          <w:color w:val="000000" w:themeColor="text1"/>
        </w:rPr>
        <w:t>“</w:t>
      </w:r>
      <w:r w:rsidR="0062204E" w:rsidRPr="00D14CD7">
        <w:rPr>
          <w:color w:val="000000" w:themeColor="text1"/>
        </w:rPr>
        <w:t>at-once</w:t>
      </w:r>
      <w:r w:rsidR="0068023F">
        <w:rPr>
          <w:color w:val="000000" w:themeColor="text1"/>
        </w:rPr>
        <w:t>”</w:t>
      </w:r>
      <w:r w:rsidR="0062204E" w:rsidRPr="00D14CD7">
        <w:rPr>
          <w:color w:val="000000" w:themeColor="text1"/>
        </w:rPr>
        <w:t xml:space="preserve"> horizontal choice of a portfolio of restaurant segment participation occasions over a period of time.</w:t>
      </w:r>
      <w:r w:rsidR="00A430D7" w:rsidRPr="00D14CD7">
        <w:rPr>
          <w:color w:val="000000" w:themeColor="text1"/>
        </w:rPr>
        <w:t xml:space="preserve"> </w:t>
      </w:r>
    </w:p>
    <w:bookmarkEnd w:id="18"/>
    <w:p w14:paraId="33C6040C" w14:textId="77777777" w:rsidR="00D2328A" w:rsidRPr="00D14CD7" w:rsidRDefault="00D2328A" w:rsidP="0068023F">
      <w:pPr>
        <w:spacing w:after="0" w:line="240" w:lineRule="auto"/>
        <w:ind w:firstLine="720"/>
        <w:rPr>
          <w:color w:val="000000" w:themeColor="text1"/>
        </w:rPr>
      </w:pPr>
    </w:p>
    <w:bookmarkEnd w:id="2"/>
    <w:p w14:paraId="0B84CFD9" w14:textId="1BDCFF98" w:rsidR="00B52D1C" w:rsidRPr="00D14CD7" w:rsidRDefault="008734AD" w:rsidP="0068023F">
      <w:pPr>
        <w:pStyle w:val="Heading1"/>
        <w:spacing w:after="0" w:line="240" w:lineRule="auto"/>
        <w:rPr>
          <w:color w:val="000000" w:themeColor="text1"/>
        </w:rPr>
      </w:pPr>
      <w:r w:rsidRPr="00D14CD7">
        <w:rPr>
          <w:color w:val="000000" w:themeColor="text1"/>
        </w:rPr>
        <w:t>THE DATA</w:t>
      </w:r>
    </w:p>
    <w:p w14:paraId="1D03EA1A" w14:textId="43504160" w:rsidR="00B52D1C" w:rsidRPr="00D14CD7" w:rsidRDefault="00B52D1C" w:rsidP="0068023F">
      <w:pPr>
        <w:pStyle w:val="Heading2"/>
        <w:spacing w:before="0" w:after="0" w:line="240" w:lineRule="auto"/>
        <w:rPr>
          <w:color w:val="000000" w:themeColor="text1"/>
        </w:rPr>
      </w:pPr>
      <w:r w:rsidRPr="00D14CD7">
        <w:rPr>
          <w:color w:val="000000" w:themeColor="text1"/>
        </w:rPr>
        <w:t xml:space="preserve"> The Survey</w:t>
      </w:r>
    </w:p>
    <w:p w14:paraId="78E8CB8D" w14:textId="2C79F758" w:rsidR="00670008" w:rsidRPr="00D14CD7" w:rsidRDefault="003904D7" w:rsidP="0068023F">
      <w:pPr>
        <w:spacing w:after="60" w:line="240" w:lineRule="auto"/>
        <w:rPr>
          <w:color w:val="000000" w:themeColor="text1"/>
        </w:rPr>
      </w:pPr>
      <w:r w:rsidRPr="00D14CD7">
        <w:rPr>
          <w:color w:val="000000" w:themeColor="text1"/>
        </w:rPr>
        <w:t xml:space="preserve">The data for our analysis is obtained from </w:t>
      </w:r>
      <w:r w:rsidR="00670008" w:rsidRPr="00D14CD7">
        <w:rPr>
          <w:color w:val="000000" w:themeColor="text1"/>
        </w:rPr>
        <w:t xml:space="preserve">a 2022 online survey </w:t>
      </w:r>
      <w:r w:rsidRPr="00D14CD7">
        <w:rPr>
          <w:color w:val="000000" w:themeColor="text1"/>
        </w:rPr>
        <w:t xml:space="preserve">undertaken between </w:t>
      </w:r>
      <w:r w:rsidR="00670008" w:rsidRPr="00D14CD7">
        <w:rPr>
          <w:color w:val="000000" w:themeColor="text1"/>
        </w:rPr>
        <w:t xml:space="preserve">mid-February </w:t>
      </w:r>
      <w:r w:rsidRPr="00D14CD7">
        <w:rPr>
          <w:color w:val="000000" w:themeColor="text1"/>
        </w:rPr>
        <w:t>and</w:t>
      </w:r>
      <w:r w:rsidR="00670008" w:rsidRPr="00D14CD7">
        <w:rPr>
          <w:color w:val="000000" w:themeColor="text1"/>
        </w:rPr>
        <w:t xml:space="preserve"> mid-March in the state of Texas, U.S. </w:t>
      </w:r>
      <w:r w:rsidR="009F2F62" w:rsidRPr="00D14CD7">
        <w:rPr>
          <w:color w:val="000000" w:themeColor="text1"/>
        </w:rPr>
        <w:t>The survey was restricted to Texas residents</w:t>
      </w:r>
      <w:r w:rsidRPr="00D14CD7">
        <w:rPr>
          <w:color w:val="000000" w:themeColor="text1"/>
        </w:rPr>
        <w:t>, and was promoted via e-mail to several chambers of commerce across the state of Texas, alongside other businesses, professional organizations, and media outlets, as well as a database of roughly 55,000 Texas residents’ email addresses.</w:t>
      </w:r>
      <w:r w:rsidR="009F2F62" w:rsidRPr="00D14CD7">
        <w:rPr>
          <w:color w:val="000000" w:themeColor="text1"/>
        </w:rPr>
        <w:t xml:space="preserve"> </w:t>
      </w:r>
      <w:r w:rsidR="00670008" w:rsidRPr="00D14CD7">
        <w:rPr>
          <w:color w:val="000000" w:themeColor="text1"/>
        </w:rPr>
        <w:t>The survey collected detailed information about respondents’</w:t>
      </w:r>
      <w:r w:rsidR="00537CDF" w:rsidRPr="00D14CD7">
        <w:rPr>
          <w:color w:val="000000" w:themeColor="text1"/>
        </w:rPr>
        <w:t xml:space="preserve"> </w:t>
      </w:r>
      <w:r w:rsidR="00670008" w:rsidRPr="00D14CD7">
        <w:rPr>
          <w:color w:val="000000" w:themeColor="text1"/>
        </w:rPr>
        <w:t>individual and household socio</w:t>
      </w:r>
      <w:r w:rsidR="005C7376" w:rsidRPr="00D14CD7">
        <w:rPr>
          <w:color w:val="000000" w:themeColor="text1"/>
        </w:rPr>
        <w:t>-</w:t>
      </w:r>
      <w:r w:rsidR="00670008" w:rsidRPr="00D14CD7">
        <w:rPr>
          <w:color w:val="000000" w:themeColor="text1"/>
        </w:rPr>
        <w:t xml:space="preserve">demographics, residential characteristics, employment arrangements, </w:t>
      </w:r>
      <w:r w:rsidR="008E3C7B" w:rsidRPr="00D14CD7">
        <w:rPr>
          <w:color w:val="000000" w:themeColor="text1"/>
        </w:rPr>
        <w:t xml:space="preserve">and </w:t>
      </w:r>
      <w:r w:rsidR="00670008" w:rsidRPr="00D14CD7">
        <w:rPr>
          <w:color w:val="000000" w:themeColor="text1"/>
        </w:rPr>
        <w:t xml:space="preserve">perception of the threat of COVID-19, </w:t>
      </w:r>
      <w:r w:rsidR="00537CDF" w:rsidRPr="00D14CD7">
        <w:rPr>
          <w:color w:val="000000" w:themeColor="text1"/>
        </w:rPr>
        <w:t>in addition to</w:t>
      </w:r>
      <w:r w:rsidR="00670008" w:rsidRPr="00D14CD7">
        <w:rPr>
          <w:color w:val="000000" w:themeColor="text1"/>
        </w:rPr>
        <w:t xml:space="preserve"> revealed preferences (RP) regarding weekday dinner eat</w:t>
      </w:r>
      <w:r w:rsidR="00537CDF" w:rsidRPr="00D14CD7">
        <w:rPr>
          <w:color w:val="000000" w:themeColor="text1"/>
        </w:rPr>
        <w:t>-</w:t>
      </w:r>
      <w:r w:rsidR="00670008" w:rsidRPr="00D14CD7">
        <w:rPr>
          <w:color w:val="000000" w:themeColor="text1"/>
        </w:rPr>
        <w:t>out activity participation over one month. Specifically, the survey asked the following questions</w:t>
      </w:r>
      <w:r w:rsidR="00FF558F" w:rsidRPr="00D14CD7">
        <w:rPr>
          <w:color w:val="000000" w:themeColor="text1"/>
        </w:rPr>
        <w:t xml:space="preserve"> to solicit </w:t>
      </w:r>
      <w:r w:rsidR="008E3C7B" w:rsidRPr="00D14CD7">
        <w:rPr>
          <w:color w:val="000000" w:themeColor="text1"/>
        </w:rPr>
        <w:t xml:space="preserve">the total count of monthly weekday dinner eat-out occasions </w:t>
      </w:r>
      <w:r w:rsidR="00FF558F" w:rsidRPr="00D14CD7">
        <w:rPr>
          <w:color w:val="000000" w:themeColor="text1"/>
        </w:rPr>
        <w:t>(</w:t>
      </w:r>
      <w:r w:rsidR="008E3C7B" w:rsidRPr="00D14CD7">
        <w:rPr>
          <w:color w:val="000000" w:themeColor="text1"/>
        </w:rPr>
        <w:t>i.e. total eat-outs</w:t>
      </w:r>
      <w:r w:rsidR="00FF558F" w:rsidRPr="00D14CD7">
        <w:rPr>
          <w:color w:val="000000" w:themeColor="text1"/>
        </w:rPr>
        <w:t xml:space="preserve">) and the count of </w:t>
      </w:r>
      <w:r w:rsidR="003943FF" w:rsidRPr="00D14CD7">
        <w:rPr>
          <w:color w:val="000000" w:themeColor="text1"/>
        </w:rPr>
        <w:t>eat-out occasions</w:t>
      </w:r>
      <w:r w:rsidR="00FF558F" w:rsidRPr="00D14CD7">
        <w:rPr>
          <w:color w:val="000000" w:themeColor="text1"/>
        </w:rPr>
        <w:t xml:space="preserve"> at </w:t>
      </w:r>
      <w:r w:rsidR="002F2DD6" w:rsidRPr="00D14CD7">
        <w:rPr>
          <w:color w:val="000000" w:themeColor="text1"/>
        </w:rPr>
        <w:t xml:space="preserve">each of the </w:t>
      </w:r>
      <w:r w:rsidR="00FF558F" w:rsidRPr="00D14CD7">
        <w:rPr>
          <w:color w:val="000000" w:themeColor="text1"/>
        </w:rPr>
        <w:t>four different restaurant segments</w:t>
      </w:r>
      <w:r w:rsidR="002F2DD6" w:rsidRPr="00D14CD7">
        <w:rPr>
          <w:color w:val="000000" w:themeColor="text1"/>
        </w:rPr>
        <w:t>. The relevant survey questions include the following:</w:t>
      </w:r>
    </w:p>
    <w:p w14:paraId="4BA31C4E" w14:textId="4DDF17AE" w:rsidR="005C7376" w:rsidRPr="00D14CD7" w:rsidRDefault="00670008" w:rsidP="0068023F">
      <w:pPr>
        <w:pStyle w:val="ListParagraph"/>
        <w:numPr>
          <w:ilvl w:val="0"/>
          <w:numId w:val="12"/>
        </w:numPr>
        <w:spacing w:after="60" w:line="240" w:lineRule="auto"/>
        <w:rPr>
          <w:color w:val="000000" w:themeColor="text1"/>
        </w:rPr>
      </w:pPr>
      <w:r w:rsidRPr="00D14CD7">
        <w:rPr>
          <w:color w:val="000000" w:themeColor="text1"/>
        </w:rPr>
        <w:t xml:space="preserve">In the past month, across weekdays (that is, not counting weekend trips), how many times </w:t>
      </w:r>
      <w:r w:rsidR="005C7376" w:rsidRPr="00D14CD7">
        <w:rPr>
          <w:color w:val="000000" w:themeColor="text1"/>
        </w:rPr>
        <w:t>did you go out to eat for dinner?</w:t>
      </w:r>
    </w:p>
    <w:p w14:paraId="029C5265" w14:textId="19D1F085" w:rsidR="005C7376" w:rsidRPr="00D14CD7" w:rsidRDefault="005C7376" w:rsidP="0068023F">
      <w:pPr>
        <w:pStyle w:val="ListParagraph"/>
        <w:numPr>
          <w:ilvl w:val="0"/>
          <w:numId w:val="12"/>
        </w:numPr>
        <w:spacing w:after="0" w:line="240" w:lineRule="auto"/>
        <w:rPr>
          <w:color w:val="000000" w:themeColor="text1"/>
        </w:rPr>
      </w:pPr>
      <w:r w:rsidRPr="00D14CD7">
        <w:rPr>
          <w:color w:val="000000" w:themeColor="text1"/>
        </w:rPr>
        <w:t>Please break down your eat-out dinner occasions by restaurant type:</w:t>
      </w:r>
    </w:p>
    <w:p w14:paraId="2604E01B" w14:textId="6065A433" w:rsidR="005C7376" w:rsidRPr="00D14CD7" w:rsidRDefault="005C7376" w:rsidP="0068023F">
      <w:pPr>
        <w:pStyle w:val="ListParagraph"/>
        <w:numPr>
          <w:ilvl w:val="1"/>
          <w:numId w:val="12"/>
        </w:numPr>
        <w:spacing w:after="0" w:line="240" w:lineRule="auto"/>
        <w:rPr>
          <w:color w:val="000000" w:themeColor="text1"/>
        </w:rPr>
      </w:pPr>
      <w:r w:rsidRPr="00D14CD7">
        <w:rPr>
          <w:color w:val="000000" w:themeColor="text1"/>
        </w:rPr>
        <w:t>Fast food/food truck</w:t>
      </w:r>
    </w:p>
    <w:p w14:paraId="36591105" w14:textId="17595D3B" w:rsidR="005C7376" w:rsidRPr="00D14CD7" w:rsidRDefault="005C7376" w:rsidP="0068023F">
      <w:pPr>
        <w:pStyle w:val="ListParagraph"/>
        <w:numPr>
          <w:ilvl w:val="1"/>
          <w:numId w:val="12"/>
        </w:numPr>
        <w:spacing w:after="0" w:line="240" w:lineRule="auto"/>
        <w:rPr>
          <w:color w:val="000000" w:themeColor="text1"/>
        </w:rPr>
      </w:pPr>
      <w:r w:rsidRPr="00D14CD7">
        <w:rPr>
          <w:color w:val="000000" w:themeColor="text1"/>
        </w:rPr>
        <w:t>Café/coffee shop</w:t>
      </w:r>
    </w:p>
    <w:p w14:paraId="5A5A4C44" w14:textId="7574B175" w:rsidR="005C7376" w:rsidRPr="00D14CD7" w:rsidRDefault="005C7376" w:rsidP="0068023F">
      <w:pPr>
        <w:pStyle w:val="ListParagraph"/>
        <w:numPr>
          <w:ilvl w:val="1"/>
          <w:numId w:val="12"/>
        </w:numPr>
        <w:spacing w:after="0" w:line="240" w:lineRule="auto"/>
        <w:rPr>
          <w:color w:val="000000" w:themeColor="text1"/>
        </w:rPr>
      </w:pPr>
      <w:r w:rsidRPr="00D14CD7">
        <w:rPr>
          <w:color w:val="000000" w:themeColor="text1"/>
        </w:rPr>
        <w:lastRenderedPageBreak/>
        <w:t>Casual sit-in restaurant</w:t>
      </w:r>
    </w:p>
    <w:p w14:paraId="18C8CCA5" w14:textId="50D58F08" w:rsidR="005C7376" w:rsidRPr="00D14CD7" w:rsidRDefault="005C7376" w:rsidP="0068023F">
      <w:pPr>
        <w:pStyle w:val="ListParagraph"/>
        <w:numPr>
          <w:ilvl w:val="1"/>
          <w:numId w:val="12"/>
        </w:numPr>
        <w:spacing w:after="60" w:line="240" w:lineRule="auto"/>
        <w:rPr>
          <w:color w:val="000000" w:themeColor="text1"/>
        </w:rPr>
      </w:pPr>
      <w:r w:rsidRPr="00D14CD7">
        <w:rPr>
          <w:color w:val="000000" w:themeColor="text1"/>
        </w:rPr>
        <w:t>Fine/luxury dining restaurant</w:t>
      </w:r>
    </w:p>
    <w:p w14:paraId="56D6D374" w14:textId="77777777" w:rsidR="00540E05" w:rsidRPr="00D14CD7" w:rsidRDefault="003904D7" w:rsidP="0068023F">
      <w:pPr>
        <w:spacing w:after="0" w:line="240" w:lineRule="auto"/>
        <w:ind w:firstLine="720"/>
        <w:rPr>
          <w:color w:val="000000" w:themeColor="text1"/>
        </w:rPr>
      </w:pPr>
      <w:r w:rsidRPr="00D14CD7">
        <w:rPr>
          <w:color w:val="000000" w:themeColor="text1"/>
        </w:rPr>
        <w:t xml:space="preserve">A total of over 1,479 responses were </w:t>
      </w:r>
      <w:r w:rsidR="00341C20" w:rsidRPr="00D14CD7">
        <w:rPr>
          <w:color w:val="000000" w:themeColor="text1"/>
        </w:rPr>
        <w:t xml:space="preserve">obtained </w:t>
      </w:r>
      <w:r w:rsidRPr="00D14CD7">
        <w:rPr>
          <w:color w:val="000000" w:themeColor="text1"/>
        </w:rPr>
        <w:t xml:space="preserve">through the survey effort. However, 387 individuals did not respond to the </w:t>
      </w:r>
      <w:r w:rsidR="00341C20" w:rsidRPr="00D14CD7">
        <w:rPr>
          <w:color w:val="000000" w:themeColor="text1"/>
        </w:rPr>
        <w:t xml:space="preserve">dining-related questions </w:t>
      </w:r>
      <w:r w:rsidRPr="00D14CD7">
        <w:rPr>
          <w:color w:val="000000" w:themeColor="text1"/>
        </w:rPr>
        <w:t xml:space="preserve">or provided a count that exceeded the number of weekdays in a month and/or did not provide information on </w:t>
      </w:r>
      <w:r w:rsidR="00341C20" w:rsidRPr="00D14CD7">
        <w:rPr>
          <w:color w:val="000000" w:themeColor="text1"/>
        </w:rPr>
        <w:t>basic socio</w:t>
      </w:r>
      <w:r w:rsidR="003F34DD" w:rsidRPr="00D14CD7">
        <w:rPr>
          <w:color w:val="000000" w:themeColor="text1"/>
        </w:rPr>
        <w:t>-</w:t>
      </w:r>
      <w:r w:rsidR="00341C20" w:rsidRPr="00D14CD7">
        <w:rPr>
          <w:color w:val="000000" w:themeColor="text1"/>
        </w:rPr>
        <w:t xml:space="preserve">demographics and </w:t>
      </w:r>
      <w:r w:rsidRPr="00D14CD7">
        <w:rPr>
          <w:color w:val="000000" w:themeColor="text1"/>
        </w:rPr>
        <w:t>job-related questions. The final sample included 1,092 individuals.</w:t>
      </w:r>
    </w:p>
    <w:p w14:paraId="0F6A03E8" w14:textId="50AB4DDC" w:rsidR="00084812" w:rsidRPr="00D14CD7" w:rsidRDefault="003904D7" w:rsidP="0068023F">
      <w:pPr>
        <w:spacing w:after="0" w:line="240" w:lineRule="auto"/>
        <w:rPr>
          <w:color w:val="000000" w:themeColor="text1"/>
        </w:rPr>
      </w:pPr>
      <w:r w:rsidRPr="00D14CD7">
        <w:rPr>
          <w:color w:val="000000" w:themeColor="text1"/>
        </w:rPr>
        <w:t xml:space="preserve"> </w:t>
      </w:r>
    </w:p>
    <w:p w14:paraId="62361973" w14:textId="679E81FF" w:rsidR="00B52D1C" w:rsidRPr="00D14CD7" w:rsidRDefault="00B52D1C" w:rsidP="0068023F">
      <w:pPr>
        <w:pStyle w:val="Heading2"/>
        <w:spacing w:before="0" w:after="0" w:line="240" w:lineRule="auto"/>
        <w:rPr>
          <w:color w:val="000000" w:themeColor="text1"/>
        </w:rPr>
      </w:pPr>
      <w:r w:rsidRPr="00D14CD7">
        <w:rPr>
          <w:color w:val="000000" w:themeColor="text1"/>
        </w:rPr>
        <w:t xml:space="preserve"> </w:t>
      </w:r>
      <w:r w:rsidR="00CC20FC" w:rsidRPr="00D14CD7">
        <w:rPr>
          <w:color w:val="000000" w:themeColor="text1"/>
        </w:rPr>
        <w:t>Endogenous</w:t>
      </w:r>
      <w:r w:rsidR="002F2DD6" w:rsidRPr="00D14CD7">
        <w:rPr>
          <w:color w:val="000000" w:themeColor="text1"/>
        </w:rPr>
        <w:t xml:space="preserve"> Outcome</w:t>
      </w:r>
      <w:r w:rsidRPr="00D14CD7">
        <w:rPr>
          <w:color w:val="000000" w:themeColor="text1"/>
        </w:rPr>
        <w:t xml:space="preserve"> Variables</w:t>
      </w:r>
    </w:p>
    <w:p w14:paraId="1E5E53F9" w14:textId="7074371C" w:rsidR="003943FF" w:rsidRPr="00D14CD7" w:rsidRDefault="00341C20" w:rsidP="0068023F">
      <w:pPr>
        <w:autoSpaceDE w:val="0"/>
        <w:autoSpaceDN w:val="0"/>
        <w:adjustRightInd w:val="0"/>
        <w:spacing w:after="0" w:line="240" w:lineRule="auto"/>
        <w:rPr>
          <w:color w:val="000000" w:themeColor="text1"/>
        </w:rPr>
      </w:pPr>
      <w:r w:rsidRPr="00D14CD7">
        <w:rPr>
          <w:color w:val="000000" w:themeColor="text1"/>
        </w:rPr>
        <w:t>The endogenous outcome variables correspond to the monthly weekday dinner counts of eat-out by each of the four restaurant segments: QSR, C</w:t>
      </w:r>
      <w:r w:rsidR="000D12DD" w:rsidRPr="00D14CD7">
        <w:rPr>
          <w:color w:val="000000" w:themeColor="text1"/>
        </w:rPr>
        <w:t>H</w:t>
      </w:r>
      <w:r w:rsidRPr="00D14CD7">
        <w:rPr>
          <w:color w:val="000000" w:themeColor="text1"/>
        </w:rPr>
        <w:t>, CS</w:t>
      </w:r>
      <w:r w:rsidR="000D12DD" w:rsidRPr="00D14CD7">
        <w:rPr>
          <w:color w:val="000000" w:themeColor="text1"/>
        </w:rPr>
        <w:t>R</w:t>
      </w:r>
      <w:r w:rsidRPr="00D14CD7">
        <w:rPr>
          <w:color w:val="000000" w:themeColor="text1"/>
        </w:rPr>
        <w:t xml:space="preserve">, and FSR. </w:t>
      </w:r>
      <w:r w:rsidR="00F030EF" w:rsidRPr="00D14CD7">
        <w:rPr>
          <w:color w:val="000000" w:themeColor="text1"/>
        </w:rPr>
        <w:t>Table 2</w:t>
      </w:r>
      <w:r w:rsidR="0059050B" w:rsidRPr="00D14CD7">
        <w:rPr>
          <w:color w:val="000000" w:themeColor="text1"/>
        </w:rPr>
        <w:t xml:space="preserve"> </w:t>
      </w:r>
      <w:r w:rsidR="003943FF" w:rsidRPr="00D14CD7">
        <w:rPr>
          <w:color w:val="000000" w:themeColor="text1"/>
        </w:rPr>
        <w:t xml:space="preserve">presents the distribution </w:t>
      </w:r>
      <w:r w:rsidR="002F2DD6" w:rsidRPr="00D14CD7">
        <w:rPr>
          <w:color w:val="000000" w:themeColor="text1"/>
        </w:rPr>
        <w:t xml:space="preserve">of </w:t>
      </w:r>
      <w:r w:rsidR="00AF681C" w:rsidRPr="00D14CD7">
        <w:rPr>
          <w:color w:val="000000" w:themeColor="text1"/>
        </w:rPr>
        <w:t>total eat-outs</w:t>
      </w:r>
      <w:r w:rsidR="008E3C7B" w:rsidRPr="00D14CD7">
        <w:rPr>
          <w:color w:val="000000" w:themeColor="text1"/>
        </w:rPr>
        <w:t xml:space="preserve"> </w:t>
      </w:r>
      <w:r w:rsidR="002F2DD6" w:rsidRPr="00D14CD7">
        <w:rPr>
          <w:color w:val="000000" w:themeColor="text1"/>
        </w:rPr>
        <w:t>for</w:t>
      </w:r>
      <w:r w:rsidR="003943FF" w:rsidRPr="00D14CD7">
        <w:rPr>
          <w:color w:val="000000" w:themeColor="text1"/>
        </w:rPr>
        <w:t xml:space="preserve"> each of the four restaurant segment</w:t>
      </w:r>
      <w:r w:rsidR="008E3C7B" w:rsidRPr="00D14CD7">
        <w:rPr>
          <w:color w:val="000000" w:themeColor="text1"/>
        </w:rPr>
        <w:t>s</w:t>
      </w:r>
      <w:r w:rsidR="003943FF" w:rsidRPr="00D14CD7">
        <w:rPr>
          <w:color w:val="000000" w:themeColor="text1"/>
        </w:rPr>
        <w:t xml:space="preserve">. </w:t>
      </w:r>
      <w:r w:rsidR="008E3C7B" w:rsidRPr="00D14CD7">
        <w:rPr>
          <w:color w:val="000000" w:themeColor="text1"/>
        </w:rPr>
        <w:t xml:space="preserve">The </w:t>
      </w:r>
      <w:r w:rsidR="00D275C1" w:rsidRPr="00D14CD7">
        <w:rPr>
          <w:color w:val="000000" w:themeColor="text1"/>
        </w:rPr>
        <w:t>table</w:t>
      </w:r>
      <w:r w:rsidR="008E3C7B" w:rsidRPr="00D14CD7">
        <w:rPr>
          <w:color w:val="000000" w:themeColor="text1"/>
        </w:rPr>
        <w:t xml:space="preserve"> shows that</w:t>
      </w:r>
      <w:r w:rsidR="00F56BB9" w:rsidRPr="00D14CD7">
        <w:rPr>
          <w:color w:val="000000" w:themeColor="text1"/>
        </w:rPr>
        <w:t>,</w:t>
      </w:r>
      <w:r w:rsidR="008E3C7B" w:rsidRPr="00D14CD7">
        <w:rPr>
          <w:color w:val="000000" w:themeColor="text1"/>
        </w:rPr>
        <w:t xml:space="preserve"> a</w:t>
      </w:r>
      <w:r w:rsidR="003943FF" w:rsidRPr="00D14CD7">
        <w:rPr>
          <w:color w:val="000000" w:themeColor="text1"/>
        </w:rPr>
        <w:t xml:space="preserve">mong the 1,092 individuals in the sample, 284 (26.0%) individuals did not engage in any </w:t>
      </w:r>
      <w:r w:rsidR="00DA6097" w:rsidRPr="00D14CD7">
        <w:rPr>
          <w:color w:val="000000" w:themeColor="text1"/>
        </w:rPr>
        <w:t xml:space="preserve">dinner </w:t>
      </w:r>
      <w:r w:rsidR="003943FF" w:rsidRPr="00D14CD7">
        <w:rPr>
          <w:color w:val="000000" w:themeColor="text1"/>
        </w:rPr>
        <w:t>eat-out activities</w:t>
      </w:r>
      <w:r w:rsidR="00DA6097" w:rsidRPr="00D14CD7">
        <w:rPr>
          <w:color w:val="000000" w:themeColor="text1"/>
        </w:rPr>
        <w:t xml:space="preserve"> over the course of the month prior to the survey</w:t>
      </w:r>
      <w:r w:rsidR="003943FF" w:rsidRPr="00D14CD7">
        <w:rPr>
          <w:color w:val="000000" w:themeColor="text1"/>
        </w:rPr>
        <w:t>. The statistics also reveal that</w:t>
      </w:r>
      <w:r w:rsidR="00263DD0" w:rsidRPr="00D14CD7">
        <w:rPr>
          <w:color w:val="000000" w:themeColor="text1"/>
        </w:rPr>
        <w:t xml:space="preserve"> irrespective of the total count of eat-outs (the x-axis in </w:t>
      </w:r>
      <w:r w:rsidR="00F030EF" w:rsidRPr="00D14CD7">
        <w:rPr>
          <w:color w:val="000000" w:themeColor="text1"/>
        </w:rPr>
        <w:t>Table 2</w:t>
      </w:r>
      <w:r w:rsidR="00263DD0" w:rsidRPr="00D14CD7">
        <w:rPr>
          <w:color w:val="000000" w:themeColor="text1"/>
        </w:rPr>
        <w:t>)</w:t>
      </w:r>
      <w:r w:rsidR="00AF681C" w:rsidRPr="00D14CD7">
        <w:rPr>
          <w:color w:val="000000" w:themeColor="text1"/>
        </w:rPr>
        <w:t>,</w:t>
      </w:r>
      <w:r w:rsidR="003943FF" w:rsidRPr="00D14CD7">
        <w:rPr>
          <w:color w:val="000000" w:themeColor="text1"/>
        </w:rPr>
        <w:t xml:space="preserve"> the CSR segment is the most popular corresponding</w:t>
      </w:r>
      <w:r w:rsidR="008E3C7B" w:rsidRPr="00D14CD7">
        <w:rPr>
          <w:color w:val="000000" w:themeColor="text1"/>
        </w:rPr>
        <w:t>,</w:t>
      </w:r>
      <w:r w:rsidR="003943FF" w:rsidRPr="00D14CD7">
        <w:rPr>
          <w:color w:val="000000" w:themeColor="text1"/>
        </w:rPr>
        <w:t xml:space="preserve"> on average</w:t>
      </w:r>
      <w:r w:rsidR="008E3C7B" w:rsidRPr="00D14CD7">
        <w:rPr>
          <w:color w:val="000000" w:themeColor="text1"/>
        </w:rPr>
        <w:t>,</w:t>
      </w:r>
      <w:r w:rsidR="003943FF" w:rsidRPr="00D14CD7">
        <w:rPr>
          <w:color w:val="000000" w:themeColor="text1"/>
        </w:rPr>
        <w:t xml:space="preserve"> to 65% of eat-out activities</w:t>
      </w:r>
      <w:r w:rsidR="00263DD0" w:rsidRPr="00D14CD7">
        <w:rPr>
          <w:color w:val="000000" w:themeColor="text1"/>
        </w:rPr>
        <w:t xml:space="preserve">, followed by </w:t>
      </w:r>
      <w:r w:rsidR="008E3C7B" w:rsidRPr="00D14CD7">
        <w:rPr>
          <w:color w:val="000000" w:themeColor="text1"/>
        </w:rPr>
        <w:t xml:space="preserve">the </w:t>
      </w:r>
      <w:r w:rsidR="00263DD0" w:rsidRPr="00D14CD7">
        <w:rPr>
          <w:color w:val="000000" w:themeColor="text1"/>
        </w:rPr>
        <w:t>QSR segment</w:t>
      </w:r>
      <w:r w:rsidR="00BE151D" w:rsidRPr="00D14CD7">
        <w:rPr>
          <w:color w:val="000000" w:themeColor="text1"/>
        </w:rPr>
        <w:t>,</w:t>
      </w:r>
      <w:r w:rsidR="00263DD0" w:rsidRPr="00D14CD7">
        <w:rPr>
          <w:color w:val="000000" w:themeColor="text1"/>
        </w:rPr>
        <w:t xml:space="preserve"> which, on average, accounts for 19% of the eat-out occasions. </w:t>
      </w:r>
    </w:p>
    <w:p w14:paraId="2C41575B" w14:textId="38600EBE" w:rsidR="00540E05" w:rsidRPr="00D14CD7" w:rsidRDefault="00E56B42" w:rsidP="0068023F">
      <w:pPr>
        <w:spacing w:after="0" w:line="240" w:lineRule="auto"/>
        <w:ind w:firstLine="720"/>
        <w:rPr>
          <w:color w:val="000000" w:themeColor="text1"/>
        </w:rPr>
      </w:pPr>
      <w:bookmarkStart w:id="19" w:name="_Hlk171334227"/>
      <w:r w:rsidRPr="00D14CD7">
        <w:rPr>
          <w:color w:val="000000" w:themeColor="text1"/>
        </w:rPr>
        <w:t xml:space="preserve">Table </w:t>
      </w:r>
      <w:r w:rsidR="00F030EF" w:rsidRPr="00D14CD7">
        <w:rPr>
          <w:color w:val="000000" w:themeColor="text1"/>
        </w:rPr>
        <w:t>3</w:t>
      </w:r>
      <w:r w:rsidR="007218AE" w:rsidRPr="00D14CD7">
        <w:rPr>
          <w:color w:val="000000" w:themeColor="text1"/>
        </w:rPr>
        <w:t xml:space="preserve"> </w:t>
      </w:r>
      <w:r w:rsidR="00745023" w:rsidRPr="00D14CD7">
        <w:rPr>
          <w:color w:val="000000" w:themeColor="text1"/>
        </w:rPr>
        <w:t>highlights the multiple discret</w:t>
      </w:r>
      <w:r w:rsidR="002D7805" w:rsidRPr="00D14CD7">
        <w:rPr>
          <w:color w:val="000000" w:themeColor="text1"/>
        </w:rPr>
        <w:t>e</w:t>
      </w:r>
      <w:r w:rsidR="00745023" w:rsidRPr="00D14CD7">
        <w:rPr>
          <w:color w:val="000000" w:themeColor="text1"/>
        </w:rPr>
        <w:t>ness i</w:t>
      </w:r>
      <w:r w:rsidR="002D7805" w:rsidRPr="00D14CD7">
        <w:rPr>
          <w:color w:val="000000" w:themeColor="text1"/>
        </w:rPr>
        <w:t>n</w:t>
      </w:r>
      <w:r w:rsidR="00745023" w:rsidRPr="00D14CD7">
        <w:rPr>
          <w:color w:val="000000" w:themeColor="text1"/>
        </w:rPr>
        <w:t xml:space="preserve"> the data by </w:t>
      </w:r>
      <w:r w:rsidRPr="00D14CD7">
        <w:rPr>
          <w:color w:val="000000" w:themeColor="text1"/>
        </w:rPr>
        <w:t>examin</w:t>
      </w:r>
      <w:r w:rsidR="00745023" w:rsidRPr="00D14CD7">
        <w:rPr>
          <w:color w:val="000000" w:themeColor="text1"/>
        </w:rPr>
        <w:t>ing</w:t>
      </w:r>
      <w:r w:rsidRPr="00D14CD7">
        <w:rPr>
          <w:color w:val="000000" w:themeColor="text1"/>
        </w:rPr>
        <w:t xml:space="preserve"> the distinct number of different restaurant segments visited by </w:t>
      </w:r>
      <w:r w:rsidR="00B80B9B" w:rsidRPr="00D14CD7">
        <w:rPr>
          <w:color w:val="000000" w:themeColor="text1"/>
        </w:rPr>
        <w:t>individuals who eat out at least one time per month</w:t>
      </w:r>
      <w:r w:rsidRPr="00D14CD7">
        <w:rPr>
          <w:color w:val="000000" w:themeColor="text1"/>
        </w:rPr>
        <w:t>.</w:t>
      </w:r>
      <w:r w:rsidR="00B80B9B" w:rsidRPr="00D14CD7">
        <w:rPr>
          <w:color w:val="000000" w:themeColor="text1"/>
        </w:rPr>
        <w:t xml:space="preserve"> </w:t>
      </w:r>
      <w:r w:rsidR="00F56BB9" w:rsidRPr="00D14CD7">
        <w:rPr>
          <w:color w:val="000000" w:themeColor="text1"/>
        </w:rPr>
        <w:t>I</w:t>
      </w:r>
      <w:r w:rsidR="000B20F3" w:rsidRPr="00D14CD7">
        <w:rPr>
          <w:color w:val="000000" w:themeColor="text1"/>
        </w:rPr>
        <w:t xml:space="preserve">ndividuals who eat out frequently </w:t>
      </w:r>
      <w:r w:rsidR="00745023" w:rsidRPr="00D14CD7">
        <w:rPr>
          <w:color w:val="000000" w:themeColor="text1"/>
        </w:rPr>
        <w:t>are more likely</w:t>
      </w:r>
      <w:r w:rsidR="000B20F3" w:rsidRPr="00D14CD7">
        <w:rPr>
          <w:color w:val="000000" w:themeColor="text1"/>
        </w:rPr>
        <w:t xml:space="preserve"> to diversify their restaurant choices and visit multiple </w:t>
      </w:r>
      <w:r w:rsidR="00745023" w:rsidRPr="00D14CD7">
        <w:rPr>
          <w:color w:val="000000" w:themeColor="text1"/>
        </w:rPr>
        <w:t>segments</w:t>
      </w:r>
      <w:r w:rsidR="000B20F3" w:rsidRPr="00D14CD7">
        <w:rPr>
          <w:color w:val="000000" w:themeColor="text1"/>
        </w:rPr>
        <w:t>. For example, 4</w:t>
      </w:r>
      <w:r w:rsidR="00F56BB9" w:rsidRPr="00D14CD7">
        <w:rPr>
          <w:color w:val="000000" w:themeColor="text1"/>
        </w:rPr>
        <w:t>1.88</w:t>
      </w:r>
      <w:r w:rsidR="000B20F3" w:rsidRPr="00D14CD7">
        <w:rPr>
          <w:color w:val="000000" w:themeColor="text1"/>
        </w:rPr>
        <w:t>% of those who eat out twice a month choose to visit two different restaurant</w:t>
      </w:r>
      <w:r w:rsidR="00745023" w:rsidRPr="00D14CD7">
        <w:rPr>
          <w:color w:val="000000" w:themeColor="text1"/>
        </w:rPr>
        <w:t xml:space="preserve"> segments</w:t>
      </w:r>
      <w:r w:rsidR="000B20F3" w:rsidRPr="00D14CD7">
        <w:rPr>
          <w:color w:val="000000" w:themeColor="text1"/>
        </w:rPr>
        <w:t xml:space="preserve">, rather than always going to the same </w:t>
      </w:r>
      <w:r w:rsidR="00E44026" w:rsidRPr="00D14CD7">
        <w:rPr>
          <w:color w:val="000000" w:themeColor="text1"/>
        </w:rPr>
        <w:t>segment</w:t>
      </w:r>
      <w:r w:rsidR="000B20F3" w:rsidRPr="00D14CD7">
        <w:rPr>
          <w:color w:val="000000" w:themeColor="text1"/>
        </w:rPr>
        <w:t xml:space="preserve">. </w:t>
      </w:r>
      <w:r w:rsidR="00F56BB9" w:rsidRPr="00D14CD7">
        <w:rPr>
          <w:color w:val="000000" w:themeColor="text1"/>
        </w:rPr>
        <w:t xml:space="preserve">While not shown in Table </w:t>
      </w:r>
      <w:r w:rsidR="00F030EF" w:rsidRPr="00D14CD7">
        <w:rPr>
          <w:color w:val="000000" w:themeColor="text1"/>
        </w:rPr>
        <w:t>3</w:t>
      </w:r>
      <w:r w:rsidR="00F56BB9" w:rsidRPr="00D14CD7">
        <w:rPr>
          <w:color w:val="000000" w:themeColor="text1"/>
        </w:rPr>
        <w:t xml:space="preserve">, </w:t>
      </w:r>
      <w:r w:rsidR="00423E96" w:rsidRPr="00D14CD7">
        <w:rPr>
          <w:color w:val="000000" w:themeColor="text1"/>
        </w:rPr>
        <w:t>the most visited restaurant segment</w:t>
      </w:r>
      <w:r w:rsidR="00F56BB9" w:rsidRPr="00D14CD7">
        <w:rPr>
          <w:color w:val="000000" w:themeColor="text1"/>
        </w:rPr>
        <w:t xml:space="preserve"> pair among </w:t>
      </w:r>
      <w:r w:rsidR="00423E96" w:rsidRPr="00D14CD7">
        <w:rPr>
          <w:color w:val="000000" w:themeColor="text1"/>
        </w:rPr>
        <w:t xml:space="preserve">those who eat out twice a month </w:t>
      </w:r>
      <w:r w:rsidR="00F56BB9" w:rsidRPr="00D14CD7">
        <w:rPr>
          <w:color w:val="000000" w:themeColor="text1"/>
        </w:rPr>
        <w:t>corresponds to</w:t>
      </w:r>
      <w:r w:rsidR="00423E96" w:rsidRPr="00D14CD7">
        <w:rPr>
          <w:color w:val="000000" w:themeColor="text1"/>
        </w:rPr>
        <w:t xml:space="preserve"> CSRs and QSRs. </w:t>
      </w:r>
      <w:r w:rsidR="000B20F3" w:rsidRPr="00D14CD7">
        <w:rPr>
          <w:color w:val="000000" w:themeColor="text1"/>
        </w:rPr>
        <w:t>Additionally, people who eat out more than twice a month tend to spread their visits across a greater variety of restaurant segments. For example, people who eat out 11 or more times a month tend to visit at least three different</w:t>
      </w:r>
      <w:r w:rsidR="00AF681C" w:rsidRPr="00D14CD7">
        <w:rPr>
          <w:color w:val="000000" w:themeColor="text1"/>
        </w:rPr>
        <w:t xml:space="preserve"> restaurant</w:t>
      </w:r>
      <w:r w:rsidR="00745023" w:rsidRPr="00D14CD7">
        <w:rPr>
          <w:color w:val="000000" w:themeColor="text1"/>
        </w:rPr>
        <w:t xml:space="preserve"> seg</w:t>
      </w:r>
      <w:r w:rsidR="002D7805" w:rsidRPr="00D14CD7">
        <w:rPr>
          <w:color w:val="000000" w:themeColor="text1"/>
        </w:rPr>
        <w:t>ment</w:t>
      </w:r>
      <w:r w:rsidR="00745023" w:rsidRPr="00D14CD7">
        <w:rPr>
          <w:color w:val="000000" w:themeColor="text1"/>
        </w:rPr>
        <w:t>s</w:t>
      </w:r>
      <w:r w:rsidR="002F2DD6" w:rsidRPr="00D14CD7">
        <w:rPr>
          <w:color w:val="000000" w:themeColor="text1"/>
        </w:rPr>
        <w:t xml:space="preserve">, as indicated by the last two rows in Table </w:t>
      </w:r>
      <w:r w:rsidR="00F030EF" w:rsidRPr="00D14CD7">
        <w:rPr>
          <w:color w:val="000000" w:themeColor="text1"/>
        </w:rPr>
        <w:t>3</w:t>
      </w:r>
      <w:r w:rsidR="000B20F3" w:rsidRPr="00D14CD7">
        <w:rPr>
          <w:color w:val="000000" w:themeColor="text1"/>
        </w:rPr>
        <w:t xml:space="preserve">. This </w:t>
      </w:r>
      <w:r w:rsidR="009708BB" w:rsidRPr="00D14CD7">
        <w:rPr>
          <w:color w:val="000000" w:themeColor="text1"/>
        </w:rPr>
        <w:t xml:space="preserve">is </w:t>
      </w:r>
      <w:r w:rsidR="000B20F3" w:rsidRPr="00D14CD7">
        <w:rPr>
          <w:color w:val="000000" w:themeColor="text1"/>
        </w:rPr>
        <w:t xml:space="preserve">because </w:t>
      </w:r>
      <w:r w:rsidR="002F2DD6" w:rsidRPr="00D14CD7">
        <w:rPr>
          <w:color w:val="000000" w:themeColor="text1"/>
        </w:rPr>
        <w:t>individuals</w:t>
      </w:r>
      <w:r w:rsidR="000B20F3" w:rsidRPr="00D14CD7">
        <w:rPr>
          <w:color w:val="000000" w:themeColor="text1"/>
        </w:rPr>
        <w:t xml:space="preserve"> </w:t>
      </w:r>
      <w:r w:rsidR="009708BB" w:rsidRPr="00D14CD7">
        <w:rPr>
          <w:color w:val="000000" w:themeColor="text1"/>
        </w:rPr>
        <w:t xml:space="preserve">seek </w:t>
      </w:r>
      <w:r w:rsidR="000B20F3" w:rsidRPr="00D14CD7">
        <w:rPr>
          <w:color w:val="000000" w:themeColor="text1"/>
        </w:rPr>
        <w:t>variety in their dining experiences, and want to explore different cuisines and styles of restaurants.</w:t>
      </w:r>
    </w:p>
    <w:p w14:paraId="3338A283" w14:textId="04E51A1E" w:rsidR="001A3E29" w:rsidRPr="00D14CD7" w:rsidRDefault="00AF58BC" w:rsidP="0068023F">
      <w:pPr>
        <w:spacing w:after="0" w:line="240" w:lineRule="auto"/>
        <w:ind w:firstLine="720"/>
        <w:rPr>
          <w:color w:val="000000" w:themeColor="text1"/>
        </w:rPr>
      </w:pPr>
      <w:bookmarkStart w:id="20" w:name="_Hlk171455089"/>
      <w:bookmarkEnd w:id="19"/>
      <w:r w:rsidRPr="00D14CD7">
        <w:rPr>
          <w:color w:val="000000" w:themeColor="text1"/>
        </w:rPr>
        <w:t xml:space="preserve">Given the retrospective nature of our survey, we acknowledge the potential for recall bias in reporting monthly weekday dinner eat-out occurrences across restaurant segments. However, we implemented several measures to mitigate this bias, aligning with established survey methods </w:t>
      </w:r>
      <w:r w:rsidRPr="00D14CD7">
        <w:rPr>
          <w:color w:val="000000" w:themeColor="text1"/>
        </w:rPr>
        <w:fldChar w:fldCharType="begin"/>
      </w:r>
      <w:r w:rsidRPr="00D14CD7">
        <w:rPr>
          <w:color w:val="000000" w:themeColor="text1"/>
        </w:rPr>
        <w:instrText xml:space="preserve"> ADDIN ZOTERO_ITEM CSL_CITATION {"citationID":"FEeDn0XE","properties":{"formattedCitation":"(Groves et al., 2009)","plainCitation":"(Groves et al., 2009)","noteIndex":0},"citationItems":[{"id":2504,"uris":["http://zotero.org/users/9292995/items/N44VJ785"],"itemData":{"id":2504,"type":"book","abstract":"Praise for the First Edition: \"The book makes a valuable contribution by synthesizing current research and identifying areas for future investigation for each aspect of the survey process.\" --Journal of the American Statistical Association \"Overall, the high quality of the text material is matched by the quality of writing . . .\" --Public Opinion Quarterly \". . . it should find an audience everywhere surveys are being conducted.\" --Technometrics This new edition of Survey Methodology continues to provide a state-of-the-science presentation of essential survey methodology topics and techniques. The volume's six world-renowned authors have updated this Second Edition to present newly emerging approaches to survey research and provide more comprehensive coverage of the major considerations in designing and conducting a sample survey. Key topics in survey methodology are clearly explained in the book's chapters, with coverage including sampling frame evaluation, sample design, development of questionnaires, evaluation of questions, alternative modes of data collection, interviewing, nonresponse, post-collection processing of survey data, and practices for maintaining scientific integrity. Acknowledging the growing advances in research and technology, the Second Edition features: Updated explanations of sampling frame issues for mobile telephone and web surveys New scientific insight on the relationship between nonresponse rates and nonresponse errors Restructured discussion of ethical issues in survey research, emphasizing the growing research results on privacy, informed consent, and confidentiality issues The latest research findings on effective questionnaire development techniques The addition of 50% more exercises at the end of each chapter, illustrating basic principles of survey design An expanded FAQ chapter that addresses the concerns that accompany newly established methods Providing valuable and informative perspectives on the most modern methods in the field, Survey Methodology, Second Edition is an ideal book for survey research courses at the upper-undergraduate and graduate levels. It is also an indispensable reference for practicing survey methodologists and any professional who employs survey research methods.","event-place":"Hoboken, UNITED STATES","ISBN":"978-1-118-21134-2","publisher":"John Wiley &amp; Sons, Incorporated","publisher-place":"Hoboken, UNITED STATES","source":"ProQuest Ebook Central","title":"Survey Methodology","URL":"http://ebookcentral.proquest.com/lib/utxa/detail.action?docID=819140","author":[{"family":"Groves","given":"Robert M."},{"family":"Fowler","given":"Floyd J.","suffix":"Jr."},{"family":"Couper","given":"Mick P."},{"family":"Lepkowski","given":"James M."},{"family":"Singer","given":"Eleanor"},{"family":"Tourangeau","given":"Roger"}],"accessed":{"date-parts":[["2024",7,7]]},"issued":{"date-parts":[["2009"]]}}}],"schema":"https://github.com/citation-style-language/schema/raw/master/csl-citation.json"} </w:instrText>
      </w:r>
      <w:r w:rsidRPr="00D14CD7">
        <w:rPr>
          <w:color w:val="000000" w:themeColor="text1"/>
        </w:rPr>
        <w:fldChar w:fldCharType="separate"/>
      </w:r>
      <w:r w:rsidRPr="00D14CD7">
        <w:rPr>
          <w:color w:val="000000" w:themeColor="text1"/>
        </w:rPr>
        <w:t>(</w:t>
      </w:r>
      <w:r w:rsidR="00051F4C" w:rsidRPr="00D14CD7">
        <w:rPr>
          <w:color w:val="000000" w:themeColor="text1"/>
        </w:rPr>
        <w:t xml:space="preserve">see </w:t>
      </w:r>
      <w:r w:rsidRPr="00D14CD7">
        <w:rPr>
          <w:color w:val="000000" w:themeColor="text1"/>
        </w:rPr>
        <w:t>Groves et al., 2009</w:t>
      </w:r>
      <w:r w:rsidRPr="00D14CD7">
        <w:rPr>
          <w:color w:val="000000" w:themeColor="text1"/>
        </w:rPr>
        <w:fldChar w:fldCharType="end"/>
      </w:r>
      <w:r w:rsidRPr="00D14CD7">
        <w:rPr>
          <w:color w:val="000000" w:themeColor="text1"/>
        </w:rPr>
        <w:t xml:space="preserve">, and </w:t>
      </w:r>
      <w:r w:rsidRPr="00D14CD7">
        <w:rPr>
          <w:color w:val="000000" w:themeColor="text1"/>
        </w:rPr>
        <w:fldChar w:fldCharType="begin"/>
      </w:r>
      <w:r w:rsidRPr="00D14CD7">
        <w:rPr>
          <w:color w:val="000000" w:themeColor="text1"/>
        </w:rPr>
        <w:instrText xml:space="preserve"> ADDIN ZOTERO_ITEM CSL_CITATION {"citationID":"iccNnrLw","properties":{"formattedCitation":"(Babbie, 2010)","plainCitation":"(Babbie, 2010)","noteIndex":0},"citationItems":[{"id":2502,"uris":["http://zotero.org/users/9292995/items/BDCTQ8AZ"],"itemData":{"id":2502,"type":"book","abstract":"This is a comprehensive, straightforward introduction to the field of research as practiced by social scientists. This best-selling book emphasizes the research process by demonstrating how to design research studies, introducing the various observation modes in use today, and answering questions about research methods--such as how to conduct online surveys, and analyze both qualitative and quantitative data. The practice of social research provides all the tools researchers and consumers need to apply social research.","edition":"12th ed.","event-place":"Belmont, Calif","ISBN":"0-495-59841-0","publisher":"Wadsworth Cengage","publisher-place":"Belmont, Calif","title":"The practice of social research / Earl Babbie.","author":[{"family":"Babbie","given":"Earl R."}],"issued":{"date-parts":[["2010"]]}}}],"schema":"https://github.com/citation-style-language/schema/raw/master/csl-citation.json"} </w:instrText>
      </w:r>
      <w:r w:rsidRPr="00D14CD7">
        <w:rPr>
          <w:color w:val="000000" w:themeColor="text1"/>
        </w:rPr>
        <w:fldChar w:fldCharType="separate"/>
      </w:r>
      <w:r w:rsidRPr="00D14CD7">
        <w:rPr>
          <w:color w:val="000000" w:themeColor="text1"/>
        </w:rPr>
        <w:t>Babbie, 2010)</w:t>
      </w:r>
      <w:r w:rsidRPr="00D14CD7">
        <w:rPr>
          <w:color w:val="000000" w:themeColor="text1"/>
        </w:rPr>
        <w:fldChar w:fldCharType="end"/>
      </w:r>
      <w:r w:rsidRPr="00D14CD7">
        <w:rPr>
          <w:color w:val="000000" w:themeColor="text1"/>
        </w:rPr>
        <w:t xml:space="preserve">. </w:t>
      </w:r>
      <w:r w:rsidR="001A3E29" w:rsidRPr="00D14CD7">
        <w:rPr>
          <w:color w:val="000000" w:themeColor="text1"/>
        </w:rPr>
        <w:t xml:space="preserve">In this study, we focused on dinner eat-out occasions, which tend to involve more conscious decision-making between cooking at home versus </w:t>
      </w:r>
      <w:r w:rsidR="00051F4C" w:rsidRPr="00D14CD7">
        <w:rPr>
          <w:color w:val="000000" w:themeColor="text1"/>
        </w:rPr>
        <w:t>eating</w:t>
      </w:r>
      <w:r w:rsidR="001A3E29" w:rsidRPr="00D14CD7">
        <w:rPr>
          <w:color w:val="000000" w:themeColor="text1"/>
        </w:rPr>
        <w:t xml:space="preserve"> out and are often for special occasions rather than simply fulfilling a biological need (</w:t>
      </w:r>
      <w:proofErr w:type="spellStart"/>
      <w:r w:rsidR="001A3E29" w:rsidRPr="00D14CD7">
        <w:rPr>
          <w:color w:val="000000" w:themeColor="text1"/>
        </w:rPr>
        <w:t>Cadario</w:t>
      </w:r>
      <w:proofErr w:type="spellEnd"/>
      <w:r w:rsidR="001A3E29" w:rsidRPr="00D14CD7">
        <w:rPr>
          <w:color w:val="000000" w:themeColor="text1"/>
        </w:rPr>
        <w:t xml:space="preserve"> and </w:t>
      </w:r>
      <w:proofErr w:type="spellStart"/>
      <w:r w:rsidR="001A3E29" w:rsidRPr="00D14CD7">
        <w:rPr>
          <w:color w:val="000000" w:themeColor="text1"/>
        </w:rPr>
        <w:t>Morewedge</w:t>
      </w:r>
      <w:proofErr w:type="spellEnd"/>
      <w:r w:rsidR="001A3E29" w:rsidRPr="00D14CD7">
        <w:rPr>
          <w:color w:val="000000" w:themeColor="text1"/>
        </w:rPr>
        <w:t xml:space="preserve">, 2022). Therefore, it is likely that monthly dinner eat-out occasions would be easier to recall than other types of meals. Our survey also used precise language, asking about </w:t>
      </w:r>
      <w:r w:rsidR="00FD4D36">
        <w:rPr>
          <w:color w:val="000000" w:themeColor="text1"/>
        </w:rPr>
        <w:t>“</w:t>
      </w:r>
      <w:r w:rsidR="001A3E29" w:rsidRPr="00D14CD7">
        <w:rPr>
          <w:color w:val="000000" w:themeColor="text1"/>
        </w:rPr>
        <w:t>times did you go out to eat for dinner</w:t>
      </w:r>
      <w:r w:rsidR="00FD4D36">
        <w:rPr>
          <w:color w:val="000000" w:themeColor="text1"/>
        </w:rPr>
        <w:t>”</w:t>
      </w:r>
      <w:r w:rsidR="001A3E29" w:rsidRPr="00D14CD7">
        <w:rPr>
          <w:color w:val="000000" w:themeColor="text1"/>
        </w:rPr>
        <w:t xml:space="preserve"> and included prompts for different restaurant types to aid memory retrieval. This approach, which asks about frequency for each restaurant segment separately, aligns with the recommendation by Groves et al. (2009), who provide an example of effective memory prompts: </w:t>
      </w:r>
      <w:r w:rsidR="00FD4D36">
        <w:rPr>
          <w:color w:val="000000" w:themeColor="text1"/>
        </w:rPr>
        <w:t>“</w:t>
      </w:r>
      <w:r w:rsidR="001A3E29" w:rsidRPr="00D14CD7">
        <w:rPr>
          <w:color w:val="000000" w:themeColor="text1"/>
        </w:rPr>
        <w:t>The NCVS item on shopping tries to offer respondents help in remembering by listing various kinds of stores they may have visited (</w:t>
      </w:r>
      <w:r w:rsidR="00FD4D36">
        <w:rPr>
          <w:color w:val="000000" w:themeColor="text1"/>
        </w:rPr>
        <w:t>‘</w:t>
      </w:r>
      <w:r w:rsidR="001A3E29" w:rsidRPr="00D14CD7">
        <w:rPr>
          <w:color w:val="000000" w:themeColor="text1"/>
        </w:rPr>
        <w:t>drug, clothing, grocery, hardware, and convenience stores</w:t>
      </w:r>
      <w:r w:rsidR="00FD4D36">
        <w:rPr>
          <w:color w:val="000000" w:themeColor="text1"/>
        </w:rPr>
        <w:t>’</w:t>
      </w:r>
      <w:r w:rsidR="001A3E29" w:rsidRPr="00D14CD7">
        <w:rPr>
          <w:color w:val="000000" w:themeColor="text1"/>
        </w:rPr>
        <w:t>)….The best cues are the ones that offer the most detail, provided that the specifics in the cue match the encoding of the events.</w:t>
      </w:r>
      <w:r w:rsidR="00FD4D36">
        <w:rPr>
          <w:color w:val="000000" w:themeColor="text1"/>
        </w:rPr>
        <w:t>”</w:t>
      </w:r>
      <w:r w:rsidR="001A3E29" w:rsidRPr="00D14CD7">
        <w:rPr>
          <w:color w:val="000000" w:themeColor="text1"/>
        </w:rPr>
        <w:t xml:space="preserve"> By focusing on the </w:t>
      </w:r>
      <w:r w:rsidR="00FD4D36">
        <w:rPr>
          <w:color w:val="000000" w:themeColor="text1"/>
        </w:rPr>
        <w:t>“</w:t>
      </w:r>
      <w:r w:rsidR="001A3E29" w:rsidRPr="00D14CD7">
        <w:rPr>
          <w:color w:val="000000" w:themeColor="text1"/>
        </w:rPr>
        <w:t>last month,</w:t>
      </w:r>
      <w:r w:rsidR="00FD4D36">
        <w:rPr>
          <w:color w:val="000000" w:themeColor="text1"/>
        </w:rPr>
        <w:t>”</w:t>
      </w:r>
      <w:r w:rsidR="001A3E29" w:rsidRPr="00D14CD7">
        <w:rPr>
          <w:color w:val="000000" w:themeColor="text1"/>
        </w:rPr>
        <w:t xml:space="preserve"> we aimed to minimize recall bias compared to longer retrospective periods or open-ended questions about general dining habits (as is the case in most published surveys). Additionally, to ensure the reliability of our data, we implemented rigorous quality control measures. This included removing responses submitted within two minutes of starting, based on </w:t>
      </w:r>
      <w:r w:rsidR="00051F4C" w:rsidRPr="00D14CD7">
        <w:rPr>
          <w:color w:val="000000" w:themeColor="text1"/>
        </w:rPr>
        <w:t xml:space="preserve">a </w:t>
      </w:r>
      <w:r w:rsidR="001A3E29" w:rsidRPr="00D14CD7">
        <w:rPr>
          <w:color w:val="000000" w:themeColor="text1"/>
        </w:rPr>
        <w:t xml:space="preserve">pilot </w:t>
      </w:r>
      <w:r w:rsidR="00051F4C" w:rsidRPr="00D14CD7">
        <w:rPr>
          <w:color w:val="000000" w:themeColor="text1"/>
        </w:rPr>
        <w:t>experiment</w:t>
      </w:r>
      <w:r w:rsidR="001A3E29" w:rsidRPr="00D14CD7">
        <w:rPr>
          <w:color w:val="000000" w:themeColor="text1"/>
        </w:rPr>
        <w:t xml:space="preserve"> indicating a typical completion time </w:t>
      </w:r>
      <w:r w:rsidR="001A3E29" w:rsidRPr="00D14CD7">
        <w:rPr>
          <w:color w:val="000000" w:themeColor="text1"/>
        </w:rPr>
        <w:lastRenderedPageBreak/>
        <w:t>of 15-20 minutes. Additionally, we incorporated internal consistency checks in our survey, excluding responses where the reported number of meals fell outside the expected range of 1 to 22 (the number of weekdays in a month), ensuring consistency and reliability in our dataset.</w:t>
      </w:r>
    </w:p>
    <w:p w14:paraId="619ACF50" w14:textId="0C509DF1" w:rsidR="00196DF4" w:rsidRPr="00D14CD7" w:rsidRDefault="00196DF4" w:rsidP="0068023F">
      <w:pPr>
        <w:spacing w:after="0" w:line="240" w:lineRule="auto"/>
        <w:ind w:firstLine="720"/>
        <w:rPr>
          <w:color w:val="000000" w:themeColor="text1"/>
        </w:rPr>
      </w:pPr>
      <w:r w:rsidRPr="00D14CD7">
        <w:rPr>
          <w:color w:val="000000" w:themeColor="text1"/>
        </w:rPr>
        <w:t xml:space="preserve">Lastly, our findings align with national trends, though direct comparisons are not strictly possible due to survey data administration differences and national data not necessarily reflecting Texas-specific data. Our average of 3.42 dinner eat-outs per month is consistent with a 2022 survey reporting 3 dinner-time eat-outs per month </w:t>
      </w:r>
      <w:bookmarkStart w:id="21" w:name="_Hlk175223531"/>
      <w:r w:rsidRPr="00D14CD7">
        <w:rPr>
          <w:color w:val="000000" w:themeColor="text1"/>
        </w:rPr>
        <w:fldChar w:fldCharType="begin"/>
      </w:r>
      <w:r w:rsidRPr="00D14CD7">
        <w:rPr>
          <w:color w:val="000000" w:themeColor="text1"/>
        </w:rPr>
        <w:instrText xml:space="preserve"> ADDIN ZOTERO_ITEM CSL_CITATION {"citationID":"o4W9unkK","properties":{"formattedCitation":"(USFOODS, 2023)","plainCitation":"(USFOODS, 2023)","noteIndex":0},"citationItems":[{"id":2499,"uris":["http://zotero.org/users/9292995/items/EPGNNAJ6"],"itemData":{"id":2499,"type":"report","title":"The Diner Dispatch: 2023 American Dining Habits","URL":"https://www.usfoods.com/our-services/business-trends/american-dining-out-habits-2023.html#:~:text=On%20average%2C%20Americans%20are%20deciding,rather%20than%20their%20own%20kitchens%3F","author":[{"literal":"USFOODS"}],"issued":{"date-parts":[["2023"]]}}}],"schema":"https://github.com/citation-style-language/schema/raw/master/csl-citation.json"} </w:instrText>
      </w:r>
      <w:r w:rsidRPr="00D14CD7">
        <w:rPr>
          <w:color w:val="000000" w:themeColor="text1"/>
        </w:rPr>
        <w:fldChar w:fldCharType="separate"/>
      </w:r>
      <w:r w:rsidRPr="00D14CD7">
        <w:rPr>
          <w:color w:val="000000" w:themeColor="text1"/>
        </w:rPr>
        <w:t>(USFOODS, 2023)</w:t>
      </w:r>
      <w:r w:rsidRPr="00D14CD7">
        <w:rPr>
          <w:color w:val="000000" w:themeColor="text1"/>
        </w:rPr>
        <w:fldChar w:fldCharType="end"/>
      </w:r>
      <w:r w:rsidRPr="00D14CD7">
        <w:rPr>
          <w:color w:val="000000" w:themeColor="text1"/>
        </w:rPr>
        <w:t xml:space="preserve">. Furthermore, other surveys from 2016 and early 2022 found that 22% and 23.4% of Americans, respectively, never eat out at restaurants </w:t>
      </w:r>
      <w:r w:rsidRPr="00D14CD7">
        <w:rPr>
          <w:color w:val="000000" w:themeColor="text1"/>
        </w:rPr>
        <w:fldChar w:fldCharType="begin"/>
      </w:r>
      <w:r w:rsidRPr="00D14CD7">
        <w:rPr>
          <w:color w:val="000000" w:themeColor="text1"/>
        </w:rPr>
        <w:instrText xml:space="preserve"> ADDIN ZOTERO_ITEM CSL_CITATION {"citationID":"9S1TdAzc","properties":{"formattedCitation":"(Statista, 2016; YouGov, 2024)","plainCitation":"(Statista, 2016; YouGov, 2024)","noteIndex":0},"citationItems":[{"id":557,"uris":["http://zotero.org/users/9292995/items/QP4YW9JJ"],"itemData":{"id":557,"type":"webpage","abstract":"The statistic shows the share of consumers using food delivery services in the United States in 2016, by gender.","container-title":"Statista","language":"en","title":"Frequency of using food delivery services U.S. 2016, by gender","URL":"https://www.statista.com/statistics/259193/ordering-takeout-delivery-from-restaurants-in-the-us-by-gender/","author":[{"literal":"Statista"}],"accessed":{"date-parts":[["2022",5,18]]},"issued":{"date-parts":[["2016"]]}}},{"id":2498,"uris":["http://zotero.org/users/9292995/items/3YGNHH26"],"itemData":{"id":2498,"type":"dataset","genre":"Graph","title":"How often Americans buy food and drinks at: Restaurants","URL":"https://today.yougov.com/topics/society/trackers/food-and-drink-frequency-restaurants","author":[{"literal":"YouGov"}],"issued":{"date-parts":[["2024"]]}}}],"schema":"https://github.com/citation-style-language/schema/raw/master/csl-citation.json"} </w:instrText>
      </w:r>
      <w:r w:rsidRPr="00D14CD7">
        <w:rPr>
          <w:color w:val="000000" w:themeColor="text1"/>
        </w:rPr>
        <w:fldChar w:fldCharType="separate"/>
      </w:r>
      <w:r w:rsidRPr="00D14CD7">
        <w:rPr>
          <w:color w:val="000000" w:themeColor="text1"/>
        </w:rPr>
        <w:t>(see Statista, 2016, and YouGov, 2024)</w:t>
      </w:r>
      <w:r w:rsidRPr="00D14CD7">
        <w:rPr>
          <w:color w:val="000000" w:themeColor="text1"/>
        </w:rPr>
        <w:fldChar w:fldCharType="end"/>
      </w:r>
      <w:r w:rsidRPr="00D14CD7">
        <w:rPr>
          <w:color w:val="000000" w:themeColor="text1"/>
        </w:rPr>
        <w:t xml:space="preserve">. </w:t>
      </w:r>
      <w:bookmarkEnd w:id="21"/>
      <w:r w:rsidRPr="00D14CD7">
        <w:rPr>
          <w:color w:val="000000" w:themeColor="text1"/>
        </w:rPr>
        <w:t>These figures are comparable to our 26% finding. While we cannot eliminate recall bias entirely, our approach incorporates several strategies recommended in the literature to mitigate its effects. Future research could consider complementary data collection methods, such as real-time logging or receipt collection, to further validate and enhance data accuracy.</w:t>
      </w:r>
    </w:p>
    <w:bookmarkEnd w:id="20"/>
    <w:p w14:paraId="6894CC11" w14:textId="79B6277B" w:rsidR="00B80B9B" w:rsidRPr="00D14CD7" w:rsidRDefault="00B80B9B" w:rsidP="0068023F">
      <w:pPr>
        <w:spacing w:after="0" w:line="240" w:lineRule="auto"/>
        <w:ind w:firstLine="720"/>
        <w:rPr>
          <w:color w:val="000000" w:themeColor="text1"/>
        </w:rPr>
      </w:pPr>
    </w:p>
    <w:p w14:paraId="612CC983" w14:textId="4C680C9E" w:rsidR="00B52D1C" w:rsidRPr="00D14CD7" w:rsidRDefault="00F56BB9" w:rsidP="0068023F">
      <w:pPr>
        <w:pStyle w:val="Heading2"/>
        <w:spacing w:before="0" w:after="0" w:line="240" w:lineRule="auto"/>
        <w:rPr>
          <w:color w:val="000000" w:themeColor="text1"/>
        </w:rPr>
      </w:pPr>
      <w:r w:rsidRPr="00D14CD7">
        <w:rPr>
          <w:color w:val="000000" w:themeColor="text1"/>
        </w:rPr>
        <w:t xml:space="preserve"> </w:t>
      </w:r>
      <w:r w:rsidR="00B52D1C" w:rsidRPr="00D14CD7">
        <w:rPr>
          <w:color w:val="000000" w:themeColor="text1"/>
        </w:rPr>
        <w:t>Exogenous Variables</w:t>
      </w:r>
    </w:p>
    <w:p w14:paraId="75E88757" w14:textId="20F4BEF6" w:rsidR="008E332A" w:rsidRPr="00D14CD7" w:rsidRDefault="003507FF" w:rsidP="0068023F">
      <w:pPr>
        <w:spacing w:after="0" w:line="240" w:lineRule="auto"/>
        <w:rPr>
          <w:color w:val="000000" w:themeColor="text1"/>
        </w:rPr>
      </w:pPr>
      <w:r w:rsidRPr="00D14CD7">
        <w:rPr>
          <w:color w:val="000000" w:themeColor="text1"/>
        </w:rPr>
        <w:t xml:space="preserve">Several categories of exogenous variables are considered in our analysis. Individual-level demographics (gender, age, race/ethnicity, and education level), household characteristics (annual income, motorized vehicle ownership level, and household structure), employment status/job characteristics (not employed/part-time employed/full-time employed based on employment status and hours of work per week, self-employed or not, number of days of work per month, commute duration, and </w:t>
      </w:r>
      <w:r w:rsidR="003C053B" w:rsidRPr="00D14CD7">
        <w:rPr>
          <w:color w:val="000000" w:themeColor="text1"/>
        </w:rPr>
        <w:t xml:space="preserve">the </w:t>
      </w:r>
      <w:r w:rsidRPr="00D14CD7">
        <w:rPr>
          <w:color w:val="000000" w:themeColor="text1"/>
        </w:rPr>
        <w:t xml:space="preserve">fraction of work undertaken from a third workplace location and home), and COVID-19 threat/perspective variables were obtained directly from the survey responses. </w:t>
      </w:r>
    </w:p>
    <w:p w14:paraId="5FF1CA1A" w14:textId="482CC134" w:rsidR="002F5C17" w:rsidRPr="00D14CD7" w:rsidRDefault="008E332A" w:rsidP="004E3632">
      <w:pPr>
        <w:spacing w:after="0" w:line="240" w:lineRule="auto"/>
        <w:ind w:firstLine="720"/>
        <w:rPr>
          <w:color w:val="000000" w:themeColor="text1"/>
        </w:rPr>
      </w:pPr>
      <w:bookmarkStart w:id="22" w:name="_Hlk171343848"/>
      <w:r w:rsidRPr="00D14CD7">
        <w:rPr>
          <w:color w:val="000000" w:themeColor="text1"/>
        </w:rPr>
        <w:t xml:space="preserve">The built environment (BE) factors of the residential location </w:t>
      </w:r>
      <w:r w:rsidR="0093392A" w:rsidRPr="00D14CD7">
        <w:rPr>
          <w:color w:val="000000" w:themeColor="text1"/>
        </w:rPr>
        <w:t xml:space="preserve">included </w:t>
      </w:r>
      <w:r w:rsidRPr="00D14CD7">
        <w:rPr>
          <w:color w:val="000000" w:themeColor="text1"/>
        </w:rPr>
        <w:t xml:space="preserve">three different </w:t>
      </w:r>
      <w:r w:rsidR="0093392A" w:rsidRPr="00D14CD7">
        <w:rPr>
          <w:color w:val="000000" w:themeColor="text1"/>
        </w:rPr>
        <w:t>sets</w:t>
      </w:r>
      <w:r w:rsidRPr="00D14CD7">
        <w:rPr>
          <w:color w:val="000000" w:themeColor="text1"/>
        </w:rPr>
        <w:t xml:space="preserve"> of variables. The </w:t>
      </w:r>
      <w:r w:rsidRPr="00D14CD7">
        <w:rPr>
          <w:color w:val="000000" w:themeColor="text1"/>
          <w:u w:val="single"/>
        </w:rPr>
        <w:t xml:space="preserve">first </w:t>
      </w:r>
      <w:r w:rsidR="0093392A" w:rsidRPr="00D14CD7">
        <w:rPr>
          <w:color w:val="000000" w:themeColor="text1"/>
          <w:u w:val="single"/>
        </w:rPr>
        <w:t>set</w:t>
      </w:r>
      <w:r w:rsidRPr="00D14CD7">
        <w:rPr>
          <w:color w:val="000000" w:themeColor="text1"/>
        </w:rPr>
        <w:t xml:space="preserve"> was </w:t>
      </w:r>
      <w:r w:rsidR="00AF1C09" w:rsidRPr="00D14CD7">
        <w:rPr>
          <w:color w:val="000000" w:themeColor="text1"/>
        </w:rPr>
        <w:t>obtained from the survey</w:t>
      </w:r>
      <w:r w:rsidRPr="00D14CD7">
        <w:rPr>
          <w:color w:val="000000" w:themeColor="text1"/>
        </w:rPr>
        <w:t xml:space="preserve"> and involved the classification of residential neighborhoods into urban, suburban, or rural categories</w:t>
      </w:r>
      <w:r w:rsidR="0093392A" w:rsidRPr="00D14CD7">
        <w:rPr>
          <w:color w:val="000000" w:themeColor="text1"/>
        </w:rPr>
        <w:t>, as self-reported by respondents</w:t>
      </w:r>
      <w:r w:rsidRPr="00D14CD7">
        <w:rPr>
          <w:color w:val="000000" w:themeColor="text1"/>
        </w:rPr>
        <w:t xml:space="preserve">. </w:t>
      </w:r>
      <w:r w:rsidR="0093392A" w:rsidRPr="00D14CD7">
        <w:rPr>
          <w:color w:val="000000" w:themeColor="text1"/>
        </w:rPr>
        <w:t xml:space="preserve">A </w:t>
      </w:r>
      <w:r w:rsidR="0093392A" w:rsidRPr="00D14CD7">
        <w:rPr>
          <w:color w:val="000000" w:themeColor="text1"/>
          <w:u w:val="single"/>
        </w:rPr>
        <w:t>second set</w:t>
      </w:r>
      <w:r w:rsidR="0093392A" w:rsidRPr="00D14CD7">
        <w:rPr>
          <w:color w:val="000000" w:themeColor="text1"/>
        </w:rPr>
        <w:t xml:space="preserve"> of BE variables w</w:t>
      </w:r>
      <w:r w:rsidR="00AC3C4B">
        <w:rPr>
          <w:color w:val="000000" w:themeColor="text1"/>
        </w:rPr>
        <w:t>as</w:t>
      </w:r>
      <w:r w:rsidR="0093392A" w:rsidRPr="00D14CD7">
        <w:rPr>
          <w:color w:val="000000" w:themeColor="text1"/>
        </w:rPr>
        <w:t xml:space="preserve"> developed based on the home location zip code, which was recorded in the survey. These zip codes were mapped to census block groups (CBG), and then </w:t>
      </w:r>
      <w:r w:rsidR="00DA6097" w:rsidRPr="00D14CD7">
        <w:rPr>
          <w:color w:val="000000" w:themeColor="text1"/>
        </w:rPr>
        <w:t>bestowed</w:t>
      </w:r>
      <w:r w:rsidR="0093392A" w:rsidRPr="00D14CD7">
        <w:rPr>
          <w:color w:val="000000" w:themeColor="text1"/>
        </w:rPr>
        <w:t xml:space="preserve"> with built</w:t>
      </w:r>
      <w:r w:rsidR="00040F83" w:rsidRPr="00D14CD7">
        <w:rPr>
          <w:color w:val="000000" w:themeColor="text1"/>
        </w:rPr>
        <w:t>-</w:t>
      </w:r>
      <w:r w:rsidR="0093392A" w:rsidRPr="00D14CD7">
        <w:rPr>
          <w:color w:val="000000" w:themeColor="text1"/>
        </w:rPr>
        <w:t xml:space="preserve">environment (BE) attributes as obtained from the U.S. Environment Protection Agency (EPA) Smart Location Database (or SLD; see </w:t>
      </w:r>
      <w:bookmarkStart w:id="23" w:name="_Hlk140928631"/>
      <w:bookmarkStart w:id="24" w:name="_Hlk109725718"/>
      <w:r w:rsidR="005970AF" w:rsidRPr="00D14CD7">
        <w:rPr>
          <w:color w:val="000000" w:themeColor="text1"/>
        </w:rPr>
        <w:fldChar w:fldCharType="begin"/>
      </w:r>
      <w:r w:rsidR="00EA1F7A" w:rsidRPr="00D14CD7">
        <w:rPr>
          <w:color w:val="000000" w:themeColor="text1"/>
        </w:rPr>
        <w:instrText xml:space="preserve"> ADDIN ZOTERO_ITEM CSL_CITATION {"citationID":"uTCNEoxU","properties":{"formattedCitation":"(Chapman et al., 2021; Ramsey &amp; Bell, 2014)","plainCitation":"(Chapman et al., 2021; Ramsey &amp; Bell, 2014)","dontUpdate":true,"noteIndex":0},"citationItems":[{"id":501,"uris":["http://zotero.org/users/9292995/items/KQXYGRG5"],"itemData":{"id":501,"type":"report","event-place":"Washington, DC","number":"US Environment Protection Agency","publisher-place":"Washington, DC","title":"Smart Location Database: Version 3.0 Technical Documentation and User Guide","URL":"https://www.epa.gov/sites/default/files/2021-06/documents/epa_sld_3.0_technicaldocumentationuserguide_may2021.pdf","author":[{"family":"Chapman","given":"Jim"},{"family":"Fox","given":"Eric H."},{"family":"Bachman","given":"William"},{"family":"Frank","given":"Lawrence D."}],"issued":{"date-parts":[["2021"]]}}},{"id":843,"uris":["http://zotero.org/users/9292995/items/9KNCRHHR"],"itemData":{"id":843,"type":"article-journal","container-title":"Washington, DC","journalAbbreviation":"Washington, DC","title":"Smart location database","author":[{"family":"Ramsey","given":"Kevin"},{"family":"Bell","given":"Alexander"}],"issued":{"date-parts":[["2014"]]}}}],"schema":"https://github.com/citation-style-language/schema/raw/master/csl-citation.json"} </w:instrText>
      </w:r>
      <w:r w:rsidR="005970AF" w:rsidRPr="00D14CD7">
        <w:rPr>
          <w:color w:val="000000" w:themeColor="text1"/>
        </w:rPr>
        <w:fldChar w:fldCharType="separate"/>
      </w:r>
      <w:r w:rsidR="005970AF" w:rsidRPr="00D14CD7">
        <w:rPr>
          <w:color w:val="000000" w:themeColor="text1"/>
        </w:rPr>
        <w:t>Chapman et al., 2021, and Ramsey and Bell, 2014)</w:t>
      </w:r>
      <w:r w:rsidR="005970AF" w:rsidRPr="00D14CD7">
        <w:rPr>
          <w:color w:val="000000" w:themeColor="text1"/>
        </w:rPr>
        <w:fldChar w:fldCharType="end"/>
      </w:r>
      <w:bookmarkEnd w:id="23"/>
      <w:bookmarkEnd w:id="24"/>
      <w:r w:rsidR="0093392A" w:rsidRPr="00D14CD7">
        <w:rPr>
          <w:color w:val="000000" w:themeColor="text1"/>
        </w:rPr>
        <w:t xml:space="preserve">. </w:t>
      </w:r>
      <w:r w:rsidRPr="00D14CD7">
        <w:rPr>
          <w:color w:val="000000" w:themeColor="text1"/>
        </w:rPr>
        <w:t>Th</w:t>
      </w:r>
      <w:r w:rsidR="0093392A" w:rsidRPr="00D14CD7">
        <w:rPr>
          <w:color w:val="000000" w:themeColor="text1"/>
        </w:rPr>
        <w:t>is second set of BE</w:t>
      </w:r>
      <w:r w:rsidRPr="00D14CD7">
        <w:rPr>
          <w:color w:val="000000" w:themeColor="text1"/>
        </w:rPr>
        <w:t xml:space="preserve"> variables include</w:t>
      </w:r>
      <w:r w:rsidR="0093392A" w:rsidRPr="00D14CD7">
        <w:rPr>
          <w:color w:val="000000" w:themeColor="text1"/>
        </w:rPr>
        <w:t>d</w:t>
      </w:r>
      <w:r w:rsidRPr="00D14CD7">
        <w:rPr>
          <w:color w:val="000000" w:themeColor="text1"/>
        </w:rPr>
        <w:t xml:space="preserve"> employment and residential density, a walkability index (</w:t>
      </w:r>
      <w:r w:rsidR="00AF1C09" w:rsidRPr="00D14CD7">
        <w:rPr>
          <w:color w:val="000000" w:themeColor="text1"/>
        </w:rPr>
        <w:t>rang</w:t>
      </w:r>
      <w:r w:rsidR="0093392A" w:rsidRPr="00D14CD7">
        <w:rPr>
          <w:color w:val="000000" w:themeColor="text1"/>
        </w:rPr>
        <w:t>ing</w:t>
      </w:r>
      <w:r w:rsidR="00AF1C09" w:rsidRPr="00D14CD7">
        <w:rPr>
          <w:color w:val="000000" w:themeColor="text1"/>
        </w:rPr>
        <w:t xml:space="preserve"> from 0 to 20</w:t>
      </w:r>
      <w:r w:rsidR="0093392A" w:rsidRPr="00D14CD7">
        <w:rPr>
          <w:color w:val="000000" w:themeColor="text1"/>
        </w:rPr>
        <w:t xml:space="preserve">, based on a combination </w:t>
      </w:r>
      <w:r w:rsidRPr="00D14CD7">
        <w:rPr>
          <w:color w:val="000000" w:themeColor="text1"/>
        </w:rPr>
        <w:t>of intersection density, proximity to transit stops, and jobs-housing balance mix), and the proportion of employment in five sectors (retail (Ret), office (Off), industrial (Ind), service (</w:t>
      </w:r>
      <w:proofErr w:type="spellStart"/>
      <w:r w:rsidRPr="00D14CD7">
        <w:rPr>
          <w:color w:val="000000" w:themeColor="text1"/>
        </w:rPr>
        <w:t>Srvc</w:t>
      </w:r>
      <w:proofErr w:type="spellEnd"/>
      <w:r w:rsidRPr="00D14CD7">
        <w:rPr>
          <w:color w:val="000000" w:themeColor="text1"/>
        </w:rPr>
        <w:t xml:space="preserve">), and entertainment (Ent)). The latter employment-related variables were used to calculate a land-use mix diversity index ranging between 0 (low land-use diversity) and 1 (high land-use diversity), based on Bhat and </w:t>
      </w:r>
      <w:proofErr w:type="spellStart"/>
      <w:r w:rsidRPr="00D14CD7">
        <w:rPr>
          <w:color w:val="000000" w:themeColor="text1"/>
        </w:rPr>
        <w:t>Gossen</w:t>
      </w:r>
      <w:proofErr w:type="spellEnd"/>
      <w:r w:rsidRPr="00D14CD7">
        <w:rPr>
          <w:color w:val="000000" w:themeColor="text1"/>
        </w:rPr>
        <w:t xml:space="preserve"> (2004). </w:t>
      </w:r>
      <w:r w:rsidR="002F5C17" w:rsidRPr="00D14CD7">
        <w:rPr>
          <w:color w:val="000000" w:themeColor="text1"/>
        </w:rPr>
        <w:t>The actual form of the land-use index is:</w:t>
      </w:r>
    </w:p>
    <w:p w14:paraId="59E33477" w14:textId="08B8BA49" w:rsidR="002F5C17" w:rsidRPr="00D14CD7" w:rsidRDefault="00891AA3" w:rsidP="004E3632">
      <w:pPr>
        <w:spacing w:before="60" w:after="60" w:line="240" w:lineRule="auto"/>
        <w:rPr>
          <w:color w:val="000000" w:themeColor="text1"/>
        </w:rPr>
      </w:pPr>
      <w:r w:rsidRPr="00D14CD7">
        <w:rPr>
          <w:noProof/>
          <w:color w:val="000000" w:themeColor="text1"/>
          <w:position w:val="-62"/>
        </w:rPr>
        <w:object w:dxaOrig="7220" w:dyaOrig="1359" w14:anchorId="766E06D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0.45pt;height:67.7pt" o:ole="" o:preferrelative="f">
            <v:imagedata r:id="rId11" o:title=""/>
            <o:lock v:ext="edit" aspectratio="f"/>
          </v:shape>
          <o:OLEObject Type="Embed" ProgID="Equation.DSMT4" ShapeID="_x0000_i1025" DrawAspect="Content" ObjectID="_1793173614" r:id="rId12"/>
        </w:object>
      </w:r>
      <w:r w:rsidR="002F5C17" w:rsidRPr="00D14CD7">
        <w:rPr>
          <w:color w:val="000000" w:themeColor="text1"/>
        </w:rPr>
        <w:tab/>
        <w:t xml:space="preserve">                 (1)</w:t>
      </w:r>
    </w:p>
    <w:p w14:paraId="3737A720" w14:textId="1906677E" w:rsidR="008E332A" w:rsidRPr="00D14CD7" w:rsidRDefault="0093392A" w:rsidP="00540E05">
      <w:pPr>
        <w:shd w:val="clear" w:color="auto" w:fill="FFFFFF"/>
        <w:spacing w:after="0" w:line="240" w:lineRule="auto"/>
        <w:ind w:firstLine="720"/>
        <w:rPr>
          <w:color w:val="000000" w:themeColor="text1"/>
        </w:rPr>
      </w:pPr>
      <w:r w:rsidRPr="00D14CD7">
        <w:rPr>
          <w:color w:val="000000" w:themeColor="text1"/>
        </w:rPr>
        <w:t xml:space="preserve">Finally, a </w:t>
      </w:r>
      <w:r w:rsidRPr="00D14CD7">
        <w:rPr>
          <w:color w:val="000000" w:themeColor="text1"/>
          <w:u w:val="single"/>
        </w:rPr>
        <w:t>third set</w:t>
      </w:r>
      <w:r w:rsidRPr="00D14CD7">
        <w:rPr>
          <w:color w:val="000000" w:themeColor="text1"/>
        </w:rPr>
        <w:t xml:space="preserve"> of residential BE attributes was developed by the authors using </w:t>
      </w:r>
      <w:r w:rsidR="00AC32DC" w:rsidRPr="00D14CD7">
        <w:rPr>
          <w:color w:val="000000" w:themeColor="text1"/>
        </w:rPr>
        <w:t xml:space="preserve">a web-scraping approach to </w:t>
      </w:r>
      <w:r w:rsidR="002F5C17" w:rsidRPr="00D14CD7">
        <w:rPr>
          <w:color w:val="000000" w:themeColor="text1"/>
        </w:rPr>
        <w:t>create a</w:t>
      </w:r>
      <w:r w:rsidRPr="00D14CD7">
        <w:rPr>
          <w:color w:val="000000" w:themeColor="text1"/>
        </w:rPr>
        <w:t xml:space="preserve"> </w:t>
      </w:r>
      <w:r w:rsidR="002577BF" w:rsidRPr="00D14CD7">
        <w:rPr>
          <w:color w:val="000000" w:themeColor="text1"/>
        </w:rPr>
        <w:t xml:space="preserve">comprehensive </w:t>
      </w:r>
      <w:r w:rsidR="002F5C17" w:rsidRPr="00D14CD7">
        <w:rPr>
          <w:color w:val="000000" w:themeColor="text1"/>
        </w:rPr>
        <w:t xml:space="preserve">database </w:t>
      </w:r>
      <w:r w:rsidR="002577BF" w:rsidRPr="00D14CD7">
        <w:rPr>
          <w:color w:val="000000" w:themeColor="text1"/>
        </w:rPr>
        <w:t>of restaurants across the state of Texas, along with their location</w:t>
      </w:r>
      <w:r w:rsidR="00DA6097" w:rsidRPr="00D14CD7">
        <w:rPr>
          <w:color w:val="000000" w:themeColor="text1"/>
        </w:rPr>
        <w:t xml:space="preserve"> </w:t>
      </w:r>
      <w:r w:rsidR="002577BF" w:rsidRPr="00D14CD7">
        <w:rPr>
          <w:color w:val="000000" w:themeColor="text1"/>
        </w:rPr>
        <w:t xml:space="preserve">and </w:t>
      </w:r>
      <w:r w:rsidRPr="00D14CD7">
        <w:rPr>
          <w:color w:val="000000" w:themeColor="text1"/>
        </w:rPr>
        <w:t xml:space="preserve">restaurant </w:t>
      </w:r>
      <w:r w:rsidR="002577BF" w:rsidRPr="00D14CD7">
        <w:rPr>
          <w:color w:val="000000" w:themeColor="text1"/>
        </w:rPr>
        <w:t>category</w:t>
      </w:r>
      <w:r w:rsidR="00F6769E" w:rsidRPr="00D14CD7">
        <w:rPr>
          <w:color w:val="000000" w:themeColor="text1"/>
        </w:rPr>
        <w:t xml:space="preserve"> from Yelp</w:t>
      </w:r>
      <w:r w:rsidR="002577BF" w:rsidRPr="00D14CD7">
        <w:rPr>
          <w:color w:val="000000" w:themeColor="text1"/>
        </w:rPr>
        <w:t xml:space="preserve">. From this </w:t>
      </w:r>
      <w:r w:rsidR="00DA6097" w:rsidRPr="00D14CD7">
        <w:rPr>
          <w:color w:val="000000" w:themeColor="text1"/>
        </w:rPr>
        <w:t>compiled list</w:t>
      </w:r>
      <w:r w:rsidR="002577BF" w:rsidRPr="00D14CD7">
        <w:rPr>
          <w:color w:val="000000" w:themeColor="text1"/>
        </w:rPr>
        <w:t xml:space="preserve">, the total number of restaurants and the proportion of quick-service </w:t>
      </w:r>
      <w:r w:rsidR="00241C52" w:rsidRPr="00D14CD7">
        <w:rPr>
          <w:color w:val="000000" w:themeColor="text1"/>
        </w:rPr>
        <w:t xml:space="preserve">restaurants </w:t>
      </w:r>
      <w:r w:rsidR="002577BF" w:rsidRPr="00D14CD7">
        <w:rPr>
          <w:color w:val="000000" w:themeColor="text1"/>
        </w:rPr>
        <w:t>(QSR</w:t>
      </w:r>
      <w:r w:rsidR="00241C52" w:rsidRPr="00D14CD7">
        <w:rPr>
          <w:color w:val="000000" w:themeColor="text1"/>
        </w:rPr>
        <w:t>s</w:t>
      </w:r>
      <w:r w:rsidR="002577BF" w:rsidRPr="00D14CD7">
        <w:rPr>
          <w:color w:val="000000" w:themeColor="text1"/>
        </w:rPr>
        <w:t>), coffee house</w:t>
      </w:r>
      <w:r w:rsidR="00241C52" w:rsidRPr="00D14CD7">
        <w:rPr>
          <w:color w:val="000000" w:themeColor="text1"/>
        </w:rPr>
        <w:t>s</w:t>
      </w:r>
      <w:r w:rsidR="002577BF" w:rsidRPr="00D14CD7">
        <w:rPr>
          <w:color w:val="000000" w:themeColor="text1"/>
        </w:rPr>
        <w:t xml:space="preserve"> (CH</w:t>
      </w:r>
      <w:r w:rsidR="00241C52" w:rsidRPr="00D14CD7">
        <w:rPr>
          <w:color w:val="000000" w:themeColor="text1"/>
        </w:rPr>
        <w:t>s</w:t>
      </w:r>
      <w:r w:rsidR="002577BF" w:rsidRPr="00D14CD7">
        <w:rPr>
          <w:color w:val="000000" w:themeColor="text1"/>
        </w:rPr>
        <w:t>), casual service</w:t>
      </w:r>
      <w:r w:rsidR="00241C52" w:rsidRPr="00D14CD7">
        <w:rPr>
          <w:color w:val="000000" w:themeColor="text1"/>
        </w:rPr>
        <w:t xml:space="preserve"> restaurants</w:t>
      </w:r>
      <w:r w:rsidR="002577BF" w:rsidRPr="00D14CD7">
        <w:rPr>
          <w:color w:val="000000" w:themeColor="text1"/>
        </w:rPr>
        <w:t xml:space="preserve"> (CSR</w:t>
      </w:r>
      <w:r w:rsidR="00241C52" w:rsidRPr="00D14CD7">
        <w:rPr>
          <w:color w:val="000000" w:themeColor="text1"/>
        </w:rPr>
        <w:t>s</w:t>
      </w:r>
      <w:r w:rsidR="002577BF" w:rsidRPr="00D14CD7">
        <w:rPr>
          <w:color w:val="000000" w:themeColor="text1"/>
        </w:rPr>
        <w:t>), and fine</w:t>
      </w:r>
      <w:r w:rsidR="00241C52" w:rsidRPr="00D14CD7">
        <w:rPr>
          <w:color w:val="000000" w:themeColor="text1"/>
        </w:rPr>
        <w:t xml:space="preserve"> service restaurants </w:t>
      </w:r>
      <w:r w:rsidR="002577BF" w:rsidRPr="00D14CD7">
        <w:rPr>
          <w:color w:val="000000" w:themeColor="text1"/>
        </w:rPr>
        <w:t>(FSR</w:t>
      </w:r>
      <w:r w:rsidR="00241C52" w:rsidRPr="00D14CD7">
        <w:rPr>
          <w:color w:val="000000" w:themeColor="text1"/>
        </w:rPr>
        <w:t>s</w:t>
      </w:r>
      <w:r w:rsidR="002577BF" w:rsidRPr="00D14CD7">
        <w:rPr>
          <w:color w:val="000000" w:themeColor="text1"/>
        </w:rPr>
        <w:t xml:space="preserve">) were computed for </w:t>
      </w:r>
      <w:r w:rsidR="002577BF" w:rsidRPr="00D14CD7">
        <w:rPr>
          <w:color w:val="000000" w:themeColor="text1"/>
        </w:rPr>
        <w:lastRenderedPageBreak/>
        <w:t xml:space="preserve">each zip code area. </w:t>
      </w:r>
      <w:r w:rsidR="002F5C17" w:rsidRPr="00D14CD7">
        <w:rPr>
          <w:color w:val="000000" w:themeColor="text1"/>
        </w:rPr>
        <w:t xml:space="preserve">Our methodology involved compiling a list of all Texas cities and towns and then using the Yelp API to search for restaurants in these locations. We extracted zip codes and tags related to restaurant price and type. The categorization was as follows: Restaurants tagged as </w:t>
      </w:r>
      <w:r w:rsidR="00FD4D36">
        <w:rPr>
          <w:color w:val="000000" w:themeColor="text1"/>
        </w:rPr>
        <w:t>“</w:t>
      </w:r>
      <w:r w:rsidR="002F5C17" w:rsidRPr="00D14CD7">
        <w:rPr>
          <w:color w:val="000000" w:themeColor="text1"/>
        </w:rPr>
        <w:t>Fast Food</w:t>
      </w:r>
      <w:r w:rsidR="00FD4D36">
        <w:rPr>
          <w:color w:val="000000" w:themeColor="text1"/>
        </w:rPr>
        <w:t>”</w:t>
      </w:r>
      <w:r w:rsidR="002F5C17" w:rsidRPr="00D14CD7">
        <w:rPr>
          <w:color w:val="000000" w:themeColor="text1"/>
        </w:rPr>
        <w:t xml:space="preserve"> were classified as QSRs; establishments tagged as </w:t>
      </w:r>
      <w:r w:rsidR="00FD4D36">
        <w:rPr>
          <w:color w:val="000000" w:themeColor="text1"/>
        </w:rPr>
        <w:t>“</w:t>
      </w:r>
      <w:r w:rsidR="002F5C17" w:rsidRPr="00D14CD7">
        <w:rPr>
          <w:color w:val="000000" w:themeColor="text1"/>
        </w:rPr>
        <w:t>Coffee,</w:t>
      </w:r>
      <w:r w:rsidR="00FD4D36">
        <w:rPr>
          <w:color w:val="000000" w:themeColor="text1"/>
        </w:rPr>
        <w:t>”</w:t>
      </w:r>
      <w:r w:rsidR="002F5C17" w:rsidRPr="00D14CD7">
        <w:rPr>
          <w:color w:val="000000" w:themeColor="text1"/>
        </w:rPr>
        <w:t xml:space="preserve"> </w:t>
      </w:r>
      <w:r w:rsidR="00FD4D36">
        <w:rPr>
          <w:color w:val="000000" w:themeColor="text1"/>
        </w:rPr>
        <w:t>“</w:t>
      </w:r>
      <w:r w:rsidR="002F5C17" w:rsidRPr="00D14CD7">
        <w:rPr>
          <w:color w:val="000000" w:themeColor="text1"/>
        </w:rPr>
        <w:t>Coffee &amp; Tea,</w:t>
      </w:r>
      <w:r w:rsidR="00FD4D36">
        <w:rPr>
          <w:color w:val="000000" w:themeColor="text1"/>
        </w:rPr>
        <w:t>”</w:t>
      </w:r>
      <w:r w:rsidR="002F5C17" w:rsidRPr="00D14CD7">
        <w:rPr>
          <w:color w:val="000000" w:themeColor="text1"/>
        </w:rPr>
        <w:t xml:space="preserve"> or </w:t>
      </w:r>
      <w:r w:rsidR="00FD4D36">
        <w:rPr>
          <w:color w:val="000000" w:themeColor="text1"/>
        </w:rPr>
        <w:t>“</w:t>
      </w:r>
      <w:r w:rsidR="002F5C17" w:rsidRPr="00D14CD7">
        <w:rPr>
          <w:color w:val="000000" w:themeColor="text1"/>
        </w:rPr>
        <w:t>Coffee Roasteries</w:t>
      </w:r>
      <w:r w:rsidR="00FD4D36">
        <w:rPr>
          <w:color w:val="000000" w:themeColor="text1"/>
        </w:rPr>
        <w:t>”</w:t>
      </w:r>
      <w:r w:rsidR="002F5C17" w:rsidRPr="00D14CD7">
        <w:rPr>
          <w:color w:val="000000" w:themeColor="text1"/>
        </w:rPr>
        <w:t xml:space="preserve"> were categorized as CHs; restaurants with more than three dollar ($$$) signs in their pricing were considered FSRs; and all other restaurants not falling into the above categories were classified as CSRs. For more information, readers can refer to the Yelp API documentation (Yelp, 2024). </w:t>
      </w:r>
      <w:r w:rsidR="002577BF" w:rsidRPr="00D14CD7">
        <w:rPr>
          <w:color w:val="000000" w:themeColor="text1"/>
        </w:rPr>
        <w:t xml:space="preserve">Additionally, data scraped from </w:t>
      </w:r>
      <w:r w:rsidR="00241C52" w:rsidRPr="00D14CD7">
        <w:rPr>
          <w:color w:val="000000" w:themeColor="text1"/>
        </w:rPr>
        <w:t>A</w:t>
      </w:r>
      <w:r w:rsidR="002577BF" w:rsidRPr="00D14CD7">
        <w:rPr>
          <w:color w:val="000000" w:themeColor="text1"/>
        </w:rPr>
        <w:t xml:space="preserve">reavibes.com was used to assess the livability and amenities of each zip code area </w:t>
      </w:r>
      <w:bookmarkStart w:id="25" w:name="_Hlk140928811"/>
      <w:r w:rsidR="002577BF" w:rsidRPr="00D14CD7">
        <w:rPr>
          <w:color w:val="000000" w:themeColor="text1"/>
        </w:rPr>
        <w:fldChar w:fldCharType="begin"/>
      </w:r>
      <w:r w:rsidR="008F1E84" w:rsidRPr="00D14CD7">
        <w:rPr>
          <w:color w:val="000000" w:themeColor="text1"/>
        </w:rPr>
        <w:instrText xml:space="preserve"> ADDIN ZOTERO_ITEM CSL_CITATION {"citationID":"dEDMUwZB","properties":{"formattedCitation":"({\\i{}AreaVibes Methodology}, 2023)","plainCitation":"(AreaVibes Methodology, 2023)","dontUpdate":true,"noteIndex":0},"citationItems":[{"id":1009,"uris":["http://zotero.org/users/9292995/items/DT6J9YHS"],"itemData":{"id":1009,"type":"webpage","abstract":"Areavibes","title":"AreaVibes Methodology","URL":"https://www.areavibes.com/methodology/","accessed":{"date-parts":[["2023",2,18]]},"issued":{"date-parts":[["2023"]]}}}],"schema":"https://github.com/citation-style-language/schema/raw/master/csl-citation.json"} </w:instrText>
      </w:r>
      <w:r w:rsidR="002577BF" w:rsidRPr="00D14CD7">
        <w:rPr>
          <w:color w:val="000000" w:themeColor="text1"/>
        </w:rPr>
        <w:fldChar w:fldCharType="separate"/>
      </w:r>
      <w:r w:rsidR="002577BF" w:rsidRPr="00D14CD7">
        <w:rPr>
          <w:color w:val="000000" w:themeColor="text1"/>
        </w:rPr>
        <w:t>(AreaVibes, 2023)</w:t>
      </w:r>
      <w:r w:rsidR="002577BF" w:rsidRPr="00D14CD7">
        <w:rPr>
          <w:color w:val="000000" w:themeColor="text1"/>
        </w:rPr>
        <w:fldChar w:fldCharType="end"/>
      </w:r>
      <w:bookmarkEnd w:id="25"/>
      <w:r w:rsidR="002577BF" w:rsidRPr="00D14CD7">
        <w:rPr>
          <w:color w:val="000000" w:themeColor="text1"/>
        </w:rPr>
        <w:t xml:space="preserve">. </w:t>
      </w:r>
      <w:bookmarkStart w:id="26" w:name="_Hlk171343800"/>
      <w:r w:rsidR="00AC32DC" w:rsidRPr="00D14CD7">
        <w:rPr>
          <w:color w:val="000000" w:themeColor="text1"/>
        </w:rPr>
        <w:t>The Livability Score</w:t>
      </w:r>
      <w:bookmarkEnd w:id="26"/>
      <w:r w:rsidR="00AC32DC" w:rsidRPr="00D14CD7">
        <w:rPr>
          <w:color w:val="000000" w:themeColor="text1"/>
        </w:rPr>
        <w:t>, which ranges from 0 to 100, assesses the quality of an area based on amenities, cost of living, crime</w:t>
      </w:r>
      <w:r w:rsidRPr="00D14CD7">
        <w:rPr>
          <w:color w:val="000000" w:themeColor="text1"/>
        </w:rPr>
        <w:t xml:space="preserve"> rates</w:t>
      </w:r>
      <w:r w:rsidR="00AC32DC" w:rsidRPr="00D14CD7">
        <w:rPr>
          <w:color w:val="000000" w:themeColor="text1"/>
        </w:rPr>
        <w:t>, employment</w:t>
      </w:r>
      <w:r w:rsidRPr="00D14CD7">
        <w:rPr>
          <w:color w:val="000000" w:themeColor="text1"/>
        </w:rPr>
        <w:t xml:space="preserve"> density</w:t>
      </w:r>
      <w:r w:rsidR="00AC32DC" w:rsidRPr="00D14CD7">
        <w:rPr>
          <w:color w:val="000000" w:themeColor="text1"/>
        </w:rPr>
        <w:t>, housing</w:t>
      </w:r>
      <w:r w:rsidRPr="00D14CD7">
        <w:rPr>
          <w:color w:val="000000" w:themeColor="text1"/>
        </w:rPr>
        <w:t xml:space="preserve"> affordability</w:t>
      </w:r>
      <w:r w:rsidR="00AC32DC" w:rsidRPr="00D14CD7">
        <w:rPr>
          <w:color w:val="000000" w:themeColor="text1"/>
        </w:rPr>
        <w:t>, school</w:t>
      </w:r>
      <w:r w:rsidRPr="00D14CD7">
        <w:rPr>
          <w:color w:val="000000" w:themeColor="text1"/>
        </w:rPr>
        <w:t xml:space="preserve"> quality</w:t>
      </w:r>
      <w:r w:rsidR="00AC32DC" w:rsidRPr="00D14CD7">
        <w:rPr>
          <w:color w:val="000000" w:themeColor="text1"/>
        </w:rPr>
        <w:t>, and</w:t>
      </w:r>
      <w:r w:rsidR="003F34DD" w:rsidRPr="00D14CD7">
        <w:rPr>
          <w:color w:val="000000" w:themeColor="text1"/>
        </w:rPr>
        <w:t xml:space="preserve"> general</w:t>
      </w:r>
      <w:r w:rsidR="00AC32DC" w:rsidRPr="00D14CD7">
        <w:rPr>
          <w:color w:val="000000" w:themeColor="text1"/>
        </w:rPr>
        <w:t xml:space="preserve"> </w:t>
      </w:r>
      <w:r w:rsidR="003F34DD" w:rsidRPr="00D14CD7">
        <w:rPr>
          <w:color w:val="000000" w:themeColor="text1"/>
        </w:rPr>
        <w:t xml:space="preserve">public </w:t>
      </w:r>
      <w:r w:rsidR="00AC32DC" w:rsidRPr="00D14CD7">
        <w:rPr>
          <w:color w:val="000000" w:themeColor="text1"/>
        </w:rPr>
        <w:t>rating</w:t>
      </w:r>
      <w:r w:rsidR="003F34DD" w:rsidRPr="00D14CD7">
        <w:rPr>
          <w:color w:val="000000" w:themeColor="text1"/>
        </w:rPr>
        <w:t>s</w:t>
      </w:r>
      <w:r w:rsidR="00AC32DC" w:rsidRPr="00D14CD7">
        <w:rPr>
          <w:color w:val="000000" w:themeColor="text1"/>
        </w:rPr>
        <w:t>. Higher scores indicate a better quality of life</w:t>
      </w:r>
      <w:r w:rsidR="009C6B9D" w:rsidRPr="00D14CD7">
        <w:rPr>
          <w:color w:val="000000" w:themeColor="text1"/>
        </w:rPr>
        <w:t>.</w:t>
      </w:r>
      <w:r w:rsidR="002F5C17" w:rsidRPr="00D14CD7">
        <w:rPr>
          <w:color w:val="000000" w:themeColor="text1"/>
        </w:rPr>
        <w:t xml:space="preserve"> It is important to note that th</w:t>
      </w:r>
      <w:r w:rsidR="009C6B9D" w:rsidRPr="00D14CD7">
        <w:rPr>
          <w:color w:val="000000" w:themeColor="text1"/>
        </w:rPr>
        <w:t>i</w:t>
      </w:r>
      <w:r w:rsidR="002F5C17" w:rsidRPr="00D14CD7">
        <w:rPr>
          <w:color w:val="000000" w:themeColor="text1"/>
        </w:rPr>
        <w:t>s score w</w:t>
      </w:r>
      <w:r w:rsidR="009C6B9D" w:rsidRPr="00D14CD7">
        <w:rPr>
          <w:color w:val="000000" w:themeColor="text1"/>
        </w:rPr>
        <w:t>as</w:t>
      </w:r>
      <w:r w:rsidR="002F5C17" w:rsidRPr="00D14CD7">
        <w:rPr>
          <w:color w:val="000000" w:themeColor="text1"/>
        </w:rPr>
        <w:t xml:space="preserve"> not calculated by </w:t>
      </w:r>
      <w:r w:rsidR="00BE151D" w:rsidRPr="00D14CD7">
        <w:rPr>
          <w:color w:val="000000" w:themeColor="text1"/>
        </w:rPr>
        <w:t>the authors</w:t>
      </w:r>
      <w:r w:rsidR="002F5C17" w:rsidRPr="00D14CD7">
        <w:rPr>
          <w:color w:val="000000" w:themeColor="text1"/>
        </w:rPr>
        <w:t xml:space="preserve"> but were obtained directly from the </w:t>
      </w:r>
      <w:proofErr w:type="spellStart"/>
      <w:r w:rsidR="002F5C17" w:rsidRPr="00D14CD7">
        <w:rPr>
          <w:color w:val="000000" w:themeColor="text1"/>
        </w:rPr>
        <w:t>AreaVibes</w:t>
      </w:r>
      <w:proofErr w:type="spellEnd"/>
      <w:r w:rsidR="002F5C17" w:rsidRPr="00D14CD7">
        <w:rPr>
          <w:color w:val="000000" w:themeColor="text1"/>
        </w:rPr>
        <w:t xml:space="preserve"> platform.</w:t>
      </w:r>
    </w:p>
    <w:bookmarkEnd w:id="22"/>
    <w:p w14:paraId="55C1FFA5" w14:textId="6AE051B8" w:rsidR="0058441D" w:rsidRPr="00D14CD7" w:rsidRDefault="00BE151D" w:rsidP="00540E05">
      <w:pPr>
        <w:spacing w:after="0" w:line="240" w:lineRule="auto"/>
        <w:ind w:firstLine="720"/>
        <w:rPr>
          <w:color w:val="000000" w:themeColor="text1"/>
        </w:rPr>
      </w:pPr>
      <w:r w:rsidRPr="00D14CD7">
        <w:rPr>
          <w:color w:val="000000" w:themeColor="text1"/>
        </w:rPr>
        <w:t>Table 4</w:t>
      </w:r>
      <w:r w:rsidR="000162EC" w:rsidRPr="00D14CD7">
        <w:rPr>
          <w:color w:val="000000" w:themeColor="text1"/>
        </w:rPr>
        <w:t xml:space="preserve"> </w:t>
      </w:r>
      <w:r w:rsidR="005100C1" w:rsidRPr="00D14CD7">
        <w:rPr>
          <w:color w:val="000000" w:themeColor="text1"/>
        </w:rPr>
        <w:t>presents</w:t>
      </w:r>
      <w:r w:rsidR="008938AB" w:rsidRPr="00D14CD7">
        <w:rPr>
          <w:color w:val="000000" w:themeColor="text1"/>
        </w:rPr>
        <w:t xml:space="preserve"> the socioeconomic and demographic characteristics of the sample. </w:t>
      </w:r>
      <w:r w:rsidR="00756A03" w:rsidRPr="00D14CD7">
        <w:rPr>
          <w:color w:val="000000" w:themeColor="text1"/>
        </w:rPr>
        <w:t>The table also pr</w:t>
      </w:r>
      <w:r w:rsidR="005100C1" w:rsidRPr="00D14CD7">
        <w:rPr>
          <w:color w:val="000000" w:themeColor="text1"/>
        </w:rPr>
        <w:t>ovides</w:t>
      </w:r>
      <w:r w:rsidR="00756A03" w:rsidRPr="00D14CD7">
        <w:rPr>
          <w:color w:val="000000" w:themeColor="text1"/>
        </w:rPr>
        <w:t xml:space="preserve"> statistics corresponding to the State of Texas to compare the analysis sample to the general population demographics. Th</w:t>
      </w:r>
      <w:r w:rsidR="00B847D4" w:rsidRPr="00D14CD7">
        <w:rPr>
          <w:color w:val="000000" w:themeColor="text1"/>
        </w:rPr>
        <w:t>e population</w:t>
      </w:r>
      <w:r w:rsidR="00756A03" w:rsidRPr="00D14CD7">
        <w:rPr>
          <w:color w:val="000000" w:themeColor="text1"/>
        </w:rPr>
        <w:t xml:space="preserve"> statistics are obtained from the </w:t>
      </w:r>
      <w:r w:rsidR="00DA6097" w:rsidRPr="00D14CD7">
        <w:rPr>
          <w:color w:val="000000" w:themeColor="text1"/>
        </w:rPr>
        <w:t>five</w:t>
      </w:r>
      <w:r w:rsidR="00756A03" w:rsidRPr="00D14CD7">
        <w:rPr>
          <w:color w:val="000000" w:themeColor="text1"/>
        </w:rPr>
        <w:t>-year estimates from the 2021 American Community Survey (ACS)</w:t>
      </w:r>
      <w:r w:rsidR="00E03486" w:rsidRPr="00D14CD7">
        <w:rPr>
          <w:color w:val="000000" w:themeColor="text1"/>
        </w:rPr>
        <w:t xml:space="preserve"> and the 2020 Texas Census</w:t>
      </w:r>
      <w:r w:rsidR="00756A03" w:rsidRPr="00D14CD7">
        <w:rPr>
          <w:color w:val="000000" w:themeColor="text1"/>
        </w:rPr>
        <w:t>.</w:t>
      </w:r>
      <w:r w:rsidR="0058441D" w:rsidRPr="00D14CD7">
        <w:rPr>
          <w:color w:val="000000" w:themeColor="text1"/>
        </w:rPr>
        <w:t xml:space="preserve"> In cases where the State of Texas values are not readily available, there is a “--” in the table. The data in the table illustrates that certain demographic groups are overrepresented in our sample, including women, individuals aged 50 or older, white individuals, those with higher levels of education, and those from households with high income and </w:t>
      </w:r>
      <w:r w:rsidR="000517DA" w:rsidRPr="00D14CD7">
        <w:rPr>
          <w:color w:val="000000" w:themeColor="text1"/>
        </w:rPr>
        <w:t>high motorized vehicle</w:t>
      </w:r>
      <w:r w:rsidR="0058441D" w:rsidRPr="00D14CD7">
        <w:rPr>
          <w:color w:val="000000" w:themeColor="text1"/>
        </w:rPr>
        <w:t xml:space="preserve"> ownership</w:t>
      </w:r>
      <w:r w:rsidR="000517DA" w:rsidRPr="00D14CD7">
        <w:rPr>
          <w:color w:val="000000" w:themeColor="text1"/>
        </w:rPr>
        <w:t xml:space="preserve"> (in the rest of this paper, we will use the label “vehicle ownership” to refer to motorized vehicle ownership</w:t>
      </w:r>
      <w:r w:rsidR="00C01FAA" w:rsidRPr="00D14CD7">
        <w:rPr>
          <w:color w:val="000000" w:themeColor="text1"/>
        </w:rPr>
        <w:t>)</w:t>
      </w:r>
      <w:r w:rsidR="0058441D" w:rsidRPr="00D14CD7">
        <w:rPr>
          <w:color w:val="000000" w:themeColor="text1"/>
        </w:rPr>
        <w:t xml:space="preserve">. The sample also includes a higher proportion of couples without children. </w:t>
      </w:r>
      <w:r w:rsidR="00AF1C09" w:rsidRPr="00D14CD7">
        <w:rPr>
          <w:color w:val="000000" w:themeColor="text1"/>
        </w:rPr>
        <w:t>R</w:t>
      </w:r>
      <w:r w:rsidR="0058441D" w:rsidRPr="00D14CD7">
        <w:rPr>
          <w:color w:val="000000" w:themeColor="text1"/>
        </w:rPr>
        <w:t>egarding employment status, our sample's non-employment rate (21%) closely mirrors the non-employment rate of the Texas population (24%). On the other hand, our sample includes a lower percentage of part-time employees (4.6% in our sample versus 14.9% in the Texas population) and a higher percentage of full-time employees (74.4% in our sample versus 61.1% in the Texas population).</w:t>
      </w:r>
      <w:r w:rsidR="00D260C5" w:rsidRPr="00D14CD7">
        <w:rPr>
          <w:rStyle w:val="FootnoteReference"/>
          <w:color w:val="000000" w:themeColor="text1"/>
        </w:rPr>
        <w:footnoteReference w:id="4"/>
      </w:r>
      <w:r w:rsidR="0058441D" w:rsidRPr="00D14CD7">
        <w:rPr>
          <w:color w:val="000000" w:themeColor="text1"/>
        </w:rPr>
        <w:t xml:space="preserve"> Despite these differences,</w:t>
      </w:r>
      <w:r w:rsidR="005100C1" w:rsidRPr="00D14CD7">
        <w:rPr>
          <w:color w:val="000000" w:themeColor="text1"/>
        </w:rPr>
        <w:t xml:space="preserve"> </w:t>
      </w:r>
      <w:r w:rsidR="0058441D" w:rsidRPr="00D14CD7">
        <w:rPr>
          <w:color w:val="000000" w:themeColor="text1"/>
        </w:rPr>
        <w:t>our sample's average commute time to work (22.8 minutes) and average number of work days per month (21.5 days) are comparable to the corresponding population averages of 26.6 minutes and 22 workdays, respectively.</w:t>
      </w:r>
      <w:r w:rsidR="005100C1" w:rsidRPr="00D14CD7">
        <w:rPr>
          <w:rStyle w:val="FootnoteReference"/>
          <w:color w:val="000000" w:themeColor="text1"/>
        </w:rPr>
        <w:footnoteReference w:id="5"/>
      </w:r>
      <w:r w:rsidR="0058441D" w:rsidRPr="00D14CD7">
        <w:rPr>
          <w:color w:val="000000" w:themeColor="text1"/>
        </w:rPr>
        <w:t xml:space="preserve"> </w:t>
      </w:r>
    </w:p>
    <w:p w14:paraId="4A0E1C98" w14:textId="7C30AF13" w:rsidR="00286339" w:rsidRPr="00D14CD7" w:rsidRDefault="00E03486" w:rsidP="00540E05">
      <w:pPr>
        <w:spacing w:after="0" w:line="240" w:lineRule="auto"/>
        <w:ind w:firstLine="720"/>
        <w:rPr>
          <w:color w:val="000000" w:themeColor="text1"/>
        </w:rPr>
      </w:pPr>
      <w:r w:rsidRPr="00D14CD7">
        <w:rPr>
          <w:color w:val="000000" w:themeColor="text1"/>
        </w:rPr>
        <w:t xml:space="preserve">It is unsurprising that certain sociodemographic groups are overrepresented in the sample. This may be </w:t>
      </w:r>
      <w:r w:rsidR="005100C1" w:rsidRPr="00D14CD7">
        <w:rPr>
          <w:color w:val="000000" w:themeColor="text1"/>
        </w:rPr>
        <w:t xml:space="preserve">attributed </w:t>
      </w:r>
      <w:r w:rsidRPr="00D14CD7">
        <w:rPr>
          <w:color w:val="000000" w:themeColor="text1"/>
        </w:rPr>
        <w:t xml:space="preserve">to the survey being distributed online and through professional organizations, which </w:t>
      </w:r>
      <w:r w:rsidR="005100C1" w:rsidRPr="00D14CD7">
        <w:rPr>
          <w:color w:val="000000" w:themeColor="text1"/>
        </w:rPr>
        <w:t xml:space="preserve">will </w:t>
      </w:r>
      <w:r w:rsidRPr="00D14CD7">
        <w:rPr>
          <w:color w:val="000000" w:themeColor="text1"/>
        </w:rPr>
        <w:t>attract individuals who are highly educated, have high incomes, and are part of the full-time workforce. Additionally, selection bias</w:t>
      </w:r>
      <w:r w:rsidR="005100C1" w:rsidRPr="00D14CD7">
        <w:rPr>
          <w:color w:val="000000" w:themeColor="text1"/>
        </w:rPr>
        <w:t xml:space="preserve"> is also likely to have p</w:t>
      </w:r>
      <w:r w:rsidRPr="00D14CD7">
        <w:rPr>
          <w:color w:val="000000" w:themeColor="text1"/>
        </w:rPr>
        <w:t>lay</w:t>
      </w:r>
      <w:r w:rsidR="005100C1" w:rsidRPr="00D14CD7">
        <w:rPr>
          <w:color w:val="000000" w:themeColor="text1"/>
        </w:rPr>
        <w:t>ed</w:t>
      </w:r>
      <w:r w:rsidRPr="00D14CD7">
        <w:rPr>
          <w:color w:val="000000" w:themeColor="text1"/>
        </w:rPr>
        <w:t xml:space="preserve"> a role, as individuals with strong opinions on the survey's main topic (the impact of COVID-19 on workplace choices) may be more inclined to participate. These individuals are expected to have white-collar jobs that offer workplace flexibility and are associated with higher education and income levels. Given the deviation from population statistics, caution should be exercised when generalizing descriptive statistics for endogenous outcome variables. However, our objective is not to estimate descriptive statistics for the population of Texas, but rather to determine how changes in exogenous factors related to demographics, households, work, COVID-19 perspectives, </w:t>
      </w:r>
      <w:r w:rsidRPr="00D14CD7">
        <w:rPr>
          <w:color w:val="000000" w:themeColor="text1"/>
        </w:rPr>
        <w:lastRenderedPageBreak/>
        <w:t>and built-environment affect dining behavior outcomes. Moreover, within the exogenous variables used in our analysis, there is substantial variability in the demographic categories such that each segment of the population is reasonably represented. Therefore, for our case where we estimate causal effects using data obtained through exogenous sampling (that is, not based on endogenous sampling as would be the case if our s</w:t>
      </w:r>
      <w:r w:rsidR="00DB6B46" w:rsidRPr="00D14CD7">
        <w:rPr>
          <w:color w:val="000000" w:themeColor="text1"/>
        </w:rPr>
        <w:t xml:space="preserve">urvey were administered among patrons </w:t>
      </w:r>
      <w:r w:rsidRPr="00D14CD7">
        <w:rPr>
          <w:color w:val="000000" w:themeColor="text1"/>
        </w:rPr>
        <w:t xml:space="preserve">at </w:t>
      </w:r>
      <w:r w:rsidR="005100C1" w:rsidRPr="00D14CD7">
        <w:rPr>
          <w:color w:val="000000" w:themeColor="text1"/>
          <w:bdr w:val="none" w:sz="0" w:space="0" w:color="auto" w:frame="1"/>
        </w:rPr>
        <w:t>restaurant</w:t>
      </w:r>
      <w:r w:rsidR="00DB6B46" w:rsidRPr="00D14CD7">
        <w:rPr>
          <w:color w:val="000000" w:themeColor="text1"/>
          <w:bdr w:val="none" w:sz="0" w:space="0" w:color="auto" w:frame="1"/>
        </w:rPr>
        <w:t>s</w:t>
      </w:r>
      <w:r w:rsidR="00AF1C09" w:rsidRPr="00D14CD7">
        <w:rPr>
          <w:color w:val="000000" w:themeColor="text1"/>
          <w:bdr w:val="none" w:sz="0" w:space="0" w:color="auto" w:frame="1"/>
        </w:rPr>
        <w:t>)</w:t>
      </w:r>
      <w:r w:rsidR="00DB6B46" w:rsidRPr="00D14CD7">
        <w:rPr>
          <w:color w:val="000000" w:themeColor="text1"/>
          <w:bdr w:val="none" w:sz="0" w:space="0" w:color="auto" w:frame="1"/>
        </w:rPr>
        <w:t>,</w:t>
      </w:r>
      <w:r w:rsidRPr="00D14CD7">
        <w:rPr>
          <w:color w:val="000000" w:themeColor="text1"/>
        </w:rPr>
        <w:t xml:space="preserve"> an unweighted estimation procedure is appropriate (see Wooldridge, 1995 and Solon et al., 2015 for an extensive discussion of this point). </w:t>
      </w:r>
    </w:p>
    <w:p w14:paraId="51A0A456" w14:textId="06C41059" w:rsidR="004D2A6C" w:rsidRPr="00D14CD7" w:rsidRDefault="00BE151D" w:rsidP="00540E05">
      <w:pPr>
        <w:spacing w:after="0" w:line="240" w:lineRule="auto"/>
        <w:ind w:firstLine="720"/>
        <w:rPr>
          <w:color w:val="000000" w:themeColor="text1"/>
        </w:rPr>
      </w:pPr>
      <w:r w:rsidRPr="00D14CD7">
        <w:rPr>
          <w:color w:val="000000" w:themeColor="text1"/>
        </w:rPr>
        <w:t xml:space="preserve">Lastly, Table 5 </w:t>
      </w:r>
      <w:r w:rsidR="00AC3C4B">
        <w:rPr>
          <w:color w:val="000000" w:themeColor="text1"/>
        </w:rPr>
        <w:t>summarizes</w:t>
      </w:r>
      <w:r w:rsidRPr="00D14CD7">
        <w:rPr>
          <w:color w:val="000000" w:themeColor="text1"/>
        </w:rPr>
        <w:t xml:space="preserve"> the descriptive statistics for the BE variables included in our analysis. The majority of these variables are continuous, and for these, we report the mean, standard deviation, minimum, and maximum values. For the residential area type categorical variable, we provide the frequency and relative frequency of respondents living in rural, suburban, or urban areas. </w:t>
      </w:r>
    </w:p>
    <w:p w14:paraId="4F5B32A9" w14:textId="77777777" w:rsidR="003058C8" w:rsidRPr="00D14CD7" w:rsidRDefault="003058C8" w:rsidP="00540E05">
      <w:pPr>
        <w:spacing w:after="0" w:line="240" w:lineRule="auto"/>
        <w:ind w:firstLine="720"/>
        <w:rPr>
          <w:color w:val="000000" w:themeColor="text1"/>
        </w:rPr>
      </w:pPr>
    </w:p>
    <w:p w14:paraId="2A624CF9" w14:textId="07FFBD1F" w:rsidR="00B52D1C" w:rsidRPr="00D14CD7" w:rsidRDefault="008734AD" w:rsidP="00540E05">
      <w:pPr>
        <w:pStyle w:val="Heading1"/>
        <w:keepNext/>
        <w:keepLines/>
        <w:spacing w:after="0" w:line="240" w:lineRule="auto"/>
        <w:rPr>
          <w:color w:val="000000" w:themeColor="text1"/>
        </w:rPr>
      </w:pPr>
      <w:bookmarkStart w:id="27" w:name="_Hlk171345693"/>
      <w:r w:rsidRPr="00D14CD7">
        <w:rPr>
          <w:color w:val="000000" w:themeColor="text1"/>
        </w:rPr>
        <w:t>METHODOLOGY</w:t>
      </w:r>
    </w:p>
    <w:p w14:paraId="1DA68012" w14:textId="28EF6860" w:rsidR="00CA1685" w:rsidRPr="00D14CD7" w:rsidRDefault="00DA6097" w:rsidP="00540E05">
      <w:pPr>
        <w:keepNext/>
        <w:keepLines/>
        <w:autoSpaceDE w:val="0"/>
        <w:autoSpaceDN w:val="0"/>
        <w:adjustRightInd w:val="0"/>
        <w:spacing w:after="0" w:line="240" w:lineRule="auto"/>
        <w:rPr>
          <w:color w:val="000000" w:themeColor="text1"/>
        </w:rPr>
      </w:pPr>
      <w:r w:rsidRPr="00D14CD7">
        <w:rPr>
          <w:color w:val="000000" w:themeColor="text1"/>
        </w:rPr>
        <w:t xml:space="preserve">In this paper, we employ </w:t>
      </w:r>
      <w:r w:rsidR="00F56BB9" w:rsidRPr="00D14CD7">
        <w:rPr>
          <w:color w:val="000000" w:themeColor="text1"/>
        </w:rPr>
        <w:t xml:space="preserve">an “at-once horizontal choice” approach recently proposed by Bhat (2022). This approach, originating from a utility-theoretic framework, is based on the notion that consumers seek a social-psychological sense of “optimal arousal” in restaurant food consumption patterns based on stability (psychological security) as well as change (novelty). </w:t>
      </w:r>
      <w:r w:rsidR="000A2763" w:rsidRPr="00D14CD7">
        <w:rPr>
          <w:color w:val="000000" w:themeColor="text1"/>
        </w:rPr>
        <w:t>Accordingly, t</w:t>
      </w:r>
      <w:r w:rsidR="00F56BB9" w:rsidRPr="00D14CD7">
        <w:rPr>
          <w:color w:val="000000" w:themeColor="text1"/>
        </w:rPr>
        <w:t>he model structure includes two components. The first component is a total count model, framed within a generalized ordered-response (GOR) framework</w:t>
      </w:r>
      <w:r w:rsidRPr="00D14CD7">
        <w:rPr>
          <w:color w:val="000000" w:themeColor="text1"/>
        </w:rPr>
        <w:t>. A</w:t>
      </w:r>
      <w:r w:rsidR="00F56BB9" w:rsidRPr="00D14CD7">
        <w:rPr>
          <w:color w:val="000000" w:themeColor="text1"/>
        </w:rPr>
        <w:t xml:space="preserve"> linking function from the second fractional split multiple discrete-continuous (MDC) model component appear</w:t>
      </w:r>
      <w:r w:rsidRPr="00D14CD7">
        <w:rPr>
          <w:color w:val="000000" w:themeColor="text1"/>
        </w:rPr>
        <w:t xml:space="preserve">s </w:t>
      </w:r>
      <w:r w:rsidR="00F56BB9" w:rsidRPr="00D14CD7">
        <w:rPr>
          <w:color w:val="000000" w:themeColor="text1"/>
        </w:rPr>
        <w:t xml:space="preserve">in this total count model. </w:t>
      </w:r>
      <w:r w:rsidR="00A430D7" w:rsidRPr="00D14CD7">
        <w:rPr>
          <w:color w:val="000000" w:themeColor="text1"/>
        </w:rPr>
        <w:t xml:space="preserve">This linking function allows for the total count of eat-outs to increase in response to an increase in the preference for any single restaurant segment, as discussed earlier.  </w:t>
      </w:r>
      <w:r w:rsidR="00F56BB9" w:rsidRPr="00D14CD7">
        <w:rPr>
          <w:color w:val="000000" w:themeColor="text1"/>
        </w:rPr>
        <w:t>In the second MDC model</w:t>
      </w:r>
      <w:r w:rsidR="00040F83" w:rsidRPr="00D14CD7">
        <w:rPr>
          <w:color w:val="000000" w:themeColor="text1"/>
        </w:rPr>
        <w:t xml:space="preserve"> component</w:t>
      </w:r>
      <w:r w:rsidR="00F56BB9" w:rsidRPr="00D14CD7">
        <w:rPr>
          <w:color w:val="000000" w:themeColor="text1"/>
        </w:rPr>
        <w:t>, the discrete component corresponds to whether or not an individual has a non-zero eat-out occasion at each restaurant segment, and the continuous component refers to the proportion of eat-out occasions allocated to QSRs, CHs, CSRs, and FSRs</w:t>
      </w:r>
      <w:r w:rsidR="009708BB" w:rsidRPr="00D14CD7">
        <w:rPr>
          <w:color w:val="000000" w:themeColor="text1"/>
        </w:rPr>
        <w:t>, over a specific time period</w:t>
      </w:r>
      <w:r w:rsidR="00F56BB9" w:rsidRPr="00D14CD7">
        <w:rPr>
          <w:color w:val="000000" w:themeColor="text1"/>
        </w:rPr>
        <w:t>.</w:t>
      </w:r>
    </w:p>
    <w:p w14:paraId="0383EE64" w14:textId="77777777" w:rsidR="00540E05" w:rsidRPr="00D14CD7" w:rsidRDefault="00540E05" w:rsidP="00540E05">
      <w:pPr>
        <w:keepNext/>
        <w:keepLines/>
        <w:autoSpaceDE w:val="0"/>
        <w:autoSpaceDN w:val="0"/>
        <w:adjustRightInd w:val="0"/>
        <w:spacing w:after="0" w:line="240" w:lineRule="auto"/>
        <w:rPr>
          <w:color w:val="000000" w:themeColor="text1"/>
        </w:rPr>
      </w:pPr>
    </w:p>
    <w:p w14:paraId="6C68C01B" w14:textId="75647D1B" w:rsidR="00CA1685" w:rsidRPr="00D14CD7" w:rsidRDefault="00CA1685" w:rsidP="00540E05">
      <w:pPr>
        <w:pStyle w:val="Heading2"/>
        <w:spacing w:before="0" w:after="0" w:line="240" w:lineRule="auto"/>
        <w:rPr>
          <w:color w:val="000000" w:themeColor="text1"/>
        </w:rPr>
      </w:pPr>
      <w:r w:rsidRPr="00D14CD7">
        <w:rPr>
          <w:color w:val="000000" w:themeColor="text1"/>
        </w:rPr>
        <w:t xml:space="preserve"> Reverse Gumbel MDCEV Model of Fractional Split</w:t>
      </w:r>
      <w:r w:rsidR="000C7F14" w:rsidRPr="00D14CD7">
        <w:rPr>
          <w:color w:val="000000" w:themeColor="text1"/>
        </w:rPr>
        <w:t xml:space="preserve"> Model (RG-MDCEV)</w:t>
      </w:r>
    </w:p>
    <w:p w14:paraId="5005A83E" w14:textId="723E34DF" w:rsidR="00A64A49" w:rsidRPr="00D14CD7" w:rsidRDefault="00A64A49" w:rsidP="00540E05">
      <w:pPr>
        <w:spacing w:after="0" w:line="240" w:lineRule="auto"/>
        <w:rPr>
          <w:color w:val="000000" w:themeColor="text1"/>
        </w:rPr>
      </w:pPr>
      <w:r w:rsidRPr="00D14CD7">
        <w:rPr>
          <w:color w:val="000000" w:themeColor="text1"/>
        </w:rPr>
        <w:t xml:space="preserve">The RG-MDCEV model represents the second stage of the two-stage budgeting framework. For </w:t>
      </w:r>
      <w:r w:rsidR="00DF0952" w:rsidRPr="00D14CD7">
        <w:rPr>
          <w:color w:val="000000" w:themeColor="text1"/>
        </w:rPr>
        <w:t xml:space="preserve">an </w:t>
      </w:r>
      <w:r w:rsidRPr="00D14CD7">
        <w:rPr>
          <w:color w:val="000000" w:themeColor="text1"/>
        </w:rPr>
        <w:t xml:space="preserve">individual with a positive count of eat-out occasions, the amount of occasions allocated to each alternative </w:t>
      </w:r>
      <w:r w:rsidR="000C0372" w:rsidRPr="00D14CD7">
        <w:rPr>
          <w:i/>
          <w:iCs/>
          <w:color w:val="000000" w:themeColor="text1"/>
        </w:rPr>
        <w:t>k</w:t>
      </w:r>
      <w:r w:rsidR="000C0372" w:rsidRPr="00D14CD7">
        <w:rPr>
          <w:color w:val="000000" w:themeColor="text1"/>
        </w:rPr>
        <w:t xml:space="preserve"> </w:t>
      </w:r>
      <w:r w:rsidRPr="00D14CD7">
        <w:rPr>
          <w:color w:val="000000" w:themeColor="text1"/>
        </w:rPr>
        <w:t>(i.e. restaurant segment) is modeled using the following functional form for utility</w:t>
      </w:r>
      <w:r w:rsidR="00EB44C4" w:rsidRPr="00D14CD7">
        <w:rPr>
          <w:color w:val="000000" w:themeColor="text1"/>
        </w:rPr>
        <w:t xml:space="preserve"> </w:t>
      </w:r>
      <w:r w:rsidR="00EB44C4" w:rsidRPr="00D14CD7">
        <w:rPr>
          <w:color w:val="000000" w:themeColor="text1"/>
        </w:rPr>
        <w:fldChar w:fldCharType="begin"/>
      </w:r>
      <w:r w:rsidR="00EB44C4" w:rsidRPr="00D14CD7">
        <w:rPr>
          <w:color w:val="000000" w:themeColor="text1"/>
        </w:rPr>
        <w:instrText xml:space="preserve"> ADDIN ZOTERO_ITEM CSL_CITATION {"citationID":"396CQcoH","properties":{"formattedCitation":"(Bhat, 2022)","plainCitation":"(Bhat, 2022)","noteIndex":0},"citationItems":[{"id":950,"uris":["http://zotero.org/users/9292995/items/H6EJI54S"],"itemData":{"id":950,"type":"article-journal","abstract":"In this paper, we propose a new two-stage budgeting-based utility-theoretic econometric multiple discrete-count model based on the linking of a fractional split MDCEV model component with a total count model. Through the strategic specification of error distributions in the model, we derive a multiple discrete-count extreme value (MDCNTEV) model that has a closed-form probability expression and that is estimable using straightforward maximum likelihood estimation. An application of the proposed model is demonstrated in the context of individuals’ multivariate count of recreational episodes to each of multiple possible tourism destination locations. The results highlight the promise of the proposed model for a variety of multivariate count consumer choice settings. The model can also serve as a base model over which random heterogeneity may be superimposed to specify more advanced models.","container-title":"Transportation Research Part B: Methodological","DOI":"10.1016/j.trb.2022.08.001","ISSN":"0191-2615","journalAbbreviation":"Transportation Research Part B: Methodological","language":"en","page":"65-86","source":"ScienceDirect","title":"A closed-form multiple discrete-count extreme value (MDCNTEV) model","volume":"164","author":[{"family":"Bhat","given":"Chandra R."}],"issued":{"date-parts":[["2022",10,1]]}}}],"schema":"https://github.com/citation-style-language/schema/raw/master/csl-citation.json"} </w:instrText>
      </w:r>
      <w:r w:rsidR="00EB44C4" w:rsidRPr="00D14CD7">
        <w:rPr>
          <w:color w:val="000000" w:themeColor="text1"/>
        </w:rPr>
        <w:fldChar w:fldCharType="separate"/>
      </w:r>
      <w:r w:rsidR="00EB44C4" w:rsidRPr="00D14CD7">
        <w:rPr>
          <w:color w:val="000000" w:themeColor="text1"/>
        </w:rPr>
        <w:t>(Bhat, 2022)</w:t>
      </w:r>
      <w:r w:rsidR="00EB44C4" w:rsidRPr="00D14CD7">
        <w:rPr>
          <w:color w:val="000000" w:themeColor="text1"/>
        </w:rPr>
        <w:fldChar w:fldCharType="end"/>
      </w:r>
      <w:r w:rsidR="00EB44C4" w:rsidRPr="00D14CD7">
        <w:rPr>
          <w:color w:val="000000" w:themeColor="text1"/>
        </w:rPr>
        <w:t xml:space="preserve">: </w:t>
      </w:r>
      <w:r w:rsidRPr="00D14CD7">
        <w:rPr>
          <w:color w:val="000000" w:themeColor="text1"/>
        </w:rPr>
        <w:t xml:space="preserve"> </w:t>
      </w:r>
    </w:p>
    <w:p w14:paraId="79653DD9" w14:textId="384D0543" w:rsidR="00A64A49" w:rsidRPr="00D14CD7" w:rsidRDefault="00870555" w:rsidP="004E3632">
      <w:pPr>
        <w:tabs>
          <w:tab w:val="right" w:pos="9360"/>
        </w:tabs>
        <w:spacing w:before="60" w:after="0" w:line="240" w:lineRule="auto"/>
        <w:rPr>
          <w:color w:val="000000" w:themeColor="text1"/>
        </w:rPr>
      </w:pPr>
      <w:r w:rsidRPr="00D14CD7">
        <w:rPr>
          <w:color w:val="000000" w:themeColor="text1"/>
          <w:position w:val="-32"/>
        </w:rPr>
        <w:object w:dxaOrig="2659" w:dyaOrig="760" w14:anchorId="09FB9B3F">
          <v:shape id="_x0000_i1026" type="#_x0000_t75" style="width:133.3pt;height:37.7pt" o:ole="">
            <v:imagedata r:id="rId13" o:title=""/>
          </v:shape>
          <o:OLEObject Type="Embed" ProgID="Equation.DSMT4" ShapeID="_x0000_i1026" DrawAspect="Content" ObjectID="_1793173615" r:id="rId14"/>
        </w:object>
      </w:r>
      <w:r w:rsidR="00A64A49" w:rsidRPr="00D14CD7">
        <w:rPr>
          <w:color w:val="000000" w:themeColor="text1"/>
        </w:rPr>
        <w:tab/>
        <w:t>(</w:t>
      </w:r>
      <w:r w:rsidR="002F5C17" w:rsidRPr="00D14CD7">
        <w:rPr>
          <w:color w:val="000000" w:themeColor="text1"/>
        </w:rPr>
        <w:t>2</w:t>
      </w:r>
      <w:r w:rsidR="00A64A49" w:rsidRPr="00D14CD7">
        <w:rPr>
          <w:color w:val="000000" w:themeColor="text1"/>
        </w:rPr>
        <w:t>)</w:t>
      </w:r>
    </w:p>
    <w:p w14:paraId="3C02B4EE" w14:textId="75E79EA6" w:rsidR="00A64A49" w:rsidRPr="00D14CD7" w:rsidRDefault="00870555" w:rsidP="004E3632">
      <w:pPr>
        <w:spacing w:after="60" w:line="240" w:lineRule="auto"/>
        <w:rPr>
          <w:color w:val="000000" w:themeColor="text1"/>
        </w:rPr>
      </w:pPr>
      <w:r w:rsidRPr="00D14CD7">
        <w:rPr>
          <w:color w:val="000000" w:themeColor="text1"/>
          <w:position w:val="-28"/>
        </w:rPr>
        <w:object w:dxaOrig="1340" w:dyaOrig="680" w14:anchorId="147F7982">
          <v:shape id="_x0000_i1027" type="#_x0000_t75" style="width:66.85pt;height:33.85pt" o:ole="" o:preferrelative="f">
            <v:imagedata r:id="rId15" o:title=""/>
            <o:lock v:ext="edit" aspectratio="f"/>
          </v:shape>
          <o:OLEObject Type="Embed" ProgID="Equation.DSMT4" ShapeID="_x0000_i1027" DrawAspect="Content" ObjectID="_1793173616" r:id="rId16"/>
        </w:object>
      </w:r>
      <w:r w:rsidR="00A64A49" w:rsidRPr="00D14CD7">
        <w:rPr>
          <w:color w:val="000000" w:themeColor="text1"/>
        </w:rPr>
        <w:tab/>
      </w:r>
    </w:p>
    <w:p w14:paraId="0FED3848" w14:textId="4C7674FA" w:rsidR="00426FD3" w:rsidRPr="00D14CD7" w:rsidRDefault="00036C6D" w:rsidP="00540E05">
      <w:pPr>
        <w:spacing w:after="0" w:line="240" w:lineRule="auto"/>
        <w:rPr>
          <w:color w:val="000000" w:themeColor="text1"/>
        </w:rPr>
      </w:pPr>
      <w:r w:rsidRPr="00D14CD7">
        <w:rPr>
          <w:color w:val="000000" w:themeColor="text1"/>
        </w:rPr>
        <w:t xml:space="preserve">In the above function, </w:t>
      </w:r>
      <w:r w:rsidR="00DF0952" w:rsidRPr="00D14CD7">
        <w:rPr>
          <w:color w:val="000000" w:themeColor="text1"/>
        </w:rPr>
        <w:t xml:space="preserve">we suppress the index for individuals. </w:t>
      </w:r>
      <w:r w:rsidR="00540E05" w:rsidRPr="00D14CD7">
        <w:rPr>
          <w:color w:val="000000" w:themeColor="text1"/>
          <w:position w:val="-10"/>
        </w:rPr>
        <w:object w:dxaOrig="540" w:dyaOrig="380" w14:anchorId="2771C5D7">
          <v:shape id="_x0000_i1028" type="#_x0000_t75" style="width:27pt;height:18.85pt" o:ole="" o:preferrelative="f">
            <v:imagedata r:id="rId17" o:title=""/>
            <o:lock v:ext="edit" aspectratio="f"/>
          </v:shape>
          <o:OLEObject Type="Embed" ProgID="Equation.DSMT4" ShapeID="_x0000_i1028" DrawAspect="Content" ObjectID="_1793173617" r:id="rId18"/>
        </w:object>
      </w:r>
      <w:r w:rsidRPr="00D14CD7">
        <w:rPr>
          <w:color w:val="000000" w:themeColor="text1"/>
        </w:rPr>
        <w:t>is a quasi-concave, increasing, and continuously differentiable utility function</w:t>
      </w:r>
      <w:r w:rsidR="000D36BF" w:rsidRPr="00D14CD7">
        <w:rPr>
          <w:color w:val="000000" w:themeColor="text1"/>
        </w:rPr>
        <w:t>,</w:t>
      </w:r>
      <w:r w:rsidR="00667682" w:rsidRPr="00D14CD7">
        <w:rPr>
          <w:color w:val="000000" w:themeColor="text1"/>
        </w:rPr>
        <w:t xml:space="preserve"> </w:t>
      </w:r>
      <w:r w:rsidRPr="00D14CD7">
        <w:rPr>
          <w:color w:val="000000" w:themeColor="text1"/>
        </w:rPr>
        <w:t>and</w:t>
      </w:r>
      <w:r w:rsidR="00061599" w:rsidRPr="00D14CD7">
        <w:rPr>
          <w:color w:val="000000" w:themeColor="text1"/>
        </w:rPr>
        <w:t xml:space="preserve"> </w:t>
      </w:r>
      <w:r w:rsidR="0068023F" w:rsidRPr="00D14CD7">
        <w:rPr>
          <w:color w:val="000000" w:themeColor="text1"/>
          <w:position w:val="-12"/>
        </w:rPr>
        <w:object w:dxaOrig="1440" w:dyaOrig="400" w14:anchorId="6219E6B1">
          <v:shape id="_x0000_i1029" type="#_x0000_t75" style="width:1in;height:20.15pt" o:ole="" o:preferrelative="f">
            <v:imagedata r:id="rId19" o:title=""/>
            <o:lock v:ext="edit" aspectratio="f"/>
          </v:shape>
          <o:OLEObject Type="Embed" ProgID="Equation.DSMT4" ShapeID="_x0000_i1029" DrawAspect="Content" ObjectID="_1793173618" r:id="rId20"/>
        </w:object>
      </w:r>
      <w:r w:rsidRPr="00D14CD7">
        <w:rPr>
          <w:color w:val="000000" w:themeColor="text1"/>
        </w:rPr>
        <w:t xml:space="preserve"> </w:t>
      </w:r>
      <w:r w:rsidR="00D6470D" w:rsidRPr="00D14CD7">
        <w:rPr>
          <w:color w:val="000000" w:themeColor="text1"/>
        </w:rPr>
        <w:t xml:space="preserve">is </w:t>
      </w:r>
      <w:r w:rsidRPr="00D14CD7">
        <w:rPr>
          <w:color w:val="000000" w:themeColor="text1"/>
        </w:rPr>
        <w:t>a</w:t>
      </w:r>
      <w:r w:rsidR="00667682" w:rsidRPr="00D14CD7">
        <w:rPr>
          <w:color w:val="000000" w:themeColor="text1"/>
        </w:rPr>
        <w:t xml:space="preserve"> </w:t>
      </w:r>
      <w:r w:rsidR="00667682" w:rsidRPr="00D14CD7">
        <w:rPr>
          <w:color w:val="000000" w:themeColor="text1"/>
          <w:position w:val="-10"/>
        </w:rPr>
        <w:object w:dxaOrig="700" w:dyaOrig="320" w14:anchorId="0060683B">
          <v:shape id="_x0000_i1030" type="#_x0000_t75" style="width:36.85pt;height:16.3pt" o:ole="" o:preferrelative="f">
            <v:imagedata r:id="rId21" o:title=""/>
            <o:lock v:ext="edit" aspectratio="f"/>
          </v:shape>
          <o:OLEObject Type="Embed" ProgID="Equation.DSMT4" ShapeID="_x0000_i1030" DrawAspect="Content" ObjectID="_1793173619" r:id="rId22"/>
        </w:object>
      </w:r>
      <w:r w:rsidRPr="00D14CD7">
        <w:rPr>
          <w:color w:val="000000" w:themeColor="text1"/>
        </w:rPr>
        <w:t>-vector representing</w:t>
      </w:r>
      <w:r w:rsidR="000D36BF" w:rsidRPr="00D14CD7">
        <w:rPr>
          <w:color w:val="000000" w:themeColor="text1"/>
        </w:rPr>
        <w:t xml:space="preserve"> the</w:t>
      </w:r>
      <w:r w:rsidR="00D6470D" w:rsidRPr="00D14CD7">
        <w:rPr>
          <w:color w:val="000000" w:themeColor="text1"/>
        </w:rPr>
        <w:t xml:space="preserve"> fraction of the total </w:t>
      </w:r>
      <w:r w:rsidRPr="00D14CD7">
        <w:rPr>
          <w:color w:val="000000" w:themeColor="text1"/>
        </w:rPr>
        <w:t xml:space="preserve">eat-out </w:t>
      </w:r>
      <w:r w:rsidR="00D6470D" w:rsidRPr="00D14CD7">
        <w:rPr>
          <w:color w:val="000000" w:themeColor="text1"/>
        </w:rPr>
        <w:t xml:space="preserve">count allocated to </w:t>
      </w:r>
      <w:r w:rsidRPr="00D14CD7">
        <w:rPr>
          <w:color w:val="000000" w:themeColor="text1"/>
        </w:rPr>
        <w:t xml:space="preserve">each </w:t>
      </w:r>
      <w:r w:rsidR="00D6470D" w:rsidRPr="00D14CD7">
        <w:rPr>
          <w:color w:val="000000" w:themeColor="text1"/>
        </w:rPr>
        <w:t xml:space="preserve">restaurant segment </w:t>
      </w:r>
      <w:r w:rsidR="00D6470D" w:rsidRPr="00D14CD7">
        <w:rPr>
          <w:i/>
          <w:color w:val="000000" w:themeColor="text1"/>
        </w:rPr>
        <w:t xml:space="preserve">k </w:t>
      </w:r>
      <w:r w:rsidR="00D6470D" w:rsidRPr="00D14CD7">
        <w:rPr>
          <w:color w:val="000000" w:themeColor="text1"/>
        </w:rPr>
        <w:t xml:space="preserve">with </w:t>
      </w:r>
      <w:r w:rsidR="00D6470D" w:rsidRPr="00D14CD7">
        <w:rPr>
          <w:color w:val="000000" w:themeColor="text1"/>
          <w:position w:val="-12"/>
        </w:rPr>
        <w:object w:dxaOrig="960" w:dyaOrig="400" w14:anchorId="626AF352">
          <v:shape id="_x0000_i1031" type="#_x0000_t75" style="width:48.85pt;height:20.15pt" o:ole="">
            <v:imagedata r:id="rId23" o:title=""/>
          </v:shape>
          <o:OLEObject Type="Embed" ProgID="Equation.DSMT4" ShapeID="_x0000_i1031" DrawAspect="Content" ObjectID="_1793173620" r:id="rId24"/>
        </w:object>
      </w:r>
      <w:r w:rsidR="00D6470D" w:rsidRPr="00D14CD7">
        <w:rPr>
          <w:color w:val="000000" w:themeColor="text1"/>
        </w:rPr>
        <w:t xml:space="preserve"> for all </w:t>
      </w:r>
      <w:r w:rsidR="00D6470D" w:rsidRPr="00D14CD7">
        <w:rPr>
          <w:i/>
          <w:color w:val="000000" w:themeColor="text1"/>
        </w:rPr>
        <w:t>k</w:t>
      </w:r>
      <w:r w:rsidR="00D6470D" w:rsidRPr="00D14CD7">
        <w:rPr>
          <w:color w:val="000000" w:themeColor="text1"/>
        </w:rPr>
        <w:t xml:space="preserve">. In the context of this paper, </w:t>
      </w:r>
      <w:r w:rsidR="00E44026" w:rsidRPr="00D14CD7">
        <w:rPr>
          <w:i/>
          <w:iCs/>
          <w:color w:val="000000" w:themeColor="text1"/>
        </w:rPr>
        <w:t>K</w:t>
      </w:r>
      <w:r w:rsidR="00E44026" w:rsidRPr="00D14CD7">
        <w:rPr>
          <w:color w:val="000000" w:themeColor="text1"/>
        </w:rPr>
        <w:t xml:space="preserve">=4 for the four restaurant segments of QSR, CH, CSR, and FSR. </w:t>
      </w:r>
      <w:r w:rsidR="00C8695B" w:rsidRPr="00D14CD7">
        <w:rPr>
          <w:color w:val="000000" w:themeColor="text1"/>
        </w:rPr>
        <w:t xml:space="preserve">The </w:t>
      </w:r>
      <w:r w:rsidR="00061599" w:rsidRPr="00D14CD7">
        <w:rPr>
          <w:color w:val="000000" w:themeColor="text1"/>
          <w:position w:val="-12"/>
        </w:rPr>
        <w:object w:dxaOrig="320" w:dyaOrig="360" w14:anchorId="6649FB15">
          <v:shape id="_x0000_i1032" type="#_x0000_t75" style="width:16.3pt;height:18.85pt" o:ole="">
            <v:imagedata r:id="rId25" o:title=""/>
          </v:shape>
          <o:OLEObject Type="Embed" ProgID="Equation.DSMT4" ShapeID="_x0000_i1032" DrawAspect="Content" ObjectID="_1793173621" r:id="rId26"/>
        </w:object>
      </w:r>
      <w:r w:rsidRPr="00D14CD7">
        <w:rPr>
          <w:color w:val="000000" w:themeColor="text1"/>
        </w:rPr>
        <w:t xml:space="preserve"> </w:t>
      </w:r>
      <w:r w:rsidR="00C8695B" w:rsidRPr="00D14CD7">
        <w:rPr>
          <w:color w:val="000000" w:themeColor="text1"/>
        </w:rPr>
        <w:t>parameter (</w:t>
      </w:r>
      <w:r w:rsidR="00061599" w:rsidRPr="00D14CD7">
        <w:rPr>
          <w:color w:val="000000" w:themeColor="text1"/>
          <w:position w:val="-12"/>
        </w:rPr>
        <w:object w:dxaOrig="680" w:dyaOrig="360" w14:anchorId="0D92D320">
          <v:shape id="_x0000_i1033" type="#_x0000_t75" style="width:36.85pt;height:18.85pt" o:ole="">
            <v:imagedata r:id="rId27" o:title=""/>
          </v:shape>
          <o:OLEObject Type="Embed" ProgID="Equation.DSMT4" ShapeID="_x0000_i1033" DrawAspect="Content" ObjectID="_1793173622" r:id="rId28"/>
        </w:object>
      </w:r>
      <w:r w:rsidR="00C8695B" w:rsidRPr="00D14CD7">
        <w:rPr>
          <w:color w:val="000000" w:themeColor="text1"/>
        </w:rPr>
        <w:t xml:space="preserve">) represents the baseline marginal utility at the point of zero </w:t>
      </w:r>
      <w:r w:rsidR="00E44026" w:rsidRPr="00D14CD7">
        <w:rPr>
          <w:color w:val="000000" w:themeColor="text1"/>
        </w:rPr>
        <w:t xml:space="preserve">eat-outs at restaurant segment </w:t>
      </w:r>
      <w:r w:rsidR="00E44026" w:rsidRPr="00D14CD7">
        <w:rPr>
          <w:i/>
          <w:iCs/>
          <w:color w:val="000000" w:themeColor="text1"/>
        </w:rPr>
        <w:t>k</w:t>
      </w:r>
      <w:r w:rsidR="002625AF" w:rsidRPr="00D14CD7">
        <w:rPr>
          <w:color w:val="000000" w:themeColor="text1"/>
        </w:rPr>
        <w:t xml:space="preserve">, while the </w:t>
      </w:r>
      <w:r w:rsidR="002625AF" w:rsidRPr="00D14CD7">
        <w:rPr>
          <w:color w:val="000000" w:themeColor="text1"/>
          <w:position w:val="-12"/>
        </w:rPr>
        <w:object w:dxaOrig="279" w:dyaOrig="360" w14:anchorId="635C1EB0">
          <v:shape id="_x0000_i1034" type="#_x0000_t75" style="width:13.7pt;height:18.85pt" o:ole="">
            <v:imagedata r:id="rId29" o:title=""/>
          </v:shape>
          <o:OLEObject Type="Embed" ProgID="Equation.DSMT4" ShapeID="_x0000_i1034" DrawAspect="Content" ObjectID="_1793173623" r:id="rId30"/>
        </w:object>
      </w:r>
      <w:r w:rsidR="002625AF" w:rsidRPr="00D14CD7">
        <w:rPr>
          <w:color w:val="000000" w:themeColor="text1"/>
        </w:rPr>
        <w:t xml:space="preserve"> parameter allows for corner solutions (zero </w:t>
      </w:r>
      <w:r w:rsidR="002625AF" w:rsidRPr="00D14CD7">
        <w:rPr>
          <w:color w:val="000000" w:themeColor="text1"/>
        </w:rPr>
        <w:lastRenderedPageBreak/>
        <w:t xml:space="preserve">patronage for restaurant segment </w:t>
      </w:r>
      <w:r w:rsidR="002625AF" w:rsidRPr="00D14CD7">
        <w:rPr>
          <w:i/>
          <w:iCs/>
          <w:color w:val="000000" w:themeColor="text1"/>
        </w:rPr>
        <w:t>k</w:t>
      </w:r>
      <w:r w:rsidR="002625AF" w:rsidRPr="00D14CD7">
        <w:rPr>
          <w:color w:val="000000" w:themeColor="text1"/>
        </w:rPr>
        <w:t>) as well as accommodates satiation effects.</w:t>
      </w:r>
      <w:r w:rsidR="00E44026" w:rsidRPr="00D14CD7">
        <w:rPr>
          <w:color w:val="000000" w:themeColor="text1"/>
        </w:rPr>
        <w:t xml:space="preserve"> </w:t>
      </w:r>
      <w:r w:rsidR="00426FD3" w:rsidRPr="00D14CD7">
        <w:rPr>
          <w:color w:val="000000" w:themeColor="text1"/>
        </w:rPr>
        <w:t>The baseline marginal utility</w:t>
      </w:r>
      <w:r w:rsidR="00DF0952" w:rsidRPr="00D14CD7">
        <w:rPr>
          <w:color w:val="000000" w:themeColor="text1"/>
        </w:rPr>
        <w:t>,</w:t>
      </w:r>
      <w:r w:rsidR="00426FD3" w:rsidRPr="00D14CD7">
        <w:rPr>
          <w:color w:val="000000" w:themeColor="text1"/>
        </w:rPr>
        <w:t xml:space="preserve"> </w:t>
      </w:r>
      <w:r w:rsidR="00061599" w:rsidRPr="00D14CD7">
        <w:rPr>
          <w:color w:val="000000" w:themeColor="text1"/>
          <w:position w:val="-12"/>
        </w:rPr>
        <w:object w:dxaOrig="320" w:dyaOrig="360" w14:anchorId="60C297ED">
          <v:shape id="_x0000_i1035" type="#_x0000_t75" style="width:16.3pt;height:18.85pt" o:ole="">
            <v:imagedata r:id="rId31" o:title=""/>
          </v:shape>
          <o:OLEObject Type="Embed" ProgID="Equation.DSMT4" ShapeID="_x0000_i1035" DrawAspect="Content" ObjectID="_1793173624" r:id="rId32"/>
        </w:object>
      </w:r>
      <w:r w:rsidR="002625AF" w:rsidRPr="00D14CD7">
        <w:rPr>
          <w:color w:val="000000" w:themeColor="text1"/>
        </w:rPr>
        <w:t xml:space="preserve">, </w:t>
      </w:r>
      <w:r w:rsidR="00426FD3" w:rsidRPr="00D14CD7">
        <w:rPr>
          <w:color w:val="000000" w:themeColor="text1"/>
        </w:rPr>
        <w:t>is paramet</w:t>
      </w:r>
      <w:r w:rsidR="002625AF" w:rsidRPr="00D14CD7">
        <w:rPr>
          <w:color w:val="000000" w:themeColor="text1"/>
        </w:rPr>
        <w:t>e</w:t>
      </w:r>
      <w:r w:rsidR="00426FD3" w:rsidRPr="00D14CD7">
        <w:rPr>
          <w:color w:val="000000" w:themeColor="text1"/>
        </w:rPr>
        <w:t xml:space="preserve">rized as follows: </w:t>
      </w:r>
    </w:p>
    <w:p w14:paraId="1A94DA21" w14:textId="096247CE" w:rsidR="00426FD3" w:rsidRPr="00D14CD7" w:rsidRDefault="0068023F" w:rsidP="00667682">
      <w:pPr>
        <w:tabs>
          <w:tab w:val="right" w:pos="9360"/>
        </w:tabs>
        <w:spacing w:before="60" w:after="60" w:line="240" w:lineRule="auto"/>
        <w:rPr>
          <w:color w:val="000000" w:themeColor="text1"/>
        </w:rPr>
      </w:pPr>
      <w:r w:rsidRPr="00D14CD7">
        <w:rPr>
          <w:color w:val="000000" w:themeColor="text1"/>
          <w:position w:val="-14"/>
        </w:rPr>
        <w:object w:dxaOrig="5280" w:dyaOrig="400" w14:anchorId="128825B4">
          <v:shape id="_x0000_i1036" type="#_x0000_t75" style="width:264.85pt;height:20.15pt" o:ole="" o:preferrelative="f">
            <v:imagedata r:id="rId33" o:title=""/>
            <o:lock v:ext="edit" aspectratio="f"/>
          </v:shape>
          <o:OLEObject Type="Embed" ProgID="Equation.DSMT4" ShapeID="_x0000_i1036" DrawAspect="Content" ObjectID="_1793173625" r:id="rId34"/>
        </w:object>
      </w:r>
      <w:r w:rsidR="00426FD3" w:rsidRPr="00D14CD7">
        <w:rPr>
          <w:color w:val="000000" w:themeColor="text1"/>
        </w:rPr>
        <w:t xml:space="preserve">, </w:t>
      </w:r>
      <w:r w:rsidR="00426FD3" w:rsidRPr="00D14CD7">
        <w:rPr>
          <w:color w:val="000000" w:themeColor="text1"/>
        </w:rPr>
        <w:tab/>
        <w:t>(</w:t>
      </w:r>
      <w:r w:rsidR="002F5C17" w:rsidRPr="00D14CD7">
        <w:rPr>
          <w:color w:val="000000" w:themeColor="text1"/>
        </w:rPr>
        <w:t>3</w:t>
      </w:r>
      <w:r w:rsidR="00426FD3" w:rsidRPr="00D14CD7">
        <w:rPr>
          <w:color w:val="000000" w:themeColor="text1"/>
        </w:rPr>
        <w:t>)</w:t>
      </w:r>
    </w:p>
    <w:p w14:paraId="507AE11E" w14:textId="6928F9B4" w:rsidR="001C45D1" w:rsidRPr="00D14CD7" w:rsidRDefault="00520F33" w:rsidP="00540E05">
      <w:pPr>
        <w:spacing w:after="0" w:line="240" w:lineRule="auto"/>
        <w:rPr>
          <w:color w:val="000000" w:themeColor="text1"/>
        </w:rPr>
      </w:pPr>
      <w:r w:rsidRPr="00D14CD7">
        <w:rPr>
          <w:color w:val="000000" w:themeColor="text1"/>
        </w:rPr>
        <w:t>and</w:t>
      </w:r>
      <w:r w:rsidR="00C650DF" w:rsidRPr="00D14CD7">
        <w:rPr>
          <w:color w:val="000000" w:themeColor="text1"/>
        </w:rPr>
        <w:t xml:space="preserve"> </w:t>
      </w:r>
      <w:r w:rsidR="001C45D1" w:rsidRPr="00D14CD7">
        <w:rPr>
          <w:color w:val="000000" w:themeColor="text1"/>
          <w:position w:val="-12"/>
        </w:rPr>
        <w:object w:dxaOrig="279" w:dyaOrig="360" w14:anchorId="22141985">
          <v:shape id="_x0000_i1037" type="#_x0000_t75" style="width:15pt;height:18.85pt" o:ole="">
            <v:imagedata r:id="rId35" o:title=""/>
          </v:shape>
          <o:OLEObject Type="Embed" ProgID="Equation.DSMT4" ShapeID="_x0000_i1037" DrawAspect="Content" ObjectID="_1793173626" r:id="rId36"/>
        </w:object>
      </w:r>
      <w:r w:rsidR="00C650DF" w:rsidRPr="00D14CD7">
        <w:rPr>
          <w:color w:val="000000" w:themeColor="text1"/>
        </w:rPr>
        <w:t xml:space="preserve"> is an </w:t>
      </w:r>
      <w:r w:rsidR="00540E05" w:rsidRPr="00D14CD7">
        <w:rPr>
          <w:color w:val="000000" w:themeColor="text1"/>
          <w:position w:val="-10"/>
        </w:rPr>
        <w:object w:dxaOrig="639" w:dyaOrig="320" w14:anchorId="296D8235">
          <v:shape id="_x0000_i1038" type="#_x0000_t75" style="width:32.15pt;height:16.3pt" o:ole="" o:preferrelative="f">
            <v:imagedata r:id="rId37" o:title=""/>
            <o:lock v:ext="edit" aspectratio="f"/>
          </v:shape>
          <o:OLEObject Type="Embed" ProgID="Equation.DSMT4" ShapeID="_x0000_i1038" DrawAspect="Content" ObjectID="_1793173627" r:id="rId38"/>
        </w:object>
      </w:r>
      <w:r w:rsidR="00C650DF" w:rsidRPr="00D14CD7">
        <w:rPr>
          <w:color w:val="000000" w:themeColor="text1"/>
        </w:rPr>
        <w:t>-vector</w:t>
      </w:r>
      <w:r w:rsidR="000D36BF" w:rsidRPr="00D14CD7">
        <w:rPr>
          <w:color w:val="000000" w:themeColor="text1"/>
        </w:rPr>
        <w:t xml:space="preserve"> which</w:t>
      </w:r>
      <w:r w:rsidR="00C650DF" w:rsidRPr="00D14CD7">
        <w:rPr>
          <w:color w:val="000000" w:themeColor="text1"/>
        </w:rPr>
        <w:t xml:space="preserve"> includes the </w:t>
      </w:r>
      <w:r w:rsidR="009708BB" w:rsidRPr="00D14CD7">
        <w:rPr>
          <w:color w:val="000000" w:themeColor="text1"/>
        </w:rPr>
        <w:t xml:space="preserve">individual-specific </w:t>
      </w:r>
      <w:r w:rsidR="00C650DF" w:rsidRPr="00D14CD7">
        <w:rPr>
          <w:color w:val="000000" w:themeColor="text1"/>
        </w:rPr>
        <w:t xml:space="preserve">attributes </w:t>
      </w:r>
      <w:r w:rsidR="009708BB" w:rsidRPr="00D14CD7">
        <w:rPr>
          <w:color w:val="000000" w:themeColor="text1"/>
        </w:rPr>
        <w:t xml:space="preserve">(including a constant) </w:t>
      </w:r>
      <w:r w:rsidR="00C650DF" w:rsidRPr="00D14CD7">
        <w:rPr>
          <w:color w:val="000000" w:themeColor="text1"/>
        </w:rPr>
        <w:t xml:space="preserve">that </w:t>
      </w:r>
      <w:r w:rsidR="009708BB" w:rsidRPr="00D14CD7">
        <w:rPr>
          <w:color w:val="000000" w:themeColor="text1"/>
        </w:rPr>
        <w:t xml:space="preserve">are relevant in the individual’s evaluation of alternative </w:t>
      </w:r>
      <w:r w:rsidR="009708BB" w:rsidRPr="00D14CD7">
        <w:rPr>
          <w:i/>
          <w:iCs/>
          <w:color w:val="000000" w:themeColor="text1"/>
        </w:rPr>
        <w:t>k</w:t>
      </w:r>
      <w:r w:rsidR="00EB44C4" w:rsidRPr="00D14CD7">
        <w:rPr>
          <w:color w:val="000000" w:themeColor="text1"/>
        </w:rPr>
        <w:t>,</w:t>
      </w:r>
      <w:r w:rsidR="001C45D1" w:rsidRPr="00D14CD7">
        <w:rPr>
          <w:color w:val="000000" w:themeColor="text1"/>
        </w:rPr>
        <w:t xml:space="preserve"> </w:t>
      </w:r>
      <w:r w:rsidR="009708BB" w:rsidRPr="00D14CD7">
        <w:rPr>
          <w:color w:val="000000" w:themeColor="text1"/>
        </w:rPr>
        <w:t>and</w:t>
      </w:r>
      <w:r w:rsidR="00DE14BD" w:rsidRPr="00D14CD7">
        <w:rPr>
          <w:color w:val="000000" w:themeColor="text1"/>
        </w:rPr>
        <w:t xml:space="preserve"> </w:t>
      </w:r>
      <w:r w:rsidR="00DE14BD" w:rsidRPr="00D14CD7">
        <w:rPr>
          <w:color w:val="000000" w:themeColor="text1"/>
          <w:position w:val="-10"/>
        </w:rPr>
        <w:object w:dxaOrig="200" w:dyaOrig="320" w14:anchorId="3DBFF736">
          <v:shape id="_x0000_i1039" type="#_x0000_t75" style="width:9.85pt;height:16.3pt" o:ole="">
            <v:imagedata r:id="rId39" o:title=""/>
          </v:shape>
          <o:OLEObject Type="Embed" ProgID="Equation.DSMT4" ShapeID="_x0000_i1039" DrawAspect="Content" ObjectID="_1793173628" r:id="rId40"/>
        </w:object>
      </w:r>
      <w:r w:rsidR="009708BB" w:rsidRPr="00D14CD7">
        <w:rPr>
          <w:color w:val="000000" w:themeColor="text1"/>
        </w:rPr>
        <w:t xml:space="preserve"> </w:t>
      </w:r>
      <w:r w:rsidR="00A1064F" w:rsidRPr="00D14CD7">
        <w:rPr>
          <w:color w:val="000000" w:themeColor="text1"/>
        </w:rPr>
        <w:t xml:space="preserve">is </w:t>
      </w:r>
      <w:r w:rsidR="009708BB" w:rsidRPr="00D14CD7">
        <w:rPr>
          <w:color w:val="000000" w:themeColor="text1"/>
        </w:rPr>
        <w:t xml:space="preserve">a corresponding </w:t>
      </w:r>
      <w:r w:rsidR="00540E05" w:rsidRPr="00D14CD7">
        <w:rPr>
          <w:color w:val="000000" w:themeColor="text1"/>
          <w:position w:val="-10"/>
        </w:rPr>
        <w:object w:dxaOrig="639" w:dyaOrig="320" w14:anchorId="2761E976">
          <v:shape id="_x0000_i1040" type="#_x0000_t75" style="width:32.15pt;height:16.3pt" o:ole="" o:preferrelative="f">
            <v:imagedata r:id="rId37" o:title=""/>
            <o:lock v:ext="edit" aspectratio="f"/>
          </v:shape>
          <o:OLEObject Type="Embed" ProgID="Equation.DSMT4" ShapeID="_x0000_i1040" DrawAspect="Content" ObjectID="_1793173629" r:id="rId41"/>
        </w:object>
      </w:r>
      <w:r w:rsidR="00BE252E" w:rsidRPr="00D14CD7">
        <w:rPr>
          <w:color w:val="000000" w:themeColor="text1"/>
        </w:rPr>
        <w:t>-vector</w:t>
      </w:r>
      <w:r w:rsidR="009708BB" w:rsidRPr="00D14CD7">
        <w:rPr>
          <w:color w:val="000000" w:themeColor="text1"/>
        </w:rPr>
        <w:t xml:space="preserve"> of </w:t>
      </w:r>
      <w:r w:rsidR="00BE252E" w:rsidRPr="00D14CD7">
        <w:rPr>
          <w:color w:val="000000" w:themeColor="text1"/>
        </w:rPr>
        <w:t xml:space="preserve">coefficients </w:t>
      </w:r>
      <w:r w:rsidR="009708BB" w:rsidRPr="00D14CD7">
        <w:rPr>
          <w:color w:val="000000" w:themeColor="text1"/>
        </w:rPr>
        <w:t>to be estimated</w:t>
      </w:r>
      <w:r w:rsidR="005A3216" w:rsidRPr="00D14CD7">
        <w:rPr>
          <w:color w:val="000000" w:themeColor="text1"/>
        </w:rPr>
        <w:t>.</w:t>
      </w:r>
      <w:r w:rsidR="001C45D1" w:rsidRPr="00D14CD7">
        <w:rPr>
          <w:color w:val="000000" w:themeColor="text1"/>
        </w:rPr>
        <w:t xml:space="preserve"> </w:t>
      </w:r>
      <w:r w:rsidR="001C45D1" w:rsidRPr="00D14CD7">
        <w:rPr>
          <w:color w:val="000000" w:themeColor="text1"/>
          <w:position w:val="-12"/>
        </w:rPr>
        <w:object w:dxaOrig="260" w:dyaOrig="360" w14:anchorId="759D6CEB">
          <v:shape id="_x0000_i1041" type="#_x0000_t75" style="width:15pt;height:18.85pt" o:ole="">
            <v:imagedata r:id="rId42" o:title=""/>
          </v:shape>
          <o:OLEObject Type="Embed" ProgID="Equation.DSMT4" ShapeID="_x0000_i1041" DrawAspect="Content" ObjectID="_1793173630" r:id="rId43"/>
        </w:object>
      </w:r>
      <w:r w:rsidR="00C650DF" w:rsidRPr="00D14CD7">
        <w:rPr>
          <w:color w:val="000000" w:themeColor="text1"/>
        </w:rPr>
        <w:t xml:space="preserve"> is a</w:t>
      </w:r>
      <w:r w:rsidR="00BE252E" w:rsidRPr="00D14CD7">
        <w:rPr>
          <w:color w:val="000000" w:themeColor="text1"/>
        </w:rPr>
        <w:t xml:space="preserve">n </w:t>
      </w:r>
      <w:r w:rsidR="00C650DF" w:rsidRPr="00D14CD7">
        <w:rPr>
          <w:color w:val="000000" w:themeColor="text1"/>
        </w:rPr>
        <w:t xml:space="preserve">error term </w:t>
      </w:r>
      <w:r w:rsidR="00B3353A" w:rsidRPr="00D14CD7">
        <w:rPr>
          <w:color w:val="000000" w:themeColor="text1"/>
        </w:rPr>
        <w:t xml:space="preserve">representing </w:t>
      </w:r>
      <w:r w:rsidR="00C650DF" w:rsidRPr="00D14CD7">
        <w:rPr>
          <w:color w:val="000000" w:themeColor="text1"/>
        </w:rPr>
        <w:t>idiosyncratic (unobserved) characteristics impact</w:t>
      </w:r>
      <w:r w:rsidR="00B3353A" w:rsidRPr="00D14CD7">
        <w:rPr>
          <w:color w:val="000000" w:themeColor="text1"/>
        </w:rPr>
        <w:t>ing</w:t>
      </w:r>
      <w:r w:rsidR="00C650DF" w:rsidRPr="00D14CD7">
        <w:rPr>
          <w:color w:val="000000" w:themeColor="text1"/>
        </w:rPr>
        <w:t xml:space="preserve"> the baseline utility of</w:t>
      </w:r>
      <w:r w:rsidR="00BE252E" w:rsidRPr="00D14CD7">
        <w:rPr>
          <w:color w:val="000000" w:themeColor="text1"/>
        </w:rPr>
        <w:t xml:space="preserve"> alternative</w:t>
      </w:r>
      <w:r w:rsidR="00C650DF" w:rsidRPr="00D14CD7">
        <w:rPr>
          <w:color w:val="000000" w:themeColor="text1"/>
        </w:rPr>
        <w:t xml:space="preserve"> </w:t>
      </w:r>
      <w:r w:rsidR="00C650DF" w:rsidRPr="00D14CD7">
        <w:rPr>
          <w:i/>
          <w:color w:val="000000" w:themeColor="text1"/>
        </w:rPr>
        <w:t>k</w:t>
      </w:r>
      <w:r w:rsidR="00B3353A" w:rsidRPr="00D14CD7">
        <w:rPr>
          <w:color w:val="000000" w:themeColor="text1"/>
        </w:rPr>
        <w:t xml:space="preserve">, </w:t>
      </w:r>
      <w:r w:rsidR="00BE252E" w:rsidRPr="00D14CD7">
        <w:rPr>
          <w:color w:val="000000" w:themeColor="text1"/>
        </w:rPr>
        <w:t xml:space="preserve">assumed to follow an independent </w:t>
      </w:r>
      <w:bookmarkStart w:id="28" w:name="_Hlk171344746"/>
      <w:r w:rsidR="00BE252E" w:rsidRPr="00D14CD7">
        <w:rPr>
          <w:color w:val="000000" w:themeColor="text1"/>
        </w:rPr>
        <w:t xml:space="preserve">and identical </w:t>
      </w:r>
      <w:r w:rsidR="0021514B" w:rsidRPr="00D14CD7">
        <w:rPr>
          <w:color w:val="000000" w:themeColor="text1"/>
        </w:rPr>
        <w:t xml:space="preserve">distribution </w:t>
      </w:r>
      <w:r w:rsidR="002625AF" w:rsidRPr="00D14CD7">
        <w:rPr>
          <w:color w:val="000000" w:themeColor="text1"/>
        </w:rPr>
        <w:t>(</w:t>
      </w:r>
      <w:r w:rsidR="00B3353A" w:rsidRPr="00D14CD7">
        <w:rPr>
          <w:color w:val="000000" w:themeColor="text1"/>
        </w:rPr>
        <w:t>across individuals and alternatives</w:t>
      </w:r>
      <w:r w:rsidR="002625AF" w:rsidRPr="00D14CD7">
        <w:rPr>
          <w:color w:val="000000" w:themeColor="text1"/>
        </w:rPr>
        <w:t>)</w:t>
      </w:r>
      <w:r w:rsidR="00B3353A" w:rsidRPr="00D14CD7">
        <w:rPr>
          <w:color w:val="000000" w:themeColor="text1"/>
        </w:rPr>
        <w:t xml:space="preserve"> with </w:t>
      </w:r>
      <w:r w:rsidR="0021514B" w:rsidRPr="00D14CD7">
        <w:rPr>
          <w:color w:val="000000" w:themeColor="text1"/>
        </w:rPr>
        <w:t xml:space="preserve">a reverse </w:t>
      </w:r>
      <w:r w:rsidR="00BE252E" w:rsidRPr="00D14CD7">
        <w:rPr>
          <w:color w:val="000000" w:themeColor="text1"/>
        </w:rPr>
        <w:t>Gumb</w:t>
      </w:r>
      <w:r w:rsidR="001C45D1" w:rsidRPr="00D14CD7">
        <w:rPr>
          <w:color w:val="000000" w:themeColor="text1"/>
        </w:rPr>
        <w:t>el</w:t>
      </w:r>
      <w:r w:rsidR="00BE252E" w:rsidRPr="00D14CD7">
        <w:rPr>
          <w:color w:val="000000" w:themeColor="text1"/>
        </w:rPr>
        <w:t xml:space="preserve"> (0,</w:t>
      </w:r>
      <w:r w:rsidR="00C4597C" w:rsidRPr="00D14CD7">
        <w:rPr>
          <w:color w:val="000000" w:themeColor="text1"/>
          <w:position w:val="-10"/>
        </w:rPr>
        <w:object w:dxaOrig="300" w:dyaOrig="320" w14:anchorId="41DB97C7">
          <v:shape id="_x0000_i1042" type="#_x0000_t75" style="width:15pt;height:16.3pt" o:ole="">
            <v:imagedata r:id="rId44" o:title=""/>
          </v:shape>
          <o:OLEObject Type="Embed" ProgID="Equation.DSMT4" ShapeID="_x0000_i1042" DrawAspect="Content" ObjectID="_1793173631" r:id="rId45"/>
        </w:object>
      </w:r>
      <w:r w:rsidR="00DF0952" w:rsidRPr="00D14CD7">
        <w:rPr>
          <w:color w:val="000000" w:themeColor="text1"/>
        </w:rPr>
        <w:t xml:space="preserve"> </w:t>
      </w:r>
      <w:r w:rsidR="00BE252E" w:rsidRPr="00D14CD7">
        <w:rPr>
          <w:color w:val="000000" w:themeColor="text1"/>
        </w:rPr>
        <w:t>distribution</w:t>
      </w:r>
      <w:r w:rsidR="00DF5F23" w:rsidRPr="00D14CD7">
        <w:rPr>
          <w:color w:val="000000" w:themeColor="text1"/>
        </w:rPr>
        <w:t>.</w:t>
      </w:r>
      <w:r w:rsidR="00DF0952" w:rsidRPr="00D14CD7">
        <w:rPr>
          <w:rStyle w:val="FootnoteReference"/>
          <w:color w:val="000000" w:themeColor="text1"/>
        </w:rPr>
        <w:footnoteReference w:id="6"/>
      </w:r>
      <w:r w:rsidR="00DF5F23" w:rsidRPr="00D14CD7">
        <w:rPr>
          <w:color w:val="000000" w:themeColor="text1"/>
        </w:rPr>
        <w:t xml:space="preserve"> </w:t>
      </w:r>
      <w:bookmarkEnd w:id="28"/>
      <w:r w:rsidR="00BE252E" w:rsidRPr="00D14CD7">
        <w:rPr>
          <w:color w:val="000000" w:themeColor="text1"/>
        </w:rPr>
        <w:t xml:space="preserve">The exponential form is utilized to ensure the positivity of baseline </w:t>
      </w:r>
      <w:proofErr w:type="gramStart"/>
      <w:r w:rsidR="00BE252E" w:rsidRPr="00D14CD7">
        <w:rPr>
          <w:color w:val="000000" w:themeColor="text1"/>
        </w:rPr>
        <w:t>utility.</w:t>
      </w:r>
      <w:proofErr w:type="gramEnd"/>
    </w:p>
    <w:p w14:paraId="2638D7D4" w14:textId="696F1162" w:rsidR="005E50F3" w:rsidRPr="00D14CD7" w:rsidRDefault="005E50F3" w:rsidP="00540E05">
      <w:pPr>
        <w:spacing w:after="0" w:line="240" w:lineRule="auto"/>
        <w:rPr>
          <w:color w:val="000000" w:themeColor="text1"/>
        </w:rPr>
      </w:pPr>
      <w:r w:rsidRPr="00D14CD7">
        <w:rPr>
          <w:color w:val="000000" w:themeColor="text1"/>
        </w:rPr>
        <w:tab/>
        <w:t xml:space="preserve">We also consider heterogeneity in the MDC satiation parameters (the </w:t>
      </w:r>
      <w:r w:rsidR="0021514B" w:rsidRPr="00D14CD7">
        <w:rPr>
          <w:color w:val="000000" w:themeColor="text1"/>
          <w:position w:val="-12"/>
        </w:rPr>
        <w:object w:dxaOrig="279" w:dyaOrig="360" w14:anchorId="543D2135">
          <v:shape id="_x0000_i1043" type="#_x0000_t75" style="width:13.7pt;height:20.15pt" o:ole="">
            <v:imagedata r:id="rId46" o:title=""/>
          </v:shape>
          <o:OLEObject Type="Embed" ProgID="Equation.DSMT4" ShapeID="_x0000_i1043" DrawAspect="Content" ObjectID="_1793173632" r:id="rId47"/>
        </w:object>
      </w:r>
      <w:r w:rsidRPr="00D14CD7">
        <w:rPr>
          <w:color w:val="000000" w:themeColor="text1"/>
        </w:rPr>
        <w:t xml:space="preserve"> parameters) by parameterizing as follows: </w:t>
      </w:r>
    </w:p>
    <w:p w14:paraId="7913BC2E" w14:textId="10AD639F" w:rsidR="005E50F3" w:rsidRPr="00D14CD7" w:rsidRDefault="00540E05" w:rsidP="00667682">
      <w:pPr>
        <w:spacing w:before="60" w:after="60" w:line="240" w:lineRule="auto"/>
        <w:rPr>
          <w:color w:val="000000" w:themeColor="text1"/>
        </w:rPr>
      </w:pPr>
      <w:r w:rsidRPr="00D14CD7">
        <w:rPr>
          <w:color w:val="000000" w:themeColor="text1"/>
          <w:position w:val="-12"/>
        </w:rPr>
        <w:object w:dxaOrig="1520" w:dyaOrig="360" w14:anchorId="482FC758">
          <v:shape id="_x0000_i1044" type="#_x0000_t75" style="width:75.85pt;height:18.85pt" o:ole="" o:preferrelative="f">
            <v:imagedata r:id="rId48" o:title=""/>
            <o:lock v:ext="edit" aspectratio="f"/>
          </v:shape>
          <o:OLEObject Type="Embed" ProgID="Equation.DSMT4" ShapeID="_x0000_i1044" DrawAspect="Content" ObjectID="_1793173633" r:id="rId49"/>
        </w:object>
      </w:r>
      <w:r w:rsidR="005E50F3" w:rsidRPr="00D14CD7">
        <w:rPr>
          <w:color w:val="000000" w:themeColor="text1"/>
        </w:rPr>
        <w:t xml:space="preserve">, </w:t>
      </w:r>
      <w:r w:rsidR="005E50F3" w:rsidRPr="00D14CD7">
        <w:rPr>
          <w:color w:val="000000" w:themeColor="text1"/>
        </w:rPr>
        <w:tab/>
      </w:r>
      <w:r w:rsidR="005E50F3" w:rsidRPr="00D14CD7">
        <w:rPr>
          <w:color w:val="000000" w:themeColor="text1"/>
        </w:rPr>
        <w:tab/>
      </w:r>
      <w:r w:rsidR="005E50F3" w:rsidRPr="00D14CD7">
        <w:rPr>
          <w:color w:val="000000" w:themeColor="text1"/>
        </w:rPr>
        <w:tab/>
      </w:r>
      <w:r w:rsidR="005E50F3" w:rsidRPr="00D14CD7">
        <w:rPr>
          <w:color w:val="000000" w:themeColor="text1"/>
        </w:rPr>
        <w:tab/>
      </w:r>
      <w:r w:rsidR="005E50F3" w:rsidRPr="00D14CD7">
        <w:rPr>
          <w:color w:val="000000" w:themeColor="text1"/>
        </w:rPr>
        <w:tab/>
      </w:r>
      <w:r w:rsidR="005E50F3" w:rsidRPr="00D14CD7">
        <w:rPr>
          <w:color w:val="000000" w:themeColor="text1"/>
        </w:rPr>
        <w:tab/>
      </w:r>
      <w:r w:rsidR="005E50F3" w:rsidRPr="00D14CD7">
        <w:rPr>
          <w:color w:val="000000" w:themeColor="text1"/>
        </w:rPr>
        <w:tab/>
      </w:r>
      <w:r w:rsidR="005E50F3" w:rsidRPr="00D14CD7">
        <w:rPr>
          <w:color w:val="000000" w:themeColor="text1"/>
        </w:rPr>
        <w:tab/>
      </w:r>
      <w:r w:rsidR="005E50F3" w:rsidRPr="00D14CD7">
        <w:rPr>
          <w:color w:val="000000" w:themeColor="text1"/>
        </w:rPr>
        <w:tab/>
      </w:r>
      <w:r w:rsidR="005E50F3" w:rsidRPr="00D14CD7">
        <w:rPr>
          <w:color w:val="000000" w:themeColor="text1"/>
        </w:rPr>
        <w:tab/>
        <w:t xml:space="preserve">       (</w:t>
      </w:r>
      <w:r w:rsidR="002F5C17" w:rsidRPr="00D14CD7">
        <w:rPr>
          <w:color w:val="000000" w:themeColor="text1"/>
        </w:rPr>
        <w:t>4</w:t>
      </w:r>
      <w:r w:rsidR="005E50F3" w:rsidRPr="00D14CD7">
        <w:rPr>
          <w:color w:val="000000" w:themeColor="text1"/>
        </w:rPr>
        <w:t>)</w:t>
      </w:r>
    </w:p>
    <w:p w14:paraId="1908ACBF" w14:textId="60ED8EEA" w:rsidR="00BA445E" w:rsidRPr="00D14CD7" w:rsidRDefault="005E50F3" w:rsidP="00D14CD7">
      <w:pPr>
        <w:spacing w:after="0" w:line="240" w:lineRule="auto"/>
        <w:rPr>
          <w:color w:val="000000" w:themeColor="text1"/>
        </w:rPr>
      </w:pPr>
      <w:r w:rsidRPr="00D14CD7">
        <w:rPr>
          <w:color w:val="000000" w:themeColor="text1"/>
        </w:rPr>
        <w:t xml:space="preserve">where </w:t>
      </w:r>
      <w:r w:rsidR="0021514B" w:rsidRPr="00D14CD7">
        <w:rPr>
          <w:color w:val="000000" w:themeColor="text1"/>
          <w:position w:val="-12"/>
        </w:rPr>
        <w:object w:dxaOrig="340" w:dyaOrig="360" w14:anchorId="6BFF53AE">
          <v:shape id="_x0000_i1045" type="#_x0000_t75" style="width:16.7pt;height:19.3pt" o:ole="">
            <v:imagedata r:id="rId50" o:title=""/>
          </v:shape>
          <o:OLEObject Type="Embed" ProgID="Equation.DSMT4" ShapeID="_x0000_i1045" DrawAspect="Content" ObjectID="_1793173634" r:id="rId51"/>
        </w:object>
      </w:r>
      <w:r w:rsidRPr="00D14CD7">
        <w:rPr>
          <w:color w:val="000000" w:themeColor="text1"/>
        </w:rPr>
        <w:t xml:space="preserve"> is a vector of decision maker-related characteristics and </w:t>
      </w:r>
      <w:r w:rsidR="001321AB" w:rsidRPr="00D14CD7">
        <w:rPr>
          <w:color w:val="000000" w:themeColor="text1"/>
          <w:position w:val="-10"/>
        </w:rPr>
        <w:object w:dxaOrig="200" w:dyaOrig="260" w14:anchorId="58BF001E">
          <v:shape id="_x0000_i1046" type="#_x0000_t75" style="width:10.7pt;height:13.3pt" o:ole="">
            <v:imagedata r:id="rId52" o:title=""/>
          </v:shape>
          <o:OLEObject Type="Embed" ProgID="Equation.DSMT4" ShapeID="_x0000_i1046" DrawAspect="Content" ObjectID="_1793173635" r:id="rId53"/>
        </w:object>
      </w:r>
      <w:r w:rsidR="00210E18" w:rsidRPr="00D14CD7">
        <w:rPr>
          <w:color w:val="000000" w:themeColor="text1"/>
        </w:rPr>
        <w:t xml:space="preserve"> </w:t>
      </w:r>
      <w:r w:rsidRPr="00D14CD7">
        <w:rPr>
          <w:color w:val="000000" w:themeColor="text1"/>
        </w:rPr>
        <w:t xml:space="preserve">is a vector to be estimated (note that </w:t>
      </w:r>
      <w:r w:rsidR="00210E18" w:rsidRPr="00D14CD7">
        <w:rPr>
          <w:color w:val="000000" w:themeColor="text1"/>
          <w:position w:val="-12"/>
        </w:rPr>
        <w:object w:dxaOrig="1219" w:dyaOrig="360" w14:anchorId="7E3BC21D">
          <v:shape id="_x0000_i1047" type="#_x0000_t75" style="width:63.85pt;height:19.3pt" o:ole="">
            <v:imagedata r:id="rId54" o:title=""/>
          </v:shape>
          <o:OLEObject Type="Embed" ProgID="Equation.DSMT4" ShapeID="_x0000_i1047" DrawAspect="Content" ObjectID="_1793173636" r:id="rId55"/>
        </w:object>
      </w:r>
      <w:r w:rsidRPr="00D14CD7">
        <w:rPr>
          <w:color w:val="000000" w:themeColor="text1"/>
        </w:rPr>
        <w:t xml:space="preserve"> A positive element in</w:t>
      </w:r>
      <w:r w:rsidR="00210E18" w:rsidRPr="00D14CD7">
        <w:rPr>
          <w:color w:val="000000" w:themeColor="text1"/>
        </w:rPr>
        <w:t xml:space="preserve"> </w:t>
      </w:r>
      <w:r w:rsidR="001321AB" w:rsidRPr="00D14CD7">
        <w:rPr>
          <w:color w:val="000000" w:themeColor="text1"/>
          <w:position w:val="-10"/>
        </w:rPr>
        <w:object w:dxaOrig="200" w:dyaOrig="260" w14:anchorId="3ABD937F">
          <v:shape id="_x0000_i1048" type="#_x0000_t75" style="width:10.7pt;height:13.3pt" o:ole="">
            <v:imagedata r:id="rId56" o:title=""/>
          </v:shape>
          <o:OLEObject Type="Embed" ProgID="Equation.DSMT4" ShapeID="_x0000_i1048" DrawAspect="Content" ObjectID="_1793173637" r:id="rId57"/>
        </w:object>
      </w:r>
      <w:r w:rsidR="00210E18" w:rsidRPr="00D14CD7">
        <w:rPr>
          <w:color w:val="000000" w:themeColor="text1"/>
        </w:rPr>
        <w:t xml:space="preserve"> </w:t>
      </w:r>
      <w:r w:rsidRPr="00D14CD7">
        <w:rPr>
          <w:color w:val="000000" w:themeColor="text1"/>
        </w:rPr>
        <w:t xml:space="preserve">implies that an increase in the variable has the effect of increasing the </w:t>
      </w:r>
      <w:r w:rsidR="0021514B" w:rsidRPr="00D14CD7">
        <w:rPr>
          <w:color w:val="000000" w:themeColor="text1"/>
          <w:position w:val="-12"/>
        </w:rPr>
        <w:object w:dxaOrig="279" w:dyaOrig="360" w14:anchorId="7BAF46F1">
          <v:shape id="_x0000_i1049" type="#_x0000_t75" style="width:13.7pt;height:19.3pt" o:ole="">
            <v:imagedata r:id="rId58" o:title=""/>
          </v:shape>
          <o:OLEObject Type="Embed" ProgID="Equation.DSMT4" ShapeID="_x0000_i1049" DrawAspect="Content" ObjectID="_1793173638" r:id="rId59"/>
        </w:object>
      </w:r>
      <w:r w:rsidRPr="00D14CD7">
        <w:rPr>
          <w:color w:val="000000" w:themeColor="text1"/>
        </w:rPr>
        <w:t xml:space="preserve"> parameter and decreasing satiation (that is, increasing repeat visits of the individual to restaurant segment </w:t>
      </w:r>
      <w:r w:rsidRPr="00D14CD7">
        <w:rPr>
          <w:i/>
          <w:iCs/>
          <w:color w:val="000000" w:themeColor="text1"/>
        </w:rPr>
        <w:t>k</w:t>
      </w:r>
      <w:r w:rsidRPr="00D14CD7">
        <w:rPr>
          <w:color w:val="000000" w:themeColor="text1"/>
        </w:rPr>
        <w:t xml:space="preserve">), while a negative parameter has the effect of decreasing the </w:t>
      </w:r>
      <w:r w:rsidR="0021514B" w:rsidRPr="00D14CD7">
        <w:rPr>
          <w:color w:val="000000" w:themeColor="text1"/>
          <w:position w:val="-12"/>
        </w:rPr>
        <w:object w:dxaOrig="279" w:dyaOrig="360" w14:anchorId="1A26C80A">
          <v:shape id="_x0000_i1050" type="#_x0000_t75" style="width:13.7pt;height:19.3pt" o:ole="">
            <v:imagedata r:id="rId60" o:title=""/>
          </v:shape>
          <o:OLEObject Type="Embed" ProgID="Equation.DSMT4" ShapeID="_x0000_i1050" DrawAspect="Content" ObjectID="_1793173639" r:id="rId61"/>
        </w:object>
      </w:r>
      <w:r w:rsidRPr="00D14CD7">
        <w:rPr>
          <w:color w:val="000000" w:themeColor="text1"/>
        </w:rPr>
        <w:t xml:space="preserve"> parameter and increasing satiation (that is, decreasing repeat visits of the same individual to restaurant segment </w:t>
      </w:r>
      <w:r w:rsidRPr="00D14CD7">
        <w:rPr>
          <w:i/>
          <w:iCs/>
          <w:color w:val="000000" w:themeColor="text1"/>
        </w:rPr>
        <w:t>k</w:t>
      </w:r>
      <w:r w:rsidRPr="00D14CD7">
        <w:rPr>
          <w:color w:val="000000" w:themeColor="text1"/>
        </w:rPr>
        <w:t>).</w:t>
      </w:r>
      <w:r w:rsidR="009B10A8" w:rsidRPr="00D14CD7">
        <w:rPr>
          <w:color w:val="000000" w:themeColor="text1"/>
        </w:rPr>
        <w:t xml:space="preserve"> </w:t>
      </w:r>
      <w:r w:rsidR="00BA445E" w:rsidRPr="00D14CD7">
        <w:rPr>
          <w:color w:val="000000" w:themeColor="text1"/>
        </w:rPr>
        <w:t xml:space="preserve">To </w:t>
      </w:r>
      <w:r w:rsidR="009B10A8" w:rsidRPr="00D14CD7">
        <w:rPr>
          <w:color w:val="000000" w:themeColor="text1"/>
        </w:rPr>
        <w:t xml:space="preserve">determine </w:t>
      </w:r>
      <w:r w:rsidR="00BA445E" w:rsidRPr="00D14CD7">
        <w:rPr>
          <w:color w:val="000000" w:themeColor="text1"/>
        </w:rPr>
        <w:t xml:space="preserve">the optimal </w:t>
      </w:r>
      <w:r w:rsidR="009B10A8" w:rsidRPr="00D14CD7">
        <w:rPr>
          <w:color w:val="000000" w:themeColor="text1"/>
        </w:rPr>
        <w:t>distribution of consumption across restaurant segments</w:t>
      </w:r>
      <w:r w:rsidR="00BA445E" w:rsidRPr="00D14CD7">
        <w:rPr>
          <w:color w:val="000000" w:themeColor="text1"/>
        </w:rPr>
        <w:t>,</w:t>
      </w:r>
      <w:r w:rsidR="009B10A8" w:rsidRPr="00D14CD7">
        <w:rPr>
          <w:color w:val="000000" w:themeColor="text1"/>
        </w:rPr>
        <w:t xml:space="preserve"> we employ a mathematical optimization approach. This involves constructing the</w:t>
      </w:r>
      <w:r w:rsidR="00BA445E" w:rsidRPr="00D14CD7">
        <w:rPr>
          <w:color w:val="000000" w:themeColor="text1"/>
        </w:rPr>
        <w:t xml:space="preserve"> Lagrangian </w:t>
      </w:r>
      <w:r w:rsidR="009B10A8" w:rsidRPr="00D14CD7">
        <w:rPr>
          <w:color w:val="000000" w:themeColor="text1"/>
        </w:rPr>
        <w:t xml:space="preserve">function and deriving </w:t>
      </w:r>
      <w:r w:rsidR="00BA445E" w:rsidRPr="00D14CD7">
        <w:rPr>
          <w:color w:val="000000" w:themeColor="text1"/>
        </w:rPr>
        <w:t xml:space="preserve">the </w:t>
      </w:r>
      <w:r w:rsidR="00DE14BD" w:rsidRPr="00D14CD7">
        <w:rPr>
          <w:color w:val="000000" w:themeColor="text1"/>
        </w:rPr>
        <w:t>first-</w:t>
      </w:r>
      <w:r w:rsidR="00BA445E" w:rsidRPr="00D14CD7">
        <w:rPr>
          <w:color w:val="000000" w:themeColor="text1"/>
        </w:rPr>
        <w:t xml:space="preserve">order equations based on the </w:t>
      </w:r>
      <w:proofErr w:type="spellStart"/>
      <w:r w:rsidR="00BA445E" w:rsidRPr="00D14CD7">
        <w:rPr>
          <w:color w:val="000000" w:themeColor="text1"/>
        </w:rPr>
        <w:t>Karush</w:t>
      </w:r>
      <w:proofErr w:type="spellEnd"/>
      <w:r w:rsidR="00BA445E" w:rsidRPr="00D14CD7">
        <w:rPr>
          <w:color w:val="000000" w:themeColor="text1"/>
        </w:rPr>
        <w:t xml:space="preserve">-Kuhn-Tucker (KKT) conditions. </w:t>
      </w:r>
      <w:r w:rsidR="009B10A8" w:rsidRPr="00D14CD7">
        <w:rPr>
          <w:rFonts w:eastAsia="Times New Roman"/>
          <w:color w:val="000000" w:themeColor="text1"/>
        </w:rPr>
        <w:t xml:space="preserve">In our model, we designate one restaurant segment (let's call it segment 1) as a baseline, assuming it receives some non-zero fraction of consumption. This assumption is valid because our second-level model is predicated on a positive eat-out count. </w:t>
      </w:r>
      <w:r w:rsidR="00BA445E" w:rsidRPr="00D14CD7">
        <w:rPr>
          <w:color w:val="000000" w:themeColor="text1"/>
        </w:rPr>
        <w:t>In particular, designat</w:t>
      </w:r>
      <w:r w:rsidR="003A06AB" w:rsidRPr="00D14CD7">
        <w:rPr>
          <w:color w:val="000000" w:themeColor="text1"/>
        </w:rPr>
        <w:t>e</w:t>
      </w:r>
      <w:r w:rsidR="00BA445E" w:rsidRPr="00D14CD7">
        <w:rPr>
          <w:color w:val="000000" w:themeColor="text1"/>
        </w:rPr>
        <w:t xml:space="preserve"> restaurant segment 1 as a purpose to which the individual allocates some non-zero fraction of consumption (at least one restaurant segment must be chosen for consumption because this second-level model is contingent on a positive eat-out count)</w:t>
      </w:r>
      <w:r w:rsidR="003A06AB" w:rsidRPr="00D14CD7">
        <w:rPr>
          <w:color w:val="000000" w:themeColor="text1"/>
        </w:rPr>
        <w:t xml:space="preserve">. The fractional consumption of the first alternative is automatically determined from that of other inside alternatives as </w:t>
      </w:r>
      <w:r w:rsidR="00FD2110" w:rsidRPr="00D14CD7">
        <w:rPr>
          <w:color w:val="000000" w:themeColor="text1"/>
          <w:position w:val="-28"/>
        </w:rPr>
        <w:object w:dxaOrig="1400" w:dyaOrig="680" w14:anchorId="73D867F4">
          <v:shape id="_x0000_i1051" type="#_x0000_t75" style="width:69.85pt;height:33.85pt" o:ole="" o:preferrelative="f">
            <v:imagedata r:id="rId62" o:title=""/>
            <o:lock v:ext="edit" aspectratio="f"/>
          </v:shape>
          <o:OLEObject Type="Embed" ProgID="Equation.DSMT4" ShapeID="_x0000_i1051" DrawAspect="Content" ObjectID="_1793173640" r:id="rId63"/>
        </w:object>
      </w:r>
      <w:r w:rsidR="003A06AB" w:rsidRPr="00D14CD7">
        <w:rPr>
          <w:color w:val="000000" w:themeColor="text1"/>
        </w:rPr>
        <w:t>.</w:t>
      </w:r>
      <w:r w:rsidR="00BA445E" w:rsidRPr="00D14CD7">
        <w:rPr>
          <w:color w:val="000000" w:themeColor="text1"/>
        </w:rPr>
        <w:t xml:space="preserve"> </w:t>
      </w:r>
      <w:r w:rsidR="003A06AB" w:rsidRPr="00D14CD7">
        <w:rPr>
          <w:color w:val="000000" w:themeColor="text1"/>
        </w:rPr>
        <w:t>T</w:t>
      </w:r>
      <w:r w:rsidR="00BA445E" w:rsidRPr="00D14CD7">
        <w:rPr>
          <w:color w:val="000000" w:themeColor="text1"/>
        </w:rPr>
        <w:t>he</w:t>
      </w:r>
      <w:r w:rsidR="003A06AB" w:rsidRPr="00D14CD7">
        <w:rPr>
          <w:color w:val="000000" w:themeColor="text1"/>
        </w:rPr>
        <w:t>n, the</w:t>
      </w:r>
      <w:r w:rsidR="00BA445E" w:rsidRPr="00D14CD7">
        <w:rPr>
          <w:color w:val="000000" w:themeColor="text1"/>
        </w:rPr>
        <w:t xml:space="preserve"> probability expression for the fractional allocation pattern w</w:t>
      </w:r>
      <w:r w:rsidR="003A06AB" w:rsidRPr="00D14CD7">
        <w:rPr>
          <w:color w:val="000000" w:themeColor="text1"/>
        </w:rPr>
        <w:t>ith</w:t>
      </w:r>
      <w:r w:rsidR="00BA445E" w:rsidRPr="00D14CD7">
        <w:rPr>
          <w:color w:val="000000" w:themeColor="text1"/>
        </w:rPr>
        <w:t xml:space="preserve"> the first </w:t>
      </w:r>
      <w:r w:rsidR="00BA445E" w:rsidRPr="00D14CD7">
        <w:rPr>
          <w:i/>
          <w:color w:val="000000" w:themeColor="text1"/>
        </w:rPr>
        <w:t>M</w:t>
      </w:r>
      <w:r w:rsidR="00DE14BD" w:rsidRPr="00D14CD7">
        <w:rPr>
          <w:color w:val="000000" w:themeColor="text1"/>
        </w:rPr>
        <w:t xml:space="preserve"> </w:t>
      </w:r>
      <w:r w:rsidR="00BA445E" w:rsidRPr="00D14CD7">
        <w:rPr>
          <w:color w:val="000000" w:themeColor="text1"/>
        </w:rPr>
        <w:t xml:space="preserve">restaurant segments </w:t>
      </w:r>
      <w:r w:rsidR="003A06AB" w:rsidRPr="00D14CD7">
        <w:rPr>
          <w:color w:val="000000" w:themeColor="text1"/>
        </w:rPr>
        <w:t>being</w:t>
      </w:r>
      <w:r w:rsidR="00BA445E" w:rsidRPr="00D14CD7">
        <w:rPr>
          <w:color w:val="000000" w:themeColor="text1"/>
        </w:rPr>
        <w:t xml:space="preserve"> consumed at levels </w:t>
      </w:r>
      <w:r w:rsidR="00BA445E" w:rsidRPr="00D14CD7">
        <w:rPr>
          <w:color w:val="000000" w:themeColor="text1"/>
          <w:position w:val="-12"/>
        </w:rPr>
        <w:object w:dxaOrig="300" w:dyaOrig="400" w14:anchorId="68EB2856">
          <v:shape id="_x0000_i1052" type="#_x0000_t75" style="width:15pt;height:19.7pt" o:ole="">
            <v:imagedata r:id="rId64" o:title=""/>
          </v:shape>
          <o:OLEObject Type="Embed" ProgID="Equation.DSMT4" ShapeID="_x0000_i1052" DrawAspect="Content" ObjectID="_1793173641" r:id="rId65"/>
        </w:object>
      </w:r>
      <w:r w:rsidR="00BA445E" w:rsidRPr="00D14CD7">
        <w:rPr>
          <w:color w:val="000000" w:themeColor="text1"/>
        </w:rPr>
        <w:t xml:space="preserve"> (</w:t>
      </w:r>
      <w:r w:rsidR="00BA445E" w:rsidRPr="00D14CD7">
        <w:rPr>
          <w:color w:val="000000" w:themeColor="text1"/>
          <w:position w:val="-10"/>
        </w:rPr>
        <w:object w:dxaOrig="1344" w:dyaOrig="324" w14:anchorId="20775B30">
          <v:shape id="_x0000_i1053" type="#_x0000_t75" style="width:66.85pt;height:16.7pt" o:ole="">
            <v:imagedata r:id="rId66" o:title=""/>
          </v:shape>
          <o:OLEObject Type="Embed" ProgID="Equation.DSMT4" ShapeID="_x0000_i1053" DrawAspect="Content" ObjectID="_1793173642" r:id="rId67"/>
        </w:object>
      </w:r>
      <w:r w:rsidR="00BA445E" w:rsidRPr="00D14CD7">
        <w:rPr>
          <w:color w:val="000000" w:themeColor="text1"/>
        </w:rPr>
        <w:t>)</w:t>
      </w:r>
      <w:r w:rsidR="003A06AB" w:rsidRPr="00D14CD7">
        <w:rPr>
          <w:color w:val="000000" w:themeColor="text1"/>
        </w:rPr>
        <w:t xml:space="preserve"> and</w:t>
      </w:r>
      <w:r w:rsidR="00BA445E" w:rsidRPr="00D14CD7">
        <w:rPr>
          <w:color w:val="000000" w:themeColor="text1"/>
        </w:rPr>
        <w:t xml:space="preserve"> </w:t>
      </w:r>
      <w:r w:rsidR="009103B1" w:rsidRPr="00D14CD7">
        <w:rPr>
          <w:color w:val="000000" w:themeColor="text1"/>
        </w:rPr>
        <w:t>the remaining restaurant segments see zero patronage</w:t>
      </w:r>
      <w:r w:rsidR="003A06AB" w:rsidRPr="00D14CD7">
        <w:rPr>
          <w:color w:val="000000" w:themeColor="text1"/>
        </w:rPr>
        <w:t xml:space="preserve">; i.e., </w:t>
      </w:r>
      <w:r w:rsidR="00540E05" w:rsidRPr="00D14CD7">
        <w:rPr>
          <w:color w:val="000000" w:themeColor="text1"/>
          <w:position w:val="-12"/>
        </w:rPr>
        <w:object w:dxaOrig="680" w:dyaOrig="400" w14:anchorId="127670F8">
          <v:shape id="_x0000_i1054" type="#_x0000_t75" style="width:33.85pt;height:19.7pt" o:ole="" o:preferrelative="f">
            <v:imagedata r:id="rId68" o:title=""/>
            <o:lock v:ext="edit" aspectratio="f"/>
          </v:shape>
          <o:OLEObject Type="Embed" ProgID="Equation.DSMT4" ShapeID="_x0000_i1054" DrawAspect="Content" ObjectID="_1793173643" r:id="rId69"/>
        </w:object>
      </w:r>
      <w:r w:rsidR="003A06AB" w:rsidRPr="00D14CD7">
        <w:rPr>
          <w:color w:val="000000" w:themeColor="text1"/>
        </w:rPr>
        <w:t xml:space="preserve"> (</w:t>
      </w:r>
      <w:r w:rsidR="003A06AB" w:rsidRPr="00D14CD7">
        <w:rPr>
          <w:color w:val="000000" w:themeColor="text1"/>
          <w:position w:val="-10"/>
        </w:rPr>
        <w:object w:dxaOrig="2180" w:dyaOrig="320" w14:anchorId="64D88F71">
          <v:shape id="_x0000_i1055" type="#_x0000_t75" style="width:109.7pt;height:16.3pt" o:ole="">
            <v:imagedata r:id="rId70" o:title=""/>
          </v:shape>
          <o:OLEObject Type="Embed" ProgID="Equation.DSMT4" ShapeID="_x0000_i1055" DrawAspect="Content" ObjectID="_1793173644" r:id="rId71"/>
        </w:object>
      </w:r>
      <w:r w:rsidR="003A06AB" w:rsidRPr="00D14CD7">
        <w:rPr>
          <w:color w:val="000000" w:themeColor="text1"/>
        </w:rPr>
        <w:t>);</w:t>
      </w:r>
      <w:r w:rsidR="009103B1" w:rsidRPr="00D14CD7">
        <w:rPr>
          <w:color w:val="000000" w:themeColor="text1"/>
        </w:rPr>
        <w:t xml:space="preserve"> </w:t>
      </w:r>
      <w:r w:rsidR="00BA445E" w:rsidRPr="00D14CD7">
        <w:rPr>
          <w:color w:val="000000" w:themeColor="text1"/>
        </w:rPr>
        <w:t xml:space="preserve">is (see Bhat, 2022): </w:t>
      </w:r>
    </w:p>
    <w:p w14:paraId="7CD7C8B7" w14:textId="09084031" w:rsidR="00BA445E" w:rsidRPr="00D14CD7" w:rsidRDefault="00BA445E" w:rsidP="00540E05">
      <w:pPr>
        <w:tabs>
          <w:tab w:val="right" w:pos="9360"/>
        </w:tabs>
        <w:spacing w:after="0" w:line="240" w:lineRule="auto"/>
        <w:rPr>
          <w:color w:val="000000" w:themeColor="text1"/>
        </w:rPr>
      </w:pPr>
      <w:r w:rsidRPr="00D14CD7">
        <w:rPr>
          <w:color w:val="000000" w:themeColor="text1"/>
          <w:position w:val="-12"/>
        </w:rPr>
        <w:object w:dxaOrig="2700" w:dyaOrig="400" w14:anchorId="7A1BC3EE">
          <v:shape id="_x0000_i1056" type="#_x0000_t75" style="width:135.85pt;height:19.7pt" o:ole="">
            <v:imagedata r:id="rId72" o:title=""/>
          </v:shape>
          <o:OLEObject Type="Embed" ProgID="Equation.DSMT4" ShapeID="_x0000_i1056" DrawAspect="Content" ObjectID="_1793173645" r:id="rId73"/>
        </w:object>
      </w:r>
      <w:r w:rsidR="0068023F" w:rsidRPr="00D14CD7">
        <w:rPr>
          <w:color w:val="000000" w:themeColor="text1"/>
          <w:position w:val="-70"/>
        </w:rPr>
        <w:object w:dxaOrig="8880" w:dyaOrig="1520" w14:anchorId="6849511B">
          <v:shape id="_x0000_i1057" type="#_x0000_t75" style="width:444.85pt;height:76.7pt" o:ole="" o:preferrelative="f">
            <v:imagedata r:id="rId74" o:title=""/>
            <o:lock v:ext="edit" aspectratio="f"/>
          </v:shape>
          <o:OLEObject Type="Embed" ProgID="Equation.DSMT4" ShapeID="_x0000_i1057" DrawAspect="Content" ObjectID="_1793173646" r:id="rId75"/>
        </w:object>
      </w:r>
      <w:r w:rsidRPr="00D14CD7">
        <w:rPr>
          <w:color w:val="000000" w:themeColor="text1"/>
        </w:rPr>
        <w:t xml:space="preserve">      </w:t>
      </w:r>
      <w:r w:rsidRPr="00D14CD7">
        <w:rPr>
          <w:color w:val="000000" w:themeColor="text1"/>
        </w:rPr>
        <w:tab/>
      </w:r>
    </w:p>
    <w:p w14:paraId="7D3C108F" w14:textId="5320767C" w:rsidR="00BA445E" w:rsidRPr="00D14CD7" w:rsidRDefault="00BA445E" w:rsidP="00540E05">
      <w:pPr>
        <w:tabs>
          <w:tab w:val="right" w:pos="9360"/>
        </w:tabs>
        <w:spacing w:after="0" w:line="240" w:lineRule="auto"/>
        <w:rPr>
          <w:color w:val="000000" w:themeColor="text1"/>
        </w:rPr>
      </w:pPr>
      <w:r w:rsidRPr="00D14CD7">
        <w:rPr>
          <w:color w:val="000000" w:themeColor="text1"/>
        </w:rPr>
        <w:t xml:space="preserve">where </w:t>
      </w:r>
      <w:r w:rsidR="0068023F" w:rsidRPr="00D14CD7">
        <w:rPr>
          <w:color w:val="000000" w:themeColor="text1"/>
          <w:position w:val="-32"/>
        </w:rPr>
        <w:object w:dxaOrig="3384" w:dyaOrig="756" w14:anchorId="5FB968D3">
          <v:shape id="_x0000_i1058" type="#_x0000_t75" style="width:168.85pt;height:38.15pt" o:ole="" o:preferrelative="f">
            <v:imagedata r:id="rId76" o:title=""/>
            <o:lock v:ext="edit" aspectratio="f"/>
          </v:shape>
          <o:OLEObject Type="Embed" ProgID="Equation.DSMT4" ShapeID="_x0000_i1058" DrawAspect="Content" ObjectID="_1793173647" r:id="rId77"/>
        </w:object>
      </w:r>
      <w:r w:rsidRPr="00D14CD7">
        <w:rPr>
          <w:color w:val="000000" w:themeColor="text1"/>
          <w:position w:val="-32"/>
        </w:rPr>
        <w:object w:dxaOrig="1400" w:dyaOrig="760" w14:anchorId="66F755B2">
          <v:shape id="_x0000_i1059" type="#_x0000_t75" style="width:70.3pt;height:37.7pt" o:ole="">
            <v:imagedata r:id="rId78" o:title=""/>
          </v:shape>
          <o:OLEObject Type="Embed" ProgID="Equation.DSMT4" ShapeID="_x0000_i1059" DrawAspect="Content" ObjectID="_1793173648" r:id="rId79"/>
        </w:object>
      </w:r>
      <w:r w:rsidRPr="00D14CD7">
        <w:rPr>
          <w:color w:val="000000" w:themeColor="text1"/>
        </w:rPr>
        <w:t>, and</w:t>
      </w:r>
      <w:r w:rsidRPr="00D14CD7">
        <w:rPr>
          <w:color w:val="000000" w:themeColor="text1"/>
        </w:rPr>
        <w:tab/>
        <w:t>(</w:t>
      </w:r>
      <w:r w:rsidR="002F5C17" w:rsidRPr="00D14CD7">
        <w:rPr>
          <w:color w:val="000000" w:themeColor="text1"/>
        </w:rPr>
        <w:t>5</w:t>
      </w:r>
      <w:r w:rsidRPr="00D14CD7">
        <w:rPr>
          <w:color w:val="000000" w:themeColor="text1"/>
        </w:rPr>
        <w:t>)</w:t>
      </w:r>
    </w:p>
    <w:p w14:paraId="0454365D" w14:textId="2D7BEAC7" w:rsidR="00BA445E" w:rsidRPr="00D14CD7" w:rsidRDefault="00BA445E" w:rsidP="004E3632">
      <w:pPr>
        <w:spacing w:after="60" w:line="240" w:lineRule="auto"/>
        <w:rPr>
          <w:color w:val="000000" w:themeColor="text1"/>
        </w:rPr>
      </w:pPr>
      <w:r w:rsidRPr="00D14CD7">
        <w:rPr>
          <w:color w:val="000000" w:themeColor="text1"/>
          <w:position w:val="-32"/>
        </w:rPr>
        <w:object w:dxaOrig="2320" w:dyaOrig="760" w14:anchorId="399F6ED9">
          <v:shape id="_x0000_i1060" type="#_x0000_t75" style="width:115.7pt;height:37.7pt" o:ole="">
            <v:imagedata r:id="rId80" o:title=""/>
          </v:shape>
          <o:OLEObject Type="Embed" ProgID="Equation.DSMT4" ShapeID="_x0000_i1060" DrawAspect="Content" ObjectID="_1793173649" r:id="rId81"/>
        </w:object>
      </w:r>
      <w:r w:rsidRPr="00D14CD7">
        <w:rPr>
          <w:color w:val="000000" w:themeColor="text1"/>
        </w:rPr>
        <w:t xml:space="preserve"> (</w:t>
      </w:r>
      <w:r w:rsidRPr="00D14CD7">
        <w:rPr>
          <w:i/>
          <w:color w:val="000000" w:themeColor="text1"/>
        </w:rPr>
        <w:t>k</w:t>
      </w:r>
      <w:r w:rsidRPr="00D14CD7">
        <w:rPr>
          <w:color w:val="000000" w:themeColor="text1"/>
        </w:rPr>
        <w:t xml:space="preserve"> = 1, 2, 3,…, </w:t>
      </w:r>
      <w:r w:rsidRPr="00D14CD7">
        <w:rPr>
          <w:i/>
          <w:color w:val="000000" w:themeColor="text1"/>
        </w:rPr>
        <w:t>K</w:t>
      </w:r>
      <w:r w:rsidRPr="00D14CD7">
        <w:rPr>
          <w:color w:val="000000" w:themeColor="text1"/>
        </w:rPr>
        <w:t xml:space="preserve">), and </w:t>
      </w:r>
      <w:r w:rsidRPr="00D14CD7">
        <w:rPr>
          <w:color w:val="000000" w:themeColor="text1"/>
          <w:position w:val="-12"/>
        </w:rPr>
        <w:object w:dxaOrig="1120" w:dyaOrig="360" w14:anchorId="346C44DD">
          <v:shape id="_x0000_i1061" type="#_x0000_t75" style="width:55.3pt;height:18.85pt" o:ole="">
            <v:imagedata r:id="rId82" o:title=""/>
          </v:shape>
          <o:OLEObject Type="Embed" ProgID="Equation.DSMT4" ShapeID="_x0000_i1061" DrawAspect="Content" ObjectID="_1793173650" r:id="rId83"/>
        </w:object>
      </w:r>
      <w:r w:rsidRPr="00D14CD7">
        <w:rPr>
          <w:color w:val="000000" w:themeColor="text1"/>
        </w:rPr>
        <w:t>(</w:t>
      </w:r>
      <w:r w:rsidRPr="00D14CD7">
        <w:rPr>
          <w:i/>
          <w:color w:val="000000" w:themeColor="text1"/>
        </w:rPr>
        <w:t>k</w:t>
      </w:r>
      <w:r w:rsidRPr="00D14CD7">
        <w:rPr>
          <w:color w:val="000000" w:themeColor="text1"/>
        </w:rPr>
        <w:t xml:space="preserve"> = 1, 2, 3,…, </w:t>
      </w:r>
      <w:r w:rsidRPr="00D14CD7">
        <w:rPr>
          <w:i/>
          <w:color w:val="000000" w:themeColor="text1"/>
        </w:rPr>
        <w:t>K</w:t>
      </w:r>
      <w:r w:rsidRPr="00D14CD7">
        <w:rPr>
          <w:color w:val="000000" w:themeColor="text1"/>
        </w:rPr>
        <w:t>).</w:t>
      </w:r>
    </w:p>
    <w:p w14:paraId="2DB63D5E" w14:textId="5026C4A9" w:rsidR="00BA445E" w:rsidRPr="00D14CD7" w:rsidRDefault="009103B1" w:rsidP="00540E05">
      <w:pPr>
        <w:spacing w:after="0" w:line="240" w:lineRule="auto"/>
        <w:rPr>
          <w:color w:val="000000" w:themeColor="text1"/>
        </w:rPr>
      </w:pPr>
      <w:r w:rsidRPr="00D14CD7">
        <w:rPr>
          <w:i/>
          <w:color w:val="000000" w:themeColor="text1"/>
        </w:rPr>
        <w:t>D</w:t>
      </w:r>
      <w:r w:rsidRPr="00D14CD7">
        <w:rPr>
          <w:color w:val="000000" w:themeColor="text1"/>
        </w:rPr>
        <w:t xml:space="preserve"> in the above equation represents a specific combination of the restaurant segments appearing in parenthesis, and |</w:t>
      </w:r>
      <w:r w:rsidRPr="00D14CD7">
        <w:rPr>
          <w:i/>
          <w:color w:val="000000" w:themeColor="text1"/>
        </w:rPr>
        <w:t>D</w:t>
      </w:r>
      <w:r w:rsidRPr="00D14CD7">
        <w:rPr>
          <w:color w:val="000000" w:themeColor="text1"/>
        </w:rPr>
        <w:t xml:space="preserve">| is the cardinality of the specific combination </w:t>
      </w:r>
      <w:r w:rsidRPr="00D14CD7">
        <w:rPr>
          <w:i/>
          <w:color w:val="000000" w:themeColor="text1"/>
        </w:rPr>
        <w:t>D</w:t>
      </w:r>
      <w:r w:rsidRPr="00D14CD7">
        <w:rPr>
          <w:color w:val="000000" w:themeColor="text1"/>
        </w:rPr>
        <w:t xml:space="preserve">. </w:t>
      </w:r>
      <w:r w:rsidR="00BA445E" w:rsidRPr="00D14CD7">
        <w:rPr>
          <w:color w:val="000000" w:themeColor="text1"/>
        </w:rPr>
        <w:t xml:space="preserve">The probability that all the inside </w:t>
      </w:r>
      <w:r w:rsidRPr="00D14CD7">
        <w:rPr>
          <w:color w:val="000000" w:themeColor="text1"/>
        </w:rPr>
        <w:t>restaurant segments</w:t>
      </w:r>
      <w:r w:rsidR="00BA445E" w:rsidRPr="00D14CD7">
        <w:rPr>
          <w:color w:val="000000" w:themeColor="text1"/>
        </w:rPr>
        <w:t xml:space="preserve"> </w:t>
      </w:r>
      <w:r w:rsidRPr="00D14CD7">
        <w:rPr>
          <w:color w:val="000000" w:themeColor="text1"/>
        </w:rPr>
        <w:t xml:space="preserve">see some patronage </w:t>
      </w:r>
      <w:r w:rsidR="00BA445E" w:rsidRPr="00D14CD7">
        <w:rPr>
          <w:color w:val="000000" w:themeColor="text1"/>
        </w:rPr>
        <w:t xml:space="preserve">at fractional levels </w:t>
      </w:r>
      <w:r w:rsidR="00667682" w:rsidRPr="00D14CD7">
        <w:rPr>
          <w:color w:val="000000" w:themeColor="text1"/>
          <w:position w:val="-12"/>
        </w:rPr>
        <w:object w:dxaOrig="1260" w:dyaOrig="400" w14:anchorId="389A9772">
          <v:shape id="_x0000_i1062" type="#_x0000_t75" style="width:63.85pt;height:19.7pt" o:ole="" o:preferrelative="f">
            <v:imagedata r:id="rId84" o:title=""/>
            <o:lock v:ext="edit" aspectratio="f"/>
          </v:shape>
          <o:OLEObject Type="Embed" ProgID="Equation.DSMT4" ShapeID="_x0000_i1062" DrawAspect="Content" ObjectID="_1793173651" r:id="rId85"/>
        </w:object>
      </w:r>
      <w:r w:rsidR="00BA445E" w:rsidRPr="00D14CD7">
        <w:rPr>
          <w:color w:val="000000" w:themeColor="text1"/>
        </w:rPr>
        <w:t xml:space="preserve"> is:</w:t>
      </w:r>
    </w:p>
    <w:p w14:paraId="435CFFBD" w14:textId="2B86356C" w:rsidR="00BA445E" w:rsidRPr="00D14CD7" w:rsidRDefault="0068023F" w:rsidP="004E3632">
      <w:pPr>
        <w:tabs>
          <w:tab w:val="right" w:pos="9360"/>
        </w:tabs>
        <w:spacing w:before="60" w:after="60" w:line="240" w:lineRule="auto"/>
        <w:rPr>
          <w:color w:val="000000" w:themeColor="text1"/>
        </w:rPr>
      </w:pPr>
      <w:r w:rsidRPr="00D14CD7">
        <w:rPr>
          <w:color w:val="000000" w:themeColor="text1"/>
          <w:position w:val="-68"/>
        </w:rPr>
        <w:object w:dxaOrig="4680" w:dyaOrig="1440" w14:anchorId="1DB0BCFE">
          <v:shape id="_x0000_i1063" type="#_x0000_t75" style="width:234pt;height:71.15pt" o:ole="">
            <v:imagedata r:id="rId86" o:title=""/>
          </v:shape>
          <o:OLEObject Type="Embed" ProgID="Equation.DSMT4" ShapeID="_x0000_i1063" DrawAspect="Content" ObjectID="_1793173652" r:id="rId87"/>
        </w:object>
      </w:r>
      <w:r w:rsidR="00BA445E" w:rsidRPr="00D14CD7">
        <w:rPr>
          <w:color w:val="000000" w:themeColor="text1"/>
        </w:rPr>
        <w:t xml:space="preserve">       </w:t>
      </w:r>
      <w:r w:rsidR="00BA445E" w:rsidRPr="00D14CD7">
        <w:rPr>
          <w:color w:val="000000" w:themeColor="text1"/>
        </w:rPr>
        <w:tab/>
        <w:t>(</w:t>
      </w:r>
      <w:r w:rsidR="002F5C17" w:rsidRPr="00D14CD7">
        <w:rPr>
          <w:color w:val="000000" w:themeColor="text1"/>
        </w:rPr>
        <w:t>6</w:t>
      </w:r>
      <w:r w:rsidR="00BA445E" w:rsidRPr="00D14CD7">
        <w:rPr>
          <w:color w:val="000000" w:themeColor="text1"/>
        </w:rPr>
        <w:t xml:space="preserve">)              </w:t>
      </w:r>
    </w:p>
    <w:p w14:paraId="61CBBF2A" w14:textId="2B3D2CA9" w:rsidR="00BA445E" w:rsidRPr="00D14CD7" w:rsidRDefault="00BA445E" w:rsidP="00540E05">
      <w:pPr>
        <w:spacing w:after="0" w:line="240" w:lineRule="auto"/>
        <w:rPr>
          <w:color w:val="000000" w:themeColor="text1"/>
        </w:rPr>
      </w:pPr>
      <w:r w:rsidRPr="00D14CD7">
        <w:rPr>
          <w:color w:val="000000" w:themeColor="text1"/>
        </w:rPr>
        <w:t xml:space="preserve">The probability that none of the </w:t>
      </w:r>
      <w:r w:rsidR="009103B1" w:rsidRPr="00D14CD7">
        <w:rPr>
          <w:color w:val="000000" w:themeColor="text1"/>
        </w:rPr>
        <w:t xml:space="preserve">restaurant segments, except the first one, </w:t>
      </w:r>
      <w:r w:rsidRPr="00D14CD7">
        <w:rPr>
          <w:color w:val="000000" w:themeColor="text1"/>
        </w:rPr>
        <w:t>are consumed is:</w:t>
      </w:r>
    </w:p>
    <w:p w14:paraId="60718F5D" w14:textId="7AA7FD0D" w:rsidR="00BA445E" w:rsidRPr="00D14CD7" w:rsidRDefault="0068023F" w:rsidP="004E3632">
      <w:pPr>
        <w:tabs>
          <w:tab w:val="right" w:pos="9360"/>
        </w:tabs>
        <w:spacing w:before="60" w:after="60" w:line="240" w:lineRule="auto"/>
        <w:rPr>
          <w:color w:val="000000" w:themeColor="text1"/>
        </w:rPr>
      </w:pPr>
      <w:r w:rsidRPr="00D14CD7">
        <w:rPr>
          <w:color w:val="000000" w:themeColor="text1"/>
          <w:position w:val="-78"/>
        </w:rPr>
        <w:object w:dxaOrig="5020" w:dyaOrig="1400" w14:anchorId="6E4FCE04">
          <v:shape id="_x0000_i1064" type="#_x0000_t75" style="width:251.15pt;height:69.85pt" o:ole="" o:preferrelative="f">
            <v:imagedata r:id="rId88" o:title=""/>
            <o:lock v:ext="edit" aspectratio="f"/>
          </v:shape>
          <o:OLEObject Type="Embed" ProgID="Equation.DSMT4" ShapeID="_x0000_i1064" DrawAspect="Content" ObjectID="_1793173653" r:id="rId89"/>
        </w:object>
      </w:r>
      <w:r w:rsidR="00BA445E" w:rsidRPr="00D14CD7">
        <w:rPr>
          <w:color w:val="000000" w:themeColor="text1"/>
        </w:rPr>
        <w:t xml:space="preserve">.  </w:t>
      </w:r>
      <w:r w:rsidR="00BA445E" w:rsidRPr="00D14CD7">
        <w:rPr>
          <w:color w:val="000000" w:themeColor="text1"/>
        </w:rPr>
        <w:tab/>
        <w:t>(</w:t>
      </w:r>
      <w:r w:rsidR="002F5C17" w:rsidRPr="00D14CD7">
        <w:rPr>
          <w:color w:val="000000" w:themeColor="text1"/>
        </w:rPr>
        <w:t>7</w:t>
      </w:r>
      <w:r w:rsidR="00BA445E" w:rsidRPr="00D14CD7">
        <w:rPr>
          <w:color w:val="000000" w:themeColor="text1"/>
        </w:rPr>
        <w:t>)</w:t>
      </w:r>
    </w:p>
    <w:p w14:paraId="2DF292E0" w14:textId="2BF71C05" w:rsidR="00911BB2" w:rsidRPr="00D14CD7" w:rsidRDefault="009B10A8" w:rsidP="00540E05">
      <w:pPr>
        <w:spacing w:after="0" w:line="240" w:lineRule="auto"/>
        <w:rPr>
          <w:color w:val="000000" w:themeColor="text1"/>
        </w:rPr>
      </w:pPr>
      <w:r w:rsidRPr="00D14CD7">
        <w:rPr>
          <w:color w:val="000000" w:themeColor="text1"/>
        </w:rPr>
        <w:t>The model’s estimation process involves determining the values of three sets of parameters: the</w:t>
      </w:r>
      <w:r w:rsidR="00DE14BD" w:rsidRPr="00D14CD7">
        <w:rPr>
          <w:color w:val="000000" w:themeColor="text1"/>
        </w:rPr>
        <w:t xml:space="preserve"> </w:t>
      </w:r>
      <w:r w:rsidR="00DE14BD" w:rsidRPr="00D14CD7">
        <w:rPr>
          <w:color w:val="000000" w:themeColor="text1"/>
          <w:position w:val="-10"/>
        </w:rPr>
        <w:object w:dxaOrig="200" w:dyaOrig="320" w14:anchorId="2B556D8A">
          <v:shape id="_x0000_i1065" type="#_x0000_t75" style="width:10.7pt;height:16.3pt" o:ole="">
            <v:imagedata r:id="rId90" o:title=""/>
          </v:shape>
          <o:OLEObject Type="Embed" ProgID="Equation.DSMT4" ShapeID="_x0000_i1065" DrawAspect="Content" ObjectID="_1793173654" r:id="rId91"/>
        </w:object>
      </w:r>
      <w:r w:rsidR="00BA445E" w:rsidRPr="00D14CD7">
        <w:rPr>
          <w:color w:val="000000" w:themeColor="text1"/>
        </w:rPr>
        <w:t xml:space="preserve"> vector, the </w:t>
      </w:r>
      <w:r w:rsidR="00667682" w:rsidRPr="00D14CD7">
        <w:rPr>
          <w:color w:val="000000" w:themeColor="text1"/>
          <w:position w:val="-12"/>
        </w:rPr>
        <w:object w:dxaOrig="1700" w:dyaOrig="360" w14:anchorId="007382FC">
          <v:shape id="_x0000_i1066" type="#_x0000_t75" style="width:85.7pt;height:18.85pt" o:ole="" o:preferrelative="f">
            <v:imagedata r:id="rId92" o:title=""/>
            <o:lock v:ext="edit" aspectratio="f"/>
          </v:shape>
          <o:OLEObject Type="Embed" ProgID="Equation.DSMT4" ShapeID="_x0000_i1066" DrawAspect="Content" ObjectID="_1793173655" r:id="rId93"/>
        </w:object>
      </w:r>
      <w:r w:rsidR="00BA445E" w:rsidRPr="00D14CD7">
        <w:rPr>
          <w:color w:val="000000" w:themeColor="text1"/>
        </w:rPr>
        <w:t xml:space="preserve"> vector, and the </w:t>
      </w:r>
      <w:r w:rsidR="00702E75" w:rsidRPr="00D14CD7">
        <w:rPr>
          <w:color w:val="000000" w:themeColor="text1"/>
          <w:position w:val="-4"/>
        </w:rPr>
        <w:object w:dxaOrig="220" w:dyaOrig="200" w14:anchorId="70FDD96D">
          <v:shape id="_x0000_i1067" type="#_x0000_t75" style="width:10.7pt;height:10.7pt" o:ole="">
            <v:imagedata r:id="rId94" o:title=""/>
          </v:shape>
          <o:OLEObject Type="Embed" ProgID="Equation.DSMT4" ShapeID="_x0000_i1067" DrawAspect="Content" ObjectID="_1793173656" r:id="rId95"/>
        </w:object>
      </w:r>
      <w:r w:rsidR="00702E75" w:rsidRPr="00D14CD7">
        <w:rPr>
          <w:color w:val="000000" w:themeColor="text1"/>
        </w:rPr>
        <w:t xml:space="preserve"> </w:t>
      </w:r>
      <w:r w:rsidR="00BA445E" w:rsidRPr="00D14CD7">
        <w:rPr>
          <w:color w:val="000000" w:themeColor="text1"/>
        </w:rPr>
        <w:t xml:space="preserve">scalar. </w:t>
      </w:r>
      <w:r w:rsidR="005C0287" w:rsidRPr="00D14CD7">
        <w:rPr>
          <w:color w:val="000000" w:themeColor="text1"/>
        </w:rPr>
        <w:t xml:space="preserve">Since the MDCEV fractional model shares some parameters with the total budget model, we defer a detailed discussion of the estimation procedure to Section </w:t>
      </w:r>
      <w:r w:rsidR="004D2A6C" w:rsidRPr="00D14CD7">
        <w:rPr>
          <w:color w:val="000000" w:themeColor="text1"/>
        </w:rPr>
        <w:t>5</w:t>
      </w:r>
      <w:r w:rsidR="005C0287" w:rsidRPr="00D14CD7">
        <w:rPr>
          <w:color w:val="000000" w:themeColor="text1"/>
        </w:rPr>
        <w:t xml:space="preserve">.4. </w:t>
      </w:r>
    </w:p>
    <w:p w14:paraId="3CF8CF1D" w14:textId="77777777" w:rsidR="00540E05" w:rsidRPr="00D14CD7" w:rsidRDefault="00540E05" w:rsidP="00540E05">
      <w:pPr>
        <w:spacing w:after="0" w:line="240" w:lineRule="auto"/>
        <w:rPr>
          <w:color w:val="000000" w:themeColor="text1"/>
        </w:rPr>
      </w:pPr>
    </w:p>
    <w:p w14:paraId="13EF0514" w14:textId="1D51E0A1" w:rsidR="00A6419C" w:rsidRPr="00D14CD7" w:rsidRDefault="0021514B" w:rsidP="00540E05">
      <w:pPr>
        <w:pStyle w:val="Heading2"/>
        <w:spacing w:before="0" w:after="0" w:line="240" w:lineRule="auto"/>
        <w:rPr>
          <w:color w:val="000000" w:themeColor="text1"/>
        </w:rPr>
      </w:pPr>
      <w:r w:rsidRPr="00D14CD7">
        <w:rPr>
          <w:color w:val="000000" w:themeColor="text1"/>
        </w:rPr>
        <w:t xml:space="preserve"> </w:t>
      </w:r>
      <w:r w:rsidR="00A6419C" w:rsidRPr="00D14CD7">
        <w:rPr>
          <w:color w:val="000000" w:themeColor="text1"/>
        </w:rPr>
        <w:t>Linking with the Fractional Split Model</w:t>
      </w:r>
    </w:p>
    <w:p w14:paraId="28B913E4" w14:textId="134C5CB7" w:rsidR="00CE64E9" w:rsidRPr="00D14CD7" w:rsidRDefault="009B64D8" w:rsidP="00540E05">
      <w:pPr>
        <w:spacing w:after="0" w:line="240" w:lineRule="auto"/>
        <w:rPr>
          <w:color w:val="000000" w:themeColor="text1"/>
        </w:rPr>
      </w:pPr>
      <w:r w:rsidRPr="00D14CD7">
        <w:rPr>
          <w:color w:val="000000" w:themeColor="text1"/>
        </w:rPr>
        <w:t>Linking the fractional split model</w:t>
      </w:r>
      <w:r w:rsidR="00EB44C4" w:rsidRPr="00D14CD7">
        <w:rPr>
          <w:color w:val="000000" w:themeColor="text1"/>
        </w:rPr>
        <w:t xml:space="preserve">, </w:t>
      </w:r>
      <w:r w:rsidRPr="00D14CD7">
        <w:rPr>
          <w:color w:val="000000" w:themeColor="text1"/>
        </w:rPr>
        <w:t>which is concerned with the allocation of goods (i.e. restaurant segments) within the commodity group of interest (i.e. eat-outs)</w:t>
      </w:r>
      <w:r w:rsidR="00EB44C4" w:rsidRPr="00D14CD7">
        <w:rPr>
          <w:color w:val="000000" w:themeColor="text1"/>
        </w:rPr>
        <w:t>,</w:t>
      </w:r>
      <w:r w:rsidRPr="00D14CD7">
        <w:rPr>
          <w:color w:val="000000" w:themeColor="text1"/>
        </w:rPr>
        <w:t xml:space="preserve"> with the total </w:t>
      </w:r>
      <w:r w:rsidR="000D36BF" w:rsidRPr="00D14CD7">
        <w:rPr>
          <w:color w:val="000000" w:themeColor="text1"/>
        </w:rPr>
        <w:t xml:space="preserve">eat-outs </w:t>
      </w:r>
      <w:r w:rsidRPr="00D14CD7">
        <w:rPr>
          <w:color w:val="000000" w:themeColor="text1"/>
        </w:rPr>
        <w:t>count model</w:t>
      </w:r>
      <w:r w:rsidR="00EB44C4" w:rsidRPr="00D14CD7">
        <w:rPr>
          <w:color w:val="000000" w:themeColor="text1"/>
        </w:rPr>
        <w:t xml:space="preserve"> </w:t>
      </w:r>
      <w:r w:rsidRPr="00D14CD7">
        <w:rPr>
          <w:color w:val="000000" w:themeColor="text1"/>
        </w:rPr>
        <w:t>in a single framework requires a specialized function that reconciles the</w:t>
      </w:r>
      <w:r w:rsidR="00911BB2" w:rsidRPr="00D14CD7">
        <w:rPr>
          <w:color w:val="000000" w:themeColor="text1"/>
        </w:rPr>
        <w:t xml:space="preserve"> </w:t>
      </w:r>
      <w:r w:rsidRPr="00D14CD7">
        <w:rPr>
          <w:color w:val="000000" w:themeColor="text1"/>
        </w:rPr>
        <w:t xml:space="preserve">theoretical and empirical </w:t>
      </w:r>
      <w:r w:rsidR="00911BB2" w:rsidRPr="00D14CD7">
        <w:rPr>
          <w:color w:val="000000" w:themeColor="text1"/>
        </w:rPr>
        <w:t xml:space="preserve">preliminaries of both these model </w:t>
      </w:r>
      <w:r w:rsidR="00702E75" w:rsidRPr="00D14CD7">
        <w:rPr>
          <w:color w:val="000000" w:themeColor="text1"/>
        </w:rPr>
        <w:t>components</w:t>
      </w:r>
      <w:r w:rsidR="00911BB2" w:rsidRPr="00D14CD7">
        <w:rPr>
          <w:color w:val="000000" w:themeColor="text1"/>
        </w:rPr>
        <w:t xml:space="preserve"> </w:t>
      </w:r>
      <w:r w:rsidRPr="00D14CD7">
        <w:rPr>
          <w:color w:val="000000" w:themeColor="text1"/>
        </w:rPr>
        <w:t xml:space="preserve">in a utility consistent manner. </w:t>
      </w:r>
      <w:r w:rsidR="00911BB2" w:rsidRPr="00D14CD7">
        <w:rPr>
          <w:color w:val="000000" w:themeColor="text1"/>
        </w:rPr>
        <w:t>Bhat (2022) derives the appropriate structure of this link function, which takes the following form (see Bhat, 2022 for details of this derivation):</w:t>
      </w:r>
    </w:p>
    <w:p w14:paraId="0E979F07" w14:textId="29E6963B" w:rsidR="0006166B" w:rsidRPr="00D14CD7" w:rsidRDefault="0068023F" w:rsidP="004E3632">
      <w:pPr>
        <w:spacing w:before="60" w:after="60" w:line="240" w:lineRule="auto"/>
        <w:rPr>
          <w:color w:val="000000" w:themeColor="text1"/>
        </w:rPr>
      </w:pPr>
      <w:r w:rsidRPr="00D14CD7">
        <w:rPr>
          <w:color w:val="000000" w:themeColor="text1"/>
          <w:position w:val="-30"/>
        </w:rPr>
        <w:object w:dxaOrig="3019" w:dyaOrig="720" w14:anchorId="475FD378">
          <v:shape id="_x0000_i1068" type="#_x0000_t75" style="width:151.7pt;height:36pt;mso-position-vertical:absolute" o:ole="" o:preferrelative="f">
            <v:imagedata r:id="rId96" o:title=""/>
            <o:lock v:ext="edit" aspectratio="f"/>
          </v:shape>
          <o:OLEObject Type="Embed" ProgID="Equation.DSMT4" ShapeID="_x0000_i1068" DrawAspect="Content" ObjectID="_1793173657" r:id="rId97"/>
        </w:object>
      </w:r>
      <w:r w:rsidR="00520F33" w:rsidRPr="00D14CD7">
        <w:rPr>
          <w:color w:val="000000" w:themeColor="text1"/>
        </w:rPr>
        <w:t>,</w:t>
      </w:r>
      <w:r w:rsidR="00DF0952" w:rsidRPr="00D14CD7">
        <w:rPr>
          <w:color w:val="000000" w:themeColor="text1"/>
        </w:rPr>
        <w:tab/>
      </w:r>
      <w:r w:rsidR="00DF0952" w:rsidRPr="00D14CD7">
        <w:rPr>
          <w:color w:val="000000" w:themeColor="text1"/>
        </w:rPr>
        <w:tab/>
      </w:r>
      <w:r w:rsidR="00DF0952" w:rsidRPr="00D14CD7">
        <w:rPr>
          <w:color w:val="000000" w:themeColor="text1"/>
        </w:rPr>
        <w:tab/>
      </w:r>
      <w:r w:rsidR="00DF0952" w:rsidRPr="00D14CD7">
        <w:rPr>
          <w:color w:val="000000" w:themeColor="text1"/>
        </w:rPr>
        <w:tab/>
      </w:r>
      <w:r w:rsidR="00DF0952" w:rsidRPr="00D14CD7">
        <w:rPr>
          <w:color w:val="000000" w:themeColor="text1"/>
        </w:rPr>
        <w:tab/>
      </w:r>
      <w:r w:rsidR="00DF0952" w:rsidRPr="00D14CD7">
        <w:rPr>
          <w:color w:val="000000" w:themeColor="text1"/>
        </w:rPr>
        <w:tab/>
      </w:r>
      <w:r w:rsidR="00DF0952" w:rsidRPr="00D14CD7">
        <w:rPr>
          <w:color w:val="000000" w:themeColor="text1"/>
        </w:rPr>
        <w:tab/>
      </w:r>
      <w:r w:rsidR="00DF0952" w:rsidRPr="00D14CD7">
        <w:rPr>
          <w:color w:val="000000" w:themeColor="text1"/>
        </w:rPr>
        <w:tab/>
      </w:r>
      <w:r w:rsidR="00702E75" w:rsidRPr="00D14CD7">
        <w:rPr>
          <w:color w:val="000000" w:themeColor="text1"/>
        </w:rPr>
        <w:t xml:space="preserve">      (</w:t>
      </w:r>
      <w:r w:rsidR="002F5C17" w:rsidRPr="00D14CD7">
        <w:rPr>
          <w:color w:val="000000" w:themeColor="text1"/>
        </w:rPr>
        <w:t>8</w:t>
      </w:r>
      <w:r w:rsidR="00DF0952" w:rsidRPr="00D14CD7">
        <w:rPr>
          <w:color w:val="000000" w:themeColor="text1"/>
        </w:rPr>
        <w:t>)</w:t>
      </w:r>
    </w:p>
    <w:p w14:paraId="6CD50DE2" w14:textId="0AD65C5F" w:rsidR="00520F33" w:rsidRPr="00D14CD7" w:rsidRDefault="00520F33" w:rsidP="00540E05">
      <w:pPr>
        <w:spacing w:after="0" w:line="240" w:lineRule="auto"/>
        <w:rPr>
          <w:color w:val="000000" w:themeColor="text1"/>
        </w:rPr>
      </w:pPr>
      <w:r w:rsidRPr="00D14CD7">
        <w:rPr>
          <w:color w:val="000000" w:themeColor="text1"/>
        </w:rPr>
        <w:t xml:space="preserve">where </w:t>
      </w:r>
      <w:r w:rsidR="004E3632" w:rsidRPr="00D14CD7">
        <w:rPr>
          <w:color w:val="000000" w:themeColor="text1"/>
          <w:position w:val="-12"/>
        </w:rPr>
        <w:object w:dxaOrig="260" w:dyaOrig="360" w14:anchorId="18E02A31">
          <v:shape id="_x0000_i1069" type="#_x0000_t75" style="width:12.85pt;height:18pt" o:ole="" o:preferrelative="f">
            <v:imagedata r:id="rId98" o:title=""/>
            <o:lock v:ext="edit" aspectratio="f"/>
          </v:shape>
          <o:OLEObject Type="Embed" ProgID="Equation.DSMT4" ShapeID="_x0000_i1069" DrawAspect="Content" ObjectID="_1793173658" r:id="rId99"/>
        </w:object>
      </w:r>
      <w:r w:rsidRPr="00D14CD7">
        <w:rPr>
          <w:color w:val="000000" w:themeColor="text1"/>
        </w:rPr>
        <w:t xml:space="preserve"> is another set of </w:t>
      </w:r>
      <w:r w:rsidR="00A2331B" w:rsidRPr="00D14CD7">
        <w:rPr>
          <w:color w:val="000000" w:themeColor="text1"/>
        </w:rPr>
        <w:t xml:space="preserve">standard reverse Gumbel </w:t>
      </w:r>
      <w:r w:rsidRPr="00D14CD7">
        <w:rPr>
          <w:color w:val="000000" w:themeColor="text1"/>
        </w:rPr>
        <w:t xml:space="preserve">stochastic terms allowing unobserved heterogeneity (across individuals) in the linkage function </w:t>
      </w:r>
      <w:r w:rsidR="00A2331B" w:rsidRPr="00D14CD7">
        <w:rPr>
          <w:color w:val="000000" w:themeColor="text1"/>
        </w:rPr>
        <w:t xml:space="preserve">(we use a different set of error terms </w:t>
      </w:r>
      <w:r w:rsidR="0068023F" w:rsidRPr="00D14CD7">
        <w:rPr>
          <w:color w:val="000000" w:themeColor="text1"/>
          <w:position w:val="-12"/>
        </w:rPr>
        <w:object w:dxaOrig="260" w:dyaOrig="360" w14:anchorId="599681E0">
          <v:shape id="_x0000_i1070" type="#_x0000_t75" style="width:13.3pt;height:18pt" o:ole="" o:preferrelative="f">
            <v:imagedata r:id="rId98" o:title=""/>
            <o:lock v:ext="edit" aspectratio="f"/>
          </v:shape>
          <o:OLEObject Type="Embed" ProgID="Equation.DSMT4" ShapeID="_x0000_i1070" DrawAspect="Content" ObjectID="_1793173659" r:id="rId100"/>
        </w:object>
      </w:r>
      <w:r w:rsidR="00A2331B" w:rsidRPr="00D14CD7">
        <w:rPr>
          <w:color w:val="000000" w:themeColor="text1"/>
        </w:rPr>
        <w:t xml:space="preserve"> </w:t>
      </w:r>
      <w:r w:rsidR="00A2331B" w:rsidRPr="00D14CD7">
        <w:rPr>
          <w:color w:val="000000" w:themeColor="text1"/>
        </w:rPr>
        <w:lastRenderedPageBreak/>
        <w:t xml:space="preserve">above than the error terms </w:t>
      </w:r>
      <w:r w:rsidR="0068023F" w:rsidRPr="00D14CD7">
        <w:rPr>
          <w:color w:val="000000" w:themeColor="text1"/>
          <w:position w:val="-12"/>
        </w:rPr>
        <w:object w:dxaOrig="260" w:dyaOrig="360" w14:anchorId="212171AF">
          <v:shape id="_x0000_i1071" type="#_x0000_t75" style="width:13.3pt;height:18pt" o:ole="" o:preferrelative="f">
            <v:imagedata r:id="rId101" o:title=""/>
            <o:lock v:ext="edit" aspectratio="f"/>
          </v:shape>
          <o:OLEObject Type="Embed" ProgID="Equation.DSMT4" ShapeID="_x0000_i1071" DrawAspect="Content" ObjectID="_1793173660" r:id="rId102"/>
        </w:object>
      </w:r>
      <w:r w:rsidR="00A2331B" w:rsidRPr="00D14CD7">
        <w:rPr>
          <w:color w:val="000000" w:themeColor="text1"/>
        </w:rPr>
        <w:t xml:space="preserve"> in Equation (</w:t>
      </w:r>
      <w:r w:rsidR="002F5C17" w:rsidRPr="00D14CD7">
        <w:rPr>
          <w:color w:val="000000" w:themeColor="text1"/>
        </w:rPr>
        <w:t>3</w:t>
      </w:r>
      <w:r w:rsidR="00A2331B" w:rsidRPr="00D14CD7">
        <w:rPr>
          <w:color w:val="000000" w:themeColor="text1"/>
        </w:rPr>
        <w:t xml:space="preserve">) to obtain a </w:t>
      </w:r>
      <w:r w:rsidR="00DE14BD" w:rsidRPr="00D14CD7">
        <w:rPr>
          <w:color w:val="000000" w:themeColor="text1"/>
        </w:rPr>
        <w:t>closed-</w:t>
      </w:r>
      <w:r w:rsidR="00A2331B" w:rsidRPr="00D14CD7">
        <w:rPr>
          <w:color w:val="000000" w:themeColor="text1"/>
        </w:rPr>
        <w:t xml:space="preserve">form integrated model by avoiding unobserved correlations across the MDC fractional split model and the total count model discussed in the next section). </w:t>
      </w:r>
    </w:p>
    <w:p w14:paraId="7F7DDF56" w14:textId="77777777" w:rsidR="00540E05" w:rsidRPr="00D14CD7" w:rsidRDefault="00540E05" w:rsidP="00540E05">
      <w:pPr>
        <w:spacing w:after="0" w:line="240" w:lineRule="auto"/>
        <w:rPr>
          <w:color w:val="000000" w:themeColor="text1"/>
        </w:rPr>
      </w:pPr>
    </w:p>
    <w:p w14:paraId="570E5B2E" w14:textId="4120974D" w:rsidR="00C80964" w:rsidRPr="00D14CD7" w:rsidRDefault="003058C8" w:rsidP="00540E05">
      <w:pPr>
        <w:pStyle w:val="Heading2"/>
        <w:spacing w:before="0" w:after="0" w:line="240" w:lineRule="auto"/>
        <w:rPr>
          <w:color w:val="000000" w:themeColor="text1"/>
        </w:rPr>
      </w:pPr>
      <w:r w:rsidRPr="00D14CD7">
        <w:rPr>
          <w:color w:val="000000" w:themeColor="text1"/>
        </w:rPr>
        <w:t xml:space="preserve"> </w:t>
      </w:r>
      <w:r w:rsidR="00894EFF" w:rsidRPr="00D14CD7">
        <w:rPr>
          <w:color w:val="000000" w:themeColor="text1"/>
        </w:rPr>
        <w:t xml:space="preserve">The Total </w:t>
      </w:r>
      <w:r w:rsidR="00C80964" w:rsidRPr="00D14CD7">
        <w:rPr>
          <w:color w:val="000000" w:themeColor="text1"/>
        </w:rPr>
        <w:t>Count Model</w:t>
      </w:r>
    </w:p>
    <w:p w14:paraId="5A372085" w14:textId="74D9365A" w:rsidR="00D4502C" w:rsidRPr="00D14CD7" w:rsidRDefault="00D4502C" w:rsidP="00540E05">
      <w:pPr>
        <w:spacing w:after="0" w:line="240" w:lineRule="auto"/>
        <w:rPr>
          <w:color w:val="000000" w:themeColor="text1"/>
        </w:rPr>
      </w:pPr>
      <w:r w:rsidRPr="00D14CD7">
        <w:rPr>
          <w:color w:val="000000" w:themeColor="text1"/>
        </w:rPr>
        <w:t xml:space="preserve">The modeling framework used for analyzing individuals’ monthly </w:t>
      </w:r>
      <w:r w:rsidR="0016165A" w:rsidRPr="00D14CD7">
        <w:rPr>
          <w:color w:val="000000" w:themeColor="text1"/>
        </w:rPr>
        <w:t>e</w:t>
      </w:r>
      <w:r w:rsidR="003C3C09" w:rsidRPr="00D14CD7">
        <w:rPr>
          <w:color w:val="000000" w:themeColor="text1"/>
        </w:rPr>
        <w:t>a</w:t>
      </w:r>
      <w:r w:rsidR="0016165A" w:rsidRPr="00D14CD7">
        <w:rPr>
          <w:color w:val="000000" w:themeColor="text1"/>
        </w:rPr>
        <w:t>t-ou</w:t>
      </w:r>
      <w:r w:rsidR="00EB44C4" w:rsidRPr="00D14CD7">
        <w:rPr>
          <w:color w:val="000000" w:themeColor="text1"/>
        </w:rPr>
        <w:t>t</w:t>
      </w:r>
      <w:r w:rsidR="0016165A" w:rsidRPr="00D14CD7">
        <w:rPr>
          <w:color w:val="000000" w:themeColor="text1"/>
        </w:rPr>
        <w:t xml:space="preserve"> </w:t>
      </w:r>
      <w:r w:rsidRPr="00D14CD7">
        <w:rPr>
          <w:color w:val="000000" w:themeColor="text1"/>
        </w:rPr>
        <w:t xml:space="preserve">frequency takes the form of a Count Model proposed by </w:t>
      </w:r>
      <w:r w:rsidRPr="00D14CD7">
        <w:rPr>
          <w:color w:val="000000" w:themeColor="text1"/>
        </w:rPr>
        <w:fldChar w:fldCharType="begin"/>
      </w:r>
      <w:r w:rsidR="00576418" w:rsidRPr="00D14CD7">
        <w:rPr>
          <w:color w:val="000000" w:themeColor="text1"/>
        </w:rPr>
        <w:instrText xml:space="preserve"> ADDIN ZOTERO_ITEM CSL_CITATION {"citationID":"FOKgJPOL","properties":{"formattedCitation":"(Castro et al., 2012)","plainCitation":"(Castro et al., 2012)","dontUpdate":true,"noteIndex":0},"citationItems":[{"id":427,"uris":["http://zotero.org/users/9292995/items/4ZWDMJW6"],"itemData":{"id":427,"type":"article-journal","container-title":"Transportation research part B: methodological","ISSN":"0191-2615","issue":"1","journalAbbreviation":"Transportation research part B: methodological","note":"publisher: Elsevier","page":"253-272","title":"A latent variable representation of count data models to accommodate spatial and temporal dependence: Application to predicting crash frequency at intersections","volume":"46","author":[{"family":"Castro","given":"Marisol"},{"family":"Paleti","given":"Rajesh"},{"family":"Bhat","given":"Chandra R"}],"issued":{"date-parts":[["2012"]]}}}],"schema":"https://github.com/citation-style-language/schema/raw/master/csl-citation.json"} </w:instrText>
      </w:r>
      <w:r w:rsidRPr="00D14CD7">
        <w:rPr>
          <w:color w:val="000000" w:themeColor="text1"/>
        </w:rPr>
        <w:fldChar w:fldCharType="separate"/>
      </w:r>
      <w:r w:rsidRPr="00D14CD7">
        <w:rPr>
          <w:color w:val="000000" w:themeColor="text1"/>
        </w:rPr>
        <w:t>Castro et al. (2012)</w:t>
      </w:r>
      <w:r w:rsidRPr="00D14CD7">
        <w:rPr>
          <w:color w:val="000000" w:themeColor="text1"/>
        </w:rPr>
        <w:fldChar w:fldCharType="end"/>
      </w:r>
      <w:r w:rsidRPr="00D14CD7">
        <w:rPr>
          <w:color w:val="000000" w:themeColor="text1"/>
        </w:rPr>
        <w:t xml:space="preserve"> (also see Bhat et al., 2015)</w:t>
      </w:r>
      <w:r w:rsidR="00EB44C4" w:rsidRPr="00D14CD7">
        <w:rPr>
          <w:color w:val="000000" w:themeColor="text1"/>
        </w:rPr>
        <w:t xml:space="preserve">. </w:t>
      </w:r>
      <w:r w:rsidR="00EB44C4" w:rsidRPr="00D14CD7">
        <w:rPr>
          <w:color w:val="000000" w:themeColor="text1"/>
        </w:rPr>
        <w:fldChar w:fldCharType="begin"/>
      </w:r>
      <w:r w:rsidR="00DB53B5" w:rsidRPr="00D14CD7">
        <w:rPr>
          <w:color w:val="000000" w:themeColor="text1"/>
        </w:rPr>
        <w:instrText xml:space="preserve"> ADDIN ZOTERO_ITEM CSL_CITATION {"citationID":"ublIxav9","properties":{"formattedCitation":"(Castro et al., 2012)","plainCitation":"(Castro et al., 2012)","dontUpdate":true,"noteIndex":0},"citationItems":[{"id":427,"uris":["http://zotero.org/users/9292995/items/4ZWDMJW6"],"itemData":{"id":427,"type":"article-journal","container-title":"Transportation research part B: methodological","ISSN":"0191-2615","issue":"1","journalAbbreviation":"Transportation research part B: methodological","note":"publisher: Elsevier","page":"253-272","title":"A latent variable representation of count data models to accommodate spatial and temporal dependence: Application to predicting crash frequency at intersections","volume":"46","author":[{"family":"Castro","given":"Marisol"},{"family":"Paleti","given":"Rajesh"},{"family":"Bhat","given":"Chandra R"}],"issued":{"date-parts":[["2012"]]}}}],"schema":"https://github.com/citation-style-language/schema/raw/master/csl-citation.json"} </w:instrText>
      </w:r>
      <w:r w:rsidR="00EB44C4" w:rsidRPr="00D14CD7">
        <w:rPr>
          <w:color w:val="000000" w:themeColor="text1"/>
        </w:rPr>
        <w:fldChar w:fldCharType="separate"/>
      </w:r>
      <w:r w:rsidR="00EB44C4" w:rsidRPr="00D14CD7">
        <w:rPr>
          <w:color w:val="000000" w:themeColor="text1"/>
        </w:rPr>
        <w:t>Castro et al. (2012)</w:t>
      </w:r>
      <w:r w:rsidR="00EB44C4" w:rsidRPr="00D14CD7">
        <w:rPr>
          <w:color w:val="000000" w:themeColor="text1"/>
        </w:rPr>
        <w:fldChar w:fldCharType="end"/>
      </w:r>
      <w:r w:rsidR="00EB44C4" w:rsidRPr="00D14CD7">
        <w:rPr>
          <w:color w:val="000000" w:themeColor="text1"/>
        </w:rPr>
        <w:t xml:space="preserve"> </w:t>
      </w:r>
      <w:r w:rsidRPr="00D14CD7">
        <w:rPr>
          <w:color w:val="000000" w:themeColor="text1"/>
        </w:rPr>
        <w:t xml:space="preserve">show that a Poisson count regression model can be considered a special case of a Generalized Ordered-Response Probit (GORP) that allows for more flexibility compared to the ordinary Poisson model. </w:t>
      </w:r>
      <w:r w:rsidR="00EB44C4" w:rsidRPr="00D14CD7">
        <w:rPr>
          <w:color w:val="000000" w:themeColor="text1"/>
        </w:rPr>
        <w:t>This section discusses t</w:t>
      </w:r>
      <w:r w:rsidRPr="00D14CD7">
        <w:rPr>
          <w:color w:val="000000" w:themeColor="text1"/>
        </w:rPr>
        <w:t xml:space="preserve">he mathematical formulation for the Multivariate Count Model </w:t>
      </w:r>
      <w:r w:rsidR="00EB44C4" w:rsidRPr="00D14CD7">
        <w:rPr>
          <w:color w:val="000000" w:themeColor="text1"/>
        </w:rPr>
        <w:t>and</w:t>
      </w:r>
      <w:r w:rsidR="00894EFF" w:rsidRPr="00D14CD7">
        <w:rPr>
          <w:color w:val="000000" w:themeColor="text1"/>
        </w:rPr>
        <w:t xml:space="preserve"> </w:t>
      </w:r>
      <w:r w:rsidR="0016165A" w:rsidRPr="00D14CD7">
        <w:rPr>
          <w:color w:val="000000" w:themeColor="text1"/>
        </w:rPr>
        <w:t xml:space="preserve">formulates </w:t>
      </w:r>
      <w:r w:rsidR="00894EFF" w:rsidRPr="00D14CD7">
        <w:rPr>
          <w:color w:val="000000" w:themeColor="text1"/>
        </w:rPr>
        <w:t>the linkage with the fractional split model</w:t>
      </w:r>
      <w:r w:rsidRPr="00D14CD7">
        <w:rPr>
          <w:color w:val="000000" w:themeColor="text1"/>
        </w:rPr>
        <w:t>.</w:t>
      </w:r>
    </w:p>
    <w:p w14:paraId="241A0CCF" w14:textId="57560D15" w:rsidR="003C3C09" w:rsidRPr="00D14CD7" w:rsidRDefault="00DF0952" w:rsidP="00540E05">
      <w:pPr>
        <w:spacing w:after="0" w:line="240" w:lineRule="auto"/>
        <w:ind w:firstLine="720"/>
        <w:rPr>
          <w:color w:val="000000" w:themeColor="text1"/>
        </w:rPr>
      </w:pPr>
      <w:r w:rsidRPr="00D14CD7">
        <w:rPr>
          <w:color w:val="000000" w:themeColor="text1"/>
        </w:rPr>
        <w:t xml:space="preserve">Let </w:t>
      </w:r>
      <w:r w:rsidR="00B930ED" w:rsidRPr="00D14CD7">
        <w:rPr>
          <w:color w:val="000000" w:themeColor="text1"/>
          <w:position w:val="-4"/>
        </w:rPr>
        <w:object w:dxaOrig="180" w:dyaOrig="260" w14:anchorId="731C1A53">
          <v:shape id="_x0000_i1072" type="#_x0000_t75" style="width:8.15pt;height:13.3pt" o:ole="">
            <v:imagedata r:id="rId103" o:title=""/>
          </v:shape>
          <o:OLEObject Type="Embed" ProgID="Equation.DSMT4" ShapeID="_x0000_i1072" DrawAspect="Content" ObjectID="_1793173661" r:id="rId104"/>
        </w:object>
      </w:r>
      <w:r w:rsidR="0068023F" w:rsidRPr="00D14CD7">
        <w:rPr>
          <w:color w:val="000000" w:themeColor="text1"/>
          <w:position w:val="-10"/>
        </w:rPr>
        <w:object w:dxaOrig="1600" w:dyaOrig="320" w14:anchorId="44CB8FC6">
          <v:shape id="_x0000_i1073" type="#_x0000_t75" style="width:79.7pt;height:15.85pt" o:ole="" o:preferrelative="f">
            <v:imagedata r:id="rId105" o:title=""/>
            <o:lock v:ext="edit" aspectratio="f"/>
          </v:shape>
          <o:OLEObject Type="Embed" ProgID="Equation.DSMT4" ShapeID="_x0000_i1073" DrawAspect="Content" ObjectID="_1793173662" r:id="rId106"/>
        </w:object>
      </w:r>
      <w:r w:rsidR="00894EFF" w:rsidRPr="00D14CD7">
        <w:rPr>
          <w:color w:val="000000" w:themeColor="text1"/>
        </w:rPr>
        <w:t xml:space="preserve"> be the frequency </w:t>
      </w:r>
      <w:r w:rsidR="00C41667" w:rsidRPr="00D14CD7">
        <w:rPr>
          <w:color w:val="000000" w:themeColor="text1"/>
        </w:rPr>
        <w:t xml:space="preserve">of </w:t>
      </w:r>
      <w:r w:rsidR="00EB44C4" w:rsidRPr="00D14CD7">
        <w:rPr>
          <w:color w:val="000000" w:themeColor="text1"/>
        </w:rPr>
        <w:t>total monthly</w:t>
      </w:r>
      <w:r w:rsidR="00C41667" w:rsidRPr="00D14CD7">
        <w:rPr>
          <w:color w:val="000000" w:themeColor="text1"/>
        </w:rPr>
        <w:t xml:space="preserve"> eat-outs</w:t>
      </w:r>
      <w:r w:rsidR="00476B82" w:rsidRPr="00D14CD7">
        <w:rPr>
          <w:color w:val="000000" w:themeColor="text1"/>
        </w:rPr>
        <w:t xml:space="preserve"> for an indiv</w:t>
      </w:r>
      <w:r w:rsidR="005D5527" w:rsidRPr="00D14CD7">
        <w:rPr>
          <w:color w:val="000000" w:themeColor="text1"/>
        </w:rPr>
        <w:t>i</w:t>
      </w:r>
      <w:r w:rsidR="00476B82" w:rsidRPr="00D14CD7">
        <w:rPr>
          <w:color w:val="000000" w:themeColor="text1"/>
        </w:rPr>
        <w:t>dual</w:t>
      </w:r>
      <w:r w:rsidR="00894EFF" w:rsidRPr="00D14CD7">
        <w:rPr>
          <w:i/>
          <w:color w:val="000000" w:themeColor="text1"/>
        </w:rPr>
        <w:t>.</w:t>
      </w:r>
      <w:r w:rsidR="003C3C09" w:rsidRPr="00D14CD7">
        <w:rPr>
          <w:i/>
          <w:color w:val="000000" w:themeColor="text1"/>
        </w:rPr>
        <w:t xml:space="preserve"> </w:t>
      </w:r>
      <w:r w:rsidR="003C3C09" w:rsidRPr="00D14CD7">
        <w:rPr>
          <w:color w:val="000000" w:themeColor="text1"/>
        </w:rPr>
        <w:t xml:space="preserve">The utility maximization process underlying the fractional split model gets linked to the count model by </w:t>
      </w:r>
      <w:r w:rsidR="004F73DD" w:rsidRPr="00D14CD7">
        <w:rPr>
          <w:color w:val="000000" w:themeColor="text1"/>
        </w:rPr>
        <w:t xml:space="preserve">embedding </w:t>
      </w:r>
      <w:r w:rsidR="003C3C09" w:rsidRPr="00D14CD7">
        <w:rPr>
          <w:color w:val="000000" w:themeColor="text1"/>
        </w:rPr>
        <w:t>the</w:t>
      </w:r>
      <w:r w:rsidR="00DE14BD" w:rsidRPr="00D14CD7">
        <w:rPr>
          <w:color w:val="000000" w:themeColor="text1"/>
        </w:rPr>
        <w:t xml:space="preserve"> </w:t>
      </w:r>
      <w:r w:rsidR="00DE14BD" w:rsidRPr="00D14CD7">
        <w:rPr>
          <w:color w:val="000000" w:themeColor="text1"/>
          <w:position w:val="-4"/>
        </w:rPr>
        <w:object w:dxaOrig="240" w:dyaOrig="260" w14:anchorId="0D5BB694">
          <v:shape id="_x0000_i1074" type="#_x0000_t75" style="width:13.7pt;height:13.3pt" o:ole="">
            <v:imagedata r:id="rId107" o:title=""/>
          </v:shape>
          <o:OLEObject Type="Embed" ProgID="Equation.DSMT4" ShapeID="_x0000_i1074" DrawAspect="Content" ObjectID="_1793173663" r:id="rId108"/>
        </w:object>
      </w:r>
      <w:r w:rsidR="00476B82" w:rsidRPr="00D14CD7">
        <w:rPr>
          <w:color w:val="000000" w:themeColor="text1"/>
        </w:rPr>
        <w:t xml:space="preserve"> linkage </w:t>
      </w:r>
      <w:r w:rsidR="003C3C09" w:rsidRPr="00D14CD7">
        <w:rPr>
          <w:color w:val="000000" w:themeColor="text1"/>
        </w:rPr>
        <w:t>function from Equation (</w:t>
      </w:r>
      <w:r w:rsidR="002F5C17" w:rsidRPr="00D14CD7">
        <w:rPr>
          <w:color w:val="000000" w:themeColor="text1"/>
        </w:rPr>
        <w:t>8</w:t>
      </w:r>
      <w:r w:rsidR="003C3C09" w:rsidRPr="00D14CD7">
        <w:rPr>
          <w:color w:val="000000" w:themeColor="text1"/>
        </w:rPr>
        <w:t xml:space="preserve">) into the </w:t>
      </w:r>
      <w:r w:rsidR="003C3C09" w:rsidRPr="00D14CD7">
        <w:rPr>
          <w:noProof/>
          <w:color w:val="000000" w:themeColor="text1"/>
        </w:rPr>
        <w:t xml:space="preserve">latent continuous stochastic propensity </w:t>
      </w:r>
      <w:r w:rsidR="00CE528A">
        <w:rPr>
          <w:noProof/>
          <w:color w:val="000000" w:themeColor="text1"/>
          <w:position w:val="-12"/>
        </w:rPr>
        <w:pict w14:anchorId="6764E109">
          <v:shape id="_x0000_i1075" type="#_x0000_t75" style="width:13.7pt;height:18.85pt" o:preferrelative="f">
            <v:imagedata r:id="rId109" o:title=""/>
            <o:lock v:ext="edit" aspectratio="f"/>
          </v:shape>
        </w:pict>
      </w:r>
      <w:r w:rsidR="003C3C09" w:rsidRPr="00D14CD7">
        <w:rPr>
          <w:noProof/>
          <w:color w:val="000000" w:themeColor="text1"/>
        </w:rPr>
        <w:t xml:space="preserve"> </w:t>
      </w:r>
      <w:r w:rsidR="00EB44C4" w:rsidRPr="00D14CD7">
        <w:rPr>
          <w:noProof/>
          <w:color w:val="000000" w:themeColor="text1"/>
        </w:rPr>
        <w:t xml:space="preserve">that is </w:t>
      </w:r>
      <w:r w:rsidR="003C3C09" w:rsidRPr="00D14CD7">
        <w:rPr>
          <w:noProof/>
          <w:color w:val="000000" w:themeColor="text1"/>
        </w:rPr>
        <w:t>associated with the count variable</w:t>
      </w:r>
      <w:r w:rsidR="004F73DD" w:rsidRPr="00D14CD7">
        <w:rPr>
          <w:noProof/>
          <w:color w:val="000000" w:themeColor="text1"/>
        </w:rPr>
        <w:t xml:space="preserve"> (see Bhat, 2022)</w:t>
      </w:r>
      <w:r w:rsidR="003C3C09" w:rsidRPr="00D14CD7">
        <w:rPr>
          <w:noProof/>
          <w:color w:val="000000" w:themeColor="text1"/>
        </w:rPr>
        <w:t>:</w:t>
      </w:r>
      <w:r w:rsidR="003C3C09" w:rsidRPr="00D14CD7">
        <w:rPr>
          <w:color w:val="000000" w:themeColor="text1"/>
        </w:rPr>
        <w:t xml:space="preserve"> </w:t>
      </w:r>
    </w:p>
    <w:p w14:paraId="1104DAA5" w14:textId="1A2D0C3F" w:rsidR="003C3C09" w:rsidRPr="00D14CD7" w:rsidRDefault="0068023F" w:rsidP="004E3632">
      <w:pPr>
        <w:spacing w:before="60" w:after="60" w:line="240" w:lineRule="auto"/>
        <w:rPr>
          <w:color w:val="000000" w:themeColor="text1"/>
        </w:rPr>
      </w:pPr>
      <w:r w:rsidRPr="00D14CD7">
        <w:rPr>
          <w:color w:val="000000" w:themeColor="text1"/>
          <w:position w:val="-12"/>
        </w:rPr>
        <w:object w:dxaOrig="1180" w:dyaOrig="380" w14:anchorId="519831A5">
          <v:shape id="_x0000_i1076" type="#_x0000_t75" style="width:58.7pt;height:18.85pt" o:ole="" o:preferrelative="f">
            <v:imagedata r:id="rId110" o:title=""/>
            <o:lock v:ext="edit" aspectratio="f"/>
          </v:shape>
          <o:OLEObject Type="Embed" ProgID="Equation.DSMT4" ShapeID="_x0000_i1076" DrawAspect="Content" ObjectID="_1793173664" r:id="rId111"/>
        </w:object>
      </w:r>
      <w:r w:rsidR="003C3C09" w:rsidRPr="00D14CD7">
        <w:rPr>
          <w:color w:val="000000" w:themeColor="text1"/>
        </w:rPr>
        <w:t xml:space="preserve">, </w:t>
      </w:r>
      <w:r w:rsidRPr="00D14CD7">
        <w:rPr>
          <w:color w:val="000000" w:themeColor="text1"/>
          <w:position w:val="-12"/>
        </w:rPr>
        <w:object w:dxaOrig="639" w:dyaOrig="360" w14:anchorId="56B55EFB">
          <v:shape id="_x0000_i1077" type="#_x0000_t75" style="width:31.7pt;height:18pt" o:ole="" o:preferrelative="f">
            <v:imagedata r:id="rId112" o:title=""/>
            <o:lock v:ext="edit" aspectratio="f"/>
          </v:shape>
          <o:OLEObject Type="Embed" ProgID="Equation.DSMT4" ShapeID="_x0000_i1077" DrawAspect="Content" ObjectID="_1793173665" r:id="rId113"/>
        </w:object>
      </w:r>
      <w:r w:rsidR="003C3C09" w:rsidRPr="00D14CD7">
        <w:rPr>
          <w:color w:val="000000" w:themeColor="text1"/>
        </w:rPr>
        <w:t xml:space="preserve"> if </w:t>
      </w:r>
      <w:r w:rsidRPr="00D14CD7">
        <w:rPr>
          <w:color w:val="000000" w:themeColor="text1"/>
          <w:position w:val="-12"/>
        </w:rPr>
        <w:object w:dxaOrig="1420" w:dyaOrig="380" w14:anchorId="0709AD70">
          <v:shape id="_x0000_i1078" type="#_x0000_t75" style="width:71.15pt;height:19.3pt" o:ole="">
            <v:imagedata r:id="rId114" o:title=""/>
          </v:shape>
          <o:OLEObject Type="Embed" ProgID="Equation.DSMT4" ShapeID="_x0000_i1078" DrawAspect="Content" ObjectID="_1793173666" r:id="rId115"/>
        </w:object>
      </w:r>
      <w:r w:rsidR="003C3C09" w:rsidRPr="00D14CD7">
        <w:rPr>
          <w:color w:val="000000" w:themeColor="text1"/>
        </w:rPr>
        <w:t xml:space="preserve">, </w:t>
      </w:r>
      <w:r w:rsidRPr="00D14CD7">
        <w:rPr>
          <w:color w:val="000000" w:themeColor="text1"/>
          <w:position w:val="-30"/>
        </w:rPr>
        <w:object w:dxaOrig="3519" w:dyaOrig="700" w14:anchorId="194F4488">
          <v:shape id="_x0000_i1079" type="#_x0000_t75" style="width:174.85pt;height:35.15pt" o:ole="" o:preferrelative="f">
            <v:imagedata r:id="rId116" o:title=""/>
            <o:lock v:ext="edit" aspectratio="f"/>
          </v:shape>
          <o:OLEObject Type="Embed" ProgID="Equation.DSMT4" ShapeID="_x0000_i1079" DrawAspect="Content" ObjectID="_1793173667" r:id="rId117"/>
        </w:object>
      </w:r>
      <w:r w:rsidR="003C3C09" w:rsidRPr="00D14CD7">
        <w:rPr>
          <w:color w:val="000000" w:themeColor="text1"/>
        </w:rPr>
        <w:t xml:space="preserve">    </w:t>
      </w:r>
      <w:r w:rsidR="000E42CB" w:rsidRPr="00D14CD7">
        <w:rPr>
          <w:color w:val="000000" w:themeColor="text1"/>
        </w:rPr>
        <w:t xml:space="preserve"> </w:t>
      </w:r>
      <w:r w:rsidR="003C3C09" w:rsidRPr="00D14CD7">
        <w:rPr>
          <w:color w:val="000000" w:themeColor="text1"/>
        </w:rPr>
        <w:t xml:space="preserve">      </w:t>
      </w:r>
      <w:r w:rsidR="00476B82" w:rsidRPr="00D14CD7">
        <w:rPr>
          <w:color w:val="000000" w:themeColor="text1"/>
        </w:rPr>
        <w:t xml:space="preserve">         </w:t>
      </w:r>
      <w:r w:rsidR="00210E18" w:rsidRPr="00D14CD7">
        <w:rPr>
          <w:color w:val="000000" w:themeColor="text1"/>
        </w:rPr>
        <w:t xml:space="preserve">    </w:t>
      </w:r>
      <w:r w:rsidR="00476B82" w:rsidRPr="00D14CD7">
        <w:rPr>
          <w:color w:val="000000" w:themeColor="text1"/>
        </w:rPr>
        <w:t xml:space="preserve">    </w:t>
      </w:r>
      <w:r w:rsidR="00667682" w:rsidRPr="00D14CD7">
        <w:rPr>
          <w:color w:val="000000" w:themeColor="text1"/>
        </w:rPr>
        <w:t xml:space="preserve">  </w:t>
      </w:r>
      <w:r w:rsidR="005E5299" w:rsidRPr="00D14CD7">
        <w:rPr>
          <w:color w:val="000000" w:themeColor="text1"/>
        </w:rPr>
        <w:t>(</w:t>
      </w:r>
      <w:r w:rsidR="002F5C17" w:rsidRPr="00D14CD7">
        <w:rPr>
          <w:color w:val="000000" w:themeColor="text1"/>
        </w:rPr>
        <w:t>9</w:t>
      </w:r>
      <w:r w:rsidR="003C3C09" w:rsidRPr="00D14CD7">
        <w:rPr>
          <w:color w:val="000000" w:themeColor="text1"/>
        </w:rPr>
        <w:t>)</w:t>
      </w:r>
    </w:p>
    <w:p w14:paraId="3E7E748F" w14:textId="487C9DE8" w:rsidR="00353C95" w:rsidRPr="00D14CD7" w:rsidRDefault="00894EFF" w:rsidP="00540E05">
      <w:pPr>
        <w:spacing w:after="0" w:line="240" w:lineRule="auto"/>
        <w:rPr>
          <w:color w:val="000000" w:themeColor="text1"/>
        </w:rPr>
      </w:pPr>
      <w:r w:rsidRPr="00D14CD7">
        <w:rPr>
          <w:noProof/>
          <w:color w:val="000000" w:themeColor="text1"/>
        </w:rPr>
        <w:t xml:space="preserve">In the above equation, </w:t>
      </w:r>
      <w:r w:rsidR="0068023F" w:rsidRPr="00D14CD7">
        <w:rPr>
          <w:noProof/>
          <w:color w:val="000000" w:themeColor="text1"/>
          <w:position w:val="-10"/>
        </w:rPr>
        <w:object w:dxaOrig="279" w:dyaOrig="360" w14:anchorId="6A8B6F90">
          <v:shape id="_x0000_i1080" type="#_x0000_t75" style="width:13.7pt;height:18pt" o:ole="" o:preferrelative="f">
            <v:imagedata r:id="rId118" o:title=""/>
            <o:lock v:ext="edit" aspectratio="f"/>
          </v:shape>
          <o:OLEObject Type="Embed" ProgID="Equation.DSMT4" ShapeID="_x0000_i1080" DrawAspect="Content" ObjectID="_1793173668" r:id="rId119"/>
        </w:object>
      </w:r>
      <w:r w:rsidRPr="00D14CD7">
        <w:rPr>
          <w:noProof/>
          <w:color w:val="000000" w:themeColor="text1"/>
        </w:rPr>
        <w:t xml:space="preserve"> is a latent continuous stochastic propensity variable associated with the count variable that maps into the observed count </w:t>
      </w:r>
      <w:r w:rsidR="00FD04F0" w:rsidRPr="00D14CD7">
        <w:rPr>
          <w:color w:val="000000" w:themeColor="text1"/>
          <w:position w:val="-4"/>
        </w:rPr>
        <w:object w:dxaOrig="180" w:dyaOrig="260" w14:anchorId="7B7257ED">
          <v:shape id="_x0000_i1081" type="#_x0000_t75" style="width:8.15pt;height:13.3pt" o:ole="">
            <v:imagedata r:id="rId120" o:title=""/>
          </v:shape>
          <o:OLEObject Type="Embed" ProgID="Equation.DSMT4" ShapeID="_x0000_i1081" DrawAspect="Content" ObjectID="_1793173669" r:id="rId121"/>
        </w:object>
      </w:r>
      <w:r w:rsidRPr="00D14CD7">
        <w:rPr>
          <w:noProof/>
          <w:color w:val="000000" w:themeColor="text1"/>
          <w:position w:val="-14"/>
        </w:rPr>
        <w:t xml:space="preserve"> </w:t>
      </w:r>
      <w:r w:rsidRPr="00D14CD7">
        <w:rPr>
          <w:noProof/>
          <w:color w:val="000000" w:themeColor="text1"/>
        </w:rPr>
        <w:t>through the</w:t>
      </w:r>
      <w:r w:rsidR="00DE14BD" w:rsidRPr="00D14CD7">
        <w:rPr>
          <w:noProof/>
          <w:color w:val="000000" w:themeColor="text1"/>
        </w:rPr>
        <w:t xml:space="preserve"> </w:t>
      </w:r>
      <w:r w:rsidR="0068023F" w:rsidRPr="00D14CD7">
        <w:rPr>
          <w:color w:val="000000" w:themeColor="text1"/>
          <w:position w:val="-6"/>
        </w:rPr>
        <w:object w:dxaOrig="260" w:dyaOrig="279" w14:anchorId="4670CE94">
          <v:shape id="_x0000_i1082" type="#_x0000_t75" style="width:13.3pt;height:13.7pt" o:ole="" o:preferrelative="f">
            <v:imagedata r:id="rId122" o:title=""/>
            <o:lock v:ext="edit" aspectratio="f"/>
          </v:shape>
          <o:OLEObject Type="Embed" ProgID="Equation.DSMT4" ShapeID="_x0000_i1082" DrawAspect="Content" ObjectID="_1793173670" r:id="rId123"/>
        </w:object>
      </w:r>
      <w:r w:rsidR="00B930ED" w:rsidRPr="00D14CD7">
        <w:rPr>
          <w:color w:val="000000" w:themeColor="text1"/>
        </w:rPr>
        <w:t xml:space="preserve"> </w:t>
      </w:r>
      <w:r w:rsidRPr="00D14CD7">
        <w:rPr>
          <w:noProof/>
          <w:color w:val="000000" w:themeColor="text1"/>
        </w:rPr>
        <w:t>vector (which is a vertically stacked column vector of thresholds</w:t>
      </w:r>
      <w:r w:rsidR="0068023F" w:rsidRPr="00D14CD7">
        <w:rPr>
          <w:color w:val="000000" w:themeColor="text1"/>
          <w:position w:val="-12"/>
        </w:rPr>
        <w:object w:dxaOrig="1980" w:dyaOrig="360" w14:anchorId="082C5B90">
          <v:shape id="_x0000_i1083" type="#_x0000_t75" style="width:99pt;height:18pt" o:ole="" o:preferrelative="f">
            <v:imagedata r:id="rId124" o:title=""/>
            <o:lock v:ext="edit" aspectratio="f"/>
          </v:shape>
          <o:OLEObject Type="Embed" ProgID="Equation.DSMT4" ShapeID="_x0000_i1083" DrawAspect="Content" ObjectID="_1793173671" r:id="rId125"/>
        </w:object>
      </w:r>
      <w:r w:rsidR="00C101F3" w:rsidRPr="00D14CD7">
        <w:rPr>
          <w:noProof/>
          <w:color w:val="000000" w:themeColor="text1"/>
        </w:rPr>
        <w:t>;</w:t>
      </w:r>
      <w:r w:rsidR="00DE14BD" w:rsidRPr="00D14CD7">
        <w:rPr>
          <w:color w:val="000000" w:themeColor="text1"/>
        </w:rPr>
        <w:t xml:space="preserve"> </w:t>
      </w:r>
      <w:r w:rsidR="0068023F" w:rsidRPr="00D14CD7">
        <w:rPr>
          <w:color w:val="000000" w:themeColor="text1"/>
          <w:position w:val="-12"/>
        </w:rPr>
        <w:object w:dxaOrig="960" w:dyaOrig="360" w14:anchorId="6B8A4B2C">
          <v:shape id="_x0000_i1084" type="#_x0000_t75" style="width:48.85pt;height:18pt" o:ole="" o:preferrelative="f">
            <v:imagedata r:id="rId126" o:title=""/>
            <o:lock v:ext="edit" aspectratio="f"/>
          </v:shape>
          <o:OLEObject Type="Embed" ProgID="Equation.DSMT4" ShapeID="_x0000_i1084" DrawAspect="Content" ObjectID="_1793173672" r:id="rId127"/>
        </w:object>
      </w:r>
      <w:r w:rsidR="00C101F3" w:rsidRPr="00D14CD7">
        <w:rPr>
          <w:color w:val="000000" w:themeColor="text1"/>
        </w:rPr>
        <w:t xml:space="preserve">; </w:t>
      </w:r>
      <w:r w:rsidR="00C101F3" w:rsidRPr="00D14CD7">
        <w:rPr>
          <w:color w:val="000000" w:themeColor="text1"/>
          <w:position w:val="-4"/>
        </w:rPr>
        <w:object w:dxaOrig="380" w:dyaOrig="200" w14:anchorId="1F87F842">
          <v:shape id="_x0000_i1085" type="#_x0000_t75" style="width:16.3pt;height:10.7pt" o:ole="" o:preferrelative="f">
            <v:imagedata r:id="rId128" o:title=""/>
            <o:lock v:ext="edit" aspectratio="f"/>
          </v:shape>
          <o:OLEObject Type="Embed" ProgID="Equation.DSMT4" ShapeID="_x0000_i1085" DrawAspect="Content" ObjectID="_1793173673" r:id="rId129"/>
        </w:object>
      </w:r>
      <w:r w:rsidR="00C101F3" w:rsidRPr="00D14CD7">
        <w:rPr>
          <w:color w:val="000000" w:themeColor="text1"/>
        </w:rPr>
        <w:t xml:space="preserve">&lt; </w:t>
      </w:r>
      <w:r w:rsidR="0068023F" w:rsidRPr="00D14CD7">
        <w:rPr>
          <w:color w:val="000000" w:themeColor="text1"/>
          <w:position w:val="-12"/>
        </w:rPr>
        <w:object w:dxaOrig="1820" w:dyaOrig="360" w14:anchorId="42699A87">
          <v:shape id="_x0000_i1086" type="#_x0000_t75" style="width:90.85pt;height:18pt" o:ole="" o:preferrelative="f">
            <v:imagedata r:id="rId130" o:title=""/>
            <o:lock v:ext="edit" aspectratio="f"/>
          </v:shape>
          <o:OLEObject Type="Embed" ProgID="Equation.DSMT4" ShapeID="_x0000_i1086" DrawAspect="Content" ObjectID="_1793173674" r:id="rId131"/>
        </w:object>
      </w:r>
      <w:r w:rsidR="00EB44C4" w:rsidRPr="00D14CD7">
        <w:rPr>
          <w:noProof/>
          <w:color w:val="000000" w:themeColor="text1"/>
        </w:rPr>
        <w:t>).</w:t>
      </w:r>
      <w:r w:rsidR="00E447E4" w:rsidRPr="00D14CD7">
        <w:rPr>
          <w:color w:val="000000" w:themeColor="text1"/>
        </w:rPr>
        <w:t xml:space="preserve"> </w:t>
      </w:r>
      <w:r w:rsidR="00E447E4" w:rsidRPr="00D14CD7">
        <w:rPr>
          <w:color w:val="000000" w:themeColor="text1"/>
          <w:position w:val="-6"/>
        </w:rPr>
        <w:object w:dxaOrig="200" w:dyaOrig="279" w14:anchorId="099EC3EC">
          <v:shape id="_x0000_i1087" type="#_x0000_t75" style="width:10.7pt;height:13.7pt" o:ole="">
            <v:imagedata r:id="rId132" o:title=""/>
          </v:shape>
          <o:OLEObject Type="Embed" ProgID="Equation.DSMT4" ShapeID="_x0000_i1087" DrawAspect="Content" ObjectID="_1793173675" r:id="rId133"/>
        </w:object>
      </w:r>
      <w:r w:rsidR="00E447E4" w:rsidRPr="00D14CD7">
        <w:rPr>
          <w:color w:val="000000" w:themeColor="text1"/>
        </w:rPr>
        <w:t xml:space="preserve"> is the linking parameter. </w:t>
      </w:r>
      <w:r w:rsidR="000C0372" w:rsidRPr="00D14CD7">
        <w:rPr>
          <w:noProof/>
          <w:color w:val="000000" w:themeColor="text1"/>
          <w:position w:val="-10"/>
        </w:rPr>
        <w:object w:dxaOrig="240" w:dyaOrig="320" w14:anchorId="74FF9D18">
          <v:shape id="_x0000_i1088" type="#_x0000_t75" style="width:13.7pt;height:15pt" o:ole="">
            <v:imagedata r:id="rId134" o:title=""/>
          </v:shape>
          <o:OLEObject Type="Embed" ProgID="Equation.DSMT4" ShapeID="_x0000_i1088" DrawAspect="Content" ObjectID="_1793173676" r:id="rId135"/>
        </w:object>
      </w:r>
      <w:r w:rsidR="000C0372" w:rsidRPr="00D14CD7">
        <w:rPr>
          <w:noProof/>
          <w:color w:val="000000" w:themeColor="text1"/>
        </w:rPr>
        <w:t xml:space="preserve"> </w:t>
      </w:r>
      <w:r w:rsidR="00E372C8" w:rsidRPr="00D14CD7">
        <w:rPr>
          <w:color w:val="000000" w:themeColor="text1"/>
        </w:rPr>
        <w:t>is a random error term assumed to be reverse Gumbel distributed</w:t>
      </w:r>
      <w:r w:rsidR="008171D0" w:rsidRPr="00D14CD7">
        <w:rPr>
          <w:color w:val="000000" w:themeColor="text1"/>
        </w:rPr>
        <w:t xml:space="preserve"> with scale </w:t>
      </w:r>
      <w:r w:rsidR="00540E05" w:rsidRPr="00D14CD7">
        <w:rPr>
          <w:color w:val="000000" w:themeColor="text1"/>
          <w:position w:val="-6"/>
        </w:rPr>
        <w:object w:dxaOrig="340" w:dyaOrig="279" w14:anchorId="7F371205">
          <v:shape id="_x0000_i1089" type="#_x0000_t75" style="width:16.7pt;height:13.7pt" o:ole="" o:preferrelative="f">
            <v:imagedata r:id="rId136" o:title=""/>
            <o:lock v:ext="edit" aspectratio="f"/>
          </v:shape>
          <o:OLEObject Type="Embed" ProgID="Equation.DSMT4" ShapeID="_x0000_i1089" DrawAspect="Content" ObjectID="_1793173677" r:id="rId137"/>
        </w:object>
      </w:r>
      <w:r w:rsidR="00E372C8" w:rsidRPr="00D14CD7">
        <w:rPr>
          <w:color w:val="000000" w:themeColor="text1"/>
        </w:rPr>
        <w:t>.</w:t>
      </w:r>
      <w:r w:rsidR="00FE1D48" w:rsidRPr="00D14CD7">
        <w:rPr>
          <w:color w:val="000000" w:themeColor="text1"/>
        </w:rPr>
        <w:t xml:space="preserve"> </w:t>
      </w:r>
      <w:r w:rsidR="00061599" w:rsidRPr="00D14CD7">
        <w:rPr>
          <w:color w:val="000000" w:themeColor="text1"/>
          <w:position w:val="-12"/>
        </w:rPr>
        <w:object w:dxaOrig="580" w:dyaOrig="360" w14:anchorId="69A4BCE4">
          <v:shape id="_x0000_i1090" type="#_x0000_t75" style="width:28.7pt;height:18.85pt" o:ole="">
            <v:imagedata r:id="rId138" o:title=""/>
          </v:shape>
          <o:OLEObject Type="Embed" ProgID="Equation.DSMT4" ShapeID="_x0000_i1090" DrawAspect="Content" ObjectID="_1793173678" r:id="rId139"/>
        </w:object>
      </w:r>
      <w:r w:rsidR="00FE1D48" w:rsidRPr="00D14CD7">
        <w:rPr>
          <w:color w:val="000000" w:themeColor="text1"/>
        </w:rPr>
        <w:t xml:space="preserve"> is a non-linear function of a vector of individual-specific variables </w:t>
      </w:r>
      <w:r w:rsidR="00353C95" w:rsidRPr="00D14CD7">
        <w:rPr>
          <w:color w:val="000000" w:themeColor="text1"/>
          <w:position w:val="-6"/>
        </w:rPr>
        <w:object w:dxaOrig="220" w:dyaOrig="220" w14:anchorId="4277046A">
          <v:shape id="_x0000_i1091" type="#_x0000_t75" style="width:10.7pt;height:10.7pt" o:ole="">
            <v:imagedata r:id="rId140" o:title=""/>
          </v:shape>
          <o:OLEObject Type="Embed" ProgID="Equation.DSMT4" ShapeID="_x0000_i1091" DrawAspect="Content" ObjectID="_1793173679" r:id="rId141"/>
        </w:object>
      </w:r>
      <w:r w:rsidR="00FE1D48" w:rsidRPr="00D14CD7">
        <w:rPr>
          <w:color w:val="000000" w:themeColor="text1"/>
        </w:rPr>
        <w:t xml:space="preserve"> (</w:t>
      </w:r>
      <w:r w:rsidR="00353C95" w:rsidRPr="00D14CD7">
        <w:rPr>
          <w:color w:val="000000" w:themeColor="text1"/>
          <w:position w:val="-6"/>
        </w:rPr>
        <w:object w:dxaOrig="220" w:dyaOrig="220" w14:anchorId="70D49370">
          <v:shape id="_x0000_i1092" type="#_x0000_t75" style="width:10.7pt;height:10.7pt" o:ole="">
            <v:imagedata r:id="rId142" o:title=""/>
          </v:shape>
          <o:OLEObject Type="Embed" ProgID="Equation.DSMT4" ShapeID="_x0000_i1092" DrawAspect="Content" ObjectID="_1793173680" r:id="rId143"/>
        </w:object>
      </w:r>
      <w:r w:rsidR="00353C95" w:rsidRPr="00D14CD7">
        <w:rPr>
          <w:color w:val="000000" w:themeColor="text1"/>
        </w:rPr>
        <w:t xml:space="preserve"> </w:t>
      </w:r>
      <w:r w:rsidR="00FE1D48" w:rsidRPr="00D14CD7">
        <w:rPr>
          <w:color w:val="000000" w:themeColor="text1"/>
        </w:rPr>
        <w:t>includes a constant)</w:t>
      </w:r>
      <w:r w:rsidR="00574BBE" w:rsidRPr="00D14CD7">
        <w:rPr>
          <w:color w:val="000000" w:themeColor="text1"/>
        </w:rPr>
        <w:t>, and the</w:t>
      </w:r>
      <w:r w:rsidR="00B930ED" w:rsidRPr="00D14CD7">
        <w:rPr>
          <w:color w:val="000000" w:themeColor="text1"/>
        </w:rPr>
        <w:t xml:space="preserve"> </w:t>
      </w:r>
      <w:r w:rsidR="00AC09E9" w:rsidRPr="00D14CD7">
        <w:rPr>
          <w:color w:val="000000" w:themeColor="text1"/>
          <w:position w:val="-6"/>
        </w:rPr>
        <w:object w:dxaOrig="240" w:dyaOrig="220" w14:anchorId="56B581BA">
          <v:shape id="_x0000_i1093" type="#_x0000_t75" style="width:13.7pt;height:10.7pt" o:ole="">
            <v:imagedata r:id="rId144" o:title=""/>
          </v:shape>
          <o:OLEObject Type="Embed" ProgID="Equation.DSMT4" ShapeID="_x0000_i1093" DrawAspect="Content" ObjectID="_1793173681" r:id="rId145"/>
        </w:object>
      </w:r>
      <w:r w:rsidR="00B930ED" w:rsidRPr="00D14CD7">
        <w:rPr>
          <w:color w:val="000000" w:themeColor="text1"/>
        </w:rPr>
        <w:t xml:space="preserve"> </w:t>
      </w:r>
      <w:r w:rsidR="00574BBE" w:rsidRPr="00D14CD7">
        <w:rPr>
          <w:noProof/>
          <w:color w:val="000000" w:themeColor="text1"/>
        </w:rPr>
        <w:t>terms</w:t>
      </w:r>
      <w:r w:rsidR="00476B82" w:rsidRPr="00D14CD7">
        <w:rPr>
          <w:noProof/>
          <w:color w:val="000000" w:themeColor="text1"/>
        </w:rPr>
        <w:t xml:space="preserve"> </w:t>
      </w:r>
      <w:r w:rsidR="00574BBE" w:rsidRPr="00D14CD7">
        <w:rPr>
          <w:noProof/>
          <w:color w:val="000000" w:themeColor="text1"/>
        </w:rPr>
        <w:t xml:space="preserve">are </w:t>
      </w:r>
      <w:r w:rsidR="00AC739E" w:rsidRPr="00D14CD7">
        <w:rPr>
          <w:noProof/>
          <w:color w:val="000000" w:themeColor="text1"/>
        </w:rPr>
        <w:t xml:space="preserve">threshold shifter </w:t>
      </w:r>
      <w:r w:rsidR="00574BBE" w:rsidRPr="00D14CD7">
        <w:rPr>
          <w:noProof/>
          <w:color w:val="000000" w:themeColor="text1"/>
        </w:rPr>
        <w:t>parameters to be estimated to accommodate high or low probability masses (spikes and dips) for specific count outcomes without the need for using zero-inflated or related mechanisms in multi-dimensional model systems</w:t>
      </w:r>
      <w:r w:rsidR="00C101F3" w:rsidRPr="00D14CD7">
        <w:rPr>
          <w:noProof/>
          <w:color w:val="000000" w:themeColor="text1"/>
        </w:rPr>
        <w:t xml:space="preserve"> </w:t>
      </w:r>
      <w:r w:rsidR="00C101F3" w:rsidRPr="00D14CD7">
        <w:rPr>
          <w:color w:val="000000" w:themeColor="text1"/>
          <w:position w:val="-12"/>
        </w:rPr>
        <w:object w:dxaOrig="1020" w:dyaOrig="360" w14:anchorId="087E5A30">
          <v:shape id="_x0000_i1094" type="#_x0000_t75" style="width:49.7pt;height:18.85pt" o:ole="" o:preferrelative="f">
            <v:imagedata r:id="rId146" o:title=""/>
            <o:lock v:ext="edit" aspectratio="f"/>
          </v:shape>
          <o:OLEObject Type="Embed" ProgID="Equation.DSMT4" ShapeID="_x0000_i1094" DrawAspect="Content" ObjectID="_1793173682" r:id="rId147"/>
        </w:object>
      </w:r>
      <w:r w:rsidR="00C101F3" w:rsidRPr="00D14CD7">
        <w:rPr>
          <w:color w:val="000000" w:themeColor="text1"/>
        </w:rPr>
        <w:t xml:space="preserve"> and </w:t>
      </w:r>
      <w:r w:rsidR="00210E18" w:rsidRPr="00D14CD7">
        <w:rPr>
          <w:color w:val="000000" w:themeColor="text1"/>
          <w:position w:val="-12"/>
        </w:rPr>
        <w:object w:dxaOrig="639" w:dyaOrig="360" w14:anchorId="7256A0BA">
          <v:shape id="_x0000_i1095" type="#_x0000_t75" style="width:31.7pt;height:18.85pt" o:ole="" o:preferrelative="f">
            <v:imagedata r:id="rId148" o:title=""/>
            <o:lock v:ext="edit" aspectratio="f"/>
          </v:shape>
          <o:OLEObject Type="Embed" ProgID="Equation.DSMT4" ShapeID="_x0000_i1095" DrawAspect="Content" ObjectID="_1793173683" r:id="rId149"/>
        </w:object>
      </w:r>
      <w:r w:rsidR="00C101F3" w:rsidRPr="00D14CD7">
        <w:rPr>
          <w:color w:val="000000" w:themeColor="text1"/>
        </w:rPr>
        <w:t xml:space="preserve"> for identification).</w:t>
      </w:r>
      <w:r w:rsidR="009B10A8" w:rsidRPr="00D14CD7">
        <w:rPr>
          <w:color w:val="000000" w:themeColor="text1"/>
        </w:rPr>
        <w:t xml:space="preserve"> Also, let </w:t>
      </w:r>
      <w:r w:rsidR="009B10A8" w:rsidRPr="00D14CD7">
        <w:rPr>
          <w:noProof/>
          <w:color w:val="000000" w:themeColor="text1"/>
          <w:position w:val="-38"/>
        </w:rPr>
        <w:drawing>
          <wp:inline distT="0" distB="0" distL="0" distR="0" wp14:anchorId="2C5F96A6" wp14:editId="0CFDB2A8">
            <wp:extent cx="2035810" cy="548640"/>
            <wp:effectExtent l="0" t="0" r="254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0"/>
                    <pic:cNvPicPr>
                      <a:picLocks noChangeAspect="1" noChangeArrowheads="1"/>
                    </pic:cNvPicPr>
                  </pic:nvPicPr>
                  <pic:blipFill>
                    <a:blip r:embed="rId150" cstate="print">
                      <a:extLst>
                        <a:ext uri="{28A0092B-C50C-407E-A947-70E740481C1C}">
                          <a14:useLocalDpi xmlns:a14="http://schemas.microsoft.com/office/drawing/2010/main" val="0"/>
                        </a:ext>
                      </a:extLst>
                    </a:blip>
                    <a:srcRect/>
                    <a:stretch>
                      <a:fillRect/>
                    </a:stretch>
                  </pic:blipFill>
                  <pic:spPr bwMode="auto">
                    <a:xfrm>
                      <a:off x="0" y="0"/>
                      <a:ext cx="2035810" cy="548640"/>
                    </a:xfrm>
                    <a:prstGeom prst="rect">
                      <a:avLst/>
                    </a:prstGeom>
                    <a:noFill/>
                    <a:ln>
                      <a:noFill/>
                    </a:ln>
                  </pic:spPr>
                </pic:pic>
              </a:graphicData>
            </a:graphic>
          </wp:inline>
        </w:drawing>
      </w:r>
      <w:r w:rsidR="009B10A8" w:rsidRPr="00D14CD7">
        <w:rPr>
          <w:color w:val="000000" w:themeColor="text1"/>
        </w:rPr>
        <w:t xml:space="preserve"> where </w:t>
      </w:r>
      <w:r w:rsidR="0068023F" w:rsidRPr="00D14CD7">
        <w:rPr>
          <w:color w:val="000000" w:themeColor="text1"/>
          <w:position w:val="-16"/>
        </w:rPr>
        <w:object w:dxaOrig="2380" w:dyaOrig="440" w14:anchorId="4D8F809F">
          <v:shape id="_x0000_i1096" type="#_x0000_t75" style="width:118.7pt;height:22.7pt" o:ole="" o:preferrelative="f">
            <v:imagedata r:id="rId151" o:title=""/>
            <o:lock v:ext="edit" aspectratio="f"/>
          </v:shape>
          <o:OLEObject Type="Embed" ProgID="Equation.DSMT4" ShapeID="_x0000_i1096" DrawAspect="Content" ObjectID="_1793173684" r:id="rId152"/>
        </w:object>
      </w:r>
      <w:r w:rsidR="008171D0" w:rsidRPr="00D14CD7">
        <w:rPr>
          <w:color w:val="000000" w:themeColor="text1"/>
        </w:rPr>
        <w:t xml:space="preserve"> </w:t>
      </w:r>
      <w:r w:rsidR="009B10A8" w:rsidRPr="00D14CD7">
        <w:rPr>
          <w:color w:val="000000" w:themeColor="text1"/>
        </w:rPr>
        <w:t>is</w:t>
      </w:r>
      <w:r w:rsidR="008171D0" w:rsidRPr="00D14CD7">
        <w:rPr>
          <w:color w:val="000000" w:themeColor="text1"/>
        </w:rPr>
        <w:t xml:space="preserve"> the inverse survival function of the reverse Gumbel with scale</w:t>
      </w:r>
      <w:r w:rsidR="00EC3E1C" w:rsidRPr="00D14CD7">
        <w:rPr>
          <w:color w:val="000000" w:themeColor="text1"/>
        </w:rPr>
        <w:t xml:space="preserve"> </w:t>
      </w:r>
      <w:r w:rsidR="00540E05" w:rsidRPr="00D14CD7">
        <w:rPr>
          <w:color w:val="000000" w:themeColor="text1"/>
          <w:position w:val="-6"/>
        </w:rPr>
        <w:object w:dxaOrig="340" w:dyaOrig="279" w14:anchorId="121E27E4">
          <v:shape id="_x0000_i1097" type="#_x0000_t75" style="width:16.7pt;height:13.7pt" o:ole="" o:preferrelative="f">
            <v:imagedata r:id="rId136" o:title=""/>
            <o:lock v:ext="edit" aspectratio="f"/>
          </v:shape>
          <o:OLEObject Type="Embed" ProgID="Equation.DSMT4" ShapeID="_x0000_i1097" DrawAspect="Content" ObjectID="_1793173685" r:id="rId153"/>
        </w:object>
      </w:r>
      <w:r w:rsidR="008171D0" w:rsidRPr="00D14CD7">
        <w:rPr>
          <w:color w:val="000000" w:themeColor="text1"/>
        </w:rPr>
        <w:t xml:space="preserve">, </w:t>
      </w:r>
      <w:r w:rsidR="00210E18" w:rsidRPr="00D14CD7">
        <w:rPr>
          <w:color w:val="000000" w:themeColor="text1"/>
        </w:rPr>
        <w:t xml:space="preserve">and </w:t>
      </w:r>
      <w:r w:rsidR="0068023F" w:rsidRPr="00D14CD7">
        <w:rPr>
          <w:color w:val="000000" w:themeColor="text1"/>
          <w:position w:val="-10"/>
        </w:rPr>
        <w:object w:dxaOrig="1140" w:dyaOrig="360" w14:anchorId="7B9364CE">
          <v:shape id="_x0000_i1098" type="#_x0000_t75" style="width:57pt;height:18pt" o:ole="" o:preferrelative="f">
            <v:imagedata r:id="rId154" o:title=""/>
            <o:lock v:ext="edit" aspectratio="f"/>
          </v:shape>
          <o:OLEObject Type="Embed" ProgID="Equation.DSMT4" ShapeID="_x0000_i1098" DrawAspect="Content" ObjectID="_1793173686" r:id="rId155"/>
        </w:object>
      </w:r>
      <w:r w:rsidR="00353C95" w:rsidRPr="00D14CD7">
        <w:rPr>
          <w:color w:val="000000" w:themeColor="text1"/>
        </w:rPr>
        <w:t xml:space="preserve"> (</w:t>
      </w:r>
      <w:r w:rsidR="00353C95" w:rsidRPr="00D14CD7">
        <w:rPr>
          <w:color w:val="000000" w:themeColor="text1"/>
          <w:position w:val="-6"/>
        </w:rPr>
        <w:object w:dxaOrig="260" w:dyaOrig="220" w14:anchorId="5CFB3CE9">
          <v:shape id="_x0000_i1099" type="#_x0000_t75" style="width:13.3pt;height:10.7pt" o:ole="">
            <v:imagedata r:id="rId156" o:title=""/>
          </v:shape>
          <o:OLEObject Type="Embed" ProgID="Equation.DSMT4" ShapeID="_x0000_i1099" DrawAspect="Content" ObjectID="_1793173687" r:id="rId157"/>
        </w:object>
      </w:r>
      <w:r w:rsidR="00353C95" w:rsidRPr="00D14CD7">
        <w:rPr>
          <w:color w:val="000000" w:themeColor="text1"/>
        </w:rPr>
        <w:t xml:space="preserve"> is a coefficient vector to be estimated)</w:t>
      </w:r>
      <w:r w:rsidR="009B10A8" w:rsidRPr="00D14CD7">
        <w:rPr>
          <w:color w:val="000000" w:themeColor="text1"/>
        </w:rPr>
        <w:t>. Accordingly,</w:t>
      </w:r>
      <w:r w:rsidR="008171D0" w:rsidRPr="00D14CD7">
        <w:rPr>
          <w:color w:val="000000" w:themeColor="text1"/>
        </w:rPr>
        <w:t xml:space="preserve"> the thresholds in Equation (</w:t>
      </w:r>
      <w:r w:rsidR="002F5C17" w:rsidRPr="00D14CD7">
        <w:rPr>
          <w:color w:val="000000" w:themeColor="text1"/>
        </w:rPr>
        <w:t>9</w:t>
      </w:r>
      <w:r w:rsidR="008171D0" w:rsidRPr="00D14CD7">
        <w:rPr>
          <w:color w:val="000000" w:themeColor="text1"/>
        </w:rPr>
        <w:t>) take the following form:</w:t>
      </w:r>
    </w:p>
    <w:p w14:paraId="6F4B1D82" w14:textId="0FB098AB" w:rsidR="00353C95" w:rsidRPr="00D14CD7" w:rsidRDefault="0068023F" w:rsidP="004E3632">
      <w:pPr>
        <w:tabs>
          <w:tab w:val="right" w:pos="9360"/>
        </w:tabs>
        <w:spacing w:before="60" w:after="60" w:line="240" w:lineRule="auto"/>
        <w:rPr>
          <w:color w:val="000000" w:themeColor="text1"/>
        </w:rPr>
      </w:pPr>
      <w:r w:rsidRPr="00D14CD7">
        <w:rPr>
          <w:color w:val="000000" w:themeColor="text1"/>
          <w:position w:val="-38"/>
        </w:rPr>
        <w:object w:dxaOrig="3620" w:dyaOrig="880" w14:anchorId="64F9D26F">
          <v:shape id="_x0000_i1100" type="#_x0000_t75" style="width:180.85pt;height:43.7pt;mso-position-vertical:absolute" o:ole="">
            <v:imagedata r:id="rId158" o:title=""/>
          </v:shape>
          <o:OLEObject Type="Embed" ProgID="Equation.DSMT4" ShapeID="_x0000_i1100" DrawAspect="Content" ObjectID="_1793173688" r:id="rId159"/>
        </w:object>
      </w:r>
      <w:r w:rsidR="00353C95" w:rsidRPr="00D14CD7">
        <w:rPr>
          <w:color w:val="000000" w:themeColor="text1"/>
        </w:rPr>
        <w:t xml:space="preserve">, with </w:t>
      </w:r>
      <w:r w:rsidR="00353C95" w:rsidRPr="00D14CD7">
        <w:rPr>
          <w:color w:val="000000" w:themeColor="text1"/>
          <w:position w:val="-14"/>
        </w:rPr>
        <w:object w:dxaOrig="680" w:dyaOrig="380" w14:anchorId="501447F5">
          <v:shape id="_x0000_i1101" type="#_x0000_t75" style="width:36.85pt;height:19.3pt" o:ole="" o:preferrelative="f">
            <v:imagedata r:id="rId160" o:title=""/>
            <o:lock v:ext="edit" aspectratio="f"/>
          </v:shape>
          <o:OLEObject Type="Embed" ProgID="Equation.DSMT4" ShapeID="_x0000_i1101" DrawAspect="Content" ObjectID="_1793173689" r:id="rId161"/>
        </w:object>
      </w:r>
      <w:r w:rsidR="00353C95" w:rsidRPr="00D14CD7">
        <w:rPr>
          <w:color w:val="000000" w:themeColor="text1"/>
        </w:rPr>
        <w:t xml:space="preserve"> if </w:t>
      </w:r>
      <w:r w:rsidR="00353C95" w:rsidRPr="00D14CD7">
        <w:rPr>
          <w:color w:val="000000" w:themeColor="text1"/>
          <w:position w:val="-10"/>
        </w:rPr>
        <w:object w:dxaOrig="620" w:dyaOrig="360" w14:anchorId="35195E51">
          <v:shape id="_x0000_i1102" type="#_x0000_t75" style="width:31.3pt;height:18.85pt" o:ole="" o:preferrelative="f">
            <v:imagedata r:id="rId162" o:title=""/>
            <o:lock v:ext="edit" aspectratio="f"/>
          </v:shape>
          <o:OLEObject Type="Embed" ProgID="Equation.DSMT4" ShapeID="_x0000_i1102" DrawAspect="Content" ObjectID="_1793173690" r:id="rId163"/>
        </w:object>
      </w:r>
      <w:r w:rsidR="00353C95" w:rsidRPr="00D14CD7">
        <w:rPr>
          <w:color w:val="000000" w:themeColor="text1"/>
        </w:rPr>
        <w:t xml:space="preserve">, </w:t>
      </w:r>
      <w:r w:rsidR="00353C95" w:rsidRPr="00D14CD7">
        <w:rPr>
          <w:color w:val="000000" w:themeColor="text1"/>
        </w:rPr>
        <w:tab/>
        <w:t>(</w:t>
      </w:r>
      <w:r w:rsidR="002F5C17" w:rsidRPr="00D14CD7">
        <w:rPr>
          <w:color w:val="000000" w:themeColor="text1"/>
        </w:rPr>
        <w:t>10</w:t>
      </w:r>
      <w:r w:rsidR="00353C95" w:rsidRPr="00D14CD7">
        <w:rPr>
          <w:color w:val="000000" w:themeColor="text1"/>
        </w:rPr>
        <w:t>)</w:t>
      </w:r>
    </w:p>
    <w:p w14:paraId="2FB7F538" w14:textId="7FB5B6FA" w:rsidR="00353C95" w:rsidRPr="00D14CD7" w:rsidRDefault="00353C95" w:rsidP="00540E05">
      <w:pPr>
        <w:spacing w:after="0" w:line="240" w:lineRule="auto"/>
        <w:rPr>
          <w:color w:val="000000" w:themeColor="text1"/>
        </w:rPr>
      </w:pPr>
      <w:r w:rsidRPr="00D14CD7">
        <w:rPr>
          <w:color w:val="000000" w:themeColor="text1"/>
        </w:rPr>
        <w:t xml:space="preserve">where </w:t>
      </w:r>
      <w:r w:rsidR="00061599" w:rsidRPr="00D14CD7">
        <w:rPr>
          <w:color w:val="000000" w:themeColor="text1"/>
          <w:position w:val="-4"/>
        </w:rPr>
        <w:object w:dxaOrig="260" w:dyaOrig="300" w14:anchorId="4C6377EF">
          <v:shape id="_x0000_i1103" type="#_x0000_t75" style="width:13.3pt;height:15pt" o:ole="">
            <v:imagedata r:id="rId164" o:title=""/>
          </v:shape>
          <o:OLEObject Type="Embed" ProgID="Equation.DSMT4" ShapeID="_x0000_i1103" DrawAspect="Content" ObjectID="_1793173691" r:id="rId165"/>
        </w:object>
      </w:r>
      <w:r w:rsidRPr="00D14CD7">
        <w:rPr>
          <w:color w:val="000000" w:themeColor="text1"/>
          <w:position w:val="-4"/>
        </w:rPr>
        <w:t xml:space="preserve"> </w:t>
      </w:r>
      <w:r w:rsidR="009B10A8" w:rsidRPr="00D14CD7">
        <w:rPr>
          <w:color w:val="000000" w:themeColor="text1"/>
        </w:rPr>
        <w:t xml:space="preserve">represents </w:t>
      </w:r>
      <w:r w:rsidRPr="00D14CD7">
        <w:rPr>
          <w:color w:val="000000" w:themeColor="text1"/>
        </w:rPr>
        <w:t>an appropriate count level</w:t>
      </w:r>
      <w:r w:rsidR="009B10A8" w:rsidRPr="00D14CD7">
        <w:rPr>
          <w:color w:val="000000" w:themeColor="text1"/>
        </w:rPr>
        <w:t xml:space="preserve">, which is </w:t>
      </w:r>
      <w:r w:rsidRPr="00D14CD7">
        <w:rPr>
          <w:color w:val="000000" w:themeColor="text1"/>
        </w:rPr>
        <w:t xml:space="preserve">determined based on the empirical context </w:t>
      </w:r>
      <w:r w:rsidR="009B10A8" w:rsidRPr="00D14CD7">
        <w:rPr>
          <w:color w:val="000000" w:themeColor="text1"/>
        </w:rPr>
        <w:t xml:space="preserve">of the study. </w:t>
      </w:r>
      <w:r w:rsidRPr="00D14CD7">
        <w:rPr>
          <w:color w:val="000000" w:themeColor="text1"/>
        </w:rPr>
        <w:t xml:space="preserve"> </w:t>
      </w:r>
    </w:p>
    <w:p w14:paraId="231610CC" w14:textId="32530AB4" w:rsidR="005E5299" w:rsidRPr="00D14CD7" w:rsidRDefault="005E5299" w:rsidP="00540E05">
      <w:pPr>
        <w:spacing w:after="0" w:line="240" w:lineRule="auto"/>
        <w:rPr>
          <w:noProof/>
          <w:color w:val="000000" w:themeColor="text1"/>
        </w:rPr>
      </w:pPr>
      <w:r w:rsidRPr="00D14CD7">
        <w:rPr>
          <w:color w:val="000000" w:themeColor="text1"/>
        </w:rPr>
        <w:tab/>
        <w:t xml:space="preserve">By incorporating </w:t>
      </w:r>
      <w:r w:rsidR="00061599" w:rsidRPr="00D14CD7">
        <w:rPr>
          <w:color w:val="000000" w:themeColor="text1"/>
          <w:position w:val="-4"/>
        </w:rPr>
        <w:object w:dxaOrig="240" w:dyaOrig="260" w14:anchorId="7D33777F">
          <v:shape id="_x0000_i1104" type="#_x0000_t75" style="width:13.7pt;height:13.3pt" o:ole="">
            <v:imagedata r:id="rId166" o:title=""/>
          </v:shape>
          <o:OLEObject Type="Embed" ProgID="Equation.DSMT4" ShapeID="_x0000_i1104" DrawAspect="Content" ObjectID="_1793173692" r:id="rId167"/>
        </w:object>
      </w:r>
      <w:r w:rsidRPr="00D14CD7">
        <w:rPr>
          <w:color w:val="000000" w:themeColor="text1"/>
        </w:rPr>
        <w:t xml:space="preserve"> from Equation (</w:t>
      </w:r>
      <w:r w:rsidR="002F5C17" w:rsidRPr="00D14CD7">
        <w:rPr>
          <w:color w:val="000000" w:themeColor="text1"/>
        </w:rPr>
        <w:t>8</w:t>
      </w:r>
      <w:r w:rsidRPr="00D14CD7">
        <w:rPr>
          <w:color w:val="000000" w:themeColor="text1"/>
        </w:rPr>
        <w:t xml:space="preserve">) in </w:t>
      </w:r>
      <w:r w:rsidR="00061599" w:rsidRPr="00D14CD7">
        <w:rPr>
          <w:color w:val="000000" w:themeColor="text1"/>
          <w:position w:val="-12"/>
        </w:rPr>
        <w:object w:dxaOrig="279" w:dyaOrig="380" w14:anchorId="79D54BCE">
          <v:shape id="_x0000_i1105" type="#_x0000_t75" style="width:13.7pt;height:19.3pt" o:ole="">
            <v:imagedata r:id="rId168" o:title=""/>
          </v:shape>
          <o:OLEObject Type="Embed" ProgID="Equation.DSMT4" ShapeID="_x0000_i1105" DrawAspect="Content" ObjectID="_1793173693" r:id="rId169"/>
        </w:object>
      </w:r>
      <w:r w:rsidR="001321AB" w:rsidRPr="00D14CD7">
        <w:rPr>
          <w:noProof/>
          <w:color w:val="000000" w:themeColor="text1"/>
        </w:rPr>
        <w:t xml:space="preserve"> in Equation (</w:t>
      </w:r>
      <w:r w:rsidR="002F5C17" w:rsidRPr="00D14CD7">
        <w:rPr>
          <w:noProof/>
          <w:color w:val="000000" w:themeColor="text1"/>
        </w:rPr>
        <w:t>9</w:t>
      </w:r>
      <w:r w:rsidR="001321AB" w:rsidRPr="00D14CD7">
        <w:rPr>
          <w:noProof/>
          <w:color w:val="000000" w:themeColor="text1"/>
        </w:rPr>
        <w:t>)</w:t>
      </w:r>
      <w:r w:rsidRPr="00D14CD7">
        <w:rPr>
          <w:noProof/>
          <w:color w:val="000000" w:themeColor="text1"/>
        </w:rPr>
        <w:t>, we get:</w:t>
      </w:r>
    </w:p>
    <w:p w14:paraId="301E806B" w14:textId="36CE5C81" w:rsidR="005E5299" w:rsidRPr="00D14CD7" w:rsidRDefault="004D5672" w:rsidP="004E3632">
      <w:pPr>
        <w:spacing w:before="60" w:after="60" w:line="240" w:lineRule="auto"/>
        <w:rPr>
          <w:color w:val="000000" w:themeColor="text1"/>
        </w:rPr>
      </w:pPr>
      <w:r w:rsidRPr="00D14CD7">
        <w:rPr>
          <w:color w:val="000000" w:themeColor="text1"/>
          <w:position w:val="-32"/>
        </w:rPr>
        <w:object w:dxaOrig="7940" w:dyaOrig="760" w14:anchorId="6736CD8A">
          <v:shape id="_x0000_i1106" type="#_x0000_t75" style="width:395.55pt;height:37.7pt" o:ole="">
            <v:imagedata r:id="rId170" o:title=""/>
          </v:shape>
          <o:OLEObject Type="Embed" ProgID="Equation.DSMT4" ShapeID="_x0000_i1106" DrawAspect="Content" ObjectID="_1793173694" r:id="rId171"/>
        </w:object>
      </w:r>
      <w:r w:rsidR="006C5CFF" w:rsidRPr="00D14CD7">
        <w:rPr>
          <w:color w:val="000000" w:themeColor="text1"/>
        </w:rPr>
        <w:tab/>
      </w:r>
      <w:r w:rsidRPr="00D14CD7">
        <w:rPr>
          <w:color w:val="000000" w:themeColor="text1"/>
        </w:rPr>
        <w:t xml:space="preserve">    </w:t>
      </w:r>
      <w:r w:rsidR="00667682" w:rsidRPr="00D14CD7">
        <w:rPr>
          <w:color w:val="000000" w:themeColor="text1"/>
        </w:rPr>
        <w:t xml:space="preserve"> </w:t>
      </w:r>
      <w:r w:rsidR="002F5C17" w:rsidRPr="00D14CD7">
        <w:rPr>
          <w:color w:val="000000" w:themeColor="text1"/>
        </w:rPr>
        <w:tab/>
        <w:t xml:space="preserve">     </w:t>
      </w:r>
      <w:r w:rsidR="006C5CFF" w:rsidRPr="00D14CD7">
        <w:rPr>
          <w:color w:val="000000" w:themeColor="text1"/>
        </w:rPr>
        <w:t>(</w:t>
      </w:r>
      <w:r w:rsidR="009103B1" w:rsidRPr="00D14CD7">
        <w:rPr>
          <w:color w:val="000000" w:themeColor="text1"/>
        </w:rPr>
        <w:t>1</w:t>
      </w:r>
      <w:r w:rsidR="002F5C17" w:rsidRPr="00D14CD7">
        <w:rPr>
          <w:color w:val="000000" w:themeColor="text1"/>
        </w:rPr>
        <w:t>1</w:t>
      </w:r>
      <w:r w:rsidR="006C5CFF" w:rsidRPr="00D14CD7">
        <w:rPr>
          <w:color w:val="000000" w:themeColor="text1"/>
        </w:rPr>
        <w:t>)</w:t>
      </w:r>
    </w:p>
    <w:p w14:paraId="60C2DBD1" w14:textId="2EA26E55" w:rsidR="005E5299" w:rsidRPr="00D14CD7" w:rsidRDefault="004D5672" w:rsidP="00540E05">
      <w:pPr>
        <w:tabs>
          <w:tab w:val="right" w:pos="9360"/>
        </w:tabs>
        <w:spacing w:after="0" w:line="240" w:lineRule="auto"/>
        <w:rPr>
          <w:color w:val="000000" w:themeColor="text1"/>
        </w:rPr>
      </w:pPr>
      <w:r w:rsidRPr="00D14CD7">
        <w:rPr>
          <w:color w:val="000000" w:themeColor="text1"/>
        </w:rPr>
        <w:lastRenderedPageBreak/>
        <w:t xml:space="preserve">where </w:t>
      </w:r>
      <w:r w:rsidRPr="00D14CD7">
        <w:rPr>
          <w:color w:val="000000" w:themeColor="text1"/>
          <w:position w:val="-10"/>
        </w:rPr>
        <w:object w:dxaOrig="300" w:dyaOrig="360" w14:anchorId="75321FE3">
          <v:shape id="_x0000_i1107" type="#_x0000_t75" style="width:15pt;height:18.85pt" o:ole="">
            <v:imagedata r:id="rId172" o:title=""/>
          </v:shape>
          <o:OLEObject Type="Embed" ProgID="Equation.DSMT4" ShapeID="_x0000_i1107" DrawAspect="Content" ObjectID="_1793173695" r:id="rId173"/>
        </w:object>
      </w:r>
      <w:r w:rsidRPr="00D14CD7">
        <w:rPr>
          <w:color w:val="000000" w:themeColor="text1"/>
        </w:rPr>
        <w:t xml:space="preserve"> is now a standardized reverse Gumbel distributed variable. </w:t>
      </w:r>
      <w:r w:rsidR="009C130F" w:rsidRPr="00D14CD7">
        <w:rPr>
          <w:color w:val="000000" w:themeColor="text1"/>
        </w:rPr>
        <w:t>A normalization needs to be made in the above count model specification</w:t>
      </w:r>
      <w:r w:rsidR="00B43609" w:rsidRPr="00D14CD7">
        <w:rPr>
          <w:color w:val="000000" w:themeColor="text1"/>
        </w:rPr>
        <w:t xml:space="preserve"> because the scale </w:t>
      </w:r>
      <w:r w:rsidR="00061599" w:rsidRPr="00D14CD7">
        <w:rPr>
          <w:color w:val="000000" w:themeColor="text1"/>
          <w:position w:val="-6"/>
        </w:rPr>
        <w:object w:dxaOrig="340" w:dyaOrig="279" w14:anchorId="1BAB8B11">
          <v:shape id="_x0000_i1108" type="#_x0000_t75" style="width:16.7pt;height:13.7pt" o:ole="">
            <v:imagedata r:id="rId174" o:title=""/>
          </v:shape>
          <o:OLEObject Type="Embed" ProgID="Equation.DSMT4" ShapeID="_x0000_i1108" DrawAspect="Content" ObjectID="_1793173696" r:id="rId175"/>
        </w:object>
      </w:r>
      <w:r w:rsidR="00E447E4" w:rsidRPr="00D14CD7">
        <w:rPr>
          <w:color w:val="000000" w:themeColor="text1"/>
        </w:rPr>
        <w:t xml:space="preserve"> </w:t>
      </w:r>
      <w:r w:rsidR="00B43609" w:rsidRPr="00D14CD7">
        <w:rPr>
          <w:color w:val="000000" w:themeColor="text1"/>
        </w:rPr>
        <w:t>is not identified</w:t>
      </w:r>
      <w:r w:rsidR="00E447E4" w:rsidRPr="00D14CD7">
        <w:rPr>
          <w:color w:val="000000" w:themeColor="text1"/>
        </w:rPr>
        <w:t xml:space="preserve"> (that is, it can be set to any value)</w:t>
      </w:r>
      <w:r w:rsidR="00B43609" w:rsidRPr="00D14CD7">
        <w:rPr>
          <w:color w:val="000000" w:themeColor="text1"/>
        </w:rPr>
        <w:t xml:space="preserve">. But the scale of the MDC error term </w:t>
      </w:r>
      <w:r w:rsidR="00061599" w:rsidRPr="00D14CD7">
        <w:rPr>
          <w:color w:val="000000" w:themeColor="text1"/>
          <w:position w:val="-4"/>
        </w:rPr>
        <w:object w:dxaOrig="220" w:dyaOrig="200" w14:anchorId="17A71868">
          <v:shape id="_x0000_i1109" type="#_x0000_t75" style="width:10.7pt;height:10.7pt" o:ole="">
            <v:imagedata r:id="rId176" o:title=""/>
          </v:shape>
          <o:OLEObject Type="Embed" ProgID="Equation.DSMT4" ShapeID="_x0000_i1109" DrawAspect="Content" ObjectID="_1793173697" r:id="rId177"/>
        </w:object>
      </w:r>
      <w:r w:rsidR="00B43609" w:rsidRPr="00D14CD7">
        <w:rPr>
          <w:color w:val="000000" w:themeColor="text1"/>
        </w:rPr>
        <w:t xml:space="preserve"> is estimable from the fractional split model. </w:t>
      </w:r>
      <w:r w:rsidR="00E447E4" w:rsidRPr="00D14CD7">
        <w:rPr>
          <w:color w:val="000000" w:themeColor="text1"/>
        </w:rPr>
        <w:t xml:space="preserve">In this paper, we </w:t>
      </w:r>
      <w:r w:rsidR="009C130F" w:rsidRPr="00D14CD7">
        <w:rPr>
          <w:color w:val="000000" w:themeColor="text1"/>
        </w:rPr>
        <w:t xml:space="preserve">achieve </w:t>
      </w:r>
      <w:r w:rsidR="00E447E4" w:rsidRPr="00D14CD7">
        <w:rPr>
          <w:color w:val="000000" w:themeColor="text1"/>
        </w:rPr>
        <w:t xml:space="preserve">identification </w:t>
      </w:r>
      <w:r w:rsidR="009C130F" w:rsidRPr="00D14CD7">
        <w:rPr>
          <w:color w:val="000000" w:themeColor="text1"/>
        </w:rPr>
        <w:t xml:space="preserve">by </w:t>
      </w:r>
      <w:r w:rsidR="00B43609" w:rsidRPr="00D14CD7">
        <w:rPr>
          <w:color w:val="000000" w:themeColor="text1"/>
        </w:rPr>
        <w:t xml:space="preserve">setting </w:t>
      </w:r>
      <w:r w:rsidR="009C130F" w:rsidRPr="00D14CD7">
        <w:rPr>
          <w:color w:val="000000" w:themeColor="text1"/>
        </w:rPr>
        <w:t xml:space="preserve">the </w:t>
      </w:r>
      <w:r w:rsidR="00E447E4" w:rsidRPr="00D14CD7">
        <w:rPr>
          <w:color w:val="000000" w:themeColor="text1"/>
        </w:rPr>
        <w:t xml:space="preserve">linking parameter </w:t>
      </w:r>
      <w:r w:rsidR="00DE14BD" w:rsidRPr="00D14CD7">
        <w:rPr>
          <w:color w:val="000000" w:themeColor="text1"/>
          <w:position w:val="-10"/>
        </w:rPr>
        <w:object w:dxaOrig="1860" w:dyaOrig="320" w14:anchorId="638B54BF">
          <v:shape id="_x0000_i1110" type="#_x0000_t75" style="width:92.15pt;height:16.3pt" o:ole="">
            <v:imagedata r:id="rId178" o:title=""/>
          </v:shape>
          <o:OLEObject Type="Embed" ProgID="Equation.DSMT4" ShapeID="_x0000_i1110" DrawAspect="Content" ObjectID="_1793173698" r:id="rId179"/>
        </w:object>
      </w:r>
      <w:r w:rsidR="00DE14BD" w:rsidRPr="00D14CD7">
        <w:rPr>
          <w:color w:val="000000" w:themeColor="text1"/>
        </w:rPr>
        <w:t xml:space="preserve"> </w:t>
      </w:r>
      <w:r w:rsidR="009C130F" w:rsidRPr="00D14CD7">
        <w:rPr>
          <w:color w:val="000000" w:themeColor="text1"/>
        </w:rPr>
        <w:t>Also, Bhat (2022) derived the propert</w:t>
      </w:r>
      <w:r w:rsidR="001321AB" w:rsidRPr="00D14CD7">
        <w:rPr>
          <w:color w:val="000000" w:themeColor="text1"/>
        </w:rPr>
        <w:t>ies</w:t>
      </w:r>
      <w:r w:rsidR="009C130F" w:rsidRPr="00D14CD7">
        <w:rPr>
          <w:color w:val="000000" w:themeColor="text1"/>
        </w:rPr>
        <w:t xml:space="preserve"> of the error term distribution of </w:t>
      </w:r>
      <w:r w:rsidR="00DE14BD" w:rsidRPr="00D14CD7">
        <w:rPr>
          <w:color w:val="000000" w:themeColor="text1"/>
          <w:position w:val="-32"/>
        </w:rPr>
        <w:object w:dxaOrig="3000" w:dyaOrig="760" w14:anchorId="528BF4FF">
          <v:shape id="_x0000_i1111" type="#_x0000_t75" style="width:149.15pt;height:38.15pt" o:ole="">
            <v:imagedata r:id="rId180" o:title=""/>
          </v:shape>
          <o:OLEObject Type="Embed" ProgID="Equation.DSMT4" ShapeID="_x0000_i1111" DrawAspect="Content" ObjectID="_1793173699" r:id="rId181"/>
        </w:object>
      </w:r>
      <w:r w:rsidR="009C130F" w:rsidRPr="00D14CD7">
        <w:rPr>
          <w:color w:val="000000" w:themeColor="text1"/>
        </w:rPr>
        <w:t xml:space="preserve">, which he labeled as a </w:t>
      </w:r>
      <w:proofErr w:type="spellStart"/>
      <w:r w:rsidR="009C130F" w:rsidRPr="00D14CD7">
        <w:rPr>
          <w:color w:val="000000" w:themeColor="text1"/>
        </w:rPr>
        <w:t>minlogistic</w:t>
      </w:r>
      <w:proofErr w:type="spellEnd"/>
      <w:r w:rsidR="009C130F" w:rsidRPr="00D14CD7">
        <w:rPr>
          <w:color w:val="000000" w:themeColor="text1"/>
        </w:rPr>
        <w:t xml:space="preserve"> distribution. Based on this </w:t>
      </w:r>
      <w:proofErr w:type="spellStart"/>
      <w:r w:rsidR="009C130F" w:rsidRPr="00D14CD7">
        <w:rPr>
          <w:color w:val="000000" w:themeColor="text1"/>
        </w:rPr>
        <w:t>minlogistic</w:t>
      </w:r>
      <w:proofErr w:type="spellEnd"/>
      <w:r w:rsidR="009C130F" w:rsidRPr="00D14CD7">
        <w:rPr>
          <w:color w:val="000000" w:themeColor="text1"/>
        </w:rPr>
        <w:t xml:space="preserve"> distribution, t</w:t>
      </w:r>
      <w:r w:rsidR="00AC09E9" w:rsidRPr="00D14CD7">
        <w:rPr>
          <w:color w:val="000000" w:themeColor="text1"/>
        </w:rPr>
        <w:t xml:space="preserve">he probability </w:t>
      </w:r>
      <w:r w:rsidR="006C5CFF" w:rsidRPr="00D14CD7">
        <w:rPr>
          <w:color w:val="000000" w:themeColor="text1"/>
        </w:rPr>
        <w:t xml:space="preserve">of an individual with </w:t>
      </w:r>
      <w:r w:rsidR="00AC09E9" w:rsidRPr="00D14CD7">
        <w:rPr>
          <w:color w:val="000000" w:themeColor="text1"/>
        </w:rPr>
        <w:t xml:space="preserve">a count </w:t>
      </w:r>
      <w:r w:rsidR="00B930ED" w:rsidRPr="00D14CD7">
        <w:rPr>
          <w:color w:val="000000" w:themeColor="text1"/>
        </w:rPr>
        <w:t>val</w:t>
      </w:r>
      <w:r w:rsidR="006B40E2" w:rsidRPr="00D14CD7">
        <w:rPr>
          <w:color w:val="000000" w:themeColor="text1"/>
        </w:rPr>
        <w:t>u</w:t>
      </w:r>
      <w:r w:rsidR="00B930ED" w:rsidRPr="00D14CD7">
        <w:rPr>
          <w:color w:val="000000" w:themeColor="text1"/>
        </w:rPr>
        <w:t>e of</w:t>
      </w:r>
      <w:r w:rsidR="006C5CFF" w:rsidRPr="00D14CD7">
        <w:rPr>
          <w:color w:val="000000" w:themeColor="text1"/>
        </w:rPr>
        <w:t xml:space="preserve"> </w:t>
      </w:r>
      <w:r w:rsidR="006F2338" w:rsidRPr="00D14CD7">
        <w:rPr>
          <w:color w:val="000000" w:themeColor="text1"/>
          <w:position w:val="-4"/>
        </w:rPr>
        <w:object w:dxaOrig="180" w:dyaOrig="260" w14:anchorId="34DACEFD">
          <v:shape id="_x0000_i1112" type="#_x0000_t75" style="width:8.15pt;height:13.3pt" o:ole="">
            <v:imagedata r:id="rId182" o:title=""/>
          </v:shape>
          <o:OLEObject Type="Embed" ProgID="Equation.DSMT4" ShapeID="_x0000_i1112" DrawAspect="Content" ObjectID="_1793173700" r:id="rId183"/>
        </w:object>
      </w:r>
      <w:r w:rsidR="006F2338" w:rsidRPr="00D14CD7">
        <w:rPr>
          <w:color w:val="000000" w:themeColor="text1"/>
        </w:rPr>
        <w:t xml:space="preserve"> </w:t>
      </w:r>
      <w:r w:rsidR="006C5CFF" w:rsidRPr="00D14CD7">
        <w:rPr>
          <w:color w:val="000000" w:themeColor="text1"/>
        </w:rPr>
        <w:t>is:</w:t>
      </w:r>
      <w:r w:rsidR="005E5299" w:rsidRPr="00D14CD7">
        <w:rPr>
          <w:color w:val="000000" w:themeColor="text1"/>
        </w:rPr>
        <w:t xml:space="preserve"> </w:t>
      </w:r>
    </w:p>
    <w:p w14:paraId="7F9F9B4B" w14:textId="5BF4C77A" w:rsidR="007D0629" w:rsidRPr="00D14CD7" w:rsidRDefault="00061599" w:rsidP="004E3632">
      <w:pPr>
        <w:tabs>
          <w:tab w:val="right" w:pos="9360"/>
        </w:tabs>
        <w:spacing w:before="60" w:after="60" w:line="240" w:lineRule="auto"/>
        <w:rPr>
          <w:color w:val="000000" w:themeColor="text1"/>
        </w:rPr>
      </w:pPr>
      <w:r w:rsidRPr="00D14CD7">
        <w:rPr>
          <w:color w:val="000000" w:themeColor="text1"/>
          <w:position w:val="-184"/>
        </w:rPr>
        <w:object w:dxaOrig="5400" w:dyaOrig="2560" w14:anchorId="22F1B984">
          <v:shape id="_x0000_i1113" type="#_x0000_t75" style="width:269.15pt;height:127.3pt" o:ole="">
            <v:imagedata r:id="rId184" o:title=""/>
          </v:shape>
          <o:OLEObject Type="Embed" ProgID="Equation.DSMT4" ShapeID="_x0000_i1113" DrawAspect="Content" ObjectID="_1793173701" r:id="rId185"/>
        </w:object>
      </w:r>
      <w:r w:rsidR="005E5299" w:rsidRPr="00D14CD7">
        <w:rPr>
          <w:color w:val="000000" w:themeColor="text1"/>
        </w:rPr>
        <w:tab/>
      </w:r>
      <w:r w:rsidR="00825D8B" w:rsidRPr="00D14CD7">
        <w:rPr>
          <w:color w:val="000000" w:themeColor="text1"/>
        </w:rPr>
        <w:t xml:space="preserve"> </w:t>
      </w:r>
      <w:r w:rsidR="009103B1" w:rsidRPr="00D14CD7">
        <w:rPr>
          <w:color w:val="000000" w:themeColor="text1"/>
        </w:rPr>
        <w:t>(1</w:t>
      </w:r>
      <w:r w:rsidR="002F5C17" w:rsidRPr="00D14CD7">
        <w:rPr>
          <w:color w:val="000000" w:themeColor="text1"/>
        </w:rPr>
        <w:t>2</w:t>
      </w:r>
      <w:r w:rsidR="005E5299" w:rsidRPr="00D14CD7">
        <w:rPr>
          <w:color w:val="000000" w:themeColor="text1"/>
        </w:rPr>
        <w:t>)</w:t>
      </w:r>
    </w:p>
    <w:p w14:paraId="40507DA6" w14:textId="70B4C357" w:rsidR="006B40E2" w:rsidRPr="00D14CD7" w:rsidRDefault="008106D4" w:rsidP="00AE0A4C">
      <w:pPr>
        <w:spacing w:after="0" w:line="240" w:lineRule="auto"/>
        <w:rPr>
          <w:color w:val="000000" w:themeColor="text1"/>
        </w:rPr>
      </w:pPr>
      <w:r w:rsidRPr="00D14CD7">
        <w:rPr>
          <w:color w:val="000000" w:themeColor="text1"/>
        </w:rPr>
        <w:t xml:space="preserve">The expression </w:t>
      </w:r>
      <w:r w:rsidR="007D0629" w:rsidRPr="00D14CD7">
        <w:rPr>
          <w:color w:val="000000" w:themeColor="text1"/>
        </w:rPr>
        <w:t xml:space="preserve">is dependent on both the fractional split model as well as count model parameters (the fractional split parameters are embedded in </w:t>
      </w:r>
      <w:r w:rsidR="00DE14BD" w:rsidRPr="00D14CD7">
        <w:rPr>
          <w:color w:val="000000" w:themeColor="text1"/>
          <w:position w:val="-12"/>
        </w:rPr>
        <w:object w:dxaOrig="279" w:dyaOrig="360" w14:anchorId="27AE0F3A">
          <v:shape id="_x0000_i1114" type="#_x0000_t75" style="width:13.7pt;height:18.85pt" o:ole="">
            <v:imagedata r:id="rId186" o:title=""/>
          </v:shape>
          <o:OLEObject Type="Embed" ProgID="Equation.DSMT4" ShapeID="_x0000_i1114" DrawAspect="Content" ObjectID="_1793173702" r:id="rId187"/>
        </w:object>
      </w:r>
      <w:r w:rsidR="006F2338" w:rsidRPr="00D14CD7">
        <w:rPr>
          <w:color w:val="000000" w:themeColor="text1"/>
        </w:rPr>
        <w:t xml:space="preserve">; </w:t>
      </w:r>
      <w:r w:rsidR="004D5672" w:rsidRPr="00D14CD7">
        <w:rPr>
          <w:color w:val="000000" w:themeColor="text1"/>
          <w:position w:val="-28"/>
        </w:rPr>
        <w:object w:dxaOrig="2640" w:dyaOrig="680" w14:anchorId="3A29EADD">
          <v:shape id="_x0000_i1115" type="#_x0000_t75" style="width:133.3pt;height:33.85pt" o:ole="">
            <v:imagedata r:id="rId188" o:title=""/>
          </v:shape>
          <o:OLEObject Type="Embed" ProgID="Equation.DSMT4" ShapeID="_x0000_i1115" DrawAspect="Content" ObjectID="_1793173703" r:id="rId189"/>
        </w:object>
      </w:r>
      <w:r w:rsidR="006A200E" w:rsidRPr="00D14CD7">
        <w:rPr>
          <w:color w:val="000000" w:themeColor="text1"/>
        </w:rPr>
        <w:t>.</w:t>
      </w:r>
    </w:p>
    <w:p w14:paraId="61B6C515" w14:textId="77777777" w:rsidR="00540E05" w:rsidRPr="00D14CD7" w:rsidRDefault="00540E05" w:rsidP="00AE0A4C">
      <w:pPr>
        <w:spacing w:after="0" w:line="240" w:lineRule="auto"/>
        <w:rPr>
          <w:color w:val="000000" w:themeColor="text1"/>
        </w:rPr>
      </w:pPr>
    </w:p>
    <w:p w14:paraId="27B6EFDA" w14:textId="47C690E0" w:rsidR="00350478" w:rsidRPr="00D14CD7" w:rsidRDefault="00E20E3F" w:rsidP="00AE0A4C">
      <w:pPr>
        <w:pStyle w:val="Heading2"/>
        <w:spacing w:before="0" w:after="0" w:line="240" w:lineRule="auto"/>
        <w:contextualSpacing w:val="0"/>
        <w:rPr>
          <w:color w:val="000000" w:themeColor="text1"/>
        </w:rPr>
      </w:pPr>
      <w:r w:rsidRPr="00D14CD7">
        <w:rPr>
          <w:color w:val="000000" w:themeColor="text1"/>
        </w:rPr>
        <w:t xml:space="preserve"> Estimation</w:t>
      </w:r>
    </w:p>
    <w:p w14:paraId="27BF4A34" w14:textId="570D3AD7" w:rsidR="00350478" w:rsidRPr="00D14CD7" w:rsidRDefault="00350478" w:rsidP="00AE0A4C">
      <w:pPr>
        <w:spacing w:after="0" w:line="240" w:lineRule="auto"/>
        <w:rPr>
          <w:color w:val="000000" w:themeColor="text1"/>
        </w:rPr>
      </w:pPr>
      <w:r w:rsidRPr="00D14CD7">
        <w:rPr>
          <w:color w:val="000000" w:themeColor="text1"/>
        </w:rPr>
        <w:t>As mentioned in the previous section, using</w:t>
      </w:r>
      <w:r w:rsidR="00B930ED" w:rsidRPr="00D14CD7">
        <w:rPr>
          <w:color w:val="000000" w:themeColor="text1"/>
        </w:rPr>
        <w:t xml:space="preserve"> </w:t>
      </w:r>
      <w:r w:rsidR="00061599" w:rsidRPr="00D14CD7">
        <w:rPr>
          <w:color w:val="000000" w:themeColor="text1"/>
          <w:position w:val="-12"/>
        </w:rPr>
        <w:object w:dxaOrig="260" w:dyaOrig="360" w14:anchorId="7D2792F3">
          <v:shape id="_x0000_i1116" type="#_x0000_t75" style="width:13.3pt;height:18.85pt" o:ole="">
            <v:imagedata r:id="rId190" o:title=""/>
          </v:shape>
          <o:OLEObject Type="Embed" ProgID="Equation.DSMT4" ShapeID="_x0000_i1116" DrawAspect="Content" ObjectID="_1793173704" r:id="rId191"/>
        </w:object>
      </w:r>
      <w:r w:rsidR="00B930ED" w:rsidRPr="00D14CD7">
        <w:rPr>
          <w:color w:val="000000" w:themeColor="text1"/>
        </w:rPr>
        <w:t xml:space="preserve"> </w:t>
      </w:r>
      <w:r w:rsidRPr="00D14CD7">
        <w:rPr>
          <w:color w:val="000000" w:themeColor="text1"/>
        </w:rPr>
        <w:t xml:space="preserve">instead of </w:t>
      </w:r>
      <w:r w:rsidR="00061599" w:rsidRPr="00D14CD7">
        <w:rPr>
          <w:color w:val="000000" w:themeColor="text1"/>
          <w:position w:val="-12"/>
        </w:rPr>
        <w:object w:dxaOrig="260" w:dyaOrig="360" w14:anchorId="5D929C24">
          <v:shape id="_x0000_i1117" type="#_x0000_t75" style="width:13.3pt;height:18.85pt" o:ole="">
            <v:imagedata r:id="rId192" o:title=""/>
          </v:shape>
          <o:OLEObject Type="Embed" ProgID="Equation.DSMT4" ShapeID="_x0000_i1117" DrawAspect="Content" ObjectID="_1793173705" r:id="rId193"/>
        </w:object>
      </w:r>
      <w:r w:rsidRPr="00D14CD7">
        <w:rPr>
          <w:color w:val="000000" w:themeColor="text1"/>
        </w:rPr>
        <w:t xml:space="preserve"> in the linking function results in the independence of </w:t>
      </w:r>
      <w:r w:rsidR="006F2338" w:rsidRPr="00D14CD7">
        <w:rPr>
          <w:color w:val="000000" w:themeColor="text1"/>
        </w:rPr>
        <w:t xml:space="preserve">error terms in </w:t>
      </w:r>
      <w:r w:rsidRPr="00D14CD7">
        <w:rPr>
          <w:color w:val="000000" w:themeColor="text1"/>
        </w:rPr>
        <w:t>the total count and the fractional split model</w:t>
      </w:r>
      <w:r w:rsidR="00825D8B" w:rsidRPr="00D14CD7">
        <w:rPr>
          <w:color w:val="000000" w:themeColor="text1"/>
        </w:rPr>
        <w:t>s</w:t>
      </w:r>
      <w:r w:rsidRPr="00D14CD7">
        <w:rPr>
          <w:color w:val="000000" w:themeColor="text1"/>
        </w:rPr>
        <w:t>. Consequently, the likelihood function</w:t>
      </w:r>
      <w:r w:rsidR="006C5CFF" w:rsidRPr="00D14CD7">
        <w:rPr>
          <w:color w:val="000000" w:themeColor="text1"/>
        </w:rPr>
        <w:t xml:space="preserve"> for an individual </w:t>
      </w:r>
      <w:r w:rsidR="006F2338" w:rsidRPr="00D14CD7">
        <w:rPr>
          <w:color w:val="000000" w:themeColor="text1"/>
        </w:rPr>
        <w:t xml:space="preserve">with </w:t>
      </w:r>
      <w:r w:rsidR="006C5CFF" w:rsidRPr="00D14CD7">
        <w:rPr>
          <w:color w:val="000000" w:themeColor="text1"/>
        </w:rPr>
        <w:t xml:space="preserve">a count value of </w:t>
      </w:r>
      <w:r w:rsidR="006C5CFF" w:rsidRPr="00D14CD7">
        <w:rPr>
          <w:i/>
          <w:color w:val="000000" w:themeColor="text1"/>
        </w:rPr>
        <w:t>g</w:t>
      </w:r>
      <w:r w:rsidR="006C5CFF" w:rsidRPr="00D14CD7">
        <w:rPr>
          <w:color w:val="000000" w:themeColor="text1"/>
        </w:rPr>
        <w:t xml:space="preserve"> (</w:t>
      </w:r>
      <w:r w:rsidR="006C5CFF" w:rsidRPr="00D14CD7">
        <w:rPr>
          <w:i/>
          <w:color w:val="000000" w:themeColor="text1"/>
        </w:rPr>
        <w:t>g</w:t>
      </w:r>
      <w:r w:rsidR="006C5CFF" w:rsidRPr="00D14CD7">
        <w:rPr>
          <w:color w:val="000000" w:themeColor="text1"/>
        </w:rPr>
        <w:t xml:space="preserve"> &gt; 0), and consuming the first </w:t>
      </w:r>
      <w:r w:rsidR="006C5CFF" w:rsidRPr="00D14CD7">
        <w:rPr>
          <w:i/>
          <w:color w:val="000000" w:themeColor="text1"/>
        </w:rPr>
        <w:t>M</w:t>
      </w:r>
      <w:r w:rsidR="006C5CFF" w:rsidRPr="00D14CD7">
        <w:rPr>
          <w:color w:val="000000" w:themeColor="text1"/>
        </w:rPr>
        <w:t xml:space="preserve"> goods at levels </w:t>
      </w:r>
      <w:r w:rsidR="00061599" w:rsidRPr="00D14CD7">
        <w:rPr>
          <w:color w:val="000000" w:themeColor="text1"/>
          <w:position w:val="-12"/>
        </w:rPr>
        <w:object w:dxaOrig="300" w:dyaOrig="400" w14:anchorId="4E1F92A5">
          <v:shape id="_x0000_i1118" type="#_x0000_t75" style="width:15pt;height:19.7pt" o:ole="">
            <v:imagedata r:id="rId194" o:title=""/>
          </v:shape>
          <o:OLEObject Type="Embed" ProgID="Equation.DSMT4" ShapeID="_x0000_i1118" DrawAspect="Content" ObjectID="_1793173706" r:id="rId195"/>
        </w:object>
      </w:r>
      <w:r w:rsidR="006C5CFF" w:rsidRPr="00D14CD7">
        <w:rPr>
          <w:color w:val="000000" w:themeColor="text1"/>
        </w:rPr>
        <w:t xml:space="preserve"> (</w:t>
      </w:r>
      <w:r w:rsidR="006C5CFF" w:rsidRPr="00D14CD7">
        <w:rPr>
          <w:color w:val="000000" w:themeColor="text1"/>
          <w:position w:val="-10"/>
        </w:rPr>
        <w:object w:dxaOrig="1340" w:dyaOrig="320" w14:anchorId="67BD3BDF">
          <v:shape id="_x0000_i1119" type="#_x0000_t75" style="width:64.7pt;height:15pt" o:ole="" o:preferrelative="f">
            <v:imagedata r:id="rId66" o:title=""/>
            <o:lock v:ext="edit" aspectratio="f"/>
          </v:shape>
          <o:OLEObject Type="Embed" ProgID="Equation.DSMT4" ShapeID="_x0000_i1119" DrawAspect="Content" ObjectID="_1793173707" r:id="rId196"/>
        </w:object>
      </w:r>
      <w:r w:rsidR="006C5CFF" w:rsidRPr="00D14CD7">
        <w:rPr>
          <w:color w:val="000000" w:themeColor="text1"/>
        </w:rPr>
        <w:t>)</w:t>
      </w:r>
      <w:r w:rsidR="00825D8B" w:rsidRPr="00D14CD7">
        <w:rPr>
          <w:color w:val="000000" w:themeColor="text1"/>
        </w:rPr>
        <w:t xml:space="preserve">, </w:t>
      </w:r>
      <w:r w:rsidR="006C5CFF" w:rsidRPr="00D14CD7">
        <w:rPr>
          <w:color w:val="000000" w:themeColor="text1"/>
        </w:rPr>
        <w:t>may be obtained from Equations (</w:t>
      </w:r>
      <w:r w:rsidR="002F5C17" w:rsidRPr="00D14CD7">
        <w:rPr>
          <w:color w:val="000000" w:themeColor="text1"/>
        </w:rPr>
        <w:t>5</w:t>
      </w:r>
      <w:r w:rsidR="006C5CFF" w:rsidRPr="00D14CD7">
        <w:rPr>
          <w:color w:val="000000" w:themeColor="text1"/>
        </w:rPr>
        <w:t>) and (</w:t>
      </w:r>
      <w:r w:rsidR="009103B1" w:rsidRPr="00D14CD7">
        <w:rPr>
          <w:color w:val="000000" w:themeColor="text1"/>
        </w:rPr>
        <w:t>1</w:t>
      </w:r>
      <w:r w:rsidR="002F5C17" w:rsidRPr="00D14CD7">
        <w:rPr>
          <w:color w:val="000000" w:themeColor="text1"/>
        </w:rPr>
        <w:t>2</w:t>
      </w:r>
      <w:r w:rsidR="006C5CFF" w:rsidRPr="00D14CD7">
        <w:rPr>
          <w:color w:val="000000" w:themeColor="text1"/>
        </w:rPr>
        <w:t>) as follows:</w:t>
      </w:r>
      <w:r w:rsidRPr="00D14CD7">
        <w:rPr>
          <w:color w:val="000000" w:themeColor="text1"/>
        </w:rPr>
        <w:t xml:space="preserve"> </w:t>
      </w:r>
    </w:p>
    <w:p w14:paraId="1E750AC5" w14:textId="57DC2517" w:rsidR="00350478" w:rsidRPr="00D14CD7" w:rsidRDefault="0068023F" w:rsidP="004E3632">
      <w:pPr>
        <w:tabs>
          <w:tab w:val="right" w:pos="9360"/>
        </w:tabs>
        <w:spacing w:before="60" w:after="60" w:line="240" w:lineRule="auto"/>
        <w:rPr>
          <w:color w:val="000000" w:themeColor="text1"/>
        </w:rPr>
      </w:pPr>
      <w:r w:rsidRPr="00D14CD7">
        <w:rPr>
          <w:color w:val="000000" w:themeColor="text1"/>
          <w:position w:val="-38"/>
        </w:rPr>
        <w:object w:dxaOrig="6619" w:dyaOrig="880" w14:anchorId="57085F26">
          <v:shape id="_x0000_i1120" type="#_x0000_t75" style="width:330pt;height:43.7pt" o:ole="" o:preferrelative="f">
            <v:imagedata r:id="rId197" o:title=""/>
            <o:lock v:ext="edit" aspectratio="f"/>
          </v:shape>
          <o:OLEObject Type="Embed" ProgID="Equation.DSMT4" ShapeID="_x0000_i1120" DrawAspect="Content" ObjectID="_1793173708" r:id="rId198"/>
        </w:object>
      </w:r>
      <w:r w:rsidR="00350478" w:rsidRPr="00D14CD7">
        <w:rPr>
          <w:color w:val="000000" w:themeColor="text1"/>
        </w:rPr>
        <w:tab/>
        <w:t>(</w:t>
      </w:r>
      <w:r w:rsidR="005E5299" w:rsidRPr="00D14CD7">
        <w:rPr>
          <w:color w:val="000000" w:themeColor="text1"/>
        </w:rPr>
        <w:t>1</w:t>
      </w:r>
      <w:r w:rsidR="002F5C17" w:rsidRPr="00D14CD7">
        <w:rPr>
          <w:color w:val="000000" w:themeColor="text1"/>
        </w:rPr>
        <w:t>3</w:t>
      </w:r>
      <w:r w:rsidR="00350478" w:rsidRPr="00D14CD7">
        <w:rPr>
          <w:color w:val="000000" w:themeColor="text1"/>
        </w:rPr>
        <w:t>)</w:t>
      </w:r>
    </w:p>
    <w:p w14:paraId="6E1980DB" w14:textId="6500C75E" w:rsidR="00E0183A" w:rsidRPr="00D14CD7" w:rsidRDefault="009103B1" w:rsidP="00540E05">
      <w:pPr>
        <w:spacing w:after="0" w:line="240" w:lineRule="auto"/>
        <w:rPr>
          <w:color w:val="000000" w:themeColor="text1"/>
        </w:rPr>
      </w:pPr>
      <w:r w:rsidRPr="00D14CD7">
        <w:rPr>
          <w:color w:val="000000" w:themeColor="text1"/>
        </w:rPr>
        <w:t>Sim</w:t>
      </w:r>
      <w:r w:rsidR="005D5527" w:rsidRPr="00D14CD7">
        <w:rPr>
          <w:color w:val="000000" w:themeColor="text1"/>
        </w:rPr>
        <w:t>i</w:t>
      </w:r>
      <w:r w:rsidRPr="00D14CD7">
        <w:rPr>
          <w:color w:val="000000" w:themeColor="text1"/>
        </w:rPr>
        <w:t xml:space="preserve">lar likelihood expressions may be derived for the case when all </w:t>
      </w:r>
      <w:r w:rsidRPr="00D14CD7">
        <w:rPr>
          <w:i/>
          <w:iCs/>
          <w:color w:val="000000" w:themeColor="text1"/>
        </w:rPr>
        <w:t>K</w:t>
      </w:r>
      <w:r w:rsidRPr="00D14CD7">
        <w:rPr>
          <w:color w:val="000000" w:themeColor="text1"/>
        </w:rPr>
        <w:t xml:space="preserve"> restaurant segments are consumed, and none of the restaurant segments except the first are consumed. </w:t>
      </w:r>
      <w:r w:rsidR="00E0183A" w:rsidRPr="00D14CD7">
        <w:rPr>
          <w:color w:val="000000" w:themeColor="text1"/>
        </w:rPr>
        <w:t>For the case of zero total eat-outs, the likelihood function is:</w:t>
      </w:r>
    </w:p>
    <w:p w14:paraId="2F092627" w14:textId="0DDD9181" w:rsidR="006C5CFF" w:rsidRPr="00D14CD7" w:rsidRDefault="00540E05" w:rsidP="004E3632">
      <w:pPr>
        <w:tabs>
          <w:tab w:val="right" w:pos="9360"/>
        </w:tabs>
        <w:spacing w:before="60" w:after="0" w:line="240" w:lineRule="auto"/>
        <w:rPr>
          <w:color w:val="000000" w:themeColor="text1"/>
        </w:rPr>
      </w:pPr>
      <w:r w:rsidRPr="00D14CD7">
        <w:rPr>
          <w:color w:val="000000" w:themeColor="text1"/>
          <w:position w:val="-70"/>
        </w:rPr>
        <w:object w:dxaOrig="4320" w:dyaOrig="1520" w14:anchorId="70EFAFC0">
          <v:shape id="_x0000_i1121" type="#_x0000_t75" style="width:214.3pt;height:75.85pt" o:ole="">
            <v:imagedata r:id="rId199" o:title=""/>
          </v:shape>
          <o:OLEObject Type="Embed" ProgID="Equation.DSMT4" ShapeID="_x0000_i1121" DrawAspect="Content" ObjectID="_1793173709" r:id="rId200"/>
        </w:object>
      </w:r>
      <w:r w:rsidR="00667682" w:rsidRPr="00D14CD7">
        <w:rPr>
          <w:color w:val="000000" w:themeColor="text1"/>
        </w:rPr>
        <w:tab/>
      </w:r>
      <w:r w:rsidR="00E0183A" w:rsidRPr="00D14CD7">
        <w:rPr>
          <w:color w:val="000000" w:themeColor="text1"/>
        </w:rPr>
        <w:t>(1</w:t>
      </w:r>
      <w:r w:rsidR="002F5C17" w:rsidRPr="00D14CD7">
        <w:rPr>
          <w:color w:val="000000" w:themeColor="text1"/>
        </w:rPr>
        <w:t>4</w:t>
      </w:r>
      <w:r w:rsidR="00E0183A" w:rsidRPr="00D14CD7">
        <w:rPr>
          <w:color w:val="000000" w:themeColor="text1"/>
        </w:rPr>
        <w:t>)</w:t>
      </w:r>
    </w:p>
    <w:bookmarkEnd w:id="27"/>
    <w:p w14:paraId="7A9C1964" w14:textId="77777777" w:rsidR="003058C8" w:rsidRPr="00D14CD7" w:rsidRDefault="003058C8" w:rsidP="00540E05">
      <w:pPr>
        <w:spacing w:after="0" w:line="240" w:lineRule="auto"/>
        <w:rPr>
          <w:color w:val="000000" w:themeColor="text1"/>
        </w:rPr>
      </w:pPr>
    </w:p>
    <w:p w14:paraId="274FA274" w14:textId="63E1DDE4" w:rsidR="00B52D1C" w:rsidRPr="00D14CD7" w:rsidRDefault="008734AD" w:rsidP="00540E05">
      <w:pPr>
        <w:pStyle w:val="Heading1"/>
        <w:spacing w:after="0" w:line="240" w:lineRule="auto"/>
        <w:rPr>
          <w:color w:val="000000" w:themeColor="text1"/>
        </w:rPr>
      </w:pPr>
      <w:r w:rsidRPr="00D14CD7">
        <w:rPr>
          <w:color w:val="000000" w:themeColor="text1"/>
        </w:rPr>
        <w:t>EMPIRICAL RESULTS</w:t>
      </w:r>
    </w:p>
    <w:p w14:paraId="7349183D" w14:textId="5707473B" w:rsidR="00C654F4" w:rsidRPr="00D14CD7" w:rsidRDefault="0001684B" w:rsidP="00540E05">
      <w:pPr>
        <w:spacing w:after="0" w:line="240" w:lineRule="auto"/>
        <w:rPr>
          <w:color w:val="000000" w:themeColor="text1"/>
        </w:rPr>
      </w:pPr>
      <w:r w:rsidRPr="00D14CD7">
        <w:rPr>
          <w:color w:val="000000" w:themeColor="text1"/>
        </w:rPr>
        <w:t xml:space="preserve">In the </w:t>
      </w:r>
      <w:r w:rsidR="00581838" w:rsidRPr="00D14CD7">
        <w:rPr>
          <w:color w:val="000000" w:themeColor="text1"/>
        </w:rPr>
        <w:t>empirical</w:t>
      </w:r>
      <w:r w:rsidRPr="00D14CD7">
        <w:rPr>
          <w:color w:val="000000" w:themeColor="text1"/>
        </w:rPr>
        <w:t xml:space="preserve"> specification process, </w:t>
      </w:r>
      <w:r w:rsidR="00073703" w:rsidRPr="00D14CD7">
        <w:rPr>
          <w:color w:val="000000" w:themeColor="text1"/>
        </w:rPr>
        <w:t>we investigated</w:t>
      </w:r>
      <w:r w:rsidRPr="00D14CD7">
        <w:rPr>
          <w:color w:val="000000" w:themeColor="text1"/>
        </w:rPr>
        <w:t xml:space="preserve"> </w:t>
      </w:r>
      <w:r w:rsidR="00073703" w:rsidRPr="00D14CD7">
        <w:rPr>
          <w:color w:val="000000" w:themeColor="text1"/>
        </w:rPr>
        <w:t>different</w:t>
      </w:r>
      <w:r w:rsidRPr="00D14CD7">
        <w:rPr>
          <w:color w:val="000000" w:themeColor="text1"/>
        </w:rPr>
        <w:t xml:space="preserve"> functional forms and combinations of explanatory variables. </w:t>
      </w:r>
      <w:r w:rsidR="00073703" w:rsidRPr="00D14CD7">
        <w:rPr>
          <w:color w:val="000000" w:themeColor="text1"/>
        </w:rPr>
        <w:t xml:space="preserve">For variables in bracketed form (age and income) and those naturally discrete (gender, race/ethnicity, education level, motorized vehicle ownership level, household </w:t>
      </w:r>
      <w:r w:rsidR="00073703" w:rsidRPr="00D14CD7">
        <w:rPr>
          <w:color w:val="000000" w:themeColor="text1"/>
        </w:rPr>
        <w:lastRenderedPageBreak/>
        <w:t>structure, employment status, self-employed status</w:t>
      </w:r>
      <w:r w:rsidR="00295DD8" w:rsidRPr="00D14CD7">
        <w:rPr>
          <w:color w:val="000000" w:themeColor="text1"/>
        </w:rPr>
        <w:t>, and urban/suburban/rural residential living,</w:t>
      </w:r>
      <w:r w:rsidR="00073703" w:rsidRPr="00D14CD7">
        <w:rPr>
          <w:color w:val="000000" w:themeColor="text1"/>
        </w:rPr>
        <w:t xml:space="preserve"> </w:t>
      </w:r>
      <w:r w:rsidR="00295DD8" w:rsidRPr="00D14CD7">
        <w:rPr>
          <w:color w:val="000000" w:themeColor="text1"/>
        </w:rPr>
        <w:t xml:space="preserve">count of workdays per month, and </w:t>
      </w:r>
      <w:r w:rsidR="00073703" w:rsidRPr="00D14CD7">
        <w:rPr>
          <w:color w:val="000000" w:themeColor="text1"/>
        </w:rPr>
        <w:t>COVID perspectives/threat variables</w:t>
      </w:r>
      <w:r w:rsidR="00295DD8" w:rsidRPr="00D14CD7">
        <w:rPr>
          <w:color w:val="000000" w:themeColor="text1"/>
        </w:rPr>
        <w:t>),</w:t>
      </w:r>
      <w:r w:rsidR="00073703" w:rsidRPr="00D14CD7">
        <w:rPr>
          <w:color w:val="000000" w:themeColor="text1"/>
        </w:rPr>
        <w:t xml:space="preserve"> dummy variables </w:t>
      </w:r>
      <w:r w:rsidR="00295DD8" w:rsidRPr="00D14CD7">
        <w:rPr>
          <w:color w:val="000000" w:themeColor="text1"/>
        </w:rPr>
        <w:t xml:space="preserve">were created </w:t>
      </w:r>
      <w:r w:rsidR="00073703" w:rsidRPr="00D14CD7">
        <w:rPr>
          <w:color w:val="000000" w:themeColor="text1"/>
        </w:rPr>
        <w:t xml:space="preserve">in the most disaggregate form possible, and progressively combined based on statistical tests to yield parsimonious specifications. For </w:t>
      </w:r>
      <w:r w:rsidR="00295DD8" w:rsidRPr="00D14CD7">
        <w:rPr>
          <w:color w:val="000000" w:themeColor="text1"/>
        </w:rPr>
        <w:t>variables in continuous</w:t>
      </w:r>
      <w:r w:rsidR="00073703" w:rsidRPr="00D14CD7">
        <w:rPr>
          <w:color w:val="000000" w:themeColor="text1"/>
        </w:rPr>
        <w:t xml:space="preserve"> </w:t>
      </w:r>
      <w:r w:rsidR="00295DD8" w:rsidRPr="00D14CD7">
        <w:rPr>
          <w:color w:val="000000" w:themeColor="text1"/>
        </w:rPr>
        <w:t>form (</w:t>
      </w:r>
      <w:r w:rsidR="00073703" w:rsidRPr="00D14CD7">
        <w:rPr>
          <w:color w:val="000000" w:themeColor="text1"/>
        </w:rPr>
        <w:t>commute duration, fraction of work days worked from home, fraction of work days worked from a third workplace</w:t>
      </w:r>
      <w:r w:rsidR="00295DD8" w:rsidRPr="00D14CD7">
        <w:rPr>
          <w:color w:val="000000" w:themeColor="text1"/>
        </w:rPr>
        <w:t xml:space="preserve">, </w:t>
      </w:r>
      <w:r w:rsidR="00073703" w:rsidRPr="00D14CD7">
        <w:rPr>
          <w:color w:val="000000" w:themeColor="text1"/>
        </w:rPr>
        <w:t xml:space="preserve">residential and employment density, walkability index, land-use diversity index, number of restaurants </w:t>
      </w:r>
      <w:r w:rsidR="00295DD8" w:rsidRPr="00D14CD7">
        <w:rPr>
          <w:color w:val="000000" w:themeColor="text1"/>
        </w:rPr>
        <w:t xml:space="preserve">by type </w:t>
      </w:r>
      <w:r w:rsidR="00073703" w:rsidRPr="00D14CD7">
        <w:rPr>
          <w:color w:val="000000" w:themeColor="text1"/>
        </w:rPr>
        <w:t>per square area</w:t>
      </w:r>
      <w:r w:rsidR="00295DD8" w:rsidRPr="00D14CD7">
        <w:rPr>
          <w:color w:val="000000" w:themeColor="text1"/>
        </w:rPr>
        <w:t xml:space="preserve"> in the zip code of the respondent’s residence</w:t>
      </w:r>
      <w:r w:rsidR="00073703" w:rsidRPr="00D14CD7">
        <w:rPr>
          <w:color w:val="000000" w:themeColor="text1"/>
        </w:rPr>
        <w:t>, and fraction of fast food eateries), various functional forms were tested, including a continuous linear form, a continuous logarithm form, a piece-wise linear form, and a set of dummy variables for different ranges</w:t>
      </w:r>
      <w:r w:rsidR="00295DD8" w:rsidRPr="00D14CD7">
        <w:rPr>
          <w:color w:val="000000" w:themeColor="text1"/>
        </w:rPr>
        <w:t xml:space="preserve">. But </w:t>
      </w:r>
      <w:r w:rsidRPr="00D14CD7">
        <w:rPr>
          <w:color w:val="000000" w:themeColor="text1"/>
        </w:rPr>
        <w:t xml:space="preserve">the non-linear dummy variable form outperformed the linear form in terms of data fit, except for </w:t>
      </w:r>
      <w:r w:rsidR="00DF0CD5" w:rsidRPr="00D14CD7">
        <w:rPr>
          <w:color w:val="000000" w:themeColor="text1"/>
        </w:rPr>
        <w:t xml:space="preserve">the </w:t>
      </w:r>
      <w:r w:rsidRPr="00D14CD7">
        <w:rPr>
          <w:color w:val="000000" w:themeColor="text1"/>
        </w:rPr>
        <w:t>fraction of workdays from home, land</w:t>
      </w:r>
      <w:r w:rsidR="005E50F3" w:rsidRPr="00D14CD7">
        <w:rPr>
          <w:color w:val="000000" w:themeColor="text1"/>
        </w:rPr>
        <w:t>-</w:t>
      </w:r>
      <w:r w:rsidRPr="00D14CD7">
        <w:rPr>
          <w:color w:val="000000" w:themeColor="text1"/>
        </w:rPr>
        <w:t xml:space="preserve">use mix, walkability index, restaurant density, and proportion of restaurant segments. Further, we examined </w:t>
      </w:r>
      <w:r w:rsidR="00F0110E" w:rsidRPr="00D14CD7">
        <w:rPr>
          <w:color w:val="000000" w:themeColor="text1"/>
        </w:rPr>
        <w:t xml:space="preserve">a number of </w:t>
      </w:r>
      <w:r w:rsidRPr="00D14CD7">
        <w:rPr>
          <w:color w:val="000000" w:themeColor="text1"/>
        </w:rPr>
        <w:t xml:space="preserve">interaction effects across variables, </w:t>
      </w:r>
      <w:r w:rsidR="00F0110E" w:rsidRPr="00D14CD7">
        <w:rPr>
          <w:color w:val="000000" w:themeColor="text1"/>
        </w:rPr>
        <w:t xml:space="preserve">including single women interacted with children of different age groups and employment status of adults in the household interacted with children. </w:t>
      </w:r>
      <w:r w:rsidR="00AC3C4B">
        <w:rPr>
          <w:color w:val="000000" w:themeColor="text1"/>
        </w:rPr>
        <w:t>However,</w:t>
      </w:r>
      <w:r w:rsidR="00F0110E" w:rsidRPr="00D14CD7">
        <w:rPr>
          <w:color w:val="000000" w:themeColor="text1"/>
        </w:rPr>
        <w:t xml:space="preserve"> none of such interaction effects turned out to be statistically significant</w:t>
      </w:r>
      <w:r w:rsidR="00D67E1C" w:rsidRPr="00D14CD7">
        <w:rPr>
          <w:color w:val="000000" w:themeColor="text1"/>
        </w:rPr>
        <w:t>, even at a t-statistic threshold of 1.00 to retain variables (corresponding to a 0.32 level of significance or 68% confidence level).</w:t>
      </w:r>
      <w:r w:rsidR="00825D8B" w:rsidRPr="00D14CD7">
        <w:rPr>
          <w:color w:val="000000" w:themeColor="text1"/>
        </w:rPr>
        <w:t xml:space="preserve"> </w:t>
      </w:r>
    </w:p>
    <w:p w14:paraId="03A20742" w14:textId="0C155368" w:rsidR="00E93853" w:rsidRPr="00D14CD7" w:rsidRDefault="0001684B" w:rsidP="007E2CED">
      <w:pPr>
        <w:spacing w:after="0" w:line="240" w:lineRule="auto"/>
        <w:ind w:firstLine="720"/>
        <w:rPr>
          <w:color w:val="000000" w:themeColor="text1"/>
        </w:rPr>
      </w:pPr>
      <w:r w:rsidRPr="00D14CD7">
        <w:rPr>
          <w:color w:val="000000" w:themeColor="text1"/>
        </w:rPr>
        <w:t>The final</w:t>
      </w:r>
      <w:r w:rsidR="00702501" w:rsidRPr="00D14CD7">
        <w:rPr>
          <w:color w:val="000000" w:themeColor="text1"/>
        </w:rPr>
        <w:t xml:space="preserve"> linked</w:t>
      </w:r>
      <w:r w:rsidRPr="00D14CD7">
        <w:rPr>
          <w:color w:val="000000" w:themeColor="text1"/>
        </w:rPr>
        <w:t xml:space="preserve"> model specification is presented in </w:t>
      </w:r>
      <w:r w:rsidR="00BE151D" w:rsidRPr="00D14CD7">
        <w:rPr>
          <w:color w:val="000000" w:themeColor="text1"/>
        </w:rPr>
        <w:t>Table 6</w:t>
      </w:r>
      <w:r w:rsidRPr="00D14CD7">
        <w:rPr>
          <w:color w:val="000000" w:themeColor="text1"/>
        </w:rPr>
        <w:t>.</w:t>
      </w:r>
      <w:r w:rsidR="00E93853" w:rsidRPr="00D14CD7">
        <w:rPr>
          <w:color w:val="000000" w:themeColor="text1"/>
        </w:rPr>
        <w:t xml:space="preserve"> </w:t>
      </w:r>
      <w:r w:rsidR="00166F11" w:rsidRPr="00D14CD7">
        <w:rPr>
          <w:color w:val="000000" w:themeColor="text1"/>
        </w:rPr>
        <w:t>As may be observed from the table, n</w:t>
      </w:r>
      <w:r w:rsidR="00E93853" w:rsidRPr="00D14CD7">
        <w:rPr>
          <w:color w:val="000000" w:themeColor="text1"/>
        </w:rPr>
        <w:t xml:space="preserve">ot all variables included in the model are statistically significant at a 95% </w:t>
      </w:r>
      <w:r w:rsidR="00581838" w:rsidRPr="00D14CD7">
        <w:rPr>
          <w:color w:val="000000" w:themeColor="text1"/>
        </w:rPr>
        <w:t xml:space="preserve">confidence </w:t>
      </w:r>
      <w:r w:rsidR="00E93853" w:rsidRPr="00D14CD7">
        <w:rPr>
          <w:color w:val="000000" w:themeColor="text1"/>
        </w:rPr>
        <w:t>level</w:t>
      </w:r>
      <w:r w:rsidR="00166F11" w:rsidRPr="00D14CD7">
        <w:rPr>
          <w:color w:val="000000" w:themeColor="text1"/>
        </w:rPr>
        <w:t>.</w:t>
      </w:r>
      <w:r w:rsidR="00E93853" w:rsidRPr="00D14CD7">
        <w:rPr>
          <w:color w:val="000000" w:themeColor="text1"/>
        </w:rPr>
        <w:t xml:space="preserve"> </w:t>
      </w:r>
      <w:bookmarkStart w:id="30" w:name="_Hlk65015659"/>
      <w:r w:rsidR="00166F11" w:rsidRPr="00D14CD7">
        <w:rPr>
          <w:color w:val="000000" w:themeColor="text1"/>
        </w:rPr>
        <w:t xml:space="preserve">This is to acknowledge the relatively small sample size of our estimation that may have led to the marginal significance of some of the variables, which nonetheless can </w:t>
      </w:r>
      <w:bookmarkEnd w:id="30"/>
      <w:r w:rsidR="00E93853" w:rsidRPr="00D14CD7">
        <w:rPr>
          <w:color w:val="000000" w:themeColor="text1"/>
        </w:rPr>
        <w:t xml:space="preserve">provide valuable insights for future investigations with larger sample sizes. </w:t>
      </w:r>
      <w:r w:rsidR="00166F11" w:rsidRPr="00D14CD7">
        <w:rPr>
          <w:color w:val="000000" w:themeColor="text1"/>
        </w:rPr>
        <w:t xml:space="preserve">Also, we use the label </w:t>
      </w:r>
      <w:r w:rsidR="007E2CED" w:rsidRPr="00D14CD7">
        <w:rPr>
          <w:color w:val="000000" w:themeColor="text1"/>
        </w:rPr>
        <w:t>“</w:t>
      </w:r>
      <w:proofErr w:type="spellStart"/>
      <w:r w:rsidR="00E93853" w:rsidRPr="00D14CD7">
        <w:rPr>
          <w:color w:val="000000" w:themeColor="text1"/>
        </w:rPr>
        <w:t>na</w:t>
      </w:r>
      <w:proofErr w:type="spellEnd"/>
      <w:r w:rsidR="007E2CED" w:rsidRPr="00D14CD7">
        <w:rPr>
          <w:color w:val="000000" w:themeColor="text1"/>
        </w:rPr>
        <w:t>”</w:t>
      </w:r>
      <w:r w:rsidR="00E93853" w:rsidRPr="00D14CD7">
        <w:rPr>
          <w:color w:val="000000" w:themeColor="text1"/>
        </w:rPr>
        <w:t xml:space="preserve"> </w:t>
      </w:r>
      <w:r w:rsidR="007D79E2" w:rsidRPr="00D14CD7">
        <w:rPr>
          <w:color w:val="000000" w:themeColor="text1"/>
        </w:rPr>
        <w:t xml:space="preserve">in </w:t>
      </w:r>
      <w:r w:rsidR="00BE151D" w:rsidRPr="00D14CD7">
        <w:rPr>
          <w:color w:val="000000" w:themeColor="text1"/>
        </w:rPr>
        <w:t>Table 6</w:t>
      </w:r>
      <w:r w:rsidR="007D79E2" w:rsidRPr="00D14CD7">
        <w:rPr>
          <w:color w:val="000000" w:themeColor="text1"/>
        </w:rPr>
        <w:t xml:space="preserve"> </w:t>
      </w:r>
      <w:r w:rsidR="00E93853" w:rsidRPr="00D14CD7">
        <w:rPr>
          <w:color w:val="000000" w:themeColor="text1"/>
        </w:rPr>
        <w:t xml:space="preserve">to indicate that the corresponding </w:t>
      </w:r>
      <w:r w:rsidR="007D79E2" w:rsidRPr="00D14CD7">
        <w:rPr>
          <w:color w:val="000000" w:themeColor="text1"/>
        </w:rPr>
        <w:t xml:space="preserve">endogenous outcome </w:t>
      </w:r>
      <w:r w:rsidR="00E93853" w:rsidRPr="00D14CD7">
        <w:rPr>
          <w:color w:val="000000" w:themeColor="text1"/>
        </w:rPr>
        <w:t xml:space="preserve">alternative is the base category </w:t>
      </w:r>
      <w:r w:rsidR="00166F11" w:rsidRPr="00D14CD7">
        <w:rPr>
          <w:color w:val="000000" w:themeColor="text1"/>
        </w:rPr>
        <w:t>when</w:t>
      </w:r>
      <w:r w:rsidR="007D79E2" w:rsidRPr="00D14CD7">
        <w:rPr>
          <w:color w:val="000000" w:themeColor="text1"/>
        </w:rPr>
        <w:t xml:space="preserve"> representing the effects of exogenous variables</w:t>
      </w:r>
      <w:r w:rsidR="00E93853" w:rsidRPr="00D14CD7">
        <w:rPr>
          <w:color w:val="000000" w:themeColor="text1"/>
        </w:rPr>
        <w:t xml:space="preserve">. </w:t>
      </w:r>
      <w:r w:rsidR="00166F11" w:rsidRPr="00D14CD7">
        <w:rPr>
          <w:color w:val="000000" w:themeColor="text1"/>
        </w:rPr>
        <w:t>In contrast, a</w:t>
      </w:r>
      <w:r w:rsidR="00E93853" w:rsidRPr="00D14CD7">
        <w:rPr>
          <w:color w:val="000000" w:themeColor="text1"/>
        </w:rPr>
        <w:t xml:space="preserve"> </w:t>
      </w:r>
      <w:r w:rsidR="00540E05" w:rsidRPr="00D14CD7">
        <w:rPr>
          <w:color w:val="000000" w:themeColor="text1"/>
        </w:rPr>
        <w:t>“</w:t>
      </w:r>
      <w:r w:rsidR="00E93853" w:rsidRPr="00D14CD7">
        <w:rPr>
          <w:color w:val="000000" w:themeColor="text1"/>
        </w:rPr>
        <w:t>—</w:t>
      </w:r>
      <w:r w:rsidR="007E2CED" w:rsidRPr="00D14CD7">
        <w:rPr>
          <w:color w:val="000000" w:themeColor="text1"/>
        </w:rPr>
        <w:t>”</w:t>
      </w:r>
      <w:r w:rsidR="00E93853" w:rsidRPr="00D14CD7">
        <w:rPr>
          <w:color w:val="000000" w:themeColor="text1"/>
        </w:rPr>
        <w:t xml:space="preserve"> is used to signify that a variable is not statistically significant for a given alternative.</w:t>
      </w:r>
      <w:r w:rsidR="00166F11" w:rsidRPr="00D14CD7">
        <w:rPr>
          <w:color w:val="000000" w:themeColor="text1"/>
        </w:rPr>
        <w:t xml:space="preserve"> Finally, an exogenous variable affecting the baseline preference or satiation for any alternative in the MDC model also indirectly affects the total count of eat-out </w:t>
      </w:r>
      <w:r w:rsidR="00E009D8" w:rsidRPr="00D14CD7">
        <w:rPr>
          <w:color w:val="000000" w:themeColor="text1"/>
        </w:rPr>
        <w:t xml:space="preserve">through the linking function. In addition, the same exogenous variable may also have an additional direct effect through inclusion in the count model. </w:t>
      </w:r>
    </w:p>
    <w:p w14:paraId="2785A49D" w14:textId="6A23E402" w:rsidR="00656F93" w:rsidRPr="00D14CD7" w:rsidRDefault="008C38A8" w:rsidP="007E2CED">
      <w:pPr>
        <w:spacing w:after="0" w:line="240" w:lineRule="auto"/>
        <w:ind w:firstLine="720"/>
        <w:rPr>
          <w:color w:val="000000" w:themeColor="text1"/>
        </w:rPr>
      </w:pPr>
      <w:r w:rsidRPr="00D14CD7">
        <w:rPr>
          <w:color w:val="000000" w:themeColor="text1"/>
        </w:rPr>
        <w:t xml:space="preserve">The exogenous variables </w:t>
      </w:r>
      <w:r w:rsidR="00100956" w:rsidRPr="00D14CD7">
        <w:rPr>
          <w:color w:val="000000" w:themeColor="text1"/>
        </w:rPr>
        <w:t xml:space="preserve">in the model </w:t>
      </w:r>
      <w:r w:rsidRPr="00D14CD7">
        <w:rPr>
          <w:color w:val="000000" w:themeColor="text1"/>
        </w:rPr>
        <w:t>are arranged vertically</w:t>
      </w:r>
      <w:r w:rsidR="00100956" w:rsidRPr="00D14CD7">
        <w:rPr>
          <w:color w:val="000000" w:themeColor="text1"/>
        </w:rPr>
        <w:t xml:space="preserve"> in </w:t>
      </w:r>
      <w:r w:rsidR="00BE151D" w:rsidRPr="00D14CD7">
        <w:rPr>
          <w:color w:val="000000" w:themeColor="text1"/>
        </w:rPr>
        <w:t>Table 6</w:t>
      </w:r>
      <w:r w:rsidRPr="00D14CD7">
        <w:rPr>
          <w:color w:val="000000" w:themeColor="text1"/>
        </w:rPr>
        <w:t xml:space="preserve">, while the parameters of the baseline utility and satiation components of the MDC model, and the count model parameters, are organized in columns. </w:t>
      </w:r>
      <w:r w:rsidR="00E009D8" w:rsidRPr="00D14CD7">
        <w:rPr>
          <w:color w:val="000000" w:themeColor="text1"/>
        </w:rPr>
        <w:t xml:space="preserve">The </w:t>
      </w:r>
      <w:r w:rsidRPr="00D14CD7">
        <w:rPr>
          <w:color w:val="000000" w:themeColor="text1"/>
        </w:rPr>
        <w:t>parameter estimates for the MDC baseline</w:t>
      </w:r>
      <w:r w:rsidR="00581838" w:rsidRPr="00D14CD7">
        <w:rPr>
          <w:color w:val="000000" w:themeColor="text1"/>
        </w:rPr>
        <w:t xml:space="preserve"> marginal</w:t>
      </w:r>
      <w:r w:rsidRPr="00D14CD7">
        <w:rPr>
          <w:color w:val="000000" w:themeColor="text1"/>
        </w:rPr>
        <w:t xml:space="preserve"> utility present </w:t>
      </w:r>
      <w:r w:rsidRPr="00D14CD7">
        <w:rPr>
          <w:iCs/>
          <w:color w:val="000000" w:themeColor="text1"/>
        </w:rPr>
        <w:t xml:space="preserve">the impact of variables on the logarithm of the baseline preference (that is, </w:t>
      </w:r>
      <w:r w:rsidR="00D67E1C" w:rsidRPr="00D14CD7">
        <w:rPr>
          <w:iCs/>
          <w:color w:val="000000" w:themeColor="text1"/>
        </w:rPr>
        <w:t xml:space="preserve">represent </w:t>
      </w:r>
      <w:r w:rsidRPr="00D14CD7">
        <w:rPr>
          <w:iCs/>
          <w:color w:val="000000" w:themeColor="text1"/>
        </w:rPr>
        <w:t>elements of the</w:t>
      </w:r>
      <w:r w:rsidR="00DE14BD" w:rsidRPr="00D14CD7">
        <w:rPr>
          <w:iCs/>
          <w:color w:val="000000" w:themeColor="text1"/>
        </w:rPr>
        <w:t xml:space="preserve"> </w:t>
      </w:r>
      <w:r w:rsidR="0068023F" w:rsidRPr="00D14CD7">
        <w:rPr>
          <w:color w:val="000000" w:themeColor="text1"/>
          <w:position w:val="-10"/>
        </w:rPr>
        <w:object w:dxaOrig="200" w:dyaOrig="320" w14:anchorId="1494782D">
          <v:shape id="_x0000_i1122" type="#_x0000_t75" style="width:9.85pt;height:15.85pt" o:ole="" o:preferrelative="f">
            <v:imagedata r:id="rId201" o:title=""/>
            <o:lock v:ext="edit" aspectratio="f"/>
          </v:shape>
          <o:OLEObject Type="Embed" ProgID="Equation.DSMT4" ShapeID="_x0000_i1122" DrawAspect="Content" ObjectID="_1793173710" r:id="rId202"/>
        </w:object>
      </w:r>
      <w:r w:rsidR="00B45092" w:rsidRPr="00D14CD7">
        <w:rPr>
          <w:color w:val="000000" w:themeColor="text1"/>
        </w:rPr>
        <w:t xml:space="preserve"> </w:t>
      </w:r>
      <w:r w:rsidRPr="00D14CD7">
        <w:rPr>
          <w:iCs/>
          <w:color w:val="000000" w:themeColor="text1"/>
        </w:rPr>
        <w:t xml:space="preserve">vector), and </w:t>
      </w:r>
      <w:r w:rsidRPr="00D14CD7">
        <w:rPr>
          <w:color w:val="000000" w:themeColor="text1"/>
        </w:rPr>
        <w:t xml:space="preserve">accommodate heterogeneity across individuals in the baseline preference function. </w:t>
      </w:r>
      <w:r w:rsidR="005E50F3" w:rsidRPr="00D14CD7">
        <w:rPr>
          <w:color w:val="000000" w:themeColor="text1"/>
        </w:rPr>
        <w:t xml:space="preserve">The satiation model estimates (elements of </w:t>
      </w:r>
      <w:r w:rsidR="00981C92" w:rsidRPr="00D14CD7">
        <w:rPr>
          <w:color w:val="000000" w:themeColor="text1"/>
        </w:rPr>
        <w:t xml:space="preserve">the </w:t>
      </w:r>
      <w:r w:rsidR="0068023F" w:rsidRPr="00D14CD7">
        <w:rPr>
          <w:color w:val="000000" w:themeColor="text1"/>
          <w:position w:val="-10"/>
        </w:rPr>
        <w:object w:dxaOrig="200" w:dyaOrig="260" w14:anchorId="28F413AC">
          <v:shape id="_x0000_i1123" type="#_x0000_t75" style="width:10.7pt;height:13.3pt" o:ole="" o:preferrelative="f">
            <v:imagedata r:id="rId203" o:title=""/>
            <o:lock v:ext="edit" aspectratio="f"/>
          </v:shape>
          <o:OLEObject Type="Embed" ProgID="Equation.DSMT4" ShapeID="_x0000_i1123" DrawAspect="Content" ObjectID="_1793173711" r:id="rId204"/>
        </w:object>
      </w:r>
      <w:r w:rsidR="00981C92" w:rsidRPr="00D14CD7">
        <w:rPr>
          <w:color w:val="000000" w:themeColor="text1"/>
        </w:rPr>
        <w:t xml:space="preserve"> </w:t>
      </w:r>
      <w:r w:rsidR="005E50F3" w:rsidRPr="00D14CD7">
        <w:rPr>
          <w:color w:val="000000" w:themeColor="text1"/>
        </w:rPr>
        <w:t xml:space="preserve">vector), which allow for heterogeneity in the MDC satiation parameters, are also presented in </w:t>
      </w:r>
      <w:r w:rsidR="00BE151D" w:rsidRPr="00D14CD7">
        <w:rPr>
          <w:color w:val="000000" w:themeColor="text1"/>
        </w:rPr>
        <w:t>Table 6</w:t>
      </w:r>
      <w:r w:rsidR="005E50F3" w:rsidRPr="00D14CD7">
        <w:rPr>
          <w:color w:val="000000" w:themeColor="text1"/>
        </w:rPr>
        <w:t xml:space="preserve">. </w:t>
      </w:r>
      <w:r w:rsidR="00FE2BC3" w:rsidRPr="00D14CD7">
        <w:rPr>
          <w:color w:val="000000" w:themeColor="text1"/>
        </w:rPr>
        <w:t xml:space="preserve">The exogenous effects </w:t>
      </w:r>
      <w:r w:rsidR="00656F93" w:rsidRPr="00D14CD7">
        <w:rPr>
          <w:color w:val="000000" w:themeColor="text1"/>
        </w:rPr>
        <w:t xml:space="preserve">in </w:t>
      </w:r>
      <w:r w:rsidR="00FE2BC3" w:rsidRPr="00D14CD7">
        <w:rPr>
          <w:color w:val="000000" w:themeColor="text1"/>
        </w:rPr>
        <w:t xml:space="preserve">the count model correspond to </w:t>
      </w:r>
      <w:r w:rsidR="00E009D8" w:rsidRPr="00D14CD7">
        <w:rPr>
          <w:color w:val="000000" w:themeColor="text1"/>
        </w:rPr>
        <w:t xml:space="preserve">the </w:t>
      </w:r>
      <w:r w:rsidR="00FE2BC3" w:rsidRPr="00D14CD7">
        <w:rPr>
          <w:color w:val="000000" w:themeColor="text1"/>
        </w:rPr>
        <w:t xml:space="preserve">non-constant elements of the </w:t>
      </w:r>
      <w:r w:rsidR="0068023F" w:rsidRPr="00D14CD7">
        <w:rPr>
          <w:color w:val="000000" w:themeColor="text1"/>
          <w:position w:val="-6"/>
        </w:rPr>
        <w:object w:dxaOrig="260" w:dyaOrig="220" w14:anchorId="64429A64">
          <v:shape id="_x0000_i1124" type="#_x0000_t75" style="width:13.3pt;height:10.7pt" o:ole="" o:preferrelative="f">
            <v:imagedata r:id="rId205" o:title=""/>
            <o:lock v:ext="edit" aspectratio="f"/>
          </v:shape>
          <o:OLEObject Type="Embed" ProgID="Equation.DSMT4" ShapeID="_x0000_i1124" DrawAspect="Content" ObjectID="_1793173712" r:id="rId206"/>
        </w:object>
      </w:r>
      <w:r w:rsidR="00E009D8" w:rsidRPr="00D14CD7">
        <w:rPr>
          <w:color w:val="000000" w:themeColor="text1"/>
        </w:rPr>
        <w:t xml:space="preserve"> vector</w:t>
      </w:r>
      <w:r w:rsidR="00100956" w:rsidRPr="00D14CD7">
        <w:rPr>
          <w:color w:val="000000" w:themeColor="text1"/>
        </w:rPr>
        <w:t>. These represent direct effects on the count model, after accommodating any indirect effects through the linking function. In terms of the direct effects, a</w:t>
      </w:r>
      <w:r w:rsidR="00E009D8" w:rsidRPr="00D14CD7">
        <w:rPr>
          <w:color w:val="000000" w:themeColor="text1"/>
        </w:rPr>
        <w:t xml:space="preserve"> positive coefficient </w:t>
      </w:r>
      <w:r w:rsidR="00D67E1C" w:rsidRPr="00D14CD7">
        <w:rPr>
          <w:color w:val="000000" w:themeColor="text1"/>
        </w:rPr>
        <w:t xml:space="preserve">in </w:t>
      </w:r>
      <w:r w:rsidR="0068023F" w:rsidRPr="00D14CD7">
        <w:rPr>
          <w:color w:val="000000" w:themeColor="text1"/>
          <w:position w:val="-6"/>
        </w:rPr>
        <w:object w:dxaOrig="260" w:dyaOrig="220" w14:anchorId="43E60392">
          <v:shape id="_x0000_i1125" type="#_x0000_t75" style="width:13.3pt;height:10.7pt" o:ole="" o:preferrelative="f">
            <v:imagedata r:id="rId205" o:title=""/>
            <o:lock v:ext="edit" aspectratio="f"/>
          </v:shape>
          <o:OLEObject Type="Embed" ProgID="Equation.DSMT4" ShapeID="_x0000_i1125" DrawAspect="Content" ObjectID="_1793173713" r:id="rId207"/>
        </w:object>
      </w:r>
      <w:r w:rsidR="00D67E1C" w:rsidRPr="00D14CD7">
        <w:rPr>
          <w:color w:val="000000" w:themeColor="text1"/>
        </w:rPr>
        <w:t xml:space="preserve"> </w:t>
      </w:r>
      <w:r w:rsidR="00E009D8" w:rsidRPr="00D14CD7">
        <w:rPr>
          <w:color w:val="000000" w:themeColor="text1"/>
        </w:rPr>
        <w:t>shifts the threshold toward the left of the propensity scale, which has the effect of reducing the probability of the zero-</w:t>
      </w:r>
      <w:r w:rsidR="00FE2BC3" w:rsidRPr="00D14CD7">
        <w:rPr>
          <w:color w:val="000000" w:themeColor="text1"/>
        </w:rPr>
        <w:t xml:space="preserve">eat-out </w:t>
      </w:r>
      <w:r w:rsidR="00E009D8" w:rsidRPr="00D14CD7">
        <w:rPr>
          <w:color w:val="000000" w:themeColor="text1"/>
        </w:rPr>
        <w:t xml:space="preserve">outcome (increasing the overall probability of the non-zero </w:t>
      </w:r>
      <w:r w:rsidR="00FE2BC3" w:rsidRPr="00D14CD7">
        <w:rPr>
          <w:color w:val="000000" w:themeColor="text1"/>
        </w:rPr>
        <w:t xml:space="preserve">eat-out </w:t>
      </w:r>
      <w:r w:rsidR="00E009D8" w:rsidRPr="00D14CD7">
        <w:rPr>
          <w:color w:val="000000" w:themeColor="text1"/>
        </w:rPr>
        <w:t>outcome).</w:t>
      </w:r>
      <w:r w:rsidR="00E009D8" w:rsidRPr="00D14CD7">
        <w:rPr>
          <w:rStyle w:val="FootnoteReference"/>
          <w:color w:val="000000" w:themeColor="text1"/>
        </w:rPr>
        <w:footnoteReference w:id="7"/>
      </w:r>
      <w:r w:rsidR="00E009D8" w:rsidRPr="00D14CD7">
        <w:rPr>
          <w:color w:val="000000" w:themeColor="text1"/>
        </w:rPr>
        <w:t xml:space="preserve"> A negative coefficient, on the other hand, shifts the threshold toward the right of the propensity </w:t>
      </w:r>
      <w:r w:rsidR="00E009D8" w:rsidRPr="00D14CD7">
        <w:rPr>
          <w:color w:val="000000" w:themeColor="text1"/>
        </w:rPr>
        <w:lastRenderedPageBreak/>
        <w:t>scale, which has the effect of increasing the probability of the zero</w:t>
      </w:r>
      <w:r w:rsidR="00FE2BC3" w:rsidRPr="00D14CD7">
        <w:rPr>
          <w:color w:val="000000" w:themeColor="text1"/>
        </w:rPr>
        <w:t xml:space="preserve"> eat-out</w:t>
      </w:r>
      <w:r w:rsidR="00E009D8" w:rsidRPr="00D14CD7">
        <w:rPr>
          <w:color w:val="000000" w:themeColor="text1"/>
        </w:rPr>
        <w:t xml:space="preserve"> outcome (decreasing the overall probability of the non-zero outcome). </w:t>
      </w:r>
    </w:p>
    <w:p w14:paraId="1A30474F" w14:textId="0B6EEE25" w:rsidR="007E2CED" w:rsidRPr="00D14CD7" w:rsidRDefault="00656F93" w:rsidP="007E2CED">
      <w:pPr>
        <w:spacing w:after="0" w:line="240" w:lineRule="auto"/>
        <w:ind w:firstLine="720"/>
        <w:rPr>
          <w:color w:val="000000" w:themeColor="text1"/>
        </w:rPr>
      </w:pPr>
      <w:r w:rsidRPr="00D14CD7">
        <w:rPr>
          <w:color w:val="000000" w:themeColor="text1"/>
        </w:rPr>
        <w:t xml:space="preserve">The bottom of </w:t>
      </w:r>
      <w:r w:rsidR="00BE151D" w:rsidRPr="00D14CD7">
        <w:rPr>
          <w:color w:val="000000" w:themeColor="text1"/>
        </w:rPr>
        <w:t>Table 6</w:t>
      </w:r>
      <w:r w:rsidRPr="00D14CD7">
        <w:rPr>
          <w:color w:val="000000" w:themeColor="text1"/>
        </w:rPr>
        <w:t xml:space="preserve"> provides the constant estimate in the </w:t>
      </w:r>
      <w:r w:rsidR="0068023F" w:rsidRPr="00D14CD7">
        <w:rPr>
          <w:color w:val="000000" w:themeColor="text1"/>
          <w:position w:val="-6"/>
        </w:rPr>
        <w:object w:dxaOrig="260" w:dyaOrig="220" w14:anchorId="58568D13">
          <v:shape id="_x0000_i1126" type="#_x0000_t75" style="width:13.3pt;height:10.7pt" o:ole="" o:preferrelative="f">
            <v:imagedata r:id="rId205" o:title=""/>
            <o:lock v:ext="edit" aspectratio="f"/>
          </v:shape>
          <o:OLEObject Type="Embed" ProgID="Equation.DSMT4" ShapeID="_x0000_i1126" DrawAspect="Content" ObjectID="_1793173714" r:id="rId208"/>
        </w:object>
      </w:r>
      <w:r w:rsidRPr="00D14CD7">
        <w:rPr>
          <w:color w:val="000000" w:themeColor="text1"/>
        </w:rPr>
        <w:t xml:space="preserve"> vector, and the elements of the </w:t>
      </w:r>
      <w:r w:rsidR="00AC739E" w:rsidRPr="00D14CD7">
        <w:rPr>
          <w:color w:val="000000" w:themeColor="text1"/>
        </w:rPr>
        <w:t xml:space="preserve">threshold </w:t>
      </w:r>
      <w:r w:rsidRPr="00D14CD7">
        <w:rPr>
          <w:color w:val="000000" w:themeColor="text1"/>
        </w:rPr>
        <w:t xml:space="preserve">shifter terms (elements of the </w:t>
      </w:r>
      <w:r w:rsidRPr="00D14CD7">
        <w:rPr>
          <w:color w:val="000000" w:themeColor="text1"/>
          <w:position w:val="-6"/>
        </w:rPr>
        <w:object w:dxaOrig="200" w:dyaOrig="220" w14:anchorId="6D0616FA">
          <v:shape id="_x0000_i1127" type="#_x0000_t75" style="width:10.7pt;height:10.7pt" o:ole="">
            <v:imagedata r:id="rId209" o:title=""/>
          </v:shape>
          <o:OLEObject Type="Embed" ProgID="Equation.DSMT4" ShapeID="_x0000_i1127" DrawAspect="Content" ObjectID="_1793173715" r:id="rId210"/>
        </w:object>
      </w:r>
      <w:r w:rsidRPr="00D14CD7">
        <w:rPr>
          <w:color w:val="000000" w:themeColor="text1"/>
        </w:rPr>
        <w:t xml:space="preserve"> vector) embedded in the thresholds of the count model. The constant does not have any substantive interpretation, except for mapping the latent propensity optimally to the observed counts, given the coefficients on other variables embedded in the threshold function. Similarly, the </w:t>
      </w:r>
      <w:r w:rsidR="00AC739E" w:rsidRPr="00D14CD7">
        <w:rPr>
          <w:color w:val="000000" w:themeColor="text1"/>
        </w:rPr>
        <w:t xml:space="preserve">threshold shifter </w:t>
      </w:r>
      <w:r w:rsidRPr="00D14CD7">
        <w:rPr>
          <w:color w:val="000000" w:themeColor="text1"/>
        </w:rPr>
        <w:t xml:space="preserve">elements of the vector </w:t>
      </w:r>
      <w:r w:rsidRPr="00D14CD7">
        <w:rPr>
          <w:color w:val="000000" w:themeColor="text1"/>
          <w:position w:val="-6"/>
        </w:rPr>
        <w:object w:dxaOrig="200" w:dyaOrig="220" w14:anchorId="4D08ED9B">
          <v:shape id="_x0000_i1128" type="#_x0000_t75" style="width:10.7pt;height:10.7pt" o:ole="">
            <v:imagedata r:id="rId209" o:title=""/>
          </v:shape>
          <o:OLEObject Type="Embed" ProgID="Equation.DSMT4" ShapeID="_x0000_i1128" DrawAspect="Content" ObjectID="_1793173716" r:id="rId211"/>
        </w:object>
      </w:r>
      <w:r w:rsidRPr="00D14CD7">
        <w:rPr>
          <w:color w:val="000000" w:themeColor="text1"/>
        </w:rPr>
        <w:t>also do not have any substantive interpretation, though they provide flexibility in the count model to accommodate high or low probability masses for specific outcomes. In the current empirical analysis, the best specification was reached with eight threshold</w:t>
      </w:r>
      <w:r w:rsidR="00AC739E" w:rsidRPr="00D14CD7">
        <w:rPr>
          <w:color w:val="000000" w:themeColor="text1"/>
        </w:rPr>
        <w:t xml:space="preserve"> </w:t>
      </w:r>
      <w:r w:rsidRPr="00D14CD7">
        <w:rPr>
          <w:color w:val="000000" w:themeColor="text1"/>
        </w:rPr>
        <w:t xml:space="preserve">shifter terms that are listed toward the bottom of </w:t>
      </w:r>
      <w:r w:rsidR="00BE151D" w:rsidRPr="00D14CD7">
        <w:rPr>
          <w:color w:val="000000" w:themeColor="text1"/>
        </w:rPr>
        <w:t>Table 6</w:t>
      </w:r>
      <w:r w:rsidRPr="00D14CD7">
        <w:rPr>
          <w:color w:val="000000" w:themeColor="text1"/>
        </w:rPr>
        <w:t>. The large positive value for the first threshold reflects the large share of individuals who have zero monthly eat-out occasions. Also, the large negative threshold between the counts of 14</w:t>
      </w:r>
      <w:r w:rsidRPr="00D14CD7">
        <w:rPr>
          <w:color w:val="000000" w:themeColor="text1"/>
          <w:vertAlign w:val="superscript"/>
        </w:rPr>
        <w:t xml:space="preserve"> </w:t>
      </w:r>
      <w:r w:rsidRPr="00D14CD7">
        <w:rPr>
          <w:color w:val="000000" w:themeColor="text1"/>
        </w:rPr>
        <w:t xml:space="preserve">and 15 adjusts for the small share of individuals reporting 14 eat-out occasions and a rather large share reporting 15 eat-out occasions (potentially due to rounding in recollection and/or self-reporting). </w:t>
      </w:r>
      <w:r w:rsidR="00100956" w:rsidRPr="00D14CD7">
        <w:rPr>
          <w:color w:val="000000" w:themeColor="text1"/>
        </w:rPr>
        <w:t xml:space="preserve">Finally, the linking function coefficient </w:t>
      </w:r>
      <w:r w:rsidR="00AC739E" w:rsidRPr="00D14CD7">
        <w:rPr>
          <w:color w:val="000000" w:themeColor="text1"/>
        </w:rPr>
        <w:t xml:space="preserve">is normalized as discussed in Section </w:t>
      </w:r>
      <w:r w:rsidR="004D2A6C" w:rsidRPr="00D14CD7">
        <w:rPr>
          <w:color w:val="000000" w:themeColor="text1"/>
        </w:rPr>
        <w:t>5</w:t>
      </w:r>
      <w:r w:rsidR="00AC739E" w:rsidRPr="00D14CD7">
        <w:rPr>
          <w:color w:val="000000" w:themeColor="text1"/>
        </w:rPr>
        <w:t xml:space="preserve">.3, </w:t>
      </w:r>
      <w:r w:rsidRPr="00D14CD7">
        <w:rPr>
          <w:color w:val="000000" w:themeColor="text1"/>
        </w:rPr>
        <w:t xml:space="preserve">and </w:t>
      </w:r>
      <w:r w:rsidR="00B45092" w:rsidRPr="00D14CD7">
        <w:rPr>
          <w:color w:val="000000" w:themeColor="text1"/>
        </w:rPr>
        <w:t>the</w:t>
      </w:r>
      <w:r w:rsidR="00AC739E" w:rsidRPr="00D14CD7">
        <w:rPr>
          <w:color w:val="000000" w:themeColor="text1"/>
        </w:rPr>
        <w:t xml:space="preserve"> </w:t>
      </w:r>
      <w:r w:rsidRPr="00D14CD7">
        <w:rPr>
          <w:color w:val="000000" w:themeColor="text1"/>
        </w:rPr>
        <w:t xml:space="preserve">scale of the error terms in the MDC model </w:t>
      </w:r>
      <w:r w:rsidR="00AC739E" w:rsidRPr="00D14CD7">
        <w:rPr>
          <w:color w:val="000000" w:themeColor="text1"/>
        </w:rPr>
        <w:t xml:space="preserve">is estimated. These </w:t>
      </w:r>
      <w:r w:rsidRPr="00D14CD7">
        <w:rPr>
          <w:color w:val="000000" w:themeColor="text1"/>
        </w:rPr>
        <w:t>are provided toward the bottom</w:t>
      </w:r>
      <w:r w:rsidR="00AC739E" w:rsidRPr="00D14CD7">
        <w:rPr>
          <w:color w:val="000000" w:themeColor="text1"/>
        </w:rPr>
        <w:t xml:space="preserve"> of the table</w:t>
      </w:r>
      <w:r w:rsidRPr="00D14CD7">
        <w:rPr>
          <w:color w:val="000000" w:themeColor="text1"/>
        </w:rPr>
        <w:t xml:space="preserve">. Note that, because of the linking coefficient, </w:t>
      </w:r>
      <w:r w:rsidR="00100956" w:rsidRPr="00D14CD7">
        <w:rPr>
          <w:color w:val="000000" w:themeColor="text1"/>
        </w:rPr>
        <w:t>a shift in a variable that positively impacts the baseline preference or the satiation parameter of any MDC alterative (that is, increases the consumption of any MDC alternative) has the effect of increasing total eat-out count too</w:t>
      </w:r>
      <w:r w:rsidR="00246701" w:rsidRPr="00D14CD7">
        <w:rPr>
          <w:color w:val="000000" w:themeColor="text1"/>
        </w:rPr>
        <w:t xml:space="preserve">, an effect we discuss further in Section </w:t>
      </w:r>
      <w:r w:rsidR="004D2A6C" w:rsidRPr="00D14CD7">
        <w:rPr>
          <w:color w:val="000000" w:themeColor="text1"/>
        </w:rPr>
        <w:t>7</w:t>
      </w:r>
      <w:r w:rsidR="00246701" w:rsidRPr="00D14CD7">
        <w:rPr>
          <w:color w:val="000000" w:themeColor="text1"/>
        </w:rPr>
        <w:t>.2</w:t>
      </w:r>
      <w:r w:rsidR="00100956" w:rsidRPr="00D14CD7">
        <w:rPr>
          <w:color w:val="000000" w:themeColor="text1"/>
        </w:rPr>
        <w:t>. In the rest of this section, we discuss the effects of exogenous variables on the baseline preference/satiation components of the MDC model and on the total eat-out count model</w:t>
      </w:r>
      <w:r w:rsidR="00702501" w:rsidRPr="00D14CD7">
        <w:rPr>
          <w:color w:val="000000" w:themeColor="text1"/>
        </w:rPr>
        <w:t xml:space="preserve"> (to conserve on space, and also because the model estimates themselves did not show too much differences between the linked and unlinked models, we relegate the table containing the unlinked model estimates to Appendix </w:t>
      </w:r>
      <w:r w:rsidR="00BE151D" w:rsidRPr="00D14CD7">
        <w:rPr>
          <w:color w:val="000000" w:themeColor="text1"/>
        </w:rPr>
        <w:t>A</w:t>
      </w:r>
      <w:r w:rsidR="00702501" w:rsidRPr="00D14CD7">
        <w:rPr>
          <w:color w:val="000000" w:themeColor="text1"/>
        </w:rPr>
        <w:t xml:space="preserve">; however, we briefly discuss the different implications of the linked and unlinked models toward the end of Section </w:t>
      </w:r>
      <w:r w:rsidR="004D2A6C" w:rsidRPr="00D14CD7">
        <w:rPr>
          <w:color w:val="000000" w:themeColor="text1"/>
        </w:rPr>
        <w:t>7</w:t>
      </w:r>
      <w:r w:rsidR="00702501" w:rsidRPr="00D14CD7">
        <w:rPr>
          <w:color w:val="000000" w:themeColor="text1"/>
        </w:rPr>
        <w:t xml:space="preserve">.2). </w:t>
      </w:r>
    </w:p>
    <w:p w14:paraId="5EDFDD08" w14:textId="40E13162" w:rsidR="00470118" w:rsidRPr="00D14CD7" w:rsidRDefault="00100956" w:rsidP="007E2CED">
      <w:pPr>
        <w:spacing w:after="0" w:line="240" w:lineRule="auto"/>
        <w:ind w:firstLine="720"/>
        <w:rPr>
          <w:color w:val="000000" w:themeColor="text1"/>
        </w:rPr>
      </w:pPr>
      <w:r w:rsidRPr="00D14CD7">
        <w:rPr>
          <w:color w:val="000000" w:themeColor="text1"/>
        </w:rPr>
        <w:t xml:space="preserve"> </w:t>
      </w:r>
    </w:p>
    <w:p w14:paraId="7BC107FB" w14:textId="65869FAC" w:rsidR="00F1353D" w:rsidRPr="00D14CD7" w:rsidRDefault="002A24F1" w:rsidP="007E2CED">
      <w:pPr>
        <w:pStyle w:val="Heading2"/>
        <w:spacing w:before="0" w:after="0" w:line="240" w:lineRule="auto"/>
        <w:rPr>
          <w:color w:val="000000" w:themeColor="text1"/>
        </w:rPr>
      </w:pPr>
      <w:r w:rsidRPr="00D14CD7">
        <w:rPr>
          <w:color w:val="000000" w:themeColor="text1"/>
        </w:rPr>
        <w:t xml:space="preserve"> Exogenous Variable Parameter Estimates</w:t>
      </w:r>
    </w:p>
    <w:p w14:paraId="6421BFBF" w14:textId="205C2A9C" w:rsidR="00F1353D" w:rsidRPr="00D14CD7" w:rsidRDefault="003800E7" w:rsidP="007E2CED">
      <w:pPr>
        <w:pStyle w:val="Heading3"/>
        <w:spacing w:before="0" w:line="240" w:lineRule="auto"/>
        <w:rPr>
          <w:u w:val="none"/>
        </w:rPr>
      </w:pPr>
      <w:r w:rsidRPr="00D14CD7">
        <w:rPr>
          <w:u w:val="none"/>
        </w:rPr>
        <w:t xml:space="preserve"> </w:t>
      </w:r>
      <w:bookmarkStart w:id="31" w:name="_Hlk139366581"/>
      <w:r w:rsidRPr="00D14CD7">
        <w:rPr>
          <w:u w:val="none"/>
        </w:rPr>
        <w:t>Individual Demographics</w:t>
      </w:r>
    </w:p>
    <w:p w14:paraId="619F45B1" w14:textId="2E130AE8" w:rsidR="00251C39" w:rsidRPr="00D14CD7" w:rsidRDefault="0044630A" w:rsidP="007E2CED">
      <w:pPr>
        <w:spacing w:after="0" w:line="240" w:lineRule="auto"/>
        <w:rPr>
          <w:color w:val="000000" w:themeColor="text1"/>
        </w:rPr>
      </w:pPr>
      <w:r w:rsidRPr="00D14CD7">
        <w:rPr>
          <w:color w:val="000000" w:themeColor="text1"/>
        </w:rPr>
        <w:t xml:space="preserve">Based on the MDC component results in </w:t>
      </w:r>
      <w:r w:rsidR="00BE151D" w:rsidRPr="00D14CD7">
        <w:rPr>
          <w:color w:val="000000" w:themeColor="text1"/>
        </w:rPr>
        <w:t>Table 6</w:t>
      </w:r>
      <w:r w:rsidRPr="00D14CD7">
        <w:rPr>
          <w:color w:val="000000" w:themeColor="text1"/>
        </w:rPr>
        <w:t>, middle-aged (49-64 years) and senior adults</w:t>
      </w:r>
      <w:r w:rsidR="003E016D" w:rsidRPr="00D14CD7">
        <w:rPr>
          <w:color w:val="000000" w:themeColor="text1"/>
        </w:rPr>
        <w:t xml:space="preserve"> </w:t>
      </w:r>
      <w:r w:rsidRPr="00D14CD7">
        <w:rPr>
          <w:color w:val="000000" w:themeColor="text1"/>
        </w:rPr>
        <w:t xml:space="preserve">(65 years or older), relative to their younger peers, </w:t>
      </w:r>
      <w:r w:rsidR="00D67E1C" w:rsidRPr="00D14CD7">
        <w:rPr>
          <w:color w:val="000000" w:themeColor="text1"/>
        </w:rPr>
        <w:t xml:space="preserve">generally </w:t>
      </w:r>
      <w:r w:rsidR="003E016D" w:rsidRPr="00D14CD7">
        <w:rPr>
          <w:color w:val="000000" w:themeColor="text1"/>
        </w:rPr>
        <w:t>exhib</w:t>
      </w:r>
      <w:r w:rsidRPr="00D14CD7">
        <w:rPr>
          <w:color w:val="000000" w:themeColor="text1"/>
        </w:rPr>
        <w:t xml:space="preserve">it </w:t>
      </w:r>
      <w:r w:rsidR="00A34C9A" w:rsidRPr="00D14CD7">
        <w:rPr>
          <w:color w:val="000000" w:themeColor="text1"/>
        </w:rPr>
        <w:t>a reduced preference</w:t>
      </w:r>
      <w:r w:rsidR="003E016D" w:rsidRPr="00D14CD7">
        <w:rPr>
          <w:color w:val="000000" w:themeColor="text1"/>
        </w:rPr>
        <w:t xml:space="preserve"> </w:t>
      </w:r>
      <w:r w:rsidR="00A34C9A" w:rsidRPr="00D14CD7">
        <w:rPr>
          <w:color w:val="000000" w:themeColor="text1"/>
        </w:rPr>
        <w:t xml:space="preserve">for </w:t>
      </w:r>
      <w:r w:rsidR="003E016D" w:rsidRPr="00D14CD7">
        <w:rPr>
          <w:color w:val="000000" w:themeColor="text1"/>
        </w:rPr>
        <w:t>quick service restaurants (QSRs), coffee houses (CHs), and casual service restaurants (CSRs)</w:t>
      </w:r>
      <w:r w:rsidRPr="00D14CD7">
        <w:rPr>
          <w:color w:val="000000" w:themeColor="text1"/>
        </w:rPr>
        <w:t>, a</w:t>
      </w:r>
      <w:r w:rsidR="003E016D" w:rsidRPr="00D14CD7">
        <w:rPr>
          <w:color w:val="000000" w:themeColor="text1"/>
        </w:rPr>
        <w:t xml:space="preserve"> relationship</w:t>
      </w:r>
      <w:r w:rsidRPr="00D14CD7">
        <w:rPr>
          <w:color w:val="000000" w:themeColor="text1"/>
        </w:rPr>
        <w:t xml:space="preserve"> that </w:t>
      </w:r>
      <w:r w:rsidR="00FB7281" w:rsidRPr="00D14CD7">
        <w:rPr>
          <w:color w:val="000000" w:themeColor="text1"/>
        </w:rPr>
        <w:t xml:space="preserve">is </w:t>
      </w:r>
      <w:r w:rsidRPr="00D14CD7">
        <w:rPr>
          <w:color w:val="000000" w:themeColor="text1"/>
        </w:rPr>
        <w:t xml:space="preserve">consistent with earlier </w:t>
      </w:r>
      <w:r w:rsidR="00FB7281" w:rsidRPr="00D14CD7">
        <w:rPr>
          <w:color w:val="000000" w:themeColor="text1"/>
        </w:rPr>
        <w:t xml:space="preserve">studies </w:t>
      </w:r>
      <w:r w:rsidR="00662FDE" w:rsidRPr="00D14CD7">
        <w:rPr>
          <w:color w:val="000000" w:themeColor="text1"/>
        </w:rPr>
        <w:t>(see</w:t>
      </w:r>
      <w:r w:rsidR="00DB53B5" w:rsidRPr="00D14CD7">
        <w:rPr>
          <w:color w:val="000000" w:themeColor="text1"/>
        </w:rPr>
        <w:t>,</w:t>
      </w:r>
      <w:r w:rsidR="00662FDE" w:rsidRPr="00D14CD7">
        <w:rPr>
          <w:color w:val="000000" w:themeColor="text1"/>
        </w:rPr>
        <w:t xml:space="preserve"> for example</w:t>
      </w:r>
      <w:r w:rsidR="00DB53B5" w:rsidRPr="00D14CD7">
        <w:rPr>
          <w:color w:val="000000" w:themeColor="text1"/>
        </w:rPr>
        <w:t>,</w:t>
      </w:r>
      <w:r w:rsidR="00354E94" w:rsidRPr="00D14CD7">
        <w:rPr>
          <w:color w:val="000000" w:themeColor="text1"/>
        </w:rPr>
        <w:t xml:space="preserve"> </w:t>
      </w:r>
      <w:r w:rsidR="00354E94" w:rsidRPr="00D14CD7">
        <w:rPr>
          <w:color w:val="000000" w:themeColor="text1"/>
        </w:rPr>
        <w:fldChar w:fldCharType="begin"/>
      </w:r>
      <w:r w:rsidR="00354E94" w:rsidRPr="00D14CD7">
        <w:rPr>
          <w:color w:val="000000" w:themeColor="text1"/>
        </w:rPr>
        <w:instrText xml:space="preserve"> ADDIN ZOTERO_ITEM CSL_CITATION {"citationID":"SzWqOB2j","properties":{"formattedCitation":"(Fryar et al., 2018; Slack et al., 2021; Wolfson &amp; Bleich, 2015)","plainCitation":"(Fryar et al., 2018; Slack et al., 2021; Wolfson &amp; Bleich, 2015)","dontUpdate":true,"noteIndex":0},"citationItems":[{"id":1012,"uris":["http://zotero.org/users/9292995/items/MKXL85HK"],"itemData":{"id":1012,"type":"article-journal","container-title":"NCHS Data Brief, no 322","title":"Fast food consumption among adults in the United States, 2013–2016","URL":"https://www.cdc.gov/nchs/data/databriefs/db322-h.pdf","author":[{"family":"Fryar","given":"Cheryl D"},{"family":"Hughes","given":"Jeffery P"},{"family":"Herrick","given":"Kirsten A"},{"family":"Ahluwalia","given":"Namanjeet"}],"issued":{"date-parts":[["2018"]]}}},{"id":1015,"uris":["http://zotero.org/users/9292995/items/C3QYG6Z8"],"itemData":{"id":1015,"type":"article-journal","container-title":"British Food Journal","ISSN":"0007-070X","issue":"4","journalAbbreviation":"British Food Journal","note":"publisher: Emerald Publishing Limited","page":"1324-1344","title":"Influence of fast-food restaurant service quality and its dimensions on customer perceived value, satisfaction and behavioural intentions","volume":"123","author":[{"family":"Slack","given":"Neale J"},{"family":"Singh","given":"Gurmeet"},{"family":"Ali","given":"Jazbeen"},{"family":"Lata","given":"Reshma"},{"family":"Mudaliar","given":"Karishma"},{"family":"Swamy","given":"Yogita"}],"issued":{"date-parts":[["2021"]]}}},{"id":1013,"uris":["http://zotero.org/users/9292995/items/LQHFAABJ"],"itemData":{"id":1013,"type":"article-journal","container-title":"Public health nutrition","ISSN":"1368-9800","issue":"8","journalAbbreviation":"Public health nutrition","note":"publisher: Cambridge University Press","page":"1397-1406","title":"Is cooking at home associated with better diet quality or weight-loss intention?","volume":"18","author":[{"family":"Wolfson","given":"Julia A"},{"family":"Bleich","given":"Sara N"}],"issued":{"date-parts":[["2015"]]}}}],"schema":"https://github.com/citation-style-language/schema/raw/master/csl-citation.json"} </w:instrText>
      </w:r>
      <w:r w:rsidR="00354E94" w:rsidRPr="00D14CD7">
        <w:rPr>
          <w:color w:val="000000" w:themeColor="text1"/>
        </w:rPr>
        <w:fldChar w:fldCharType="separate"/>
      </w:r>
      <w:r w:rsidR="00354E94" w:rsidRPr="00D14CD7">
        <w:rPr>
          <w:color w:val="000000" w:themeColor="text1"/>
        </w:rPr>
        <w:t>Fryar et al., 2018, Slack et al., 2021, and Wolfson and Bleich, 2015)</w:t>
      </w:r>
      <w:r w:rsidR="00354E94" w:rsidRPr="00D14CD7">
        <w:rPr>
          <w:color w:val="000000" w:themeColor="text1"/>
        </w:rPr>
        <w:fldChar w:fldCharType="end"/>
      </w:r>
      <w:r w:rsidR="006D58FD" w:rsidRPr="00D14CD7">
        <w:rPr>
          <w:color w:val="000000" w:themeColor="text1"/>
        </w:rPr>
        <w:t xml:space="preserve">. For </w:t>
      </w:r>
      <w:r w:rsidR="00A34C9A" w:rsidRPr="00D14CD7">
        <w:rPr>
          <w:color w:val="000000" w:themeColor="text1"/>
        </w:rPr>
        <w:t>instance</w:t>
      </w:r>
      <w:r w:rsidR="006D58FD" w:rsidRPr="00D14CD7">
        <w:rPr>
          <w:color w:val="000000" w:themeColor="text1"/>
        </w:rPr>
        <w:t xml:space="preserve">, </w:t>
      </w:r>
      <w:r w:rsidR="006F12C7" w:rsidRPr="00D14CD7">
        <w:rPr>
          <w:color w:val="000000" w:themeColor="text1"/>
        </w:rPr>
        <w:t xml:space="preserve">Fryar et al. (2018) examined fast food consumption in American adults using National Health and Nutrition Examination Survey (NHANES) data between </w:t>
      </w:r>
      <w:r w:rsidR="00E25CD3" w:rsidRPr="00D14CD7">
        <w:rPr>
          <w:color w:val="000000" w:themeColor="text1"/>
        </w:rPr>
        <w:t xml:space="preserve">the </w:t>
      </w:r>
      <w:r w:rsidR="006F12C7" w:rsidRPr="00D14CD7">
        <w:rPr>
          <w:color w:val="000000" w:themeColor="text1"/>
        </w:rPr>
        <w:t>years 2013 and 2016 and found that</w:t>
      </w:r>
      <w:r w:rsidR="006D58FD" w:rsidRPr="00D14CD7">
        <w:rPr>
          <w:color w:val="000000" w:themeColor="text1"/>
        </w:rPr>
        <w:t xml:space="preserve"> </w:t>
      </w:r>
      <w:r w:rsidR="00662FDE" w:rsidRPr="00D14CD7">
        <w:rPr>
          <w:color w:val="000000" w:themeColor="text1"/>
        </w:rPr>
        <w:t>44.9% of younger adults aged 20-39 reported consuming fast food, compared to 37.7% of middle-aged adults</w:t>
      </w:r>
      <w:r w:rsidR="00E25CD3" w:rsidRPr="00D14CD7">
        <w:rPr>
          <w:color w:val="000000" w:themeColor="text1"/>
        </w:rPr>
        <w:t>,</w:t>
      </w:r>
      <w:r w:rsidR="00662FDE" w:rsidRPr="00D14CD7">
        <w:rPr>
          <w:color w:val="000000" w:themeColor="text1"/>
        </w:rPr>
        <w:t xml:space="preserve"> and only 24.1% of older adults aged 60 and over.</w:t>
      </w:r>
      <w:r w:rsidR="004C10C3" w:rsidRPr="00D14CD7">
        <w:rPr>
          <w:color w:val="000000" w:themeColor="text1"/>
        </w:rPr>
        <w:t xml:space="preserve"> Possible reasons for this </w:t>
      </w:r>
      <w:r w:rsidRPr="00D14CD7">
        <w:rPr>
          <w:color w:val="000000" w:themeColor="text1"/>
        </w:rPr>
        <w:t xml:space="preserve">age-related effect </w:t>
      </w:r>
      <w:r w:rsidR="004C10C3" w:rsidRPr="00D14CD7">
        <w:rPr>
          <w:color w:val="000000" w:themeColor="text1"/>
        </w:rPr>
        <w:t xml:space="preserve">include </w:t>
      </w:r>
      <w:r w:rsidR="00F264C7" w:rsidRPr="00D14CD7">
        <w:rPr>
          <w:color w:val="000000" w:themeColor="text1"/>
        </w:rPr>
        <w:t>concerns over health and nutrition</w:t>
      </w:r>
      <w:r w:rsidR="00045F23" w:rsidRPr="00D14CD7">
        <w:rPr>
          <w:color w:val="000000" w:themeColor="text1"/>
        </w:rPr>
        <w:t xml:space="preserve"> </w:t>
      </w:r>
      <w:r w:rsidR="00354E94" w:rsidRPr="00D14CD7">
        <w:rPr>
          <w:color w:val="000000" w:themeColor="text1"/>
        </w:rPr>
        <w:fldChar w:fldCharType="begin"/>
      </w:r>
      <w:r w:rsidR="00354E94" w:rsidRPr="00D14CD7">
        <w:rPr>
          <w:color w:val="000000" w:themeColor="text1"/>
        </w:rPr>
        <w:instrText xml:space="preserve"> ADDIN ZOTERO_ITEM CSL_CITATION {"citationID":"AGm1KR07","properties":{"formattedCitation":"(Hiza et al., 2013)","plainCitation":"(Hiza et al., 2013)","noteIndex":0},"citationItems":[{"id":510,"uris":["http://zotero.org/users/9292995/items/FSD7EGCL"],"itemData":{"id":510,"type":"article-journal","container-title":"Journal of the Academy of Nutrition and Dietetics","ISSN":"2212-2672","issue":"2","journalAbbreviation":"Journal of the Academy of Nutrition and Dietetics","note":"publisher: Elsevier","page":"297-306","title":"Diet quality of Americans differs by age, sex, race/ethnicity, income, and education level","volume":"113","author":[{"family":"Hiza","given":"Hazel AB"},{"family":"Casavale","given":"Kellie O"},{"family":"Guenther","given":"Patricia M"},{"family":"Davis","given":"Carole A"}],"issued":{"date-parts":[["2013"]]}}}],"schema":"https://github.com/citation-style-language/schema/raw/master/csl-citation.json"} </w:instrText>
      </w:r>
      <w:r w:rsidR="00354E94" w:rsidRPr="00D14CD7">
        <w:rPr>
          <w:color w:val="000000" w:themeColor="text1"/>
        </w:rPr>
        <w:fldChar w:fldCharType="separate"/>
      </w:r>
      <w:r w:rsidR="00354E94" w:rsidRPr="00D14CD7">
        <w:rPr>
          <w:color w:val="000000" w:themeColor="text1"/>
        </w:rPr>
        <w:t>(</w:t>
      </w:r>
      <w:r w:rsidR="009678B0" w:rsidRPr="00D14CD7">
        <w:rPr>
          <w:color w:val="000000" w:themeColor="text1"/>
        </w:rPr>
        <w:t xml:space="preserve">Hiza </w:t>
      </w:r>
      <w:r w:rsidR="00354E94" w:rsidRPr="00D14CD7">
        <w:rPr>
          <w:color w:val="000000" w:themeColor="text1"/>
        </w:rPr>
        <w:t>et al., 2013)</w:t>
      </w:r>
      <w:r w:rsidR="00354E94" w:rsidRPr="00D14CD7">
        <w:rPr>
          <w:color w:val="000000" w:themeColor="text1"/>
        </w:rPr>
        <w:fldChar w:fldCharType="end"/>
      </w:r>
      <w:r w:rsidR="00F264C7" w:rsidRPr="00D14CD7">
        <w:rPr>
          <w:color w:val="000000" w:themeColor="text1"/>
        </w:rPr>
        <w:t>, as well as a preference for higher quality and more socially-oriented dining experiences</w:t>
      </w:r>
      <w:r w:rsidR="00354E94" w:rsidRPr="00D14CD7">
        <w:rPr>
          <w:color w:val="000000" w:themeColor="text1"/>
        </w:rPr>
        <w:t xml:space="preserve"> </w:t>
      </w:r>
      <w:r w:rsidR="00354E94" w:rsidRPr="00D14CD7">
        <w:rPr>
          <w:color w:val="000000" w:themeColor="text1"/>
        </w:rPr>
        <w:fldChar w:fldCharType="begin"/>
      </w:r>
      <w:r w:rsidR="00354E94" w:rsidRPr="00D14CD7">
        <w:rPr>
          <w:color w:val="000000" w:themeColor="text1"/>
        </w:rPr>
        <w:instrText xml:space="preserve"> ADDIN ZOTERO_ITEM CSL_CITATION {"citationID":"5QzxUKSQ","properties":{"formattedCitation":"(Harrington et al., 2011)","plainCitation":"(Harrington et al., 2011)","noteIndex":0},"citationItems":[{"id":464,"uris":["http://zotero.org/users/9292995/items/KBD676EZ"],"itemData":{"id":464,"type":"article-journal","container-title":"Journal of Foodservice Business Research","ISSN":"1537-8020","issue":"3","journalAbbreviation":"Journal of Foodservice Business Research","note":"publisher: Taylor &amp; Francis","page":"272-289","title":"Fine-dining restaurant selection: Direct and moderating effects of customer attributes","volume":"14","author":[{"family":"Harrington","given":"Robert J"},{"family":"Ottenbacher","given":"Michael C"},{"family":"Kendall","given":"KW"}],"issued":{"date-parts":[["2011"]]}}}],"schema":"https://github.com/citation-style-language/schema/raw/master/csl-citation.json"} </w:instrText>
      </w:r>
      <w:r w:rsidR="00354E94" w:rsidRPr="00D14CD7">
        <w:rPr>
          <w:color w:val="000000" w:themeColor="text1"/>
        </w:rPr>
        <w:fldChar w:fldCharType="separate"/>
      </w:r>
      <w:r w:rsidR="00354E94" w:rsidRPr="00D14CD7">
        <w:rPr>
          <w:color w:val="000000" w:themeColor="text1"/>
        </w:rPr>
        <w:t>(Harrington et al., 2011)</w:t>
      </w:r>
      <w:r w:rsidR="00354E94" w:rsidRPr="00D14CD7">
        <w:rPr>
          <w:color w:val="000000" w:themeColor="text1"/>
        </w:rPr>
        <w:fldChar w:fldCharType="end"/>
      </w:r>
      <w:r w:rsidR="00F264C7" w:rsidRPr="00D14CD7">
        <w:rPr>
          <w:color w:val="000000" w:themeColor="text1"/>
        </w:rPr>
        <w:t>.</w:t>
      </w:r>
      <w:r w:rsidR="00A34C9A" w:rsidRPr="00D14CD7">
        <w:rPr>
          <w:color w:val="000000" w:themeColor="text1"/>
        </w:rPr>
        <w:t xml:space="preserve"> </w:t>
      </w:r>
      <w:r w:rsidR="00E34C14" w:rsidRPr="00D14CD7">
        <w:rPr>
          <w:color w:val="000000" w:themeColor="text1"/>
        </w:rPr>
        <w:t xml:space="preserve">Additionally, our results regarding </w:t>
      </w:r>
      <w:r w:rsidR="00E25CD3" w:rsidRPr="00D14CD7">
        <w:rPr>
          <w:color w:val="000000" w:themeColor="text1"/>
        </w:rPr>
        <w:t>CH</w:t>
      </w:r>
      <w:r w:rsidR="00E34C14" w:rsidRPr="00D14CD7">
        <w:rPr>
          <w:color w:val="000000" w:themeColor="text1"/>
        </w:rPr>
        <w:t xml:space="preserve"> preferences align with the findings of the National Coffee Association, which indicate that younger generations are more interested in specialized coffee houses </w:t>
      </w:r>
      <w:r w:rsidR="007E5293" w:rsidRPr="00D14CD7">
        <w:rPr>
          <w:color w:val="000000" w:themeColor="text1"/>
        </w:rPr>
        <w:t xml:space="preserve">that </w:t>
      </w:r>
      <w:r w:rsidR="00E34C14" w:rsidRPr="00D14CD7">
        <w:rPr>
          <w:color w:val="000000" w:themeColor="text1"/>
        </w:rPr>
        <w:t xml:space="preserve">offer innovative and premium coffee products </w:t>
      </w:r>
      <w:r w:rsidR="00E25CD3" w:rsidRPr="00D14CD7">
        <w:rPr>
          <w:color w:val="000000" w:themeColor="text1"/>
        </w:rPr>
        <w:t>compared to</w:t>
      </w:r>
      <w:r w:rsidR="00E34C14" w:rsidRPr="00D14CD7">
        <w:rPr>
          <w:color w:val="000000" w:themeColor="text1"/>
        </w:rPr>
        <w:t xml:space="preserve"> older generations</w:t>
      </w:r>
      <w:r w:rsidR="00354E94" w:rsidRPr="00D14CD7">
        <w:rPr>
          <w:color w:val="000000" w:themeColor="text1"/>
        </w:rPr>
        <w:t xml:space="preserve"> </w:t>
      </w:r>
      <w:r w:rsidR="00354E94" w:rsidRPr="00D14CD7">
        <w:rPr>
          <w:color w:val="000000" w:themeColor="text1"/>
        </w:rPr>
        <w:fldChar w:fldCharType="begin"/>
      </w:r>
      <w:r w:rsidR="00354E94" w:rsidRPr="00D14CD7">
        <w:rPr>
          <w:color w:val="000000" w:themeColor="text1"/>
        </w:rPr>
        <w:instrText xml:space="preserve"> ADDIN ZOTERO_ITEM CSL_CITATION {"citationID":"PDYeLtTx","properties":{"formattedCitation":"(National Coffee Association, 2020)","plainCitation":"(National Coffee Association, 2020)","noteIndex":0},"citationItems":[{"id":1018,"uris":["http://zotero.org/users/9292995/items/A3VRHAAD"],"itemData":{"id":1018,"type":"webpage","title":"National Coffee Data Trends (NCDT) report","URL":"https://www.ncausa.org/newsroom/nca-releases-atlas-of-american-coffee","author":[{"literal":"National Coffee Association"}],"accessed":{"date-parts":[["2023",2,25]]},"issued":{"date-parts":[["2020"]]}}}],"schema":"https://github.com/citation-style-language/schema/raw/master/csl-citation.json"} </w:instrText>
      </w:r>
      <w:r w:rsidR="00354E94" w:rsidRPr="00D14CD7">
        <w:rPr>
          <w:color w:val="000000" w:themeColor="text1"/>
        </w:rPr>
        <w:fldChar w:fldCharType="separate"/>
      </w:r>
      <w:r w:rsidR="00354E94" w:rsidRPr="00D14CD7">
        <w:rPr>
          <w:color w:val="000000" w:themeColor="text1"/>
        </w:rPr>
        <w:t>(National Coffee Association, 2020)</w:t>
      </w:r>
      <w:r w:rsidR="00354E94" w:rsidRPr="00D14CD7">
        <w:rPr>
          <w:color w:val="000000" w:themeColor="text1"/>
        </w:rPr>
        <w:fldChar w:fldCharType="end"/>
      </w:r>
      <w:r w:rsidR="00354E94" w:rsidRPr="00D14CD7">
        <w:rPr>
          <w:color w:val="000000" w:themeColor="text1"/>
        </w:rPr>
        <w:t xml:space="preserve">. </w:t>
      </w:r>
      <w:r w:rsidR="00E34C14" w:rsidRPr="00D14CD7">
        <w:rPr>
          <w:color w:val="000000" w:themeColor="text1"/>
        </w:rPr>
        <w:t>In addition to offering food and beverage, CHs also serve as a popular third workplace location</w:t>
      </w:r>
      <w:r w:rsidR="00354E94" w:rsidRPr="00D14CD7">
        <w:rPr>
          <w:color w:val="000000" w:themeColor="text1"/>
        </w:rPr>
        <w:t xml:space="preserve"> </w:t>
      </w:r>
      <w:r w:rsidR="00354E94" w:rsidRPr="00D14CD7">
        <w:rPr>
          <w:color w:val="000000" w:themeColor="text1"/>
        </w:rPr>
        <w:fldChar w:fldCharType="begin"/>
      </w:r>
      <w:r w:rsidR="00354E94" w:rsidRPr="00D14CD7">
        <w:rPr>
          <w:color w:val="000000" w:themeColor="text1"/>
        </w:rPr>
        <w:instrText xml:space="preserve"> ADDIN ZOTERO_ITEM CSL_CITATION {"citationID":"lNp6gIjZ","properties":{"formattedCitation":"(Ferreira et al., 2021)","plainCitation":"(Ferreira et al., 2021)","noteIndex":0},"citationItems":[{"id":1021,"uris":["http://zotero.org/users/9292995/items/CTQB8J4E"],"itemData":{"id":1021,"type":"article-journal","container-title":"Geoforum","ISSN":"0016-7185","journalAbbreviation":"Geoforum","note":"publisher: Elsevier","page":"21-29","title":"Spaces of consumption, connection, and community: Exploring the role of the coffee shop in urban lives","volume":"119","author":[{"family":"Ferreira","given":"Jennifer"},{"family":"Ferreira","given":"Carlos"},{"family":"Bos","given":"Elizabeth"}],"issued":{"date-parts":[["2021"]]}}}],"schema":"https://github.com/citation-style-language/schema/raw/master/csl-citation.json"} </w:instrText>
      </w:r>
      <w:r w:rsidR="00354E94" w:rsidRPr="00D14CD7">
        <w:rPr>
          <w:color w:val="000000" w:themeColor="text1"/>
        </w:rPr>
        <w:fldChar w:fldCharType="separate"/>
      </w:r>
      <w:r w:rsidR="00354E94" w:rsidRPr="00D14CD7">
        <w:rPr>
          <w:color w:val="000000" w:themeColor="text1"/>
        </w:rPr>
        <w:t>(Ferreira et al., 2021)</w:t>
      </w:r>
      <w:r w:rsidR="00354E94" w:rsidRPr="00D14CD7">
        <w:rPr>
          <w:color w:val="000000" w:themeColor="text1"/>
        </w:rPr>
        <w:fldChar w:fldCharType="end"/>
      </w:r>
      <w:r w:rsidR="00E34C14" w:rsidRPr="00D14CD7">
        <w:rPr>
          <w:color w:val="000000" w:themeColor="text1"/>
        </w:rPr>
        <w:t xml:space="preserve">. </w:t>
      </w:r>
      <w:r w:rsidR="00DA3EEA" w:rsidRPr="00D14CD7">
        <w:rPr>
          <w:color w:val="000000" w:themeColor="text1"/>
        </w:rPr>
        <w:t xml:space="preserve">Interestingly, middle-aged and senior adults have less satiation in CSR consumption (higher CSR monthly participation occasions) if they partake at all in CSR consumption. In terms of the total eat-out count model, the </w:t>
      </w:r>
      <w:r w:rsidR="00443D1E" w:rsidRPr="00D14CD7">
        <w:rPr>
          <w:color w:val="000000" w:themeColor="text1"/>
        </w:rPr>
        <w:t>absence of a</w:t>
      </w:r>
      <w:r w:rsidR="00D67E1C" w:rsidRPr="00D14CD7">
        <w:rPr>
          <w:color w:val="000000" w:themeColor="text1"/>
        </w:rPr>
        <w:t xml:space="preserve"> direct</w:t>
      </w:r>
      <w:r w:rsidR="00DA3EEA" w:rsidRPr="00D14CD7">
        <w:rPr>
          <w:color w:val="000000" w:themeColor="text1"/>
        </w:rPr>
        <w:t xml:space="preserve"> </w:t>
      </w:r>
      <w:r w:rsidR="00443D1E" w:rsidRPr="00D14CD7">
        <w:rPr>
          <w:color w:val="000000" w:themeColor="text1"/>
        </w:rPr>
        <w:t xml:space="preserve">association between age and the frequency of </w:t>
      </w:r>
      <w:r w:rsidR="00443D1E" w:rsidRPr="00D14CD7">
        <w:rPr>
          <w:color w:val="000000" w:themeColor="text1"/>
        </w:rPr>
        <w:lastRenderedPageBreak/>
        <w:t xml:space="preserve">eating out </w:t>
      </w:r>
      <w:r w:rsidR="00AA7DFD" w:rsidRPr="00D14CD7">
        <w:rPr>
          <w:color w:val="000000" w:themeColor="text1"/>
        </w:rPr>
        <w:t xml:space="preserve">may be indicative of </w:t>
      </w:r>
      <w:r w:rsidR="007E5293" w:rsidRPr="00D14CD7">
        <w:rPr>
          <w:color w:val="000000" w:themeColor="text1"/>
        </w:rPr>
        <w:t>dining out becom</w:t>
      </w:r>
      <w:r w:rsidR="00AA7DFD" w:rsidRPr="00D14CD7">
        <w:rPr>
          <w:color w:val="000000" w:themeColor="text1"/>
        </w:rPr>
        <w:t>ing</w:t>
      </w:r>
      <w:r w:rsidR="007E5293" w:rsidRPr="00D14CD7">
        <w:rPr>
          <w:color w:val="000000" w:themeColor="text1"/>
        </w:rPr>
        <w:t xml:space="preserve"> an integral part of modern-day life fo</w:t>
      </w:r>
      <w:r w:rsidR="00DA3EEA" w:rsidRPr="00D14CD7">
        <w:rPr>
          <w:color w:val="000000" w:themeColor="text1"/>
        </w:rPr>
        <w:t>r</w:t>
      </w:r>
      <w:r w:rsidR="007E5293" w:rsidRPr="00D14CD7">
        <w:rPr>
          <w:color w:val="000000" w:themeColor="text1"/>
        </w:rPr>
        <w:t xml:space="preserve"> individuals, irrespective of age</w:t>
      </w:r>
      <w:r w:rsidR="00354E94" w:rsidRPr="00D14CD7">
        <w:rPr>
          <w:color w:val="000000" w:themeColor="text1"/>
        </w:rPr>
        <w:t xml:space="preserve"> </w:t>
      </w:r>
      <w:r w:rsidR="00354E94" w:rsidRPr="00D14CD7">
        <w:rPr>
          <w:color w:val="000000" w:themeColor="text1"/>
        </w:rPr>
        <w:fldChar w:fldCharType="begin"/>
      </w:r>
      <w:r w:rsidR="00354E94" w:rsidRPr="00D14CD7">
        <w:rPr>
          <w:color w:val="000000" w:themeColor="text1"/>
        </w:rPr>
        <w:instrText xml:space="preserve"> ADDIN ZOTERO_ITEM CSL_CITATION {"citationID":"U2BcnkfR","properties":{"formattedCitation":"(Haddad et al., 2023)","plainCitation":"(Haddad et al., 2023)","noteIndex":0},"citationItems":[{"id":1011,"uris":["http://zotero.org/users/9292995/items/ZSZAYP89"],"itemData":{"id":1011,"type":"article-journal","container-title":"Transportation Research Part C: Emerging Technologies","ISSN":"0968-090X","journalAbbreviation":"Transportation Research Part C: Emerging Technologies","note":"publisher: Elsevier","page":"104016","title":"Eat-in or eat-out? A joint model to analyze the new landscape of dinner meal preferences","volume":"147","author":[{"family":"Haddad","given":"Angela J"},{"family":"Mondal","given":"Aupal"},{"family":"Bhat","given":"Chandra R"}],"issued":{"date-parts":[["2023"]]}}}],"schema":"https://github.com/citation-style-language/schema/raw/master/csl-citation.json"} </w:instrText>
      </w:r>
      <w:r w:rsidR="00354E94" w:rsidRPr="00D14CD7">
        <w:rPr>
          <w:color w:val="000000" w:themeColor="text1"/>
        </w:rPr>
        <w:fldChar w:fldCharType="separate"/>
      </w:r>
      <w:r w:rsidR="00354E94" w:rsidRPr="00D14CD7">
        <w:rPr>
          <w:color w:val="000000" w:themeColor="text1"/>
        </w:rPr>
        <w:t>(Haddad et al., 2023)</w:t>
      </w:r>
      <w:r w:rsidR="00354E94" w:rsidRPr="00D14CD7">
        <w:rPr>
          <w:color w:val="000000" w:themeColor="text1"/>
        </w:rPr>
        <w:fldChar w:fldCharType="end"/>
      </w:r>
      <w:r w:rsidR="00DA3EEA" w:rsidRPr="00D14CD7">
        <w:rPr>
          <w:color w:val="000000" w:themeColor="text1"/>
        </w:rPr>
        <w:t>.</w:t>
      </w:r>
    </w:p>
    <w:p w14:paraId="3EE4E64C" w14:textId="2B963DE0" w:rsidR="00DC0DF6" w:rsidRPr="00D14CD7" w:rsidRDefault="00DA3EEA" w:rsidP="007E2CED">
      <w:pPr>
        <w:spacing w:after="0" w:line="240" w:lineRule="auto"/>
        <w:ind w:firstLine="720"/>
        <w:rPr>
          <w:color w:val="000000" w:themeColor="text1"/>
        </w:rPr>
      </w:pPr>
      <w:r w:rsidRPr="00D14CD7">
        <w:rPr>
          <w:color w:val="000000" w:themeColor="text1"/>
        </w:rPr>
        <w:t>The race-based effect</w:t>
      </w:r>
      <w:r w:rsidR="00DC0DF6" w:rsidRPr="00D14CD7">
        <w:rPr>
          <w:color w:val="000000" w:themeColor="text1"/>
        </w:rPr>
        <w:t>s</w:t>
      </w:r>
      <w:r w:rsidRPr="00D14CD7">
        <w:rPr>
          <w:color w:val="000000" w:themeColor="text1"/>
        </w:rPr>
        <w:t xml:space="preserve"> </w:t>
      </w:r>
      <w:r w:rsidR="00EA4DC4" w:rsidRPr="00D14CD7">
        <w:rPr>
          <w:color w:val="000000" w:themeColor="text1"/>
        </w:rPr>
        <w:t xml:space="preserve">reveal </w:t>
      </w:r>
      <w:r w:rsidR="00AA7DFD" w:rsidRPr="00D14CD7">
        <w:rPr>
          <w:color w:val="000000" w:themeColor="text1"/>
        </w:rPr>
        <w:t xml:space="preserve">a lower inclination to dine out at </w:t>
      </w:r>
      <w:r w:rsidR="00E7628F" w:rsidRPr="00D14CD7">
        <w:rPr>
          <w:color w:val="000000" w:themeColor="text1"/>
        </w:rPr>
        <w:t xml:space="preserve">the CSR segment </w:t>
      </w:r>
      <w:r w:rsidR="00AA7DFD" w:rsidRPr="00D14CD7">
        <w:rPr>
          <w:color w:val="000000" w:themeColor="text1"/>
        </w:rPr>
        <w:t xml:space="preserve">for people of color </w:t>
      </w:r>
      <w:r w:rsidR="00E7628F" w:rsidRPr="00D14CD7">
        <w:rPr>
          <w:color w:val="000000" w:themeColor="text1"/>
        </w:rPr>
        <w:t xml:space="preserve">compared to </w:t>
      </w:r>
      <w:r w:rsidR="00EA4DC4" w:rsidRPr="00D14CD7">
        <w:rPr>
          <w:color w:val="000000" w:themeColor="text1"/>
        </w:rPr>
        <w:t>white individuals</w:t>
      </w:r>
      <w:r w:rsidR="00E7628F" w:rsidRPr="00D14CD7">
        <w:rPr>
          <w:color w:val="000000" w:themeColor="text1"/>
        </w:rPr>
        <w:t xml:space="preserve">. </w:t>
      </w:r>
      <w:r w:rsidR="00CC77A3" w:rsidRPr="00D14CD7">
        <w:rPr>
          <w:color w:val="000000" w:themeColor="text1"/>
        </w:rPr>
        <w:t xml:space="preserve">But, when </w:t>
      </w:r>
      <w:r w:rsidR="00354E94" w:rsidRPr="00D14CD7">
        <w:rPr>
          <w:color w:val="000000" w:themeColor="text1"/>
        </w:rPr>
        <w:t xml:space="preserve">the </w:t>
      </w:r>
      <w:r w:rsidR="0047016B" w:rsidRPr="00D14CD7">
        <w:rPr>
          <w:color w:val="000000" w:themeColor="text1"/>
        </w:rPr>
        <w:t>walkability</w:t>
      </w:r>
      <w:r w:rsidR="00DB53B5" w:rsidRPr="00D14CD7">
        <w:rPr>
          <w:color w:val="000000" w:themeColor="text1"/>
        </w:rPr>
        <w:t xml:space="preserve"> </w:t>
      </w:r>
      <w:r w:rsidR="00DC0DF6" w:rsidRPr="00D14CD7">
        <w:rPr>
          <w:color w:val="000000" w:themeColor="text1"/>
        </w:rPr>
        <w:t xml:space="preserve">of the residential neighborhood is interacted </w:t>
      </w:r>
      <w:r w:rsidR="00DB53B5" w:rsidRPr="00D14CD7">
        <w:rPr>
          <w:color w:val="000000" w:themeColor="text1"/>
        </w:rPr>
        <w:t>with race</w:t>
      </w:r>
      <w:r w:rsidR="0047016B" w:rsidRPr="00D14CD7">
        <w:rPr>
          <w:color w:val="000000" w:themeColor="text1"/>
        </w:rPr>
        <w:t>, we find that the overall negative effect</w:t>
      </w:r>
      <w:r w:rsidR="00CC77A3" w:rsidRPr="00D14CD7">
        <w:rPr>
          <w:color w:val="000000" w:themeColor="text1"/>
        </w:rPr>
        <w:t xml:space="preserve"> for </w:t>
      </w:r>
      <w:r w:rsidR="0047016B" w:rsidRPr="00D14CD7">
        <w:rPr>
          <w:color w:val="000000" w:themeColor="text1"/>
        </w:rPr>
        <w:t xml:space="preserve">CSR preference </w:t>
      </w:r>
      <w:r w:rsidR="00CC77A3" w:rsidRPr="00D14CD7">
        <w:rPr>
          <w:color w:val="000000" w:themeColor="text1"/>
        </w:rPr>
        <w:t>among people of color</w:t>
      </w:r>
      <w:r w:rsidR="00DC0DF6" w:rsidRPr="00D14CD7">
        <w:rPr>
          <w:color w:val="000000" w:themeColor="text1"/>
        </w:rPr>
        <w:t xml:space="preserve">, while still existent, gets </w:t>
      </w:r>
      <w:r w:rsidR="00AA7DFD" w:rsidRPr="00D14CD7">
        <w:rPr>
          <w:color w:val="000000" w:themeColor="text1"/>
        </w:rPr>
        <w:t>tempered</w:t>
      </w:r>
      <w:r w:rsidR="0047016B" w:rsidRPr="00D14CD7">
        <w:rPr>
          <w:color w:val="000000" w:themeColor="text1"/>
        </w:rPr>
        <w:t xml:space="preserve"> </w:t>
      </w:r>
      <w:r w:rsidR="00CC77A3" w:rsidRPr="00D14CD7">
        <w:rPr>
          <w:color w:val="000000" w:themeColor="text1"/>
        </w:rPr>
        <w:t>(note that that range of the walkability index/100 variable is between 0 to 0.2)</w:t>
      </w:r>
      <w:r w:rsidR="0047016B" w:rsidRPr="00D14CD7">
        <w:rPr>
          <w:color w:val="000000" w:themeColor="text1"/>
        </w:rPr>
        <w:t xml:space="preserve">. One explanation </w:t>
      </w:r>
      <w:r w:rsidR="00CC77A3" w:rsidRPr="00D14CD7">
        <w:rPr>
          <w:color w:val="000000" w:themeColor="text1"/>
        </w:rPr>
        <w:t xml:space="preserve">is that walkable neighborhoods are generally associated with good CSR dining options (see </w:t>
      </w:r>
      <w:bookmarkStart w:id="32" w:name="_Hlk139553913"/>
      <w:r w:rsidR="00354E94" w:rsidRPr="00D14CD7">
        <w:rPr>
          <w:color w:val="000000" w:themeColor="text1"/>
        </w:rPr>
        <w:fldChar w:fldCharType="begin"/>
      </w:r>
      <w:r w:rsidR="005970AF" w:rsidRPr="00D14CD7">
        <w:rPr>
          <w:color w:val="000000" w:themeColor="text1"/>
        </w:rPr>
        <w:instrText xml:space="preserve"> ADDIN ZOTERO_ITEM CSL_CITATION {"citationID":"bVz28Dvm","properties":{"formattedCitation":"(Baobeid et al., 2021)","plainCitation":"(Baobeid et al., 2021)","dontUpdate":true,"noteIndex":0},"citationItems":[{"id":1182,"uris":["http://zotero.org/users/9292995/items/FLA744ZB"],"itemData":{"id":1182,"type":"article-journal","container-title":"Frontiers in Built Environment","ISSN":"2297-3362","journalAbbreviation":"Frontiers in Built Environment","note":"publisher: Frontiers Media SA","page":"721218","title":"Walkability and its relationships with health, sustainability, and livability: elements of physical environment and evaluation frameworks","volume":"7","author":[{"family":"Baobeid","given":"Abdulla"},{"family":"Koç","given":"Muammer"},{"family":"Al-Ghamdi","given":"Sami G"}],"issued":{"date-parts":[["2021"]]}}}],"schema":"https://github.com/citation-style-language/schema/raw/master/csl-citation.json"} </w:instrText>
      </w:r>
      <w:r w:rsidR="00354E94" w:rsidRPr="00D14CD7">
        <w:rPr>
          <w:color w:val="000000" w:themeColor="text1"/>
        </w:rPr>
        <w:fldChar w:fldCharType="separate"/>
      </w:r>
      <w:r w:rsidR="00354E94" w:rsidRPr="00D14CD7">
        <w:rPr>
          <w:color w:val="000000" w:themeColor="text1"/>
        </w:rPr>
        <w:t>Baobeid et al., 2021)</w:t>
      </w:r>
      <w:r w:rsidR="00354E94" w:rsidRPr="00D14CD7">
        <w:rPr>
          <w:color w:val="000000" w:themeColor="text1"/>
        </w:rPr>
        <w:fldChar w:fldCharType="end"/>
      </w:r>
      <w:bookmarkEnd w:id="32"/>
      <w:r w:rsidR="00CC77A3" w:rsidRPr="00D14CD7">
        <w:rPr>
          <w:color w:val="000000" w:themeColor="text1"/>
        </w:rPr>
        <w:t>, as well as good racial diversity in the resident population. Thus, while several ethno-racial studies have reported biased treatment of racial minorities at restaurants</w:t>
      </w:r>
      <w:r w:rsidR="0052341E" w:rsidRPr="00D14CD7">
        <w:rPr>
          <w:color w:val="000000" w:themeColor="text1"/>
        </w:rPr>
        <w:t xml:space="preserve"> </w:t>
      </w:r>
      <w:r w:rsidR="00354E94" w:rsidRPr="00D14CD7">
        <w:rPr>
          <w:color w:val="000000" w:themeColor="text1"/>
        </w:rPr>
        <w:fldChar w:fldCharType="begin"/>
      </w:r>
      <w:r w:rsidR="00354E94" w:rsidRPr="00D14CD7">
        <w:rPr>
          <w:color w:val="000000" w:themeColor="text1"/>
        </w:rPr>
        <w:instrText xml:space="preserve"> ADDIN ZOTERO_ITEM CSL_CITATION {"citationID":"S9TIWyIg","properties":{"formattedCitation":"(Billingsley, 2016; Brewster &amp; Heffner, 2021)","plainCitation":"(Billingsley, 2016; Brewster &amp; Heffner, 2021)","dontUpdate":true,"noteIndex":0},"citationItems":[{"id":834,"uris":["http://zotero.org/users/9292995/items/4CUZU8TR"],"itemData":{"id":834,"type":"article-journal","container-title":"Sociological Inquiry","ISSN":"0038-0245","issue":"4","journalAbbreviation":"Sociological Inquiry","note":"publisher: Wiley Online Library","page":"641-657","title":"Racialized and classed contexts: Shifting audiences and changes in emotional labor among restaurant servers","volume":"86","author":[{"family":"Billingsley","given":"Brianna L"}],"issued":{"date-parts":[["2016"]]}}},{"id":833,"uris":["http://zotero.org/users/9292995/items/QHXUEWFP"],"itemData":{"id":833,"type":"article-journal","container-title":"Journal of Hospitality &amp; Tourism Research","ISSN":"1096-3480","journalAbbreviation":"Journal of Hospitality &amp; Tourism Research","note":"publisher: SAGE Publications Sage CA: Los Angeles, CA","page":"10963480211020098","title":"Expressions of Anti-Black Biases, Job Satisfaction, and Turnover Intentions in the Full-Service Restaurant Industry","author":[{"family":"Brewster","given":"Zachary W"},{"family":"Heffner","given":"Allen V"}],"issued":{"date-parts":[["2021"]]}}}],"schema":"https://github.com/citation-style-language/schema/raw/master/csl-citation.json"} </w:instrText>
      </w:r>
      <w:r w:rsidR="00354E94" w:rsidRPr="00D14CD7">
        <w:rPr>
          <w:color w:val="000000" w:themeColor="text1"/>
        </w:rPr>
        <w:fldChar w:fldCharType="separate"/>
      </w:r>
      <w:r w:rsidR="00354E94" w:rsidRPr="00D14CD7">
        <w:rPr>
          <w:color w:val="000000" w:themeColor="text1"/>
        </w:rPr>
        <w:t>(Billingsley, 2016, Brewster and Heffner, 2021)</w:t>
      </w:r>
      <w:r w:rsidR="00354E94" w:rsidRPr="00D14CD7">
        <w:rPr>
          <w:color w:val="000000" w:themeColor="text1"/>
        </w:rPr>
        <w:fldChar w:fldCharType="end"/>
      </w:r>
      <w:r w:rsidR="00354E94" w:rsidRPr="00D14CD7">
        <w:rPr>
          <w:color w:val="000000" w:themeColor="text1"/>
        </w:rPr>
        <w:t xml:space="preserve">, </w:t>
      </w:r>
      <w:r w:rsidR="00CC77A3" w:rsidRPr="00D14CD7">
        <w:rPr>
          <w:color w:val="000000" w:themeColor="text1"/>
        </w:rPr>
        <w:t xml:space="preserve">as also </w:t>
      </w:r>
      <w:r w:rsidR="0052341E" w:rsidRPr="00D14CD7">
        <w:rPr>
          <w:color w:val="000000" w:themeColor="text1"/>
        </w:rPr>
        <w:t>suggested</w:t>
      </w:r>
      <w:r w:rsidR="00CC77A3" w:rsidRPr="00D14CD7">
        <w:rPr>
          <w:color w:val="000000" w:themeColor="text1"/>
        </w:rPr>
        <w:t xml:space="preserve"> by the lower </w:t>
      </w:r>
      <w:r w:rsidR="0052341E" w:rsidRPr="00D14CD7">
        <w:rPr>
          <w:color w:val="000000" w:themeColor="text1"/>
        </w:rPr>
        <w:t xml:space="preserve">participation of non-white individuals in total eat-outs from our count model results in </w:t>
      </w:r>
      <w:r w:rsidR="00BE151D" w:rsidRPr="00D14CD7">
        <w:rPr>
          <w:color w:val="000000" w:themeColor="text1"/>
        </w:rPr>
        <w:t>Table 6</w:t>
      </w:r>
      <w:r w:rsidR="0052341E" w:rsidRPr="00D14CD7">
        <w:rPr>
          <w:color w:val="000000" w:themeColor="text1"/>
        </w:rPr>
        <w:t xml:space="preserve">, the combination of good CSR dining options and racial diversity in areas of good walkability may provide a more positive dining environment for all individuals. </w:t>
      </w:r>
      <w:r w:rsidR="0047016B" w:rsidRPr="00D14CD7">
        <w:rPr>
          <w:color w:val="000000" w:themeColor="text1"/>
        </w:rPr>
        <w:t>These results highlight the</w:t>
      </w:r>
      <w:r w:rsidR="0052341E" w:rsidRPr="00D14CD7">
        <w:rPr>
          <w:color w:val="000000" w:themeColor="text1"/>
        </w:rPr>
        <w:t xml:space="preserve"> intricate</w:t>
      </w:r>
      <w:r w:rsidR="0047016B" w:rsidRPr="00D14CD7">
        <w:rPr>
          <w:color w:val="000000" w:themeColor="text1"/>
        </w:rPr>
        <w:t xml:space="preserve"> interplay of race, exposure, and cultural factors in shaping restaurant preferences and the frequency of eating out.</w:t>
      </w:r>
      <w:r w:rsidR="00DC0DF6" w:rsidRPr="00D14CD7">
        <w:rPr>
          <w:color w:val="000000" w:themeColor="text1"/>
        </w:rPr>
        <w:tab/>
      </w:r>
    </w:p>
    <w:p w14:paraId="571CAA14" w14:textId="77777777" w:rsidR="007E2CED" w:rsidRPr="00D14CD7" w:rsidRDefault="00DC0DF6" w:rsidP="007E2CED">
      <w:pPr>
        <w:spacing w:after="0" w:line="240" w:lineRule="auto"/>
        <w:rPr>
          <w:color w:val="000000" w:themeColor="text1"/>
        </w:rPr>
      </w:pPr>
      <w:r w:rsidRPr="00D14CD7">
        <w:rPr>
          <w:color w:val="000000" w:themeColor="text1"/>
        </w:rPr>
        <w:tab/>
      </w:r>
      <w:r w:rsidR="00D67E1C" w:rsidRPr="00D14CD7">
        <w:rPr>
          <w:color w:val="000000" w:themeColor="text1"/>
        </w:rPr>
        <w:t>F</w:t>
      </w:r>
      <w:r w:rsidR="00AA1F9F" w:rsidRPr="00D14CD7">
        <w:rPr>
          <w:color w:val="000000" w:themeColor="text1"/>
        </w:rPr>
        <w:t xml:space="preserve">ormal education degree attainment has no effect on restaurant segment choice, but indicates more zero total eat-outs among those who have attained a graduate degree, consistent with the results from Mills et al. (2018) and Haddad et al. (2023). Many previous studies have reported that higher educational attainment leads to higher food literacy and heightened health consciousness, leading to more home-cooked meal consumption </w:t>
      </w:r>
      <w:bookmarkStart w:id="33" w:name="_Hlk109730691"/>
      <w:r w:rsidR="00AA1F9F" w:rsidRPr="00D14CD7">
        <w:rPr>
          <w:color w:val="000000" w:themeColor="text1"/>
        </w:rPr>
        <w:t>relative to non-home</w:t>
      </w:r>
      <w:r w:rsidR="00354E94" w:rsidRPr="00D14CD7">
        <w:rPr>
          <w:color w:val="000000" w:themeColor="text1"/>
        </w:rPr>
        <w:t>-</w:t>
      </w:r>
      <w:r w:rsidR="00AA1F9F" w:rsidRPr="00D14CD7">
        <w:rPr>
          <w:color w:val="000000" w:themeColor="text1"/>
        </w:rPr>
        <w:t xml:space="preserve">cooked meal consumption </w:t>
      </w:r>
      <w:bookmarkStart w:id="34" w:name="_Hlk139553993"/>
      <w:r w:rsidR="00AA1F9F" w:rsidRPr="00D14CD7">
        <w:rPr>
          <w:color w:val="000000" w:themeColor="text1"/>
        </w:rPr>
        <w:fldChar w:fldCharType="begin"/>
      </w:r>
      <w:r w:rsidR="00AA1F9F" w:rsidRPr="00D14CD7">
        <w:rPr>
          <w:color w:val="000000" w:themeColor="text1"/>
        </w:rPr>
        <w:instrText xml:space="preserve"> ADDIN ZOTERO_ITEM CSL_CITATION {"citationID":"MLMZj43g","properties":{"formattedCitation":"(Krause et al., 2018; Nogueira et al., 2016)","plainCitation":"(Krause et al., 2018; Nogueira et al., 2016)","dontUpdate":true,"noteIndex":0},"citationItems":[{"id":701,"uris":["http://zotero.org/users/9292995/items/CLL4LS4J"],"itemData":{"id":701,"type":"article-journal","container-title":"Appetite","ISSN":"0195-6663","journalAbbreviation":"Appetite","note":"publisher: Elsevier","page":"275-280","title":"A short food literacy questionnaire (SFLQ) for adults: Findings from a Swiss validation study","volume":"120","author":[{"family":"Krause","given":"Corinna Gréa"},{"family":"Beer-Borst","given":"Sigrid"},{"family":"Sommerhalder","given":"Kathrin"},{"family":"Hayoz","given":"Stefanie"},{"family":"Abel","given":"Thomas"}],"issued":{"date-parts":[["2018"]]}}},{"id":702,"uris":["http://zotero.org/users/9292995/items/4T48XY43"],"itemData":{"id":702,"type":"article-journal","container-title":"American journal of health behavior","ISSN":"1087-3244","issue":"4","journalAbbreviation":"American journal of health behavior","note":"publisher: PNG Publications","page":"427-436","title":"Nutrition label numeracy: Disparities and association with health behaviors","volume":"40","author":[{"family":"Nogueira","given":"Leticia M"},{"family":"Thai","given":"Chan L"},{"family":"Nelson","given":"Wendy"},{"family":"Oh","given":"April"}],"issued":{"date-parts":[["2016"]]}}}],"schema":"https://github.com/citation-style-language/schema/raw/master/csl-citation.json"} </w:instrText>
      </w:r>
      <w:r w:rsidR="00AA1F9F" w:rsidRPr="00D14CD7">
        <w:rPr>
          <w:color w:val="000000" w:themeColor="text1"/>
        </w:rPr>
        <w:fldChar w:fldCharType="separate"/>
      </w:r>
      <w:r w:rsidR="00AA1F9F" w:rsidRPr="00D14CD7">
        <w:rPr>
          <w:color w:val="000000" w:themeColor="text1"/>
        </w:rPr>
        <w:t>(Krause et al., 2018</w:t>
      </w:r>
      <w:r w:rsidR="00DE14BD" w:rsidRPr="00D14CD7">
        <w:rPr>
          <w:color w:val="000000" w:themeColor="text1"/>
        </w:rPr>
        <w:t>,</w:t>
      </w:r>
      <w:r w:rsidR="00AA1F9F" w:rsidRPr="00D14CD7">
        <w:rPr>
          <w:color w:val="000000" w:themeColor="text1"/>
        </w:rPr>
        <w:t xml:space="preserve"> Nogueira et al., 2016)</w:t>
      </w:r>
      <w:r w:rsidR="00AA1F9F" w:rsidRPr="00D14CD7">
        <w:rPr>
          <w:color w:val="000000" w:themeColor="text1"/>
        </w:rPr>
        <w:fldChar w:fldCharType="end"/>
      </w:r>
      <w:r w:rsidR="00AA1F9F" w:rsidRPr="00D14CD7">
        <w:rPr>
          <w:color w:val="000000" w:themeColor="text1"/>
        </w:rPr>
        <w:t>.</w:t>
      </w:r>
    </w:p>
    <w:p w14:paraId="01A197F8" w14:textId="6CB42C84" w:rsidR="0047016B" w:rsidRPr="00D14CD7" w:rsidRDefault="00AA1F9F" w:rsidP="007E2CED">
      <w:pPr>
        <w:spacing w:after="0" w:line="240" w:lineRule="auto"/>
        <w:rPr>
          <w:color w:val="000000" w:themeColor="text1"/>
        </w:rPr>
      </w:pPr>
      <w:r w:rsidRPr="00D14CD7">
        <w:rPr>
          <w:color w:val="000000" w:themeColor="text1"/>
        </w:rPr>
        <w:t xml:space="preserve"> </w:t>
      </w:r>
      <w:bookmarkEnd w:id="33"/>
      <w:r w:rsidRPr="00D14CD7">
        <w:rPr>
          <w:color w:val="000000" w:themeColor="text1"/>
        </w:rPr>
        <w:t xml:space="preserve"> </w:t>
      </w:r>
      <w:bookmarkEnd w:id="34"/>
    </w:p>
    <w:p w14:paraId="4AEA2802" w14:textId="0013FEE6" w:rsidR="00A21CFA" w:rsidRPr="00D14CD7" w:rsidRDefault="00A21CFA" w:rsidP="007E2CED">
      <w:pPr>
        <w:pStyle w:val="Heading3"/>
        <w:spacing w:before="0" w:line="240" w:lineRule="auto"/>
        <w:rPr>
          <w:u w:val="none"/>
        </w:rPr>
      </w:pPr>
      <w:r w:rsidRPr="00D14CD7">
        <w:rPr>
          <w:u w:val="none"/>
        </w:rPr>
        <w:t xml:space="preserve"> Household Characteristics</w:t>
      </w:r>
    </w:p>
    <w:p w14:paraId="393BDDCB" w14:textId="21D90774" w:rsidR="00874821" w:rsidRPr="00D14CD7" w:rsidRDefault="00F26033" w:rsidP="007E2CED">
      <w:pPr>
        <w:spacing w:after="0" w:line="240" w:lineRule="auto"/>
        <w:rPr>
          <w:color w:val="000000" w:themeColor="text1"/>
        </w:rPr>
      </w:pPr>
      <w:r w:rsidRPr="00D14CD7">
        <w:rPr>
          <w:color w:val="000000" w:themeColor="text1"/>
        </w:rPr>
        <w:t>While educational attainmen</w:t>
      </w:r>
      <w:r w:rsidR="005B3E05" w:rsidRPr="00D14CD7">
        <w:rPr>
          <w:color w:val="000000" w:themeColor="text1"/>
        </w:rPr>
        <w:t>t does not</w:t>
      </w:r>
      <w:r w:rsidRPr="00D14CD7">
        <w:rPr>
          <w:color w:val="000000" w:themeColor="text1"/>
        </w:rPr>
        <w:t xml:space="preserve"> directly influence individuals' preferences for specific restaurant segments, income is a key factor that drives such preferences. </w:t>
      </w:r>
      <w:r w:rsidR="005B3E05" w:rsidRPr="00D14CD7">
        <w:rPr>
          <w:color w:val="000000" w:themeColor="text1"/>
        </w:rPr>
        <w:t xml:space="preserve">Overall, the many income-related coefficients indicate a </w:t>
      </w:r>
      <w:r w:rsidR="00AA7DFD" w:rsidRPr="00D14CD7">
        <w:rPr>
          <w:color w:val="000000" w:themeColor="text1"/>
        </w:rPr>
        <w:t xml:space="preserve">strong </w:t>
      </w:r>
      <w:r w:rsidR="005B3E05" w:rsidRPr="00D14CD7">
        <w:rPr>
          <w:color w:val="000000" w:themeColor="text1"/>
        </w:rPr>
        <w:t xml:space="preserve">preference for the FSR restaurant segment among those with an annual household income of </w:t>
      </w:r>
      <w:r w:rsidR="00354E94" w:rsidRPr="00D14CD7">
        <w:rPr>
          <w:color w:val="000000" w:themeColor="text1"/>
        </w:rPr>
        <w:t>$</w:t>
      </w:r>
      <w:r w:rsidR="005B3E05" w:rsidRPr="00D14CD7">
        <w:rPr>
          <w:color w:val="000000" w:themeColor="text1"/>
        </w:rPr>
        <w:t>100</w:t>
      </w:r>
      <w:r w:rsidR="00354E94" w:rsidRPr="00D14CD7">
        <w:rPr>
          <w:color w:val="000000" w:themeColor="text1"/>
        </w:rPr>
        <w:t>,000 or</w:t>
      </w:r>
      <w:r w:rsidR="005B3E05" w:rsidRPr="00D14CD7">
        <w:rPr>
          <w:color w:val="000000" w:themeColor="text1"/>
        </w:rPr>
        <w:t xml:space="preserve"> more, a clear sign of hedonic pursuits </w:t>
      </w:r>
      <w:r w:rsidR="000C504E" w:rsidRPr="00D14CD7">
        <w:rPr>
          <w:color w:val="000000" w:themeColor="text1"/>
        </w:rPr>
        <w:t xml:space="preserve">associated with a desire </w:t>
      </w:r>
      <w:r w:rsidR="00354E94" w:rsidRPr="00D14CD7">
        <w:rPr>
          <w:color w:val="000000" w:themeColor="text1"/>
        </w:rPr>
        <w:t>for</w:t>
      </w:r>
      <w:r w:rsidR="000C504E" w:rsidRPr="00D14CD7">
        <w:rPr>
          <w:color w:val="000000" w:themeColor="text1"/>
        </w:rPr>
        <w:t xml:space="preserve"> (and projection</w:t>
      </w:r>
      <w:r w:rsidR="0090241E" w:rsidRPr="00D14CD7">
        <w:rPr>
          <w:color w:val="000000" w:themeColor="text1"/>
        </w:rPr>
        <w:t xml:space="preserve"> linked to</w:t>
      </w:r>
      <w:r w:rsidR="000C504E" w:rsidRPr="00D14CD7">
        <w:rPr>
          <w:color w:val="000000" w:themeColor="text1"/>
        </w:rPr>
        <w:t xml:space="preserve">) </w:t>
      </w:r>
      <w:r w:rsidR="0090241E" w:rsidRPr="00D14CD7">
        <w:rPr>
          <w:color w:val="000000" w:themeColor="text1"/>
        </w:rPr>
        <w:t xml:space="preserve">luxury, </w:t>
      </w:r>
      <w:r w:rsidR="000C504E" w:rsidRPr="00D14CD7">
        <w:rPr>
          <w:color w:val="000000" w:themeColor="text1"/>
        </w:rPr>
        <w:t xml:space="preserve">exclusiveness, sophistication, and </w:t>
      </w:r>
      <w:r w:rsidR="0090241E" w:rsidRPr="00D14CD7">
        <w:rPr>
          <w:color w:val="000000" w:themeColor="text1"/>
        </w:rPr>
        <w:t xml:space="preserve">power signaling of social status and wealth </w:t>
      </w:r>
      <w:bookmarkStart w:id="35" w:name="_Hlk139554067"/>
      <w:r w:rsidR="00F80EF6" w:rsidRPr="00D14CD7">
        <w:rPr>
          <w:color w:val="000000" w:themeColor="text1"/>
        </w:rPr>
        <w:fldChar w:fldCharType="begin"/>
      </w:r>
      <w:r w:rsidR="008F1E84" w:rsidRPr="00D14CD7">
        <w:rPr>
          <w:color w:val="000000" w:themeColor="text1"/>
        </w:rPr>
        <w:instrText xml:space="preserve"> ADDIN ZOTERO_ITEM CSL_CITATION {"citationID":"7ksW7iSn","properties":{"formattedCitation":"(Kraus et al., 2017)","plainCitation":"(Kraus et al., 2017)","dontUpdate":true,"noteIndex":0},"citationItems":[{"id":1023,"uris":["http://zotero.org/users/9292995/items/5PQZB7YU"],"itemData":{"id":1023,"type":"article-journal","container-title":"Perspectives on Psychological Science","ISSN":"1745-6916","issue":"3","journalAbbreviation":"Perspectives on Psychological Science","note":"publisher: Sage Publications Sage CA: Los Angeles, CA","page":"422-435","title":"Signs of social class: The experience of economic inequality in everyday life","volume":"12","author":[{"family":"Kraus","given":"Michael W"},{"family":"Park","given":"Jun Won"},{"family":"Tan","given":"Jacinth JX"}],"issued":{"date-parts":[["2017"]]}}}],"schema":"https://github.com/citation-style-language/schema/raw/master/csl-citation.json"} </w:instrText>
      </w:r>
      <w:r w:rsidR="00F80EF6" w:rsidRPr="00D14CD7">
        <w:rPr>
          <w:color w:val="000000" w:themeColor="text1"/>
        </w:rPr>
        <w:fldChar w:fldCharType="separate"/>
      </w:r>
      <w:r w:rsidR="00F80EF6" w:rsidRPr="00D14CD7">
        <w:rPr>
          <w:color w:val="000000" w:themeColor="text1"/>
        </w:rPr>
        <w:t>(Kraus et al., 2017</w:t>
      </w:r>
      <w:r w:rsidR="00354E94" w:rsidRPr="00D14CD7">
        <w:rPr>
          <w:color w:val="000000" w:themeColor="text1"/>
        </w:rPr>
        <w:t xml:space="preserve">, </w:t>
      </w:r>
      <w:r w:rsidR="0090241E" w:rsidRPr="00D14CD7">
        <w:rPr>
          <w:color w:val="000000" w:themeColor="text1"/>
        </w:rPr>
        <w:t>Sung and Huddleston, 2018</w:t>
      </w:r>
      <w:r w:rsidR="00F80EF6" w:rsidRPr="00D14CD7">
        <w:rPr>
          <w:color w:val="000000" w:themeColor="text1"/>
        </w:rPr>
        <w:t>)</w:t>
      </w:r>
      <w:r w:rsidR="00F80EF6" w:rsidRPr="00D14CD7">
        <w:rPr>
          <w:color w:val="000000" w:themeColor="text1"/>
        </w:rPr>
        <w:fldChar w:fldCharType="end"/>
      </w:r>
      <w:r w:rsidR="007306BC" w:rsidRPr="00D14CD7">
        <w:rPr>
          <w:color w:val="000000" w:themeColor="text1"/>
        </w:rPr>
        <w:t>.</w:t>
      </w:r>
      <w:r w:rsidR="0090241E" w:rsidRPr="00D14CD7">
        <w:rPr>
          <w:color w:val="000000" w:themeColor="text1"/>
        </w:rPr>
        <w:t xml:space="preserve"> </w:t>
      </w:r>
      <w:bookmarkEnd w:id="35"/>
      <w:r w:rsidR="0090241E" w:rsidRPr="00D14CD7">
        <w:rPr>
          <w:color w:val="000000" w:themeColor="text1"/>
        </w:rPr>
        <w:t>T</w:t>
      </w:r>
      <w:r w:rsidR="00874821" w:rsidRPr="00D14CD7">
        <w:rPr>
          <w:color w:val="000000" w:themeColor="text1"/>
        </w:rPr>
        <w:t>he satiation and total count</w:t>
      </w:r>
      <w:r w:rsidR="0047016B" w:rsidRPr="00D14CD7">
        <w:rPr>
          <w:color w:val="000000" w:themeColor="text1"/>
        </w:rPr>
        <w:t xml:space="preserve"> </w:t>
      </w:r>
      <w:r w:rsidR="00874821" w:rsidRPr="00D14CD7">
        <w:rPr>
          <w:color w:val="000000" w:themeColor="text1"/>
        </w:rPr>
        <w:t xml:space="preserve">model specifications </w:t>
      </w:r>
      <w:r w:rsidR="0090241E" w:rsidRPr="00D14CD7">
        <w:rPr>
          <w:color w:val="000000" w:themeColor="text1"/>
        </w:rPr>
        <w:t xml:space="preserve">also </w:t>
      </w:r>
      <w:r w:rsidR="00874821" w:rsidRPr="00D14CD7">
        <w:rPr>
          <w:color w:val="000000" w:themeColor="text1"/>
        </w:rPr>
        <w:t xml:space="preserve">demonstrate a </w:t>
      </w:r>
      <w:r w:rsidR="0090241E" w:rsidRPr="00D14CD7">
        <w:rPr>
          <w:color w:val="000000" w:themeColor="text1"/>
        </w:rPr>
        <w:t xml:space="preserve">direct </w:t>
      </w:r>
      <w:r w:rsidR="00874821" w:rsidRPr="00D14CD7">
        <w:rPr>
          <w:color w:val="000000" w:themeColor="text1"/>
        </w:rPr>
        <w:t>positive and consistent association between income and the extent of eating out</w:t>
      </w:r>
      <w:r w:rsidR="0090241E" w:rsidRPr="00D14CD7">
        <w:rPr>
          <w:color w:val="000000" w:themeColor="text1"/>
        </w:rPr>
        <w:t xml:space="preserve">, </w:t>
      </w:r>
      <w:r w:rsidR="00874821" w:rsidRPr="00D14CD7">
        <w:rPr>
          <w:color w:val="000000" w:themeColor="text1"/>
        </w:rPr>
        <w:t>attribut</w:t>
      </w:r>
      <w:r w:rsidR="0090241E" w:rsidRPr="00D14CD7">
        <w:rPr>
          <w:color w:val="000000" w:themeColor="text1"/>
        </w:rPr>
        <w:t xml:space="preserve">able </w:t>
      </w:r>
      <w:r w:rsidR="00874821" w:rsidRPr="00D14CD7">
        <w:rPr>
          <w:color w:val="000000" w:themeColor="text1"/>
        </w:rPr>
        <w:t xml:space="preserve">to the greater purchasing power of high-income individuals and their inclination to invest in the added convenience and time-saving benefits offered by non-domestically prepared meals </w:t>
      </w:r>
      <w:bookmarkStart w:id="36" w:name="_Hlk139554120"/>
      <w:r w:rsidR="00354E94" w:rsidRPr="00D14CD7">
        <w:rPr>
          <w:color w:val="000000" w:themeColor="text1"/>
        </w:rPr>
        <w:fldChar w:fldCharType="begin"/>
      </w:r>
      <w:r w:rsidR="005970AF" w:rsidRPr="00D14CD7">
        <w:rPr>
          <w:color w:val="000000" w:themeColor="text1"/>
        </w:rPr>
        <w:instrText xml:space="preserve"> ADDIN ZOTERO_ITEM CSL_CITATION {"citationID":"RXOzej5Z","properties":{"formattedCitation":"(Clifford Astbury et al., 2020; Spurlock et al., 2020)","plainCitation":"(Clifford Astbury et al., 2020; Spurlock et al., 2020)","dontUpdate":true,"noteIndex":0},"citationItems":[{"id":537,"uris":["http://zotero.org/users/9292995/items/ULU9ZIDI"],"itemData":{"id":537,"type":"article-journal","container-title":"Nutrients","issue":"8","journalAbbreviation":"Nutrients","note":"publisher: Multidisciplinary Digital Publishing Institute","page":"2280","title":"How does time use differ between individuals who do more versus less foodwork? A compositional data analysis of time use in the United Kingdom time use survey 2014–2015","volume":"12","author":[{"family":"Clifford Astbury","given":"Chloe"},{"family":"Foley","given":"Louise"},{"family":"Penney","given":"Tarra L"},{"family":"Adams","given":"Jean"}],"issued":{"date-parts":[["2020"]]}}},{"id":512,"uris":["http://zotero.org/users/9292995/items/CK4A5I5A"],"itemData":{"id":512,"type":"article-journal","container-title":"Transportation Research Record","ISSN":"0361-1981","issue":"10","journalAbbreviation":"Transportation Research Record","note":"publisher: SAGE Publications Sage CA: Los Angeles, CA","page":"335-350","title":"Children, income, and the impact of home delivery on household shopping trips","volume":"2674","author":[{"family":"Spurlock","given":"C Anna"},{"family":"Todd-Blick","given":"Annika"},{"family":"Wong-Parodi","given":"Gabrielle"},{"family":"Walker","given":"Victor"}],"issued":{"date-parts":[["2020"]]}}}],"schema":"https://github.com/citation-style-language/schema/raw/master/csl-citation.json"} </w:instrText>
      </w:r>
      <w:r w:rsidR="00354E94" w:rsidRPr="00D14CD7">
        <w:rPr>
          <w:color w:val="000000" w:themeColor="text1"/>
        </w:rPr>
        <w:fldChar w:fldCharType="separate"/>
      </w:r>
      <w:r w:rsidR="00354E94" w:rsidRPr="00D14CD7">
        <w:rPr>
          <w:color w:val="000000" w:themeColor="text1"/>
        </w:rPr>
        <w:t>(Clifford Astbury et al., 2020, Spurlock et al., 2020)</w:t>
      </w:r>
      <w:r w:rsidR="00354E94" w:rsidRPr="00D14CD7">
        <w:rPr>
          <w:color w:val="000000" w:themeColor="text1"/>
        </w:rPr>
        <w:fldChar w:fldCharType="end"/>
      </w:r>
      <w:r w:rsidR="00874821" w:rsidRPr="00D14CD7">
        <w:rPr>
          <w:color w:val="000000" w:themeColor="text1"/>
        </w:rPr>
        <w:t>.</w:t>
      </w:r>
      <w:r w:rsidR="0047016B" w:rsidRPr="00D14CD7">
        <w:rPr>
          <w:color w:val="000000" w:themeColor="text1"/>
        </w:rPr>
        <w:t xml:space="preserve"> </w:t>
      </w:r>
      <w:bookmarkEnd w:id="36"/>
    </w:p>
    <w:p w14:paraId="5D6E23DC" w14:textId="01E776DF" w:rsidR="0047016B" w:rsidRPr="00D14CD7" w:rsidRDefault="002F06E6" w:rsidP="007E2CED">
      <w:pPr>
        <w:spacing w:after="0" w:line="240" w:lineRule="auto"/>
        <w:ind w:firstLine="720"/>
        <w:rPr>
          <w:color w:val="000000" w:themeColor="text1"/>
        </w:rPr>
      </w:pPr>
      <w:r w:rsidRPr="00D14CD7">
        <w:rPr>
          <w:color w:val="000000" w:themeColor="text1"/>
        </w:rPr>
        <w:t>V</w:t>
      </w:r>
      <w:r w:rsidR="00DB0152" w:rsidRPr="00D14CD7">
        <w:rPr>
          <w:color w:val="000000" w:themeColor="text1"/>
        </w:rPr>
        <w:t>ehicle ownership is a</w:t>
      </w:r>
      <w:r w:rsidR="0047016B" w:rsidRPr="00D14CD7">
        <w:rPr>
          <w:color w:val="000000" w:themeColor="text1"/>
        </w:rPr>
        <w:t>nother</w:t>
      </w:r>
      <w:r w:rsidR="00DB0152" w:rsidRPr="00D14CD7">
        <w:rPr>
          <w:color w:val="000000" w:themeColor="text1"/>
        </w:rPr>
        <w:t xml:space="preserve"> significant factor in determining restaurant segment preferences</w:t>
      </w:r>
      <w:r w:rsidR="00C01FAA" w:rsidRPr="00D14CD7">
        <w:rPr>
          <w:color w:val="000000" w:themeColor="text1"/>
        </w:rPr>
        <w:t>, though not total eat-out count</w:t>
      </w:r>
      <w:r w:rsidR="00DB0152" w:rsidRPr="00D14CD7">
        <w:rPr>
          <w:color w:val="000000" w:themeColor="text1"/>
        </w:rPr>
        <w:t>.</w:t>
      </w:r>
      <w:r w:rsidR="00A96F76" w:rsidRPr="00D14CD7">
        <w:rPr>
          <w:color w:val="000000" w:themeColor="text1"/>
        </w:rPr>
        <w:t xml:space="preserve"> </w:t>
      </w:r>
      <w:r w:rsidR="0090241E" w:rsidRPr="00D14CD7">
        <w:rPr>
          <w:color w:val="000000" w:themeColor="text1"/>
        </w:rPr>
        <w:t>H</w:t>
      </w:r>
      <w:r w:rsidR="00DB0152" w:rsidRPr="00D14CD7">
        <w:rPr>
          <w:color w:val="000000" w:themeColor="text1"/>
        </w:rPr>
        <w:t xml:space="preserve">ouseholds owning two or more vehicles </w:t>
      </w:r>
      <w:r w:rsidR="0090241E" w:rsidRPr="00D14CD7">
        <w:rPr>
          <w:color w:val="000000" w:themeColor="text1"/>
        </w:rPr>
        <w:t xml:space="preserve">have a higher baseline reference for </w:t>
      </w:r>
      <w:r w:rsidR="00DB0152" w:rsidRPr="00D14CD7">
        <w:rPr>
          <w:color w:val="000000" w:themeColor="text1"/>
        </w:rPr>
        <w:t xml:space="preserve">QSRs and CHs for weekday dinners, compared to those with less than two vehicles. </w:t>
      </w:r>
      <w:r w:rsidR="00613972" w:rsidRPr="00D14CD7">
        <w:rPr>
          <w:color w:val="000000" w:themeColor="text1"/>
        </w:rPr>
        <w:t>H</w:t>
      </w:r>
      <w:r w:rsidR="00DB0152" w:rsidRPr="00D14CD7">
        <w:rPr>
          <w:color w:val="000000" w:themeColor="text1"/>
        </w:rPr>
        <w:t xml:space="preserve">ouseholds with more vehicles may prioritize speed and convenience </w:t>
      </w:r>
      <w:r w:rsidR="000517DA" w:rsidRPr="00D14CD7">
        <w:rPr>
          <w:color w:val="000000" w:themeColor="text1"/>
        </w:rPr>
        <w:t xml:space="preserve">in their general lifestyle, including in </w:t>
      </w:r>
      <w:r w:rsidR="00DB0152" w:rsidRPr="00D14CD7">
        <w:rPr>
          <w:color w:val="000000" w:themeColor="text1"/>
        </w:rPr>
        <w:t xml:space="preserve">their meal choices, </w:t>
      </w:r>
      <w:r w:rsidR="000517DA" w:rsidRPr="00D14CD7">
        <w:rPr>
          <w:color w:val="000000" w:themeColor="text1"/>
        </w:rPr>
        <w:t xml:space="preserve">consistent with the attribute offerings of </w:t>
      </w:r>
      <w:r w:rsidR="00DB0152" w:rsidRPr="00D14CD7">
        <w:rPr>
          <w:color w:val="000000" w:themeColor="text1"/>
        </w:rPr>
        <w:t xml:space="preserve">QSRs and CHs </w:t>
      </w:r>
      <w:r w:rsidR="000517DA" w:rsidRPr="00D14CD7">
        <w:rPr>
          <w:color w:val="000000" w:themeColor="text1"/>
        </w:rPr>
        <w:t>(see Table 1)</w:t>
      </w:r>
      <w:r w:rsidR="00DB0152" w:rsidRPr="00D14CD7">
        <w:rPr>
          <w:color w:val="000000" w:themeColor="text1"/>
        </w:rPr>
        <w:t xml:space="preserve">. </w:t>
      </w:r>
    </w:p>
    <w:p w14:paraId="2DCFEFA0" w14:textId="3DD07AD0" w:rsidR="0047016B" w:rsidRPr="00D14CD7" w:rsidRDefault="00C01FAA" w:rsidP="007E2CED">
      <w:pPr>
        <w:autoSpaceDE w:val="0"/>
        <w:autoSpaceDN w:val="0"/>
        <w:adjustRightInd w:val="0"/>
        <w:spacing w:after="0" w:line="240" w:lineRule="auto"/>
        <w:ind w:firstLine="720"/>
        <w:rPr>
          <w:color w:val="000000" w:themeColor="text1"/>
        </w:rPr>
      </w:pPr>
      <w:r w:rsidRPr="00D14CD7">
        <w:rPr>
          <w:color w:val="000000" w:themeColor="text1"/>
        </w:rPr>
        <w:t xml:space="preserve">In terms of household structure, </w:t>
      </w:r>
      <w:r w:rsidR="00613972" w:rsidRPr="00D14CD7">
        <w:rPr>
          <w:color w:val="000000" w:themeColor="text1"/>
        </w:rPr>
        <w:t>relative to single men, women and those from multiple related adult households (including two-adult and other types of joint families, but mainly two-adult households) appear to be less satiated (more participation occasions conditional on participation) in the CSR restaurant segment (for women) and the QSR segment (for those from multiple related adult households</w:t>
      </w:r>
      <w:r w:rsidR="00AA7DFD" w:rsidRPr="00D14CD7">
        <w:rPr>
          <w:color w:val="000000" w:themeColor="text1"/>
        </w:rPr>
        <w:t xml:space="preserve">). </w:t>
      </w:r>
      <w:r w:rsidR="00E37D54" w:rsidRPr="00D14CD7">
        <w:rPr>
          <w:color w:val="000000" w:themeColor="text1"/>
        </w:rPr>
        <w:t>Also</w:t>
      </w:r>
      <w:r w:rsidR="00613972" w:rsidRPr="00D14CD7">
        <w:rPr>
          <w:color w:val="000000" w:themeColor="text1"/>
        </w:rPr>
        <w:t xml:space="preserve">, </w:t>
      </w:r>
      <w:r w:rsidR="00AD1C6D" w:rsidRPr="00D14CD7">
        <w:rPr>
          <w:color w:val="000000" w:themeColor="text1"/>
        </w:rPr>
        <w:t xml:space="preserve">both single women and </w:t>
      </w:r>
      <w:r w:rsidR="00E37D54" w:rsidRPr="00D14CD7">
        <w:rPr>
          <w:color w:val="000000" w:themeColor="text1"/>
        </w:rPr>
        <w:t xml:space="preserve">those from multiple adult households are less likely to have eat-out episodes than single men. </w:t>
      </w:r>
      <w:r w:rsidR="00B765B6" w:rsidRPr="00D14CD7">
        <w:rPr>
          <w:color w:val="000000" w:themeColor="text1"/>
        </w:rPr>
        <w:t>The</w:t>
      </w:r>
      <w:r w:rsidR="00AA7DFD" w:rsidRPr="00D14CD7">
        <w:rPr>
          <w:color w:val="000000" w:themeColor="text1"/>
        </w:rPr>
        <w:t xml:space="preserve"> latter</w:t>
      </w:r>
      <w:r w:rsidR="00B765B6" w:rsidRPr="00D14CD7">
        <w:rPr>
          <w:color w:val="000000" w:themeColor="text1"/>
        </w:rPr>
        <w:t xml:space="preserve"> result </w:t>
      </w:r>
      <w:r w:rsidR="00AA7DFD" w:rsidRPr="00D14CD7">
        <w:rPr>
          <w:color w:val="000000" w:themeColor="text1"/>
        </w:rPr>
        <w:t>is</w:t>
      </w:r>
      <w:r w:rsidR="00B765B6" w:rsidRPr="00D14CD7">
        <w:rPr>
          <w:color w:val="000000" w:themeColor="text1"/>
        </w:rPr>
        <w:t xml:space="preserve"> consistent with earlier studies. Women tend to eat less outside the home </w:t>
      </w:r>
      <w:r w:rsidR="00A201F5" w:rsidRPr="00D14CD7">
        <w:rPr>
          <w:color w:val="000000" w:themeColor="text1"/>
        </w:rPr>
        <w:t xml:space="preserve">(and more home-cooked meals) </w:t>
      </w:r>
      <w:r w:rsidR="00B765B6" w:rsidRPr="00D14CD7">
        <w:rPr>
          <w:color w:val="000000" w:themeColor="text1"/>
        </w:rPr>
        <w:lastRenderedPageBreak/>
        <w:t xml:space="preserve">because of their greater health and diet consciousness, attributable in part to a higher body shape/image </w:t>
      </w:r>
      <w:r w:rsidR="00A201F5" w:rsidRPr="00D14CD7">
        <w:rPr>
          <w:color w:val="000000" w:themeColor="text1"/>
        </w:rPr>
        <w:t>emphasis placed by society on women as well as women</w:t>
      </w:r>
      <w:r w:rsidR="00354E94" w:rsidRPr="00D14CD7">
        <w:rPr>
          <w:color w:val="000000" w:themeColor="text1"/>
        </w:rPr>
        <w:t>’s</w:t>
      </w:r>
      <w:r w:rsidR="00A201F5" w:rsidRPr="00D14CD7">
        <w:rPr>
          <w:color w:val="000000" w:themeColor="text1"/>
        </w:rPr>
        <w:t xml:space="preserve"> higher priority to mental, emotional, </w:t>
      </w:r>
      <w:r w:rsidR="00AA7DFD" w:rsidRPr="00D14CD7">
        <w:rPr>
          <w:color w:val="000000" w:themeColor="text1"/>
        </w:rPr>
        <w:t xml:space="preserve">physical, </w:t>
      </w:r>
      <w:r w:rsidR="00A201F5" w:rsidRPr="00D14CD7">
        <w:rPr>
          <w:color w:val="000000" w:themeColor="text1"/>
        </w:rPr>
        <w:t>and spiritual well-being</w:t>
      </w:r>
      <w:r w:rsidR="00354E94" w:rsidRPr="00D14CD7">
        <w:rPr>
          <w:color w:val="000000" w:themeColor="text1"/>
        </w:rPr>
        <w:t xml:space="preserve"> </w:t>
      </w:r>
      <w:r w:rsidR="00A201F5" w:rsidRPr="00D14CD7">
        <w:rPr>
          <w:color w:val="000000" w:themeColor="text1"/>
        </w:rPr>
        <w:t xml:space="preserve"> </w:t>
      </w:r>
      <w:bookmarkStart w:id="37" w:name="_Hlk139554314"/>
      <w:r w:rsidR="00354E94" w:rsidRPr="00D14CD7">
        <w:rPr>
          <w:color w:val="000000" w:themeColor="text1"/>
        </w:rPr>
        <w:fldChar w:fldCharType="begin"/>
      </w:r>
      <w:r w:rsidR="005970AF" w:rsidRPr="00D14CD7">
        <w:rPr>
          <w:color w:val="000000" w:themeColor="text1"/>
        </w:rPr>
        <w:instrText xml:space="preserve"> ADDIN ZOTERO_ITEM CSL_CITATION {"citationID":"BnyK8nok","properties":{"formattedCitation":"(B\\uc0\\u228{}rebring et al., 2020; Marques-Vidal et al., 2015; Pop et al., 2021)","plainCitation":"(Bärebring et al., 2020; Marques-Vidal et al., 2015; Pop et al., 2021)","dontUpdate":true,"noteIndex":0},"citationItems":[{"id":847,"uris":["http://zotero.org/users/9292995/items/M5VE4JH6"],"itemData":{"id":847,"type":"article-journal","container-title":"Nutrition journal","ISSN":"1475-2891","issue":"1","journalAbbreviation":"Nutrition journal","note":"publisher: Springer","page":"1-8","title":"Gender differences in perceived food healthiness and food avoidance in a Swedish population-based survey: A cross sectional study","volume":"19","author":[{"family":"Bärebring","given":"Linnea"},{"family":"Palmqvist","given":"Maria"},{"family":"Winkvist","given":"Anna"},{"family":"Augustin","given":"Hanna"}],"issued":{"date-parts":[["2020"]]}}},{"id":511,"uris":["http://zotero.org/users/9292995/items/WVDWMAB2"],"itemData":{"id":511,"type":"article-journal","container-title":"Annals of Nutrition and Metabolism","ISSN":"0250-6807","issue":"2","journalAbbreviation":"Annals of Nutrition and Metabolism","note":"publisher: Karger Publishers","page":"87-95","title":"Sociodemographic and behavioural determinants of a healthy diet in Switzerland","volume":"67","author":[{"family":"Marques-Vidal","given":"Pedro"},{"family":"Waeber","given":"Gérard"},{"family":"Vollenweider","given":"Peter"},{"family":"Bochud","given":"Murielle"},{"family":"Stringhini","given":"Silvia"},{"family":"Guessous","given":"Idris"}],"issued":{"date-parts":[["2015"]]}}},{"id":849,"uris":["http://zotero.org/users/9292995/items/75FYMLI2"],"itemData":{"id":849,"type":"article-journal","container-title":"Medicina","ISSN":"1648-9144","issue":"7","journalAbbreviation":"Medicina","note":"publisher: MDPI","page":"648","title":"Gender differences in healthy lifestyle, body consciousness, and the use of social networks among medical students","volume":"57","author":[{"family":"Pop","given":"Lavinia-Maria"},{"family":"Iorga","given":"Magdalena"},{"family":"Șipoș","given":"Lucian-Roman"},{"family":"Iurcov","given":"Raluca"}],"issued":{"date-parts":[["2021"]]}}}],"schema":"https://github.com/citation-style-language/schema/raw/master/csl-citation.json"} </w:instrText>
      </w:r>
      <w:r w:rsidR="00354E94" w:rsidRPr="00D14CD7">
        <w:rPr>
          <w:color w:val="000000" w:themeColor="text1"/>
        </w:rPr>
        <w:fldChar w:fldCharType="separate"/>
      </w:r>
      <w:r w:rsidR="00354E94" w:rsidRPr="00D14CD7">
        <w:rPr>
          <w:color w:val="000000" w:themeColor="text1"/>
        </w:rPr>
        <w:t>(Bärebring et al., 2020, Marques-Vidal et al., 2015, Pop et al., 2021)</w:t>
      </w:r>
      <w:r w:rsidR="00354E94" w:rsidRPr="00D14CD7">
        <w:rPr>
          <w:color w:val="000000" w:themeColor="text1"/>
        </w:rPr>
        <w:fldChar w:fldCharType="end"/>
      </w:r>
      <w:r w:rsidR="00B765B6" w:rsidRPr="00D14CD7">
        <w:rPr>
          <w:color w:val="000000" w:themeColor="text1"/>
        </w:rPr>
        <w:t>.</w:t>
      </w:r>
      <w:bookmarkEnd w:id="37"/>
      <w:r w:rsidR="00B765B6" w:rsidRPr="00D14CD7">
        <w:rPr>
          <w:color w:val="000000" w:themeColor="text1"/>
        </w:rPr>
        <w:t xml:space="preserve"> Furthermore, single women may feel particularly vulnerable dining out alone in the evening </w:t>
      </w:r>
      <w:bookmarkStart w:id="38" w:name="_Hlk139554344"/>
      <w:r w:rsidR="00354E94" w:rsidRPr="00D14CD7">
        <w:rPr>
          <w:color w:val="000000" w:themeColor="text1"/>
        </w:rPr>
        <w:fldChar w:fldCharType="begin"/>
      </w:r>
      <w:r w:rsidR="005970AF" w:rsidRPr="00D14CD7">
        <w:rPr>
          <w:color w:val="000000" w:themeColor="text1"/>
        </w:rPr>
        <w:instrText xml:space="preserve"> ADDIN ZOTERO_ITEM CSL_CITATION {"citationID":"rcJX7YYO","properties":{"formattedCitation":"(Brown et al., 2020; Lahad &amp; May, 2017)","plainCitation":"(Brown et al., 2020; Lahad &amp; May, 2017)","dontUpdate":true,"noteIndex":0},"citationItems":[{"id":556,"uris":["http://zotero.org/users/9292995/items/W5NKP8HU"],"itemData":{"id":556,"type":"article-journal","container-title":"International Journal of Contemporary Hospitality Management","ISSN":"0959-6119","journalAbbreviation":"International Journal of Contemporary Hospitality Management","note":"publisher: Emerald Publishing Limited","title":"Dining alone: improving the experience of solo restaurant goers","author":[{"family":"Brown","given":"Lorraine"},{"family":"Buhalis","given":"Dimitrios"},{"family":"Beer","given":"Sean"}],"issued":{"date-parts":[["2020"]]}}},{"id":555,"uris":["http://zotero.org/users/9292995/items/B9UKW8F8"],"itemData":{"id":555,"type":"article-journal","container-title":"Sociological Research Online","ISSN":"1360-7804","issue":"2","journalAbbreviation":"Sociological Research Online","note":"publisher: SAGE Publications Sage UK: London, England","page":"176-186","title":"Just one? Solo dining, gender and temporal belonging in public spaces","volume":"22","author":[{"family":"Lahad","given":"Kinneret"},{"family":"May","given":"Vanessa"}],"issued":{"date-parts":[["2017"]]}}}],"schema":"https://github.com/citation-style-language/schema/raw/master/csl-citation.json"} </w:instrText>
      </w:r>
      <w:r w:rsidR="00354E94" w:rsidRPr="00D14CD7">
        <w:rPr>
          <w:color w:val="000000" w:themeColor="text1"/>
        </w:rPr>
        <w:fldChar w:fldCharType="separate"/>
      </w:r>
      <w:r w:rsidR="00354E94" w:rsidRPr="00D14CD7">
        <w:rPr>
          <w:color w:val="000000" w:themeColor="text1"/>
        </w:rPr>
        <w:t>(Brown et al., 2020, Lahad and May, 2017)</w:t>
      </w:r>
      <w:r w:rsidR="00354E94" w:rsidRPr="00D14CD7">
        <w:rPr>
          <w:color w:val="000000" w:themeColor="text1"/>
        </w:rPr>
        <w:fldChar w:fldCharType="end"/>
      </w:r>
      <w:bookmarkEnd w:id="38"/>
      <w:r w:rsidR="00B765B6" w:rsidRPr="00D14CD7">
        <w:rPr>
          <w:color w:val="000000" w:themeColor="text1"/>
        </w:rPr>
        <w:t xml:space="preserve">. </w:t>
      </w:r>
      <w:r w:rsidR="00A201F5" w:rsidRPr="00D14CD7">
        <w:rPr>
          <w:color w:val="000000" w:themeColor="text1"/>
        </w:rPr>
        <w:t xml:space="preserve">The finding that individuals living in households with multiple related adults tend to eat out less has also been reported in earlier studies, and ascribed to </w:t>
      </w:r>
      <w:r w:rsidR="00B765B6" w:rsidRPr="00D14CD7">
        <w:rPr>
          <w:color w:val="000000" w:themeColor="text1"/>
        </w:rPr>
        <w:t xml:space="preserve">the cultural norm of viewing the dinner meal as an in-home family gathering event </w:t>
      </w:r>
      <w:bookmarkStart w:id="39" w:name="_Hlk139554379"/>
      <w:r w:rsidR="00CC1B0A" w:rsidRPr="00D14CD7">
        <w:rPr>
          <w:color w:val="000000" w:themeColor="text1"/>
        </w:rPr>
        <w:fldChar w:fldCharType="begin"/>
      </w:r>
      <w:r w:rsidR="00CC1B0A" w:rsidRPr="00D14CD7">
        <w:rPr>
          <w:color w:val="000000" w:themeColor="text1"/>
        </w:rPr>
        <w:instrText xml:space="preserve"> ADDIN ZOTERO_ITEM CSL_CITATION {"citationID":"9MGzYjf5","properties":{"formattedCitation":"(Fulkerson et al., 2011)","plainCitation":"(Fulkerson et al., 2011)","noteIndex":0},"citationItems":[{"id":565,"uris":["http://zotero.org/users/9292995/items/IZTULQNF"],"itemData":{"id":565,"type":"article-journal","container-title":"Journal of the American Dietetic Association","ISSN":"0002-8223","issue":"12","journalAbbreviation":"Journal of the American Dietetic Association","note":"publisher: Elsevier","page":"1892-1897","title":"Away-from-home family dinner sources and associations with weight status, body composition, and related biomarkers of chronic disease among adolescents and their parents","volume":"111","author":[{"family":"Fulkerson","given":"Jayne A"},{"family":"Farbakhsh","given":"Kian"},{"family":"Lytle","given":"Leslie"},{"family":"Hearst","given":"Mary O"},{"family":"Dengel","given":"Donald R"},{"family":"Pasch","given":"Keryn E"},{"family":"Kubik","given":"Martha Y"}],"issued":{"date-parts":[["2011"]]}}}],"schema":"https://github.com/citation-style-language/schema/raw/master/csl-citation.json"} </w:instrText>
      </w:r>
      <w:r w:rsidR="00CC1B0A" w:rsidRPr="00D14CD7">
        <w:rPr>
          <w:color w:val="000000" w:themeColor="text1"/>
        </w:rPr>
        <w:fldChar w:fldCharType="separate"/>
      </w:r>
      <w:r w:rsidR="00CC1B0A" w:rsidRPr="00D14CD7">
        <w:rPr>
          <w:color w:val="000000" w:themeColor="text1"/>
        </w:rPr>
        <w:t>(Fulkerson et al., 2011)</w:t>
      </w:r>
      <w:r w:rsidR="00CC1B0A" w:rsidRPr="00D14CD7">
        <w:rPr>
          <w:color w:val="000000" w:themeColor="text1"/>
        </w:rPr>
        <w:fldChar w:fldCharType="end"/>
      </w:r>
      <w:bookmarkEnd w:id="39"/>
      <w:r w:rsidR="00B765B6" w:rsidRPr="00D14CD7">
        <w:rPr>
          <w:color w:val="000000" w:themeColor="text1"/>
        </w:rPr>
        <w:t xml:space="preserve"> </w:t>
      </w:r>
      <w:r w:rsidR="00A201F5" w:rsidRPr="00D14CD7">
        <w:rPr>
          <w:color w:val="000000" w:themeColor="text1"/>
        </w:rPr>
        <w:t>and/</w:t>
      </w:r>
      <w:r w:rsidR="00B765B6" w:rsidRPr="00D14CD7">
        <w:rPr>
          <w:color w:val="000000" w:themeColor="text1"/>
        </w:rPr>
        <w:t xml:space="preserve">or </w:t>
      </w:r>
      <w:r w:rsidR="002A2CAA" w:rsidRPr="00D14CD7">
        <w:rPr>
          <w:color w:val="000000" w:themeColor="text1"/>
        </w:rPr>
        <w:t xml:space="preserve">to the time-cost efficiency gains of cooking at home </w:t>
      </w:r>
      <w:r w:rsidR="00B765B6" w:rsidRPr="00D14CD7">
        <w:rPr>
          <w:color w:val="000000" w:themeColor="text1"/>
        </w:rPr>
        <w:t xml:space="preserve">by collectively allocating income, time, and market goods and services (see </w:t>
      </w:r>
      <w:r w:rsidR="00CC1B0A" w:rsidRPr="00D14CD7">
        <w:rPr>
          <w:color w:val="000000" w:themeColor="text1"/>
        </w:rPr>
        <w:fldChar w:fldCharType="begin"/>
      </w:r>
      <w:r w:rsidR="005970AF" w:rsidRPr="00D14CD7">
        <w:rPr>
          <w:color w:val="000000" w:themeColor="text1"/>
        </w:rPr>
        <w:instrText xml:space="preserve"> ADDIN ZOTERO_ITEM CSL_CITATION {"citationID":"D43XpuZz","properties":{"formattedCitation":"(Stewart &amp; Yen, 2004)","plainCitation":"(Stewart &amp; Yen, 2004)","dontUpdate":true,"noteIndex":0},"citationItems":[{"id":850,"uris":["http://zotero.org/users/9292995/items/ZHUM35YZ"],"itemData":{"id":850,"type":"article-journal","container-title":"Food Policy","ISSN":"0306-9192","issue":"6","journalAbbreviation":"Food Policy","note":"publisher: Elsevier","page":"643-658","title":"Changing household characteristics and the away-from-home food market: a censored equation system approach","volume":"29","author":[{"family":"Stewart","given":"Hayden"},{"family":"Yen","given":"Steven T"}],"issued":{"date-parts":[["2004"]]}}}],"schema":"https://github.com/citation-style-language/schema/raw/master/csl-citation.json"} </w:instrText>
      </w:r>
      <w:r w:rsidR="00CC1B0A" w:rsidRPr="00D14CD7">
        <w:rPr>
          <w:color w:val="000000" w:themeColor="text1"/>
        </w:rPr>
        <w:fldChar w:fldCharType="separate"/>
      </w:r>
      <w:r w:rsidR="00CC1B0A" w:rsidRPr="00D14CD7">
        <w:rPr>
          <w:color w:val="000000" w:themeColor="text1"/>
        </w:rPr>
        <w:t>Stewart and Yen, 2004)</w:t>
      </w:r>
      <w:r w:rsidR="00CC1B0A" w:rsidRPr="00D14CD7">
        <w:rPr>
          <w:color w:val="000000" w:themeColor="text1"/>
        </w:rPr>
        <w:fldChar w:fldCharType="end"/>
      </w:r>
      <w:r w:rsidR="00B765B6" w:rsidRPr="00D14CD7">
        <w:rPr>
          <w:color w:val="000000" w:themeColor="text1"/>
        </w:rPr>
        <w:t>.</w:t>
      </w:r>
      <w:r w:rsidRPr="00D14CD7">
        <w:rPr>
          <w:color w:val="000000" w:themeColor="text1"/>
        </w:rPr>
        <w:t xml:space="preserve"> </w:t>
      </w:r>
      <w:r w:rsidR="006B748A" w:rsidRPr="00D14CD7">
        <w:rPr>
          <w:color w:val="000000" w:themeColor="text1"/>
        </w:rPr>
        <w:t xml:space="preserve">Also, the results in </w:t>
      </w:r>
      <w:r w:rsidR="00BE151D" w:rsidRPr="00D14CD7">
        <w:rPr>
          <w:color w:val="000000" w:themeColor="text1"/>
        </w:rPr>
        <w:t>Table 6</w:t>
      </w:r>
      <w:r w:rsidR="006B748A" w:rsidRPr="00D14CD7">
        <w:rPr>
          <w:color w:val="000000" w:themeColor="text1"/>
        </w:rPr>
        <w:t xml:space="preserve"> reveal that individuals from h</w:t>
      </w:r>
      <w:r w:rsidR="0047016B" w:rsidRPr="00D14CD7">
        <w:rPr>
          <w:color w:val="000000" w:themeColor="text1"/>
        </w:rPr>
        <w:t xml:space="preserve">ouseholds composed of two or more unrelated adults (e.g., roommates) are more likely </w:t>
      </w:r>
      <w:r w:rsidR="006B748A" w:rsidRPr="00D14CD7">
        <w:rPr>
          <w:color w:val="000000" w:themeColor="text1"/>
        </w:rPr>
        <w:t>than individuals from other (related adult or sin</w:t>
      </w:r>
      <w:r w:rsidR="009E1F83" w:rsidRPr="00D14CD7">
        <w:rPr>
          <w:color w:val="000000" w:themeColor="text1"/>
        </w:rPr>
        <w:t>g</w:t>
      </w:r>
      <w:r w:rsidR="006B748A" w:rsidRPr="00D14CD7">
        <w:rPr>
          <w:color w:val="000000" w:themeColor="text1"/>
        </w:rPr>
        <w:t xml:space="preserve">le adult) households </w:t>
      </w:r>
      <w:r w:rsidR="0047016B" w:rsidRPr="00D14CD7">
        <w:rPr>
          <w:color w:val="000000" w:themeColor="text1"/>
        </w:rPr>
        <w:t xml:space="preserve">to </w:t>
      </w:r>
      <w:r w:rsidR="006B748A" w:rsidRPr="00D14CD7">
        <w:rPr>
          <w:color w:val="000000" w:themeColor="text1"/>
        </w:rPr>
        <w:t xml:space="preserve">dine at </w:t>
      </w:r>
      <w:r w:rsidR="0047016B" w:rsidRPr="00D14CD7">
        <w:rPr>
          <w:color w:val="000000" w:themeColor="text1"/>
        </w:rPr>
        <w:t>QSRs</w:t>
      </w:r>
      <w:r w:rsidR="009E1F83" w:rsidRPr="00D14CD7">
        <w:rPr>
          <w:color w:val="000000" w:themeColor="text1"/>
        </w:rPr>
        <w:t>, though satiation effects seem to set in sooner among such individuals for QSRs</w:t>
      </w:r>
      <w:r w:rsidR="006B748A" w:rsidRPr="00D14CD7">
        <w:rPr>
          <w:color w:val="000000" w:themeColor="text1"/>
        </w:rPr>
        <w:t xml:space="preserve">. </w:t>
      </w:r>
      <w:r w:rsidR="0047016B" w:rsidRPr="00D14CD7">
        <w:rPr>
          <w:color w:val="000000" w:themeColor="text1"/>
        </w:rPr>
        <w:t xml:space="preserve">Financial constraints may be </w:t>
      </w:r>
      <w:r w:rsidR="009E1F83" w:rsidRPr="00D14CD7">
        <w:rPr>
          <w:color w:val="000000" w:themeColor="text1"/>
        </w:rPr>
        <w:t>responsible for the QSR baseline preference</w:t>
      </w:r>
      <w:r w:rsidR="0047016B" w:rsidRPr="00D14CD7">
        <w:rPr>
          <w:color w:val="000000" w:themeColor="text1"/>
        </w:rPr>
        <w:t xml:space="preserve">, as individuals living with roommates typically have limited resources and may be looking for a more affordable option for dining out. </w:t>
      </w:r>
      <w:r w:rsidR="009E1F83" w:rsidRPr="00D14CD7">
        <w:rPr>
          <w:color w:val="000000" w:themeColor="text1"/>
        </w:rPr>
        <w:t xml:space="preserve">At the same time, such individuals may also be seeking more variety in restaurant segments because of the diversity in their social dining company, resulting in a distribution of dinner eat-out meals across multiple restaurant segments.  Regardless of restaurant segment preference, individuals from </w:t>
      </w:r>
      <w:r w:rsidR="00F0110E" w:rsidRPr="00D14CD7">
        <w:rPr>
          <w:color w:val="000000" w:themeColor="text1"/>
        </w:rPr>
        <w:t xml:space="preserve">unrelated adult households, not surprisingly, are more likely to partake in eat-outs, presumably </w:t>
      </w:r>
      <w:r w:rsidR="0047016B" w:rsidRPr="00D14CD7">
        <w:rPr>
          <w:color w:val="000000" w:themeColor="text1"/>
        </w:rPr>
        <w:t xml:space="preserve">due to the social lifestyle </w:t>
      </w:r>
      <w:r w:rsidR="00F0110E" w:rsidRPr="00D14CD7">
        <w:rPr>
          <w:color w:val="000000" w:themeColor="text1"/>
        </w:rPr>
        <w:t xml:space="preserve">and lifecycle associated with roommate living </w:t>
      </w:r>
      <w:r w:rsidR="0047016B" w:rsidRPr="00D14CD7">
        <w:rPr>
          <w:color w:val="000000" w:themeColor="text1"/>
        </w:rPr>
        <w:t xml:space="preserve">(see </w:t>
      </w:r>
      <w:bookmarkStart w:id="40" w:name="_Hlk139554458"/>
      <w:r w:rsidR="00CC1B0A" w:rsidRPr="00D14CD7">
        <w:rPr>
          <w:color w:val="000000" w:themeColor="text1"/>
        </w:rPr>
        <w:fldChar w:fldCharType="begin"/>
      </w:r>
      <w:r w:rsidR="005970AF" w:rsidRPr="00D14CD7">
        <w:rPr>
          <w:color w:val="000000" w:themeColor="text1"/>
        </w:rPr>
        <w:instrText xml:space="preserve"> ADDIN ZOTERO_ITEM CSL_CITATION {"citationID":"TK0jWVbU","properties":{"formattedCitation":"(Cho et al., 2019; Kenyon &amp; Heath, 2001)","plainCitation":"(Cho et al., 2019; Kenyon &amp; Heath, 2001)","dontUpdate":true,"noteIndex":0},"citationItems":[{"id":490,"uris":["http://zotero.org/users/9292995/items/BJD2SC6P"],"itemData":{"id":490,"type":"article-journal","container-title":"International Journal of Hospitality Management","ISSN":"0278-4319","journalAbbreviation":"International Journal of Hospitality Management","note":"publisher: Elsevier","page":"108-116","title":"Differences in perceptions about food delivery apps between single-person and multi-person households","volume":"77","author":[{"family":"Cho","given":"Meehee"},{"family":"Bonn","given":"Mark A"},{"family":"Li","given":"Jun Justin"}],"issued":{"date-parts":[["2019"]]}}},{"id":1028,"uris":["http://zotero.org/users/9292995/items/5A7RK2CB"],"itemData":{"id":1028,"type":"article-journal","container-title":"Housing Studies","ISSN":"0267-3037","issue":"5","journalAbbreviation":"Housing Studies","note":"publisher: Taylor &amp; Francis","page":"619-635","title":"Choosing this life: narratives of choice amongst house sharers","volume":"16","author":[{"family":"Kenyon","given":"Elizabeth"},{"family":"Heath","given":"Sue"}],"issued":{"date-parts":[["2001"]]}}}],"schema":"https://github.com/citation-style-language/schema/raw/master/csl-citation.json"} </w:instrText>
      </w:r>
      <w:r w:rsidR="00CC1B0A" w:rsidRPr="00D14CD7">
        <w:rPr>
          <w:color w:val="000000" w:themeColor="text1"/>
        </w:rPr>
        <w:fldChar w:fldCharType="separate"/>
      </w:r>
      <w:r w:rsidR="00CC1B0A" w:rsidRPr="00D14CD7">
        <w:rPr>
          <w:color w:val="000000" w:themeColor="text1"/>
        </w:rPr>
        <w:t>Cho et al., 2019, Kenyon and Heath, 2001)</w:t>
      </w:r>
      <w:r w:rsidR="00CC1B0A" w:rsidRPr="00D14CD7">
        <w:rPr>
          <w:color w:val="000000" w:themeColor="text1"/>
        </w:rPr>
        <w:fldChar w:fldCharType="end"/>
      </w:r>
      <w:bookmarkEnd w:id="40"/>
      <w:r w:rsidR="0047016B" w:rsidRPr="00D14CD7">
        <w:rPr>
          <w:color w:val="000000" w:themeColor="text1"/>
        </w:rPr>
        <w:t xml:space="preserve">. </w:t>
      </w:r>
    </w:p>
    <w:p w14:paraId="3C7EB5F3" w14:textId="01B5B14A" w:rsidR="008F32CE" w:rsidRPr="00D14CD7" w:rsidRDefault="0047016B" w:rsidP="007E2CED">
      <w:pPr>
        <w:spacing w:after="0" w:line="240" w:lineRule="auto"/>
        <w:ind w:firstLine="720"/>
        <w:rPr>
          <w:color w:val="000000" w:themeColor="text1"/>
        </w:rPr>
      </w:pPr>
      <w:r w:rsidRPr="00D14CD7">
        <w:rPr>
          <w:color w:val="000000" w:themeColor="text1"/>
        </w:rPr>
        <w:t xml:space="preserve">Finally, the presence of children has </w:t>
      </w:r>
      <w:r w:rsidR="00F0110E" w:rsidRPr="00D14CD7">
        <w:rPr>
          <w:color w:val="000000" w:themeColor="text1"/>
        </w:rPr>
        <w:t xml:space="preserve">important </w:t>
      </w:r>
      <w:r w:rsidRPr="00D14CD7">
        <w:rPr>
          <w:color w:val="000000" w:themeColor="text1"/>
        </w:rPr>
        <w:t>effects on eat-out preferences and frequency</w:t>
      </w:r>
      <w:r w:rsidR="00D93FEC" w:rsidRPr="00D14CD7">
        <w:rPr>
          <w:color w:val="000000" w:themeColor="text1"/>
        </w:rPr>
        <w:t>, particularly in the context of QSRs</w:t>
      </w:r>
      <w:r w:rsidR="0080675B" w:rsidRPr="00D14CD7">
        <w:rPr>
          <w:color w:val="000000" w:themeColor="text1"/>
        </w:rPr>
        <w:t xml:space="preserve">, with </w:t>
      </w:r>
      <w:r w:rsidR="00CC1B0A" w:rsidRPr="00D14CD7">
        <w:rPr>
          <w:color w:val="000000" w:themeColor="text1"/>
        </w:rPr>
        <w:t>households</w:t>
      </w:r>
      <w:r w:rsidR="00F0110E" w:rsidRPr="00D14CD7">
        <w:rPr>
          <w:color w:val="000000" w:themeColor="text1"/>
        </w:rPr>
        <w:t xml:space="preserve"> </w:t>
      </w:r>
      <w:r w:rsidR="00D93FEC" w:rsidRPr="00D14CD7">
        <w:rPr>
          <w:color w:val="000000" w:themeColor="text1"/>
        </w:rPr>
        <w:t>with children exhibit</w:t>
      </w:r>
      <w:r w:rsidR="0080675B" w:rsidRPr="00D14CD7">
        <w:rPr>
          <w:color w:val="000000" w:themeColor="text1"/>
        </w:rPr>
        <w:t>ing</w:t>
      </w:r>
      <w:r w:rsidR="00D93FEC" w:rsidRPr="00D14CD7">
        <w:rPr>
          <w:color w:val="000000" w:themeColor="text1"/>
        </w:rPr>
        <w:t xml:space="preserve"> a strong preference for QSRs. Children are often attracted to fast food establishments for several reasons, including the availability of salty and sweet meal options</w:t>
      </w:r>
      <w:r w:rsidR="0080675B" w:rsidRPr="00D14CD7">
        <w:rPr>
          <w:color w:val="000000" w:themeColor="text1"/>
        </w:rPr>
        <w:t>,</w:t>
      </w:r>
      <w:r w:rsidR="00D93FEC" w:rsidRPr="00D14CD7">
        <w:rPr>
          <w:color w:val="000000" w:themeColor="text1"/>
        </w:rPr>
        <w:t xml:space="preserve"> and the promise of fun and novelty with on-site playgrounds and toys </w:t>
      </w:r>
      <w:r w:rsidR="0080675B" w:rsidRPr="00D14CD7">
        <w:rPr>
          <w:color w:val="000000" w:themeColor="text1"/>
        </w:rPr>
        <w:t xml:space="preserve">with their </w:t>
      </w:r>
      <w:r w:rsidR="00D93FEC" w:rsidRPr="00D14CD7">
        <w:rPr>
          <w:color w:val="000000" w:themeColor="text1"/>
        </w:rPr>
        <w:t>meal</w:t>
      </w:r>
      <w:r w:rsidR="0080675B" w:rsidRPr="00D14CD7">
        <w:rPr>
          <w:color w:val="000000" w:themeColor="text1"/>
        </w:rPr>
        <w:t>s</w:t>
      </w:r>
      <w:r w:rsidR="00D93FEC" w:rsidRPr="00D14CD7">
        <w:rPr>
          <w:color w:val="000000" w:themeColor="text1"/>
        </w:rPr>
        <w:t xml:space="preserve"> </w:t>
      </w:r>
      <w:bookmarkStart w:id="41" w:name="_Hlk139554510"/>
      <w:r w:rsidR="00D93FEC" w:rsidRPr="00D14CD7">
        <w:rPr>
          <w:color w:val="000000" w:themeColor="text1"/>
        </w:rPr>
        <w:fldChar w:fldCharType="begin"/>
      </w:r>
      <w:r w:rsidR="001603C7" w:rsidRPr="00D14CD7">
        <w:rPr>
          <w:color w:val="000000" w:themeColor="text1"/>
        </w:rPr>
        <w:instrText xml:space="preserve"> ADDIN ZOTERO_ITEM CSL_CITATION {"citationID":"4X1f28ri","properties":{"formattedCitation":"(Ipatenco, 2012; L. Thomas, 2018)","plainCitation":"(Ipatenco, 2012; L. Thomas, 2018)","dontUpdate":true,"noteIndex":0},"citationItems":[{"id":1060,"uris":["http://zotero.org/users/9292995/items/LQPCPI9N"],"itemData":{"id":1060,"type":"report","title":"What Attracts Kids to Fast Food?","URL":"https://www.weekand.com/healthy-living/article/attracts-kids-fast-food-18002699.php","author":[{"family":"Ipatenco","given":"Sara"}],"issued":{"date-parts":[["2012"]]}}},{"id":1059,"uris":["http://zotero.org/users/9292995/items/AGYGFDU3"],"itemData":{"id":1059,"type":"report","title":"How Fast Food Affects Children's Health","URL":"https://www.news-medical.net/health/How-Fast-Food-Affects-Childrens-Health.aspx#:~:text=However%2C%20fast%20food%20is%20extremely,it%20can%20be%20quite%20addictive.","author":[{"family":"Thomas","given":"Liji"}],"issued":{"date-parts":[["2018"]]}}}],"schema":"https://github.com/citation-style-language/schema/raw/master/csl-citation.json"} </w:instrText>
      </w:r>
      <w:r w:rsidR="00D93FEC" w:rsidRPr="00D14CD7">
        <w:rPr>
          <w:color w:val="000000" w:themeColor="text1"/>
        </w:rPr>
        <w:fldChar w:fldCharType="separate"/>
      </w:r>
      <w:r w:rsidR="00D93FEC" w:rsidRPr="00D14CD7">
        <w:rPr>
          <w:color w:val="000000" w:themeColor="text1"/>
        </w:rPr>
        <w:t>(Ipatenco, 2012</w:t>
      </w:r>
      <w:r w:rsidR="001603C7" w:rsidRPr="00D14CD7">
        <w:rPr>
          <w:color w:val="000000" w:themeColor="text1"/>
        </w:rPr>
        <w:t>,</w:t>
      </w:r>
      <w:r w:rsidR="00D93FEC" w:rsidRPr="00D14CD7">
        <w:rPr>
          <w:color w:val="000000" w:themeColor="text1"/>
        </w:rPr>
        <w:t xml:space="preserve">  Thomas, 2018)</w:t>
      </w:r>
      <w:r w:rsidR="00D93FEC" w:rsidRPr="00D14CD7">
        <w:rPr>
          <w:color w:val="000000" w:themeColor="text1"/>
        </w:rPr>
        <w:fldChar w:fldCharType="end"/>
      </w:r>
      <w:r w:rsidR="00D93FEC" w:rsidRPr="00D14CD7">
        <w:rPr>
          <w:color w:val="000000" w:themeColor="text1"/>
        </w:rPr>
        <w:t xml:space="preserve">. </w:t>
      </w:r>
      <w:bookmarkEnd w:id="41"/>
      <w:r w:rsidR="00D93FEC" w:rsidRPr="00D14CD7">
        <w:rPr>
          <w:color w:val="000000" w:themeColor="text1"/>
        </w:rPr>
        <w:t xml:space="preserve">Interestingly, these findings contradict previous research </w:t>
      </w:r>
      <w:r w:rsidR="001603C7" w:rsidRPr="00D14CD7">
        <w:rPr>
          <w:color w:val="000000" w:themeColor="text1"/>
        </w:rPr>
        <w:t>suggesting that</w:t>
      </w:r>
      <w:r w:rsidR="00D93FEC" w:rsidRPr="00D14CD7">
        <w:rPr>
          <w:color w:val="000000" w:themeColor="text1"/>
        </w:rPr>
        <w:t xml:space="preserve"> parents prioritize their children's dietary intake and </w:t>
      </w:r>
      <w:r w:rsidR="0080675B" w:rsidRPr="00D14CD7">
        <w:rPr>
          <w:color w:val="000000" w:themeColor="text1"/>
        </w:rPr>
        <w:t xml:space="preserve">so refrain from potentially </w:t>
      </w:r>
      <w:r w:rsidR="00D93FEC" w:rsidRPr="00D14CD7">
        <w:rPr>
          <w:color w:val="000000" w:themeColor="text1"/>
        </w:rPr>
        <w:t xml:space="preserve">unhealthy </w:t>
      </w:r>
      <w:r w:rsidR="0080675B" w:rsidRPr="00D14CD7">
        <w:rPr>
          <w:color w:val="000000" w:themeColor="text1"/>
        </w:rPr>
        <w:t xml:space="preserve">food </w:t>
      </w:r>
      <w:r w:rsidR="00D93FEC" w:rsidRPr="00D14CD7">
        <w:rPr>
          <w:color w:val="000000" w:themeColor="text1"/>
        </w:rPr>
        <w:t>options</w:t>
      </w:r>
      <w:r w:rsidR="00656F93" w:rsidRPr="00D14CD7">
        <w:rPr>
          <w:color w:val="000000" w:themeColor="text1"/>
        </w:rPr>
        <w:t xml:space="preserve"> for the children</w:t>
      </w:r>
      <w:r w:rsidR="00D93FEC" w:rsidRPr="00D14CD7">
        <w:rPr>
          <w:color w:val="000000" w:themeColor="text1"/>
        </w:rPr>
        <w:t xml:space="preserve"> </w:t>
      </w:r>
      <w:r w:rsidR="00CC1B0A" w:rsidRPr="00D14CD7">
        <w:rPr>
          <w:color w:val="000000" w:themeColor="text1"/>
        </w:rPr>
        <w:fldChar w:fldCharType="begin"/>
      </w:r>
      <w:r w:rsidR="005970AF" w:rsidRPr="00D14CD7">
        <w:rPr>
          <w:color w:val="000000" w:themeColor="text1"/>
        </w:rPr>
        <w:instrText xml:space="preserve"> ADDIN ZOTERO_ITEM CSL_CITATION {"citationID":"JQGIWTYc","properties":{"formattedCitation":"(Jones, 2018; Petersen et al., 2014)","plainCitation":"(Jones, 2018; Petersen et al., 2014)","dontUpdate":true,"noteIndex":0},"citationItems":[{"id":434,"uris":["http://zotero.org/users/9292995/items/3AWRFFLC"],"itemData":{"id":434,"type":"article-journal","container-title":"Journal of foodservice business research","ISSN":"1537-8020","issue":"4","journalAbbreviation":"Journal of foodservice business research","note":"publisher: Taylor &amp; Francis","page":"377-393","title":"Restaurant food choices by moms: An exploratory study","volume":"21","author":[{"family":"Jones","given":"Cathleen"}],"issued":{"date-parts":[["2018"]]}}},{"id":887,"uris":["http://zotero.org/users/9292995/items/MCQ33LTC"],"itemData":{"id":887,"type":"article-journal","container-title":"Trials","ISSN":"1745-6215","issue":"1","journalAbbreviation":"Trials","note":"publisher: Springer","page":"1-11","title":"Disappointment and adherence among parents of newborns allocated to the control group: a qualitative study of a randomized clinical trial","volume":"15","author":[{"family":"Petersen","given":"Sandra"},{"family":"Zoffmann","given":"Vibeke"},{"family":"Kjærgaard","given":"Jesper"},{"family":"Graff Steensballe","given":"Lone"},{"family":"Greisen","given":"Gorm"}],"issued":{"date-parts":[["2014"]]}}}],"schema":"https://github.com/citation-style-language/schema/raw/master/csl-citation.json"} </w:instrText>
      </w:r>
      <w:r w:rsidR="00CC1B0A" w:rsidRPr="00D14CD7">
        <w:rPr>
          <w:color w:val="000000" w:themeColor="text1"/>
        </w:rPr>
        <w:fldChar w:fldCharType="separate"/>
      </w:r>
      <w:r w:rsidR="00CC1B0A" w:rsidRPr="00D14CD7">
        <w:rPr>
          <w:color w:val="000000" w:themeColor="text1"/>
        </w:rPr>
        <w:t>(Jones, 2018, Petersen et al., 2014)</w:t>
      </w:r>
      <w:r w:rsidR="00CC1B0A" w:rsidRPr="00D14CD7">
        <w:rPr>
          <w:color w:val="000000" w:themeColor="text1"/>
        </w:rPr>
        <w:fldChar w:fldCharType="end"/>
      </w:r>
      <w:r w:rsidR="00D93FEC" w:rsidRPr="00D14CD7">
        <w:rPr>
          <w:color w:val="000000" w:themeColor="text1"/>
        </w:rPr>
        <w:t xml:space="preserve">. However, it appears that this parental care for children's health is more focused on the frequency of eating out </w:t>
      </w:r>
      <w:r w:rsidR="0080675B" w:rsidRPr="00D14CD7">
        <w:rPr>
          <w:color w:val="000000" w:themeColor="text1"/>
        </w:rPr>
        <w:t xml:space="preserve">as a whole </w:t>
      </w:r>
      <w:r w:rsidR="00D93FEC" w:rsidRPr="00D14CD7">
        <w:rPr>
          <w:color w:val="000000" w:themeColor="text1"/>
        </w:rPr>
        <w:t xml:space="preserve">rather than the choice of </w:t>
      </w:r>
      <w:r w:rsidR="0080675B" w:rsidRPr="00D14CD7">
        <w:rPr>
          <w:color w:val="000000" w:themeColor="text1"/>
        </w:rPr>
        <w:t>a restaurant segment</w:t>
      </w:r>
      <w:r w:rsidR="00D93FEC" w:rsidRPr="00D14CD7">
        <w:rPr>
          <w:color w:val="000000" w:themeColor="text1"/>
        </w:rPr>
        <w:t>, a finding that is also supported by Kim and Kim (2021) and Haddad et al. (2023). This suggests that</w:t>
      </w:r>
      <w:r w:rsidR="0080675B" w:rsidRPr="00D14CD7">
        <w:rPr>
          <w:color w:val="000000" w:themeColor="text1"/>
        </w:rPr>
        <w:t>,</w:t>
      </w:r>
      <w:r w:rsidR="00D93FEC" w:rsidRPr="00D14CD7">
        <w:rPr>
          <w:color w:val="000000" w:themeColor="text1"/>
        </w:rPr>
        <w:t xml:space="preserve"> while parents may be mindful of their children's nutrition, they </w:t>
      </w:r>
      <w:r w:rsidR="0080675B" w:rsidRPr="00D14CD7">
        <w:rPr>
          <w:color w:val="000000" w:themeColor="text1"/>
        </w:rPr>
        <w:t>do not seem to perceiv</w:t>
      </w:r>
      <w:r w:rsidR="00DE14BD" w:rsidRPr="00D14CD7">
        <w:rPr>
          <w:color w:val="000000" w:themeColor="text1"/>
        </w:rPr>
        <w:t>e</w:t>
      </w:r>
      <w:r w:rsidR="0080675B" w:rsidRPr="00D14CD7">
        <w:rPr>
          <w:color w:val="000000" w:themeColor="text1"/>
        </w:rPr>
        <w:t xml:space="preserve"> QSRs as providing particularly unhealthy options. </w:t>
      </w:r>
    </w:p>
    <w:p w14:paraId="325F0633" w14:textId="77777777" w:rsidR="007E2CED" w:rsidRPr="00D14CD7" w:rsidRDefault="007E2CED" w:rsidP="007E2CED">
      <w:pPr>
        <w:spacing w:after="0" w:line="240" w:lineRule="auto"/>
        <w:ind w:firstLine="720"/>
        <w:rPr>
          <w:color w:val="000000" w:themeColor="text1"/>
        </w:rPr>
      </w:pPr>
    </w:p>
    <w:p w14:paraId="61748DAF" w14:textId="445753E2" w:rsidR="007078D5" w:rsidRPr="00D14CD7" w:rsidRDefault="007078D5" w:rsidP="007E2CED">
      <w:pPr>
        <w:pStyle w:val="Heading3"/>
        <w:spacing w:before="0" w:line="240" w:lineRule="auto"/>
        <w:rPr>
          <w:u w:val="none"/>
        </w:rPr>
      </w:pPr>
      <w:r w:rsidRPr="00D14CD7">
        <w:rPr>
          <w:u w:val="none"/>
        </w:rPr>
        <w:t>Employment Status/Job Characteristics</w:t>
      </w:r>
    </w:p>
    <w:p w14:paraId="148BE0FE" w14:textId="1E72C981" w:rsidR="00D97265" w:rsidRPr="00D14CD7" w:rsidRDefault="004F16D7" w:rsidP="007E2CED">
      <w:pPr>
        <w:spacing w:after="0" w:line="240" w:lineRule="auto"/>
        <w:rPr>
          <w:color w:val="000000" w:themeColor="text1"/>
        </w:rPr>
      </w:pPr>
      <w:r w:rsidRPr="00D14CD7">
        <w:rPr>
          <w:color w:val="000000" w:themeColor="text1"/>
        </w:rPr>
        <w:t>Several employment and job characteristics are examined. The intensity of work can be described either by the number of workdays per month</w:t>
      </w:r>
      <w:r w:rsidR="00D97265" w:rsidRPr="00D14CD7">
        <w:rPr>
          <w:color w:val="000000" w:themeColor="text1"/>
        </w:rPr>
        <w:t xml:space="preserve"> or the number of work hours per week </w:t>
      </w:r>
      <w:r w:rsidR="004720C0" w:rsidRPr="00D14CD7">
        <w:rPr>
          <w:color w:val="000000" w:themeColor="text1"/>
        </w:rPr>
        <w:t>(</w:t>
      </w:r>
      <w:r w:rsidR="00D97265" w:rsidRPr="00D14CD7">
        <w:rPr>
          <w:color w:val="000000" w:themeColor="text1"/>
        </w:rPr>
        <w:t>with part-time being characterized as 30 hours or less per week and full-time being more than 30 hours per week</w:t>
      </w:r>
      <w:r w:rsidR="004720C0" w:rsidRPr="00D14CD7">
        <w:rPr>
          <w:color w:val="000000" w:themeColor="text1"/>
        </w:rPr>
        <w:t>)</w:t>
      </w:r>
      <w:r w:rsidR="00D97265" w:rsidRPr="00D14CD7">
        <w:rPr>
          <w:color w:val="000000" w:themeColor="text1"/>
        </w:rPr>
        <w:t xml:space="preserve">. Our analysis reveals that both </w:t>
      </w:r>
      <w:r w:rsidR="00750CB7" w:rsidRPr="00D14CD7">
        <w:rPr>
          <w:color w:val="000000" w:themeColor="text1"/>
        </w:rPr>
        <w:t xml:space="preserve">of these </w:t>
      </w:r>
      <w:r w:rsidR="008F32CE" w:rsidRPr="00D14CD7">
        <w:rPr>
          <w:color w:val="000000" w:themeColor="text1"/>
        </w:rPr>
        <w:t xml:space="preserve">job </w:t>
      </w:r>
      <w:r w:rsidR="00D97265" w:rsidRPr="00D14CD7">
        <w:rPr>
          <w:color w:val="000000" w:themeColor="text1"/>
        </w:rPr>
        <w:t xml:space="preserve">characteristics </w:t>
      </w:r>
      <w:r w:rsidR="00656F93" w:rsidRPr="00D14CD7">
        <w:rPr>
          <w:color w:val="000000" w:themeColor="text1"/>
        </w:rPr>
        <w:t xml:space="preserve">affect </w:t>
      </w:r>
      <w:r w:rsidR="00D97265" w:rsidRPr="00D14CD7">
        <w:rPr>
          <w:color w:val="000000" w:themeColor="text1"/>
        </w:rPr>
        <w:t xml:space="preserve">dining </w:t>
      </w:r>
      <w:r w:rsidR="004165A0" w:rsidRPr="00D14CD7">
        <w:rPr>
          <w:color w:val="000000" w:themeColor="text1"/>
        </w:rPr>
        <w:t>behaviors</w:t>
      </w:r>
      <w:r w:rsidR="00D97265" w:rsidRPr="00D14CD7">
        <w:rPr>
          <w:color w:val="000000" w:themeColor="text1"/>
        </w:rPr>
        <w:t xml:space="preserve"> and preferences</w:t>
      </w:r>
      <w:r w:rsidR="00750CB7" w:rsidRPr="00D14CD7">
        <w:rPr>
          <w:color w:val="000000" w:themeColor="text1"/>
        </w:rPr>
        <w:t>, though in distinct ways</w:t>
      </w:r>
      <w:r w:rsidR="00D97265" w:rsidRPr="00D14CD7">
        <w:rPr>
          <w:color w:val="000000" w:themeColor="text1"/>
        </w:rPr>
        <w:t xml:space="preserve">. </w:t>
      </w:r>
    </w:p>
    <w:p w14:paraId="30FEC2B9" w14:textId="52AABDB0" w:rsidR="007E6743" w:rsidRPr="00D14CD7" w:rsidRDefault="008F32CE" w:rsidP="007E2CED">
      <w:pPr>
        <w:spacing w:after="0" w:line="240" w:lineRule="auto"/>
        <w:ind w:firstLine="720"/>
        <w:rPr>
          <w:color w:val="000000" w:themeColor="text1"/>
        </w:rPr>
      </w:pPr>
      <w:r w:rsidRPr="00D14CD7">
        <w:rPr>
          <w:color w:val="000000" w:themeColor="text1"/>
        </w:rPr>
        <w:t xml:space="preserve">The number of work days per month </w:t>
      </w:r>
      <w:r w:rsidR="00BA5A10" w:rsidRPr="00D14CD7">
        <w:rPr>
          <w:color w:val="000000" w:themeColor="text1"/>
        </w:rPr>
        <w:t>does not</w:t>
      </w:r>
      <w:r w:rsidR="0021102E" w:rsidRPr="00D14CD7">
        <w:rPr>
          <w:color w:val="000000" w:themeColor="text1"/>
        </w:rPr>
        <w:t xml:space="preserve"> affect</w:t>
      </w:r>
      <w:r w:rsidR="00BA5A10" w:rsidRPr="00D14CD7">
        <w:rPr>
          <w:color w:val="000000" w:themeColor="text1"/>
        </w:rPr>
        <w:t xml:space="preserve"> restaurant segment preference but </w:t>
      </w:r>
      <w:r w:rsidR="007B5EE0" w:rsidRPr="00D14CD7">
        <w:rPr>
          <w:color w:val="000000" w:themeColor="text1"/>
        </w:rPr>
        <w:t xml:space="preserve">positively </w:t>
      </w:r>
      <w:r w:rsidRPr="00D14CD7">
        <w:rPr>
          <w:color w:val="000000" w:themeColor="text1"/>
        </w:rPr>
        <w:t>influenc</w:t>
      </w:r>
      <w:r w:rsidR="00BA5A10" w:rsidRPr="00D14CD7">
        <w:rPr>
          <w:color w:val="000000" w:themeColor="text1"/>
        </w:rPr>
        <w:t>es</w:t>
      </w:r>
      <w:r w:rsidRPr="00D14CD7">
        <w:rPr>
          <w:color w:val="000000" w:themeColor="text1"/>
        </w:rPr>
        <w:t xml:space="preserve"> </w:t>
      </w:r>
      <w:r w:rsidR="00750CB7" w:rsidRPr="00D14CD7">
        <w:rPr>
          <w:color w:val="000000" w:themeColor="text1"/>
        </w:rPr>
        <w:t>eat-out participation</w:t>
      </w:r>
      <w:r w:rsidR="00CC1B0A" w:rsidRPr="00D14CD7">
        <w:rPr>
          <w:color w:val="000000" w:themeColor="text1"/>
        </w:rPr>
        <w:t>. However,</w:t>
      </w:r>
      <w:r w:rsidR="007B5EE0" w:rsidRPr="00D14CD7">
        <w:rPr>
          <w:color w:val="000000" w:themeColor="text1"/>
        </w:rPr>
        <w:t xml:space="preserve"> there is a tempering </w:t>
      </w:r>
      <w:r w:rsidR="00BA5A10" w:rsidRPr="00D14CD7">
        <w:rPr>
          <w:color w:val="000000" w:themeColor="text1"/>
        </w:rPr>
        <w:t xml:space="preserve">of this latter </w:t>
      </w:r>
      <w:r w:rsidR="007B5EE0" w:rsidRPr="00D14CD7">
        <w:rPr>
          <w:color w:val="000000" w:themeColor="text1"/>
        </w:rPr>
        <w:t xml:space="preserve">effect as the fraction of workdays from home grows. The net result is that eating out is a more common occurrence among those working many days per month rather than fewer days, and this is especially the case for those working primarily from their in-person workplace </w:t>
      </w:r>
      <w:r w:rsidR="0021102E" w:rsidRPr="00D14CD7">
        <w:rPr>
          <w:color w:val="000000" w:themeColor="text1"/>
        </w:rPr>
        <w:t xml:space="preserve">(rather </w:t>
      </w:r>
      <w:r w:rsidR="007B5EE0" w:rsidRPr="00D14CD7">
        <w:rPr>
          <w:color w:val="000000" w:themeColor="text1"/>
        </w:rPr>
        <w:t>than from home</w:t>
      </w:r>
      <w:r w:rsidR="0021102E" w:rsidRPr="00D14CD7">
        <w:rPr>
          <w:color w:val="000000" w:themeColor="text1"/>
        </w:rPr>
        <w:t>)</w:t>
      </w:r>
      <w:r w:rsidR="007B5EE0" w:rsidRPr="00D14CD7">
        <w:rPr>
          <w:color w:val="000000" w:themeColor="text1"/>
        </w:rPr>
        <w:t>. W</w:t>
      </w:r>
      <w:r w:rsidR="003F50BD" w:rsidRPr="00D14CD7">
        <w:rPr>
          <w:color w:val="000000" w:themeColor="text1"/>
        </w:rPr>
        <w:t xml:space="preserve">ork-related activities contribute to time constraints (see </w:t>
      </w:r>
      <w:bookmarkStart w:id="42" w:name="_Hlk139554748"/>
      <w:r w:rsidR="00CC1B0A" w:rsidRPr="00D14CD7">
        <w:rPr>
          <w:color w:val="000000" w:themeColor="text1"/>
        </w:rPr>
        <w:fldChar w:fldCharType="begin"/>
      </w:r>
      <w:r w:rsidR="005970AF" w:rsidRPr="00D14CD7">
        <w:rPr>
          <w:color w:val="000000" w:themeColor="text1"/>
        </w:rPr>
        <w:instrText xml:space="preserve"> ADDIN ZOTERO_ITEM CSL_CITATION {"citationID":"7wspgHly","properties":{"formattedCitation":"(Bernardo et al., 2015; Giurge et al., 2020)","plainCitation":"(Bernardo et al., 2015; Giurge et al., 2020)","dontUpdate":true,"noteIndex":0},"citationItems":[{"id":869,"uris":["http://zotero.org/users/9292995/items/G7JDNVK3"],"itemData":{"id":869,"type":"article-journal","container-title":"Transportation Research Part A: Policy and Practice","ISSN":"0965-8564","journalAbbreviation":"Transportation Research Part A: Policy and Practice","note":"publisher: Elsevier","page":"71-91","title":"An empirical investigation into the time-use and activity patterns of dual-earner couples with and without young children","volume":"76","author":[{"family":"Bernardo","given":"Christina"},{"family":"Paleti","given":"Rajesh"},{"family":"Hoklas","given":"Megan"},{"family":"Bhat","given":"Chandra"}],"issued":{"date-parts":[["2015"]]}}},{"id":851,"uris":["http://zotero.org/users/9292995/items/ZG5GKDFX"],"itemData":{"id":851,"type":"article-journal","container-title":"Nature Human Behaviour","ISSN":"2397-3374","issue":"10","journalAbbreviation":"Nature Human Behaviour","note":"publisher: Nature Publishing Group","page":"993-1003","title":"Why time poverty matters for individuals, organisations and nations","volume":"4","author":[{"family":"Giurge","given":"Laura M"},{"family":"Whillans","given":"Ashley V"},{"family":"West","given":"Colin"}],"issued":{"date-parts":[["2020"]]}}}],"schema":"https://github.com/citation-style-language/schema/raw/master/csl-citation.json"} </w:instrText>
      </w:r>
      <w:r w:rsidR="00CC1B0A" w:rsidRPr="00D14CD7">
        <w:rPr>
          <w:color w:val="000000" w:themeColor="text1"/>
        </w:rPr>
        <w:fldChar w:fldCharType="separate"/>
      </w:r>
      <w:r w:rsidR="00CC1B0A" w:rsidRPr="00D14CD7">
        <w:rPr>
          <w:color w:val="000000" w:themeColor="text1"/>
        </w:rPr>
        <w:t>Bernardo et al., 2015, and Giurge et al., 2020)</w:t>
      </w:r>
      <w:r w:rsidR="00CC1B0A" w:rsidRPr="00D14CD7">
        <w:rPr>
          <w:color w:val="000000" w:themeColor="text1"/>
        </w:rPr>
        <w:fldChar w:fldCharType="end"/>
      </w:r>
      <w:bookmarkEnd w:id="42"/>
      <w:r w:rsidR="003F50BD" w:rsidRPr="00D14CD7">
        <w:rPr>
          <w:color w:val="000000" w:themeColor="text1"/>
        </w:rPr>
        <w:t xml:space="preserve">, </w:t>
      </w:r>
      <w:r w:rsidR="00882F85" w:rsidRPr="00D14CD7">
        <w:rPr>
          <w:color w:val="000000" w:themeColor="text1"/>
        </w:rPr>
        <w:t>resulting in increased instances of dining out</w:t>
      </w:r>
      <w:r w:rsidR="003F50BD" w:rsidRPr="00D14CD7">
        <w:rPr>
          <w:color w:val="000000" w:themeColor="text1"/>
        </w:rPr>
        <w:t>.</w:t>
      </w:r>
      <w:r w:rsidRPr="00D14CD7">
        <w:rPr>
          <w:color w:val="000000" w:themeColor="text1"/>
        </w:rPr>
        <w:t xml:space="preserve"> </w:t>
      </w:r>
      <w:r w:rsidR="003475E9" w:rsidRPr="00D14CD7">
        <w:rPr>
          <w:color w:val="000000" w:themeColor="text1"/>
        </w:rPr>
        <w:t>A</w:t>
      </w:r>
      <w:r w:rsidR="0021102E" w:rsidRPr="00D14CD7">
        <w:rPr>
          <w:color w:val="000000" w:themeColor="text1"/>
        </w:rPr>
        <w:t>lso,</w:t>
      </w:r>
      <w:r w:rsidR="003475E9" w:rsidRPr="00D14CD7">
        <w:rPr>
          <w:color w:val="000000" w:themeColor="text1"/>
        </w:rPr>
        <w:t xml:space="preserve"> as individuals work more from </w:t>
      </w:r>
      <w:r w:rsidR="003475E9" w:rsidRPr="00D14CD7">
        <w:rPr>
          <w:color w:val="000000" w:themeColor="text1"/>
        </w:rPr>
        <w:lastRenderedPageBreak/>
        <w:t xml:space="preserve">their </w:t>
      </w:r>
      <w:r w:rsidR="00296EAE" w:rsidRPr="00D14CD7">
        <w:rPr>
          <w:color w:val="000000" w:themeColor="text1"/>
        </w:rPr>
        <w:t xml:space="preserve">office </w:t>
      </w:r>
      <w:r w:rsidR="003475E9" w:rsidRPr="00D14CD7">
        <w:rPr>
          <w:color w:val="000000" w:themeColor="text1"/>
        </w:rPr>
        <w:t xml:space="preserve">and are already outside the home, there is greater accessibility and convenience to visit restaurants on the work-to-home evening commute. </w:t>
      </w:r>
      <w:r w:rsidR="0021102E" w:rsidRPr="00D14CD7">
        <w:rPr>
          <w:color w:val="000000" w:themeColor="text1"/>
        </w:rPr>
        <w:t>Moreover</w:t>
      </w:r>
      <w:r w:rsidR="003475E9" w:rsidRPr="00D14CD7">
        <w:rPr>
          <w:color w:val="000000" w:themeColor="text1"/>
        </w:rPr>
        <w:t xml:space="preserve">, individuals who work frequently from home may have a general lifestyle preference for eating in the comfort and familiarity of their homes </w:t>
      </w:r>
      <w:bookmarkStart w:id="43" w:name="_Hlk139554787"/>
      <w:bookmarkStart w:id="44" w:name="_Hlk109732866"/>
      <w:r w:rsidR="003475E9" w:rsidRPr="00D14CD7">
        <w:rPr>
          <w:color w:val="000000" w:themeColor="text1"/>
        </w:rPr>
        <w:fldChar w:fldCharType="begin"/>
      </w:r>
      <w:r w:rsidR="003475E9" w:rsidRPr="00D14CD7">
        <w:rPr>
          <w:color w:val="000000" w:themeColor="text1"/>
        </w:rPr>
        <w:instrText xml:space="preserve"> ADDIN ZOTERO_ITEM CSL_CITATION {"citationID":"7KoU7DM2","properties":{"formattedCitation":"(Xiao et al., 2021)","plainCitation":"(Xiao et al., 2021)","noteIndex":0},"citationItems":[{"id":574,"uris":["http://zotero.org/users/9292995/items/EURRM9K4"],"itemData":{"id":574,"type":"article-journal","container-title":"Journal of Occupational and Environmental Medicine","issue":"3","journalAbbreviation":"Journal of Occupational and Environmental Medicine","note":"publisher: Wolters Kluwer Health","page":"181","title":"Impacts of working from home during COVID-19 pandemic on physical and mental well-being of office workstation users","volume":"63","author":[{"family":"Xiao","given":"Yijing"},{"family":"Becerik-Gerber","given":"Burcin"},{"family":"Lucas","given":"Gale"},{"family":"Roll","given":"Shawn C"}],"issued":{"date-parts":[["2021"]]}}}],"schema":"https://github.com/citation-style-language/schema/raw/master/csl-citation.json"} </w:instrText>
      </w:r>
      <w:r w:rsidR="003475E9" w:rsidRPr="00D14CD7">
        <w:rPr>
          <w:color w:val="000000" w:themeColor="text1"/>
        </w:rPr>
        <w:fldChar w:fldCharType="separate"/>
      </w:r>
      <w:r w:rsidR="003475E9" w:rsidRPr="00D14CD7">
        <w:rPr>
          <w:color w:val="000000" w:themeColor="text1"/>
        </w:rPr>
        <w:t>(Xiao et al., 2021)</w:t>
      </w:r>
      <w:r w:rsidR="003475E9" w:rsidRPr="00D14CD7">
        <w:rPr>
          <w:color w:val="000000" w:themeColor="text1"/>
        </w:rPr>
        <w:fldChar w:fldCharType="end"/>
      </w:r>
      <w:r w:rsidR="0021102E" w:rsidRPr="00D14CD7">
        <w:rPr>
          <w:color w:val="000000" w:themeColor="text1"/>
        </w:rPr>
        <w:t xml:space="preserve"> </w:t>
      </w:r>
      <w:bookmarkEnd w:id="43"/>
      <w:r w:rsidR="0021102E" w:rsidRPr="00D14CD7">
        <w:rPr>
          <w:color w:val="000000" w:themeColor="text1"/>
        </w:rPr>
        <w:t>due to</w:t>
      </w:r>
      <w:r w:rsidR="00BA5A10" w:rsidRPr="00D14CD7">
        <w:rPr>
          <w:color w:val="000000" w:themeColor="text1"/>
        </w:rPr>
        <w:t xml:space="preserve"> a frame of body and mind that may be linked </w:t>
      </w:r>
      <w:bookmarkEnd w:id="44"/>
      <w:r w:rsidR="00BA5A10" w:rsidRPr="00D14CD7">
        <w:rPr>
          <w:color w:val="000000" w:themeColor="text1"/>
        </w:rPr>
        <w:t xml:space="preserve">to </w:t>
      </w:r>
      <w:r w:rsidR="007E6743" w:rsidRPr="00D14CD7">
        <w:rPr>
          <w:color w:val="000000" w:themeColor="text1"/>
        </w:rPr>
        <w:t>the psychological theory of homeostasis (see</w:t>
      </w:r>
      <w:r w:rsidR="00CC1B0A" w:rsidRPr="00D14CD7">
        <w:rPr>
          <w:color w:val="000000" w:themeColor="text1"/>
        </w:rPr>
        <w:t xml:space="preserve"> </w:t>
      </w:r>
      <w:bookmarkStart w:id="45" w:name="_Hlk139554798"/>
      <w:r w:rsidR="00CC1B0A" w:rsidRPr="00D14CD7">
        <w:rPr>
          <w:color w:val="000000" w:themeColor="text1"/>
        </w:rPr>
        <w:fldChar w:fldCharType="begin"/>
      </w:r>
      <w:r w:rsidR="005970AF" w:rsidRPr="00D14CD7">
        <w:rPr>
          <w:color w:val="000000" w:themeColor="text1"/>
        </w:rPr>
        <w:instrText xml:space="preserve"> ADDIN ZOTERO_ITEM CSL_CITATION {"citationID":"0lPmXwYT","properties":{"formattedCitation":"(Marks, 2022)","plainCitation":"(Marks, 2022)","dontUpdate":true,"noteIndex":0},"citationItems":[{"id":1030,"uris":["http://zotero.org/users/9292995/items/L7U2SUM5"],"itemData":{"id":1030,"type":"article-journal","container-title":"Journal of Health Psychology","ISSN":"1359-1053","issue":"6","journalAbbreviation":"Journal of Health Psychology","note":"publisher: SAGE Publications Sage UK: London, England","page":"1275-1287","title":"Psychological homeostasis and protective behaviours in the Covid-19 pandemic","volume":"27","author":[{"family":"Marks","given":"David F"}],"issued":{"date-parts":[["2022"]]}}}],"schema":"https://github.com/citation-style-language/schema/raw/master/csl-citation.json"} </w:instrText>
      </w:r>
      <w:r w:rsidR="00CC1B0A" w:rsidRPr="00D14CD7">
        <w:rPr>
          <w:color w:val="000000" w:themeColor="text1"/>
        </w:rPr>
        <w:fldChar w:fldCharType="separate"/>
      </w:r>
      <w:r w:rsidR="00CC1B0A" w:rsidRPr="00D14CD7">
        <w:rPr>
          <w:color w:val="000000" w:themeColor="text1"/>
        </w:rPr>
        <w:t>Marks, 2022)</w:t>
      </w:r>
      <w:r w:rsidR="00CC1B0A" w:rsidRPr="00D14CD7">
        <w:rPr>
          <w:color w:val="000000" w:themeColor="text1"/>
        </w:rPr>
        <w:fldChar w:fldCharType="end"/>
      </w:r>
      <w:bookmarkEnd w:id="45"/>
      <w:r w:rsidR="00BA5A10" w:rsidRPr="00D14CD7">
        <w:rPr>
          <w:color w:val="000000" w:themeColor="text1"/>
        </w:rPr>
        <w:t>.</w:t>
      </w:r>
      <w:r w:rsidR="007E6743" w:rsidRPr="00D14CD7">
        <w:rPr>
          <w:color w:val="000000" w:themeColor="text1"/>
        </w:rPr>
        <w:t xml:space="preserve"> </w:t>
      </w:r>
    </w:p>
    <w:p w14:paraId="7CD482C7" w14:textId="02045F7F" w:rsidR="009F65B4" w:rsidRPr="00D14CD7" w:rsidRDefault="00BA5A10" w:rsidP="007E2CED">
      <w:pPr>
        <w:spacing w:after="0" w:line="240" w:lineRule="auto"/>
        <w:ind w:firstLine="720"/>
        <w:rPr>
          <w:color w:val="000000" w:themeColor="text1"/>
        </w:rPr>
      </w:pPr>
      <w:r w:rsidRPr="00D14CD7">
        <w:rPr>
          <w:color w:val="000000" w:themeColor="text1"/>
        </w:rPr>
        <w:t xml:space="preserve">While the number of workdays (and working from home) affects eat-out participation but not restaurant segment preference, the reverse holds for the </w:t>
      </w:r>
      <w:r w:rsidR="008F32CE" w:rsidRPr="00D14CD7">
        <w:rPr>
          <w:color w:val="000000" w:themeColor="text1"/>
        </w:rPr>
        <w:t>number of work hours per week</w:t>
      </w:r>
      <w:r w:rsidR="006F43D5" w:rsidRPr="00D14CD7">
        <w:rPr>
          <w:color w:val="000000" w:themeColor="text1"/>
        </w:rPr>
        <w:t xml:space="preserve"> (see the results under “employment status” in </w:t>
      </w:r>
      <w:r w:rsidR="00BE151D" w:rsidRPr="00D14CD7">
        <w:rPr>
          <w:color w:val="000000" w:themeColor="text1"/>
        </w:rPr>
        <w:t>Table 6</w:t>
      </w:r>
      <w:r w:rsidR="006F43D5" w:rsidRPr="00D14CD7">
        <w:rPr>
          <w:color w:val="000000" w:themeColor="text1"/>
        </w:rPr>
        <w:t>)</w:t>
      </w:r>
      <w:r w:rsidR="008F32CE" w:rsidRPr="00D14CD7">
        <w:rPr>
          <w:color w:val="000000" w:themeColor="text1"/>
        </w:rPr>
        <w:t>.</w:t>
      </w:r>
      <w:r w:rsidR="00882F85" w:rsidRPr="00D14CD7">
        <w:rPr>
          <w:color w:val="000000" w:themeColor="text1"/>
        </w:rPr>
        <w:t xml:space="preserve"> </w:t>
      </w:r>
      <w:r w:rsidRPr="00D14CD7">
        <w:rPr>
          <w:color w:val="000000" w:themeColor="text1"/>
        </w:rPr>
        <w:t>Specifically</w:t>
      </w:r>
      <w:r w:rsidR="00F60E0F" w:rsidRPr="00D14CD7">
        <w:rPr>
          <w:color w:val="000000" w:themeColor="text1"/>
        </w:rPr>
        <w:t>,</w:t>
      </w:r>
      <w:r w:rsidRPr="00D14CD7">
        <w:rPr>
          <w:color w:val="000000" w:themeColor="text1"/>
        </w:rPr>
        <w:t xml:space="preserve"> relative to those not employed, </w:t>
      </w:r>
      <w:r w:rsidR="00F60E0F" w:rsidRPr="00D14CD7">
        <w:rPr>
          <w:color w:val="000000" w:themeColor="text1"/>
        </w:rPr>
        <w:t xml:space="preserve">employed individuals (regardless of </w:t>
      </w:r>
      <w:r w:rsidR="00882F85" w:rsidRPr="00D14CD7">
        <w:rPr>
          <w:color w:val="000000" w:themeColor="text1"/>
        </w:rPr>
        <w:t>part-time or full-time</w:t>
      </w:r>
      <w:r w:rsidR="00F60E0F" w:rsidRPr="00D14CD7">
        <w:rPr>
          <w:color w:val="000000" w:themeColor="text1"/>
        </w:rPr>
        <w:t>)</w:t>
      </w:r>
      <w:r w:rsidR="008F32CE" w:rsidRPr="00D14CD7">
        <w:rPr>
          <w:color w:val="000000" w:themeColor="text1"/>
        </w:rPr>
        <w:t xml:space="preserve"> </w:t>
      </w:r>
      <w:r w:rsidR="00F60E0F" w:rsidRPr="00D14CD7">
        <w:rPr>
          <w:color w:val="000000" w:themeColor="text1"/>
        </w:rPr>
        <w:t>have a predisposition toward CHs, perhaps due to the professional-</w:t>
      </w:r>
      <w:r w:rsidR="008F32CE" w:rsidRPr="00D14CD7">
        <w:rPr>
          <w:color w:val="000000" w:themeColor="text1"/>
        </w:rPr>
        <w:t xml:space="preserve">social atmosphere offered by </w:t>
      </w:r>
      <w:r w:rsidR="00882F85" w:rsidRPr="00D14CD7">
        <w:rPr>
          <w:color w:val="000000" w:themeColor="text1"/>
        </w:rPr>
        <w:t>such establishments</w:t>
      </w:r>
      <w:r w:rsidR="008F32CE" w:rsidRPr="00D14CD7">
        <w:rPr>
          <w:color w:val="000000" w:themeColor="text1"/>
        </w:rPr>
        <w:t>, which may be conducive to networking</w:t>
      </w:r>
      <w:r w:rsidR="00F60E0F" w:rsidRPr="00D14CD7">
        <w:rPr>
          <w:color w:val="000000" w:themeColor="text1"/>
        </w:rPr>
        <w:t xml:space="preserve"> </w:t>
      </w:r>
      <w:r w:rsidR="008F32CE" w:rsidRPr="00D14CD7">
        <w:rPr>
          <w:color w:val="000000" w:themeColor="text1"/>
        </w:rPr>
        <w:t>outside the office environment</w:t>
      </w:r>
      <w:r w:rsidR="00CB36F1" w:rsidRPr="00D14CD7">
        <w:rPr>
          <w:color w:val="000000" w:themeColor="text1"/>
        </w:rPr>
        <w:t xml:space="preserve"> </w:t>
      </w:r>
      <w:r w:rsidR="00CB36F1" w:rsidRPr="00D14CD7">
        <w:rPr>
          <w:color w:val="000000" w:themeColor="text1"/>
        </w:rPr>
        <w:fldChar w:fldCharType="begin"/>
      </w:r>
      <w:r w:rsidR="00CB36F1" w:rsidRPr="00D14CD7">
        <w:rPr>
          <w:color w:val="000000" w:themeColor="text1"/>
        </w:rPr>
        <w:instrText xml:space="preserve"> ADDIN ZOTERO_ITEM CSL_CITATION {"citationID":"hEOv3mYn","properties":{"formattedCitation":"(Ferreira et al., 2021)","plainCitation":"(Ferreira et al., 2021)","noteIndex":0},"citationItems":[{"id":1021,"uris":["http://zotero.org/users/9292995/items/CTQB8J4E"],"itemData":{"id":1021,"type":"article-journal","container-title":"Geoforum","ISSN":"0016-7185","journalAbbreviation":"Geoforum","note":"publisher: Elsevier","page":"21-29","title":"Spaces of consumption, connection, and community: Exploring the role of the coffee shop in urban lives","volume":"119","author":[{"family":"Ferreira","given":"Jennifer"},{"family":"Ferreira","given":"Carlos"},{"family":"Bos","given":"Elizabeth"}],"issued":{"date-parts":[["2021"]]}}}],"schema":"https://github.com/citation-style-language/schema/raw/master/csl-citation.json"} </w:instrText>
      </w:r>
      <w:r w:rsidR="00CB36F1" w:rsidRPr="00D14CD7">
        <w:rPr>
          <w:color w:val="000000" w:themeColor="text1"/>
        </w:rPr>
        <w:fldChar w:fldCharType="separate"/>
      </w:r>
      <w:r w:rsidR="00CB36F1" w:rsidRPr="00D14CD7">
        <w:rPr>
          <w:color w:val="000000" w:themeColor="text1"/>
        </w:rPr>
        <w:t>(Ferreira et al., 2021)</w:t>
      </w:r>
      <w:r w:rsidR="00CB36F1" w:rsidRPr="00D14CD7">
        <w:rPr>
          <w:color w:val="000000" w:themeColor="text1"/>
        </w:rPr>
        <w:fldChar w:fldCharType="end"/>
      </w:r>
      <w:r w:rsidR="00CB36F1" w:rsidRPr="00D14CD7">
        <w:rPr>
          <w:color w:val="000000" w:themeColor="text1"/>
        </w:rPr>
        <w:t>.</w:t>
      </w:r>
      <w:r w:rsidR="008F32CE" w:rsidRPr="00D14CD7">
        <w:rPr>
          <w:color w:val="000000" w:themeColor="text1"/>
        </w:rPr>
        <w:t xml:space="preserve"> </w:t>
      </w:r>
      <w:r w:rsidR="00C83307" w:rsidRPr="00D14CD7">
        <w:rPr>
          <w:color w:val="000000" w:themeColor="text1"/>
        </w:rPr>
        <w:t xml:space="preserve">Further, </w:t>
      </w:r>
      <w:r w:rsidR="008F32CE" w:rsidRPr="00D14CD7">
        <w:rPr>
          <w:color w:val="000000" w:themeColor="text1"/>
        </w:rPr>
        <w:t xml:space="preserve">employment status </w:t>
      </w:r>
      <w:r w:rsidR="00C83307" w:rsidRPr="00D14CD7">
        <w:rPr>
          <w:color w:val="000000" w:themeColor="text1"/>
        </w:rPr>
        <w:t xml:space="preserve">also affects </w:t>
      </w:r>
      <w:r w:rsidR="009F65B4" w:rsidRPr="00D14CD7">
        <w:rPr>
          <w:color w:val="000000" w:themeColor="text1"/>
        </w:rPr>
        <w:t xml:space="preserve">the extent of QSR consumption </w:t>
      </w:r>
      <w:r w:rsidR="00C83307" w:rsidRPr="00D14CD7">
        <w:rPr>
          <w:color w:val="000000" w:themeColor="text1"/>
        </w:rPr>
        <w:t>(conditional on positive QSR consumption)</w:t>
      </w:r>
      <w:r w:rsidR="007E6743" w:rsidRPr="00D14CD7">
        <w:rPr>
          <w:color w:val="000000" w:themeColor="text1"/>
        </w:rPr>
        <w:t xml:space="preserve">. </w:t>
      </w:r>
      <w:r w:rsidR="00C83307" w:rsidRPr="00D14CD7">
        <w:rPr>
          <w:color w:val="000000" w:themeColor="text1"/>
        </w:rPr>
        <w:t>Specifically</w:t>
      </w:r>
      <w:r w:rsidR="00CB36F1" w:rsidRPr="00D14CD7">
        <w:rPr>
          <w:color w:val="000000" w:themeColor="text1"/>
        </w:rPr>
        <w:t>,</w:t>
      </w:r>
      <w:r w:rsidR="009F65B4" w:rsidRPr="00D14CD7">
        <w:rPr>
          <w:color w:val="000000" w:themeColor="text1"/>
        </w:rPr>
        <w:t xml:space="preserve"> individuals who are employed tend to visit QSRs more frequently</w:t>
      </w:r>
      <w:r w:rsidR="00CB36F1" w:rsidRPr="00D14CD7">
        <w:rPr>
          <w:color w:val="000000" w:themeColor="text1"/>
        </w:rPr>
        <w:t xml:space="preserve"> compared to their unemployed counterparts</w:t>
      </w:r>
      <w:r w:rsidR="009F65B4" w:rsidRPr="00D14CD7">
        <w:rPr>
          <w:color w:val="000000" w:themeColor="text1"/>
        </w:rPr>
        <w:t xml:space="preserve">, </w:t>
      </w:r>
      <w:r w:rsidR="00C83307" w:rsidRPr="00D14CD7">
        <w:rPr>
          <w:color w:val="000000" w:themeColor="text1"/>
        </w:rPr>
        <w:t xml:space="preserve">with this effect being particularly strong for those employed </w:t>
      </w:r>
      <w:r w:rsidR="009F65B4" w:rsidRPr="00D14CD7">
        <w:rPr>
          <w:color w:val="000000" w:themeColor="text1"/>
        </w:rPr>
        <w:t xml:space="preserve">part-time. </w:t>
      </w:r>
      <w:r w:rsidR="00C83307" w:rsidRPr="00D14CD7">
        <w:rPr>
          <w:color w:val="000000" w:themeColor="text1"/>
        </w:rPr>
        <w:t xml:space="preserve">While time poverty and a quest for efficiency may explain the reason for frequent QSR </w:t>
      </w:r>
      <w:r w:rsidR="00C72AB8" w:rsidRPr="00D14CD7">
        <w:rPr>
          <w:color w:val="000000" w:themeColor="text1"/>
        </w:rPr>
        <w:t xml:space="preserve">participation (that is, less satiation for the QSR segment), the reasons for the lower QSR satiation among part-time workers </w:t>
      </w:r>
      <w:r w:rsidR="0021102E" w:rsidRPr="00D14CD7">
        <w:rPr>
          <w:color w:val="000000" w:themeColor="text1"/>
        </w:rPr>
        <w:t xml:space="preserve">(relative to full-time workers) </w:t>
      </w:r>
      <w:r w:rsidR="00C72AB8" w:rsidRPr="00D14CD7">
        <w:rPr>
          <w:color w:val="000000" w:themeColor="text1"/>
        </w:rPr>
        <w:t xml:space="preserve">need further study and exploration. </w:t>
      </w:r>
    </w:p>
    <w:p w14:paraId="46E9E271" w14:textId="62DA28E5" w:rsidR="007E6743" w:rsidRDefault="007B6632" w:rsidP="007E2CED">
      <w:pPr>
        <w:spacing w:after="0" w:line="240" w:lineRule="auto"/>
        <w:ind w:firstLine="720"/>
        <w:rPr>
          <w:color w:val="000000" w:themeColor="text1"/>
        </w:rPr>
      </w:pPr>
      <w:r w:rsidRPr="00D14CD7">
        <w:rPr>
          <w:color w:val="000000" w:themeColor="text1"/>
        </w:rPr>
        <w:t>Interestingly, commute duration to the in-person workplace did not turn out to be a</w:t>
      </w:r>
      <w:r w:rsidR="0089550B" w:rsidRPr="00D14CD7">
        <w:rPr>
          <w:color w:val="000000" w:themeColor="text1"/>
        </w:rPr>
        <w:t xml:space="preserve"> </w:t>
      </w:r>
      <w:r w:rsidRPr="00D14CD7">
        <w:rPr>
          <w:color w:val="000000" w:themeColor="text1"/>
        </w:rPr>
        <w:t xml:space="preserve">significant predictor </w:t>
      </w:r>
      <w:r w:rsidR="002C6057" w:rsidRPr="00D14CD7">
        <w:rPr>
          <w:color w:val="000000" w:themeColor="text1"/>
        </w:rPr>
        <w:t xml:space="preserve">of the frequency </w:t>
      </w:r>
      <w:r w:rsidR="00785C06" w:rsidRPr="00D14CD7">
        <w:rPr>
          <w:color w:val="000000" w:themeColor="text1"/>
        </w:rPr>
        <w:t>of</w:t>
      </w:r>
      <w:r w:rsidR="002C6057" w:rsidRPr="00D14CD7">
        <w:rPr>
          <w:color w:val="000000" w:themeColor="text1"/>
        </w:rPr>
        <w:t xml:space="preserve"> eating out or preference for a</w:t>
      </w:r>
      <w:r w:rsidR="00D67E1C" w:rsidRPr="00D14CD7">
        <w:rPr>
          <w:color w:val="000000" w:themeColor="text1"/>
        </w:rPr>
        <w:t>ny</w:t>
      </w:r>
      <w:r w:rsidR="002C6057" w:rsidRPr="00D14CD7">
        <w:rPr>
          <w:color w:val="000000" w:themeColor="text1"/>
        </w:rPr>
        <w:t xml:space="preserve"> particular restaurant segment,</w:t>
      </w:r>
      <w:r w:rsidRPr="00D14CD7">
        <w:rPr>
          <w:color w:val="000000" w:themeColor="text1"/>
        </w:rPr>
        <w:t xml:space="preserve"> even for those individuals who always traveled to the office on each work day.</w:t>
      </w:r>
    </w:p>
    <w:p w14:paraId="665FC4F0" w14:textId="77777777" w:rsidR="00D14CD7" w:rsidRPr="00D14CD7" w:rsidRDefault="00D14CD7" w:rsidP="007E2CED">
      <w:pPr>
        <w:spacing w:after="0" w:line="240" w:lineRule="auto"/>
        <w:ind w:firstLine="720"/>
        <w:rPr>
          <w:color w:val="000000" w:themeColor="text1"/>
        </w:rPr>
      </w:pPr>
    </w:p>
    <w:p w14:paraId="746FE421" w14:textId="61549A13" w:rsidR="0000405A" w:rsidRPr="00D14CD7" w:rsidRDefault="0000405A" w:rsidP="007E2CED">
      <w:pPr>
        <w:pStyle w:val="Heading3"/>
        <w:spacing w:before="0" w:line="240" w:lineRule="auto"/>
        <w:rPr>
          <w:u w:val="none"/>
        </w:rPr>
      </w:pPr>
      <w:r w:rsidRPr="00D14CD7">
        <w:rPr>
          <w:u w:val="none"/>
        </w:rPr>
        <w:t>Residential Location BE Factors</w:t>
      </w:r>
    </w:p>
    <w:p w14:paraId="25F74FF8" w14:textId="7CD04E1F" w:rsidR="005363F5" w:rsidRPr="00D14CD7" w:rsidRDefault="00715736" w:rsidP="007E2CED">
      <w:pPr>
        <w:spacing w:after="0" w:line="240" w:lineRule="auto"/>
        <w:rPr>
          <w:color w:val="000000" w:themeColor="text1"/>
        </w:rPr>
      </w:pPr>
      <w:r w:rsidRPr="00D14CD7">
        <w:rPr>
          <w:color w:val="000000" w:themeColor="text1"/>
        </w:rPr>
        <w:t xml:space="preserve">Our analysis identified four residential location factors that significantly influence dining choices and eating-out frequency, including </w:t>
      </w:r>
      <w:r w:rsidR="00CB36F1" w:rsidRPr="00D14CD7">
        <w:rPr>
          <w:color w:val="000000" w:themeColor="text1"/>
        </w:rPr>
        <w:t xml:space="preserve">the </w:t>
      </w:r>
      <w:r w:rsidRPr="00D14CD7">
        <w:rPr>
          <w:color w:val="000000" w:themeColor="text1"/>
        </w:rPr>
        <w:t xml:space="preserve">walkability index, land-use diversity index, restaurant density, and proportion of QSRs. </w:t>
      </w:r>
      <w:r w:rsidR="006203D3" w:rsidRPr="00D14CD7">
        <w:rPr>
          <w:color w:val="000000" w:themeColor="text1"/>
        </w:rPr>
        <w:t xml:space="preserve">Based on the results in </w:t>
      </w:r>
      <w:r w:rsidR="00BE151D" w:rsidRPr="00D14CD7">
        <w:rPr>
          <w:color w:val="000000" w:themeColor="text1"/>
        </w:rPr>
        <w:t>Table 6</w:t>
      </w:r>
      <w:r w:rsidR="006203D3" w:rsidRPr="00D14CD7">
        <w:rPr>
          <w:color w:val="000000" w:themeColor="text1"/>
        </w:rPr>
        <w:t xml:space="preserve">, </w:t>
      </w:r>
      <w:r w:rsidRPr="00D14CD7">
        <w:rPr>
          <w:color w:val="000000" w:themeColor="text1"/>
        </w:rPr>
        <w:t>customers are less likely to visit QSRs in more walkable areas</w:t>
      </w:r>
      <w:r w:rsidR="002545A7" w:rsidRPr="00D14CD7">
        <w:rPr>
          <w:color w:val="000000" w:themeColor="text1"/>
        </w:rPr>
        <w:t xml:space="preserve"> (this is a main effect, separate from the race and walkability interaction effect discussed earlier), potentially because those living in walkable areas are generally health</w:t>
      </w:r>
      <w:r w:rsidR="005363F5" w:rsidRPr="00D14CD7">
        <w:rPr>
          <w:color w:val="000000" w:themeColor="text1"/>
        </w:rPr>
        <w:t>-</w:t>
      </w:r>
      <w:r w:rsidR="002545A7" w:rsidRPr="00D14CD7">
        <w:rPr>
          <w:color w:val="000000" w:themeColor="text1"/>
        </w:rPr>
        <w:t>conscious and avoid QSRs</w:t>
      </w:r>
      <w:r w:rsidRPr="00D14CD7">
        <w:rPr>
          <w:color w:val="000000" w:themeColor="text1"/>
        </w:rPr>
        <w:t xml:space="preserve"> </w:t>
      </w:r>
      <w:r w:rsidR="00BD445A" w:rsidRPr="00D14CD7">
        <w:rPr>
          <w:color w:val="000000" w:themeColor="text1"/>
        </w:rPr>
        <w:t xml:space="preserve">(see </w:t>
      </w:r>
      <w:bookmarkStart w:id="46" w:name="_Hlk139555043"/>
      <w:r w:rsidR="005363F5" w:rsidRPr="00D14CD7">
        <w:rPr>
          <w:color w:val="000000" w:themeColor="text1"/>
        </w:rPr>
        <w:fldChar w:fldCharType="begin"/>
      </w:r>
      <w:r w:rsidR="005970AF" w:rsidRPr="00D14CD7">
        <w:rPr>
          <w:color w:val="000000" w:themeColor="text1"/>
        </w:rPr>
        <w:instrText xml:space="preserve"> ADDIN ZOTERO_ITEM CSL_CITATION {"citationID":"3mz0qqls","properties":{"formattedCitation":"(Lamb et al., 2020)","plainCitation":"(Lamb et al., 2020)","dontUpdate":true,"noteIndex":0},"citationItems":[{"id":1034,"uris":["http://zotero.org/users/9292995/items/R8BC6HQI"],"itemData":{"id":1034,"type":"article-journal","container-title":"International Journal of Behavioral Nutrition and Physical Activity","ISSN":"1479-5868","issue":"1","journalAbbreviation":"International Journal of Behavioral Nutrition and Physical Activity","note":"publisher: BioMed Central","page":"1-22","title":"Methods for accounting for neighbourhood self-selection in physical activity and dietary behaviour research: a systematic review","volume":"17","author":[{"family":"Lamb","given":"Karen E"},{"family":"Thornton","given":"Lukar E"},{"family":"King","given":"Tania L"},{"family":"Ball","given":"Kylie"},{"family":"White","given":"Simon R"},{"family":"Bentley","given":"Rebecca"},{"family":"Coffee","given":"Neil T"},{"family":"Daniel","given":"Mark"}],"issued":{"date-parts":[["2020"]]}}}],"schema":"https://github.com/citation-style-language/schema/raw/master/csl-citation.json"} </w:instrText>
      </w:r>
      <w:r w:rsidR="005363F5" w:rsidRPr="00D14CD7">
        <w:rPr>
          <w:color w:val="000000" w:themeColor="text1"/>
        </w:rPr>
        <w:fldChar w:fldCharType="separate"/>
      </w:r>
      <w:r w:rsidR="005363F5" w:rsidRPr="00D14CD7">
        <w:rPr>
          <w:color w:val="000000" w:themeColor="text1"/>
        </w:rPr>
        <w:t>Lamb et al., 2020)</w:t>
      </w:r>
      <w:r w:rsidR="005363F5" w:rsidRPr="00D14CD7">
        <w:rPr>
          <w:color w:val="000000" w:themeColor="text1"/>
        </w:rPr>
        <w:fldChar w:fldCharType="end"/>
      </w:r>
      <w:bookmarkEnd w:id="46"/>
      <w:r w:rsidR="002545A7" w:rsidRPr="00D14CD7">
        <w:rPr>
          <w:color w:val="000000" w:themeColor="text1"/>
        </w:rPr>
        <w:t xml:space="preserve">. Residents in high land-use diversity residential neighborhoods, on the other hand, have an elevated preference for CSRs, even though there is also higher satiation for CSRs among such individuals. </w:t>
      </w:r>
      <w:r w:rsidR="00E1344C" w:rsidRPr="00D14CD7">
        <w:rPr>
          <w:color w:val="000000" w:themeColor="text1"/>
        </w:rPr>
        <w:t>Mixed land-use areas</w:t>
      </w:r>
      <w:r w:rsidR="009345E6" w:rsidRPr="00D14CD7">
        <w:rPr>
          <w:color w:val="000000" w:themeColor="text1"/>
        </w:rPr>
        <w:t xml:space="preserve"> </w:t>
      </w:r>
      <w:r w:rsidR="00E1344C" w:rsidRPr="00D14CD7">
        <w:rPr>
          <w:color w:val="000000" w:themeColor="text1"/>
        </w:rPr>
        <w:t>offer multiple attractions to explore</w:t>
      </w:r>
      <w:r w:rsidRPr="00D14CD7">
        <w:rPr>
          <w:color w:val="000000" w:themeColor="text1"/>
        </w:rPr>
        <w:t xml:space="preserve"> and tend to be </w:t>
      </w:r>
      <w:r w:rsidR="00E1344C" w:rsidRPr="00D14CD7">
        <w:rPr>
          <w:color w:val="000000" w:themeColor="text1"/>
        </w:rPr>
        <w:t>more vibrant and culturally diverse</w:t>
      </w:r>
      <w:r w:rsidR="00A33F65" w:rsidRPr="00D14CD7">
        <w:rPr>
          <w:color w:val="000000" w:themeColor="text1"/>
        </w:rPr>
        <w:t xml:space="preserve"> </w:t>
      </w:r>
      <w:bookmarkStart w:id="47" w:name="_Hlk139555061"/>
      <w:r w:rsidR="00A33F65" w:rsidRPr="00D14CD7">
        <w:rPr>
          <w:color w:val="000000" w:themeColor="text1"/>
        </w:rPr>
        <w:fldChar w:fldCharType="begin"/>
      </w:r>
      <w:r w:rsidR="00A33F65" w:rsidRPr="00D14CD7">
        <w:rPr>
          <w:color w:val="000000" w:themeColor="text1"/>
        </w:rPr>
        <w:instrText xml:space="preserve"> ADDIN ZOTERO_ITEM CSL_CITATION {"citationID":"8IoZPsgf","properties":{"formattedCitation":"(Yue et al., 2017)","plainCitation":"(Yue et al., 2017)","noteIndex":0},"citationItems":[{"id":1035,"uris":["http://zotero.org/users/9292995/items/AUJUG7LR"],"itemData":{"id":1035,"type":"article-journal","container-title":"International Journal of Geographical Information Science","ISSN":"1365-8816","issue":"4","journalAbbreviation":"International Journal of Geographical Information Science","note":"publisher: Taylor &amp; Francis","page":"658-675","title":"Measurements of POI-based mixed use and their relationships with neighbourhood vibrancy","volume":"31","author":[{"family":"Yue","given":"Yang"},{"family":"Zhuang","given":"Yan"},{"family":"Yeh","given":"Anthony GO"},{"family":"Xie","given":"Jin-Yun"},{"family":"Ma","given":"Cheng-Lin"},{"family":"Li","given":"Qing-Quan"}],"issued":{"date-parts":[["2017"]]}}}],"schema":"https://github.com/citation-style-language/schema/raw/master/csl-citation.json"} </w:instrText>
      </w:r>
      <w:r w:rsidR="00A33F65" w:rsidRPr="00D14CD7">
        <w:rPr>
          <w:color w:val="000000" w:themeColor="text1"/>
        </w:rPr>
        <w:fldChar w:fldCharType="separate"/>
      </w:r>
      <w:r w:rsidR="00A33F65" w:rsidRPr="00D14CD7">
        <w:rPr>
          <w:color w:val="000000" w:themeColor="text1"/>
        </w:rPr>
        <w:t>(Yue et al., 2017)</w:t>
      </w:r>
      <w:r w:rsidR="00A33F65" w:rsidRPr="00D14CD7">
        <w:rPr>
          <w:color w:val="000000" w:themeColor="text1"/>
        </w:rPr>
        <w:fldChar w:fldCharType="end"/>
      </w:r>
      <w:r w:rsidR="00E1344C" w:rsidRPr="00D14CD7">
        <w:rPr>
          <w:color w:val="000000" w:themeColor="text1"/>
        </w:rPr>
        <w:t xml:space="preserve">. </w:t>
      </w:r>
      <w:bookmarkEnd w:id="47"/>
      <w:r w:rsidR="00E1344C" w:rsidRPr="00D14CD7">
        <w:rPr>
          <w:color w:val="000000" w:themeColor="text1"/>
        </w:rPr>
        <w:t>In such areas,</w:t>
      </w:r>
      <w:r w:rsidR="00A33F65" w:rsidRPr="00D14CD7">
        <w:rPr>
          <w:color w:val="000000" w:themeColor="text1"/>
        </w:rPr>
        <w:t xml:space="preserve"> </w:t>
      </w:r>
      <w:r w:rsidR="00E1344C" w:rsidRPr="00D14CD7">
        <w:rPr>
          <w:color w:val="000000" w:themeColor="text1"/>
        </w:rPr>
        <w:t xml:space="preserve">CSRs may be particularly popular because their ambiance, menu, and overall atmosphere often reflect the unique culture and </w:t>
      </w:r>
      <w:r w:rsidR="002545A7" w:rsidRPr="00D14CD7">
        <w:rPr>
          <w:color w:val="000000" w:themeColor="text1"/>
        </w:rPr>
        <w:t>character</w:t>
      </w:r>
      <w:r w:rsidR="00E1344C" w:rsidRPr="00D14CD7">
        <w:rPr>
          <w:color w:val="000000" w:themeColor="text1"/>
        </w:rPr>
        <w:t xml:space="preserve"> of the neighborhood.</w:t>
      </w:r>
      <w:r w:rsidR="00A01CBD" w:rsidRPr="00D14CD7">
        <w:rPr>
          <w:color w:val="000000" w:themeColor="text1"/>
        </w:rPr>
        <w:t xml:space="preserve"> </w:t>
      </w:r>
      <w:r w:rsidR="002545A7" w:rsidRPr="00D14CD7">
        <w:rPr>
          <w:color w:val="000000" w:themeColor="text1"/>
        </w:rPr>
        <w:t>For the same reason</w:t>
      </w:r>
      <w:r w:rsidR="00187987" w:rsidRPr="00D14CD7">
        <w:rPr>
          <w:color w:val="000000" w:themeColor="text1"/>
        </w:rPr>
        <w:t>, a higher residential land</w:t>
      </w:r>
      <w:r w:rsidR="00785C06" w:rsidRPr="00D14CD7">
        <w:rPr>
          <w:color w:val="000000" w:themeColor="text1"/>
        </w:rPr>
        <w:t>-</w:t>
      </w:r>
      <w:r w:rsidR="00187987" w:rsidRPr="00D14CD7">
        <w:rPr>
          <w:color w:val="000000" w:themeColor="text1"/>
        </w:rPr>
        <w:t xml:space="preserve">use diversity </w:t>
      </w:r>
      <w:r w:rsidR="009345E6" w:rsidRPr="00D14CD7">
        <w:rPr>
          <w:color w:val="000000" w:themeColor="text1"/>
        </w:rPr>
        <w:t xml:space="preserve">is associated with </w:t>
      </w:r>
      <w:r w:rsidR="00D67E1C" w:rsidRPr="00D14CD7">
        <w:rPr>
          <w:color w:val="000000" w:themeColor="text1"/>
        </w:rPr>
        <w:t xml:space="preserve">higher satiation in terms of </w:t>
      </w:r>
      <w:r w:rsidR="009345E6" w:rsidRPr="00D14CD7">
        <w:rPr>
          <w:color w:val="000000" w:themeColor="text1"/>
        </w:rPr>
        <w:t xml:space="preserve">visits to CSRs, indicating a more diverse segment portfolio. </w:t>
      </w:r>
      <w:r w:rsidR="00D67E1C" w:rsidRPr="00D14CD7">
        <w:rPr>
          <w:color w:val="000000" w:themeColor="text1"/>
        </w:rPr>
        <w:t>R</w:t>
      </w:r>
      <w:r w:rsidR="009345E6" w:rsidRPr="00D14CD7">
        <w:rPr>
          <w:color w:val="000000" w:themeColor="text1"/>
        </w:rPr>
        <w:t xml:space="preserve">estaurant density and exposure </w:t>
      </w:r>
      <w:r w:rsidR="00270163" w:rsidRPr="00D14CD7">
        <w:rPr>
          <w:color w:val="000000" w:themeColor="text1"/>
        </w:rPr>
        <w:t>to various restaurant segments also affect dining preferences</w:t>
      </w:r>
      <w:r w:rsidR="00A01CBD" w:rsidRPr="00D14CD7">
        <w:rPr>
          <w:color w:val="000000" w:themeColor="text1"/>
        </w:rPr>
        <w:t xml:space="preserve"> as well as the frequency of eating out</w:t>
      </w:r>
      <w:r w:rsidR="00270163" w:rsidRPr="00D14CD7">
        <w:rPr>
          <w:color w:val="000000" w:themeColor="text1"/>
        </w:rPr>
        <w:t xml:space="preserve">. </w:t>
      </w:r>
      <w:r w:rsidR="00A01CBD" w:rsidRPr="00D14CD7">
        <w:rPr>
          <w:color w:val="000000" w:themeColor="text1"/>
        </w:rPr>
        <w:t>As expected, i</w:t>
      </w:r>
      <w:r w:rsidR="00B81C66" w:rsidRPr="00D14CD7">
        <w:rPr>
          <w:color w:val="000000" w:themeColor="text1"/>
        </w:rPr>
        <w:t>ndividuals</w:t>
      </w:r>
      <w:r w:rsidR="00270163" w:rsidRPr="00D14CD7">
        <w:rPr>
          <w:color w:val="000000" w:themeColor="text1"/>
        </w:rPr>
        <w:t xml:space="preserve"> exposed to a high </w:t>
      </w:r>
      <w:r w:rsidR="00E54EB4" w:rsidRPr="00D14CD7">
        <w:rPr>
          <w:color w:val="000000" w:themeColor="text1"/>
        </w:rPr>
        <w:t>number</w:t>
      </w:r>
      <w:r w:rsidR="00270163" w:rsidRPr="00D14CD7">
        <w:rPr>
          <w:color w:val="000000" w:themeColor="text1"/>
        </w:rPr>
        <w:t xml:space="preserve"> of QSRs </w:t>
      </w:r>
      <w:r w:rsidR="00E54EB4" w:rsidRPr="00D14CD7">
        <w:rPr>
          <w:color w:val="000000" w:themeColor="text1"/>
        </w:rPr>
        <w:t xml:space="preserve">(as a fraction of </w:t>
      </w:r>
      <w:r w:rsidR="005363F5" w:rsidRPr="00D14CD7">
        <w:rPr>
          <w:color w:val="000000" w:themeColor="text1"/>
        </w:rPr>
        <w:t xml:space="preserve">the </w:t>
      </w:r>
      <w:r w:rsidR="00E54EB4" w:rsidRPr="00D14CD7">
        <w:rPr>
          <w:color w:val="000000" w:themeColor="text1"/>
        </w:rPr>
        <w:t xml:space="preserve">total restaurants </w:t>
      </w:r>
      <w:r w:rsidR="005363F5" w:rsidRPr="00D14CD7">
        <w:rPr>
          <w:color w:val="000000" w:themeColor="text1"/>
        </w:rPr>
        <w:t>in</w:t>
      </w:r>
      <w:r w:rsidR="00E54EB4" w:rsidRPr="00D14CD7">
        <w:rPr>
          <w:color w:val="000000" w:themeColor="text1"/>
        </w:rPr>
        <w:t xml:space="preserve"> their residence area) </w:t>
      </w:r>
      <w:r w:rsidR="00270163" w:rsidRPr="00D14CD7">
        <w:rPr>
          <w:color w:val="000000" w:themeColor="text1"/>
        </w:rPr>
        <w:t>are more likely to din</w:t>
      </w:r>
      <w:r w:rsidR="00A01CBD" w:rsidRPr="00D14CD7">
        <w:rPr>
          <w:color w:val="000000" w:themeColor="text1"/>
        </w:rPr>
        <w:t xml:space="preserve">e </w:t>
      </w:r>
      <w:r w:rsidR="00270163" w:rsidRPr="00D14CD7">
        <w:rPr>
          <w:color w:val="000000" w:themeColor="text1"/>
        </w:rPr>
        <w:t xml:space="preserve">at fast food restaurants </w:t>
      </w:r>
      <w:r w:rsidR="005363F5" w:rsidRPr="00D14CD7">
        <w:rPr>
          <w:color w:val="000000" w:themeColor="text1"/>
        </w:rPr>
        <w:fldChar w:fldCharType="begin"/>
      </w:r>
      <w:r w:rsidR="005363F5" w:rsidRPr="00D14CD7">
        <w:rPr>
          <w:color w:val="000000" w:themeColor="text1"/>
        </w:rPr>
        <w:instrText xml:space="preserve"> ADDIN ZOTERO_ITEM CSL_CITATION {"citationID":"iV0jpBQe","properties":{"formattedCitation":"(Athens et al., 2016; Bell et al., 2020; Burgoine et al., 2018)","plainCitation":"(Athens et al., 2016; Bell et al., 2020; Burgoine et al., 2018)","dontUpdate":true,"noteIndex":0},"citationItems":[{"id":1040,"uris":["http://zotero.org/users/9292995/items/2CAVD6L7"],"itemData":{"id":1040,"type":"article-journal","container-title":"Journal of the Academy of Nutrition and Dietetics","ISSN":"2212-2672","issue":"8","journalAbbreviation":"Journal of the Academy of Nutrition and Dietetics","note":"publisher: Elsevier","page":"1266-1275","title":"Proximity to fast-food outlets and supermarkets as predictors of fast-food dining frequency","volume":"116","author":[{"family":"Athens","given":"Jessica K"},{"family":"Duncan","given":"Dustin T"},{"family":"Elbel","given":"Brian"}],"issued":{"date-parts":[["2016"]]}}},{"id":649,"uris":["http://zotero.org/users/9292995/items/PVXQ8GJT"],"itemData":{"id":649,"type":"article-journal","container-title":"SSM-population health","ISSN":"2352-8273","journalAbbreviation":"SSM-population health","note":"publisher: Elsevier","page":"100561","title":"Racial non-equivalence of socioeconomic status and self-rated health among African Americans and Whites","volume":"10","author":[{"family":"Bell","given":"Caryn N"},{"family":"Sacks","given":"Tina K"},{"family":"Tobin","given":"Courtney S Thomas"},{"family":"Thorpe Jr","given":"Roland J"}],"issued":{"date-parts":[["2020"]]}}},{"id":1036,"uris":["http://zotero.org/users/9292995/items/Y43N27S4"],"itemData":{"id":1036,"type":"article-journal","container-title":"International Journal of Behavioral Nutrition and Physical Activity","ISSN":"1479-5868","issue":"1","journalAbbreviation":"International Journal of Behavioral Nutrition and Physical Activity","note":"publisher: BioMed Central","page":"1-12","title":"Examining the interaction of fast-food outlet exposure and income on diet and obesity: evidence from 51,361 UK Biobank participants","volume":"15","author":[{"family":"Burgoine","given":"Thomas"},{"family":"Sarkar","given":"Chinmoy"},{"family":"Webster","given":"Chris J"},{"family":"Monsivais","given":"Pablo"}],"issued":{"date-parts":[["2018"]]}}}],"schema":"https://github.com/citation-style-language/schema/raw/master/csl-citation.json"} </w:instrText>
      </w:r>
      <w:r w:rsidR="005363F5" w:rsidRPr="00D14CD7">
        <w:rPr>
          <w:color w:val="000000" w:themeColor="text1"/>
        </w:rPr>
        <w:fldChar w:fldCharType="separate"/>
      </w:r>
      <w:r w:rsidR="005363F5" w:rsidRPr="00D14CD7">
        <w:rPr>
          <w:color w:val="000000" w:themeColor="text1"/>
        </w:rPr>
        <w:t>(Athens et al., 2016, Bell et al., 2020, Burgoine et al., 2018)</w:t>
      </w:r>
      <w:r w:rsidR="005363F5" w:rsidRPr="00D14CD7">
        <w:rPr>
          <w:color w:val="000000" w:themeColor="text1"/>
        </w:rPr>
        <w:fldChar w:fldCharType="end"/>
      </w:r>
      <w:r w:rsidR="005363F5" w:rsidRPr="00D14CD7">
        <w:rPr>
          <w:color w:val="000000" w:themeColor="text1"/>
        </w:rPr>
        <w:t xml:space="preserve">, </w:t>
      </w:r>
      <w:r w:rsidR="0089550B" w:rsidRPr="00D14CD7">
        <w:rPr>
          <w:color w:val="000000" w:themeColor="text1"/>
        </w:rPr>
        <w:t>and individuals residing in high</w:t>
      </w:r>
      <w:r w:rsidR="005363F5" w:rsidRPr="00D14CD7">
        <w:rPr>
          <w:color w:val="000000" w:themeColor="text1"/>
        </w:rPr>
        <w:t>-</w:t>
      </w:r>
      <w:r w:rsidR="0089550B" w:rsidRPr="00D14CD7">
        <w:rPr>
          <w:color w:val="000000" w:themeColor="text1"/>
        </w:rPr>
        <w:t xml:space="preserve">density </w:t>
      </w:r>
      <w:r w:rsidR="00EE2ACB" w:rsidRPr="00D14CD7">
        <w:rPr>
          <w:color w:val="000000" w:themeColor="text1"/>
        </w:rPr>
        <w:t xml:space="preserve">restaurant </w:t>
      </w:r>
      <w:r w:rsidR="0089550B" w:rsidRPr="00D14CD7">
        <w:rPr>
          <w:color w:val="000000" w:themeColor="text1"/>
        </w:rPr>
        <w:t>nei</w:t>
      </w:r>
      <w:r w:rsidR="00EE2ACB" w:rsidRPr="00D14CD7">
        <w:rPr>
          <w:color w:val="000000" w:themeColor="text1"/>
        </w:rPr>
        <w:t xml:space="preserve">ghborhoods generally eat-out more </w:t>
      </w:r>
      <w:bookmarkStart w:id="48" w:name="_Hlk139555188"/>
      <w:r w:rsidR="005363F5" w:rsidRPr="00D14CD7">
        <w:rPr>
          <w:color w:val="000000" w:themeColor="text1"/>
        </w:rPr>
        <w:fldChar w:fldCharType="begin"/>
      </w:r>
      <w:r w:rsidR="005970AF" w:rsidRPr="00D14CD7">
        <w:rPr>
          <w:color w:val="000000" w:themeColor="text1"/>
        </w:rPr>
        <w:instrText xml:space="preserve"> ADDIN ZOTERO_ITEM CSL_CITATION {"citationID":"ce2EX7B0","properties":{"formattedCitation":"(Haddad et al., 2023; Wang &amp; He, 2021)","plainCitation":"(Haddad et al., 2023; Wang &amp; He, 2021)","dontUpdate":true,"noteIndex":0},"citationItems":[{"id":1011,"uris":["http://zotero.org/users/9292995/items/ZSZAYP89"],"itemData":{"id":1011,"type":"article-journal","container-title":"Transportation Research Part C: Emerging Technologies","ISSN":"0968-090X","journalAbbreviation":"Transportation Research Part C: Emerging Technologies","note":"publisher: Elsevier","page":"104016","title":"Eat-in or eat-out? A joint model to analyze the new landscape of dinner meal preferences","volume":"147","author":[{"family":"Haddad","given":"Angela J"},{"family":"Mondal","given":"Aupal"},{"family":"Bhat","given":"Chandra R"}],"issued":{"date-parts":[["2023"]]}}},{"id":567,"uris":["http://zotero.org/users/9292995/items/KHVQIZVU"],"itemData":{"id":567,"type":"article-journal","container-title":"Transportation Research Part D: Transport and Environment","ISSN":"1361-9209","journalAbbreviation":"Transportation Research Part D: Transport and Environment","note":"publisher: Elsevier","page":"103017","title":"Impacts of food accessibility and built environment on on-demand food delivery usage","volume":"100","author":[{"family":"Wang","given":"Zhenzhen"},{"family":"He","given":"Sylvia Y"}],"issued":{"date-parts":[["2021"]]}}}],"schema":"https://github.com/citation-style-language/schema/raw/master/csl-citation.json"} </w:instrText>
      </w:r>
      <w:r w:rsidR="005363F5" w:rsidRPr="00D14CD7">
        <w:rPr>
          <w:color w:val="000000" w:themeColor="text1"/>
        </w:rPr>
        <w:fldChar w:fldCharType="separate"/>
      </w:r>
      <w:r w:rsidR="005363F5" w:rsidRPr="00D14CD7">
        <w:rPr>
          <w:color w:val="000000" w:themeColor="text1"/>
        </w:rPr>
        <w:t>(Haddad et al., 2023, Wang and He, 2021)</w:t>
      </w:r>
      <w:r w:rsidR="005363F5" w:rsidRPr="00D14CD7">
        <w:rPr>
          <w:color w:val="000000" w:themeColor="text1"/>
        </w:rPr>
        <w:fldChar w:fldCharType="end"/>
      </w:r>
      <w:bookmarkEnd w:id="48"/>
      <w:r w:rsidR="005363F5" w:rsidRPr="00D14CD7">
        <w:rPr>
          <w:color w:val="000000" w:themeColor="text1"/>
        </w:rPr>
        <w:t>.</w:t>
      </w:r>
    </w:p>
    <w:p w14:paraId="2B642E27" w14:textId="77777777" w:rsidR="007E2CED" w:rsidRPr="00D14CD7" w:rsidRDefault="007E2CED" w:rsidP="007E2CED">
      <w:pPr>
        <w:spacing w:after="0" w:line="240" w:lineRule="auto"/>
        <w:rPr>
          <w:color w:val="000000" w:themeColor="text1"/>
        </w:rPr>
      </w:pPr>
    </w:p>
    <w:p w14:paraId="6AA609F4" w14:textId="1BC3B656" w:rsidR="0000405A" w:rsidRPr="00D14CD7" w:rsidRDefault="0000405A" w:rsidP="007E2CED">
      <w:pPr>
        <w:pStyle w:val="Heading3"/>
        <w:spacing w:before="0" w:line="240" w:lineRule="auto"/>
        <w:rPr>
          <w:u w:val="none"/>
        </w:rPr>
      </w:pPr>
      <w:r w:rsidRPr="00D14CD7">
        <w:rPr>
          <w:u w:val="none"/>
        </w:rPr>
        <w:t>COVID-19 Perspectives</w:t>
      </w:r>
    </w:p>
    <w:p w14:paraId="2CC51FA4" w14:textId="7CAB0C55" w:rsidR="003058C8" w:rsidRPr="00D14CD7" w:rsidRDefault="001A75D6" w:rsidP="007E2CED">
      <w:pPr>
        <w:spacing w:after="0" w:line="240" w:lineRule="auto"/>
        <w:rPr>
          <w:color w:val="000000" w:themeColor="text1"/>
        </w:rPr>
      </w:pPr>
      <w:r w:rsidRPr="00D14CD7">
        <w:rPr>
          <w:color w:val="000000" w:themeColor="text1"/>
        </w:rPr>
        <w:t xml:space="preserve">The COVID-19 pandemic has significantly impacted the restaurant industry and has caused shifts in consumer behavior and attitudes toward dining out. </w:t>
      </w:r>
      <w:r w:rsidR="00020A4C" w:rsidRPr="00D14CD7">
        <w:rPr>
          <w:color w:val="000000" w:themeColor="text1"/>
        </w:rPr>
        <w:t xml:space="preserve">Our study </w:t>
      </w:r>
      <w:r w:rsidR="00C654F4" w:rsidRPr="00D14CD7">
        <w:rPr>
          <w:color w:val="000000" w:themeColor="text1"/>
        </w:rPr>
        <w:t>reveal</w:t>
      </w:r>
      <w:r w:rsidR="00F937A7" w:rsidRPr="00D14CD7">
        <w:rPr>
          <w:color w:val="000000" w:themeColor="text1"/>
        </w:rPr>
        <w:t>s</w:t>
      </w:r>
      <w:r w:rsidR="00C654F4" w:rsidRPr="00D14CD7">
        <w:rPr>
          <w:color w:val="000000" w:themeColor="text1"/>
        </w:rPr>
        <w:t xml:space="preserve"> that </w:t>
      </w:r>
      <w:r w:rsidR="00FC474C" w:rsidRPr="00D14CD7">
        <w:rPr>
          <w:color w:val="000000" w:themeColor="text1"/>
        </w:rPr>
        <w:t>“</w:t>
      </w:r>
      <w:r w:rsidR="00C654F4" w:rsidRPr="00D14CD7">
        <w:rPr>
          <w:color w:val="000000" w:themeColor="text1"/>
        </w:rPr>
        <w:t>being immunocompromised or having an immunocompromised loved one</w:t>
      </w:r>
      <w:r w:rsidR="00FC474C" w:rsidRPr="00D14CD7">
        <w:rPr>
          <w:color w:val="000000" w:themeColor="text1"/>
        </w:rPr>
        <w:t>”</w:t>
      </w:r>
      <w:r w:rsidR="00C654F4" w:rsidRPr="00D14CD7">
        <w:rPr>
          <w:color w:val="000000" w:themeColor="text1"/>
        </w:rPr>
        <w:t xml:space="preserve"> </w:t>
      </w:r>
      <w:r w:rsidR="00FC474C" w:rsidRPr="00D14CD7">
        <w:rPr>
          <w:color w:val="000000" w:themeColor="text1"/>
        </w:rPr>
        <w:t xml:space="preserve">(simply </w:t>
      </w:r>
      <w:r w:rsidR="00FD4D36">
        <w:rPr>
          <w:color w:val="000000" w:themeColor="text1"/>
        </w:rPr>
        <w:lastRenderedPageBreak/>
        <w:t>“</w:t>
      </w:r>
      <w:r w:rsidR="00FC474C" w:rsidRPr="00D14CD7">
        <w:rPr>
          <w:color w:val="000000" w:themeColor="text1"/>
        </w:rPr>
        <w:t xml:space="preserve">immunocompromised” for short) </w:t>
      </w:r>
      <w:r w:rsidR="00C654F4" w:rsidRPr="00D14CD7">
        <w:rPr>
          <w:color w:val="000000" w:themeColor="text1"/>
        </w:rPr>
        <w:t xml:space="preserve">significantly reduces the appeal of CHs. Unlike the other three restaurant segments, which primarily focus on providing food services, CHs are typically viewed as socialization or working spots where food is considered to be a secondary service. As a result, individuals who are immunocompromised may be more likely to avoid CHs </w:t>
      </w:r>
      <w:r w:rsidR="007D2F53" w:rsidRPr="00D14CD7">
        <w:rPr>
          <w:color w:val="000000" w:themeColor="text1"/>
        </w:rPr>
        <w:t>as well as</w:t>
      </w:r>
      <w:r w:rsidR="00C654F4" w:rsidRPr="00D14CD7">
        <w:rPr>
          <w:color w:val="000000" w:themeColor="text1"/>
        </w:rPr>
        <w:t xml:space="preserve"> eating out altogether.</w:t>
      </w:r>
      <w:r w:rsidR="00B139AC" w:rsidRPr="00D14CD7">
        <w:rPr>
          <w:color w:val="000000" w:themeColor="text1"/>
        </w:rPr>
        <w:t xml:space="preserve"> Also, </w:t>
      </w:r>
      <w:r w:rsidR="007D2F53" w:rsidRPr="00D14CD7">
        <w:rPr>
          <w:color w:val="000000" w:themeColor="text1"/>
        </w:rPr>
        <w:t>individuals</w:t>
      </w:r>
      <w:r w:rsidR="00C654F4" w:rsidRPr="00D14CD7">
        <w:rPr>
          <w:color w:val="000000" w:themeColor="text1"/>
        </w:rPr>
        <w:t xml:space="preserve"> who perceive that their </w:t>
      </w:r>
      <w:r w:rsidR="006D6A7F" w:rsidRPr="00D14CD7">
        <w:rPr>
          <w:color w:val="000000" w:themeColor="text1"/>
        </w:rPr>
        <w:t>“</w:t>
      </w:r>
      <w:r w:rsidR="00C654F4" w:rsidRPr="00D14CD7">
        <w:rPr>
          <w:color w:val="000000" w:themeColor="text1"/>
        </w:rPr>
        <w:t>well-being was or still is at risk during the pandemic</w:t>
      </w:r>
      <w:r w:rsidR="006D6A7F" w:rsidRPr="00D14CD7">
        <w:rPr>
          <w:color w:val="000000" w:themeColor="text1"/>
        </w:rPr>
        <w:t>”</w:t>
      </w:r>
      <w:r w:rsidR="00C654F4" w:rsidRPr="00D14CD7">
        <w:rPr>
          <w:color w:val="000000" w:themeColor="text1"/>
        </w:rPr>
        <w:t xml:space="preserve"> tend to </w:t>
      </w:r>
      <w:r w:rsidR="006D6A7F" w:rsidRPr="00D14CD7">
        <w:rPr>
          <w:color w:val="000000" w:themeColor="text1"/>
        </w:rPr>
        <w:t>be more predisposed to CSRs and reticent to be patrons of QSRs. The latter result may be traced to the relatively crowded nature of QSRs.</w:t>
      </w:r>
      <w:r w:rsidR="007D2F53" w:rsidRPr="00D14CD7">
        <w:rPr>
          <w:color w:val="000000" w:themeColor="text1"/>
        </w:rPr>
        <w:t xml:space="preserve"> </w:t>
      </w:r>
      <w:r w:rsidR="00647148" w:rsidRPr="00D14CD7">
        <w:rPr>
          <w:color w:val="000000" w:themeColor="text1"/>
        </w:rPr>
        <w:t>Not surprisingly, those immunocompromised</w:t>
      </w:r>
      <w:r w:rsidR="00FC474C" w:rsidRPr="00D14CD7">
        <w:rPr>
          <w:color w:val="000000" w:themeColor="text1"/>
        </w:rPr>
        <w:t xml:space="preserve"> </w:t>
      </w:r>
      <w:r w:rsidR="00647148" w:rsidRPr="00D14CD7">
        <w:rPr>
          <w:color w:val="000000" w:themeColor="text1"/>
        </w:rPr>
        <w:t>and</w:t>
      </w:r>
      <w:r w:rsidR="00FC474C" w:rsidRPr="00D14CD7">
        <w:rPr>
          <w:color w:val="000000" w:themeColor="text1"/>
        </w:rPr>
        <w:t>/or</w:t>
      </w:r>
      <w:r w:rsidR="00647148" w:rsidRPr="00D14CD7">
        <w:rPr>
          <w:color w:val="000000" w:themeColor="text1"/>
        </w:rPr>
        <w:t xml:space="preserve"> worried about their well-being are more likely to have zero eat-outs, though older individuals </w:t>
      </w:r>
      <w:r w:rsidR="00784577" w:rsidRPr="00D14CD7">
        <w:rPr>
          <w:color w:val="000000" w:themeColor="text1"/>
        </w:rPr>
        <w:t xml:space="preserve">with a heightened worry about their well-being </w:t>
      </w:r>
      <w:r w:rsidR="00647148" w:rsidRPr="00D14CD7">
        <w:rPr>
          <w:color w:val="000000" w:themeColor="text1"/>
        </w:rPr>
        <w:t xml:space="preserve">appear to be less risk-sensitive </w:t>
      </w:r>
      <w:r w:rsidR="00784577" w:rsidRPr="00D14CD7">
        <w:rPr>
          <w:color w:val="000000" w:themeColor="text1"/>
        </w:rPr>
        <w:t>than their younger peers.</w:t>
      </w:r>
    </w:p>
    <w:p w14:paraId="0C6CD0BF" w14:textId="77777777" w:rsidR="007E2CED" w:rsidRPr="00D14CD7" w:rsidRDefault="007E2CED" w:rsidP="007E2CED">
      <w:pPr>
        <w:spacing w:after="0" w:line="240" w:lineRule="auto"/>
        <w:rPr>
          <w:color w:val="000000" w:themeColor="text1"/>
        </w:rPr>
      </w:pPr>
    </w:p>
    <w:bookmarkEnd w:id="31"/>
    <w:p w14:paraId="472A03F0" w14:textId="01300F67" w:rsidR="00D15DBC" w:rsidRPr="00D14CD7" w:rsidRDefault="004B19D5" w:rsidP="007E2CED">
      <w:pPr>
        <w:pStyle w:val="Heading2"/>
        <w:spacing w:before="0" w:after="0" w:line="240" w:lineRule="auto"/>
        <w:rPr>
          <w:color w:val="000000" w:themeColor="text1"/>
        </w:rPr>
      </w:pPr>
      <w:r w:rsidRPr="00D14CD7">
        <w:rPr>
          <w:color w:val="000000" w:themeColor="text1"/>
        </w:rPr>
        <w:t xml:space="preserve"> </w:t>
      </w:r>
      <w:r w:rsidR="00D15DBC" w:rsidRPr="00D14CD7">
        <w:rPr>
          <w:color w:val="000000" w:themeColor="text1"/>
        </w:rPr>
        <w:t xml:space="preserve">Goodness of </w:t>
      </w:r>
      <w:r w:rsidR="007E2CED" w:rsidRPr="00D14CD7">
        <w:rPr>
          <w:color w:val="000000" w:themeColor="text1"/>
        </w:rPr>
        <w:t>F</w:t>
      </w:r>
      <w:r w:rsidR="00D15DBC" w:rsidRPr="00D14CD7">
        <w:rPr>
          <w:color w:val="000000" w:themeColor="text1"/>
        </w:rPr>
        <w:t>it</w:t>
      </w:r>
    </w:p>
    <w:p w14:paraId="1CEDB43D" w14:textId="47190915" w:rsidR="0088791A" w:rsidRPr="00D14CD7" w:rsidRDefault="0088791A" w:rsidP="007E2CED">
      <w:pPr>
        <w:spacing w:after="0" w:line="240" w:lineRule="auto"/>
        <w:rPr>
          <w:color w:val="000000" w:themeColor="text1"/>
        </w:rPr>
      </w:pPr>
      <w:r w:rsidRPr="00D14CD7">
        <w:rPr>
          <w:color w:val="000000" w:themeColor="text1"/>
        </w:rPr>
        <w:t xml:space="preserve">Goodness-of-fit statistics are computed to compare the constant </w:t>
      </w:r>
      <w:r w:rsidR="004B19D5" w:rsidRPr="00D14CD7">
        <w:rPr>
          <w:color w:val="000000" w:themeColor="text1"/>
        </w:rPr>
        <w:t>and threshold</w:t>
      </w:r>
      <w:r w:rsidR="00AC739E" w:rsidRPr="00D14CD7">
        <w:rPr>
          <w:color w:val="000000" w:themeColor="text1"/>
        </w:rPr>
        <w:t xml:space="preserve"> shifters</w:t>
      </w:r>
      <w:r w:rsidR="004B19D5" w:rsidRPr="00D14CD7">
        <w:rPr>
          <w:color w:val="000000" w:themeColor="text1"/>
        </w:rPr>
        <w:t xml:space="preserve"> </w:t>
      </w:r>
      <w:r w:rsidR="00AC739E" w:rsidRPr="00D14CD7">
        <w:rPr>
          <w:color w:val="000000" w:themeColor="text1"/>
        </w:rPr>
        <w:t>(CT)-</w:t>
      </w:r>
      <w:r w:rsidR="004B19D5" w:rsidRPr="00D14CD7">
        <w:rPr>
          <w:color w:val="000000" w:themeColor="text1"/>
        </w:rPr>
        <w:t xml:space="preserve">only model </w:t>
      </w:r>
      <w:r w:rsidRPr="00D14CD7">
        <w:rPr>
          <w:color w:val="000000" w:themeColor="text1"/>
        </w:rPr>
        <w:t>(all parameters set to zero</w:t>
      </w:r>
      <w:r w:rsidR="004B19D5" w:rsidRPr="00D14CD7">
        <w:rPr>
          <w:color w:val="000000" w:themeColor="text1"/>
        </w:rPr>
        <w:t xml:space="preserve">, except the constants and </w:t>
      </w:r>
      <w:r w:rsidR="00AC739E" w:rsidRPr="00D14CD7">
        <w:rPr>
          <w:color w:val="000000" w:themeColor="text1"/>
        </w:rPr>
        <w:t xml:space="preserve">the </w:t>
      </w:r>
      <w:r w:rsidR="004B19D5" w:rsidRPr="00D14CD7">
        <w:rPr>
          <w:color w:val="000000" w:themeColor="text1"/>
        </w:rPr>
        <w:t>threshold</w:t>
      </w:r>
      <w:r w:rsidR="00AC739E" w:rsidRPr="00D14CD7">
        <w:rPr>
          <w:color w:val="000000" w:themeColor="text1"/>
        </w:rPr>
        <w:t xml:space="preserve"> shifter terms in the count model</w:t>
      </w:r>
      <w:r w:rsidRPr="00D14CD7">
        <w:rPr>
          <w:color w:val="000000" w:themeColor="text1"/>
        </w:rPr>
        <w:t>), unlinked MDCNTEV</w:t>
      </w:r>
      <w:r w:rsidR="004B19D5" w:rsidRPr="00D14CD7">
        <w:rPr>
          <w:color w:val="000000" w:themeColor="text1"/>
        </w:rPr>
        <w:t xml:space="preserve"> model</w:t>
      </w:r>
      <w:r w:rsidRPr="00D14CD7">
        <w:rPr>
          <w:color w:val="000000" w:themeColor="text1"/>
        </w:rPr>
        <w:t>, and the linked MDCNTEV</w:t>
      </w:r>
      <w:r w:rsidR="004B19D5" w:rsidRPr="00D14CD7">
        <w:rPr>
          <w:color w:val="000000" w:themeColor="text1"/>
        </w:rPr>
        <w:t xml:space="preserve"> model</w:t>
      </w:r>
      <w:r w:rsidRPr="00D14CD7">
        <w:rPr>
          <w:color w:val="000000" w:themeColor="text1"/>
        </w:rPr>
        <w:t xml:space="preserve">. The different models can be compared using </w:t>
      </w:r>
      <w:r w:rsidR="004B19D5" w:rsidRPr="00D14CD7">
        <w:rPr>
          <w:color w:val="000000" w:themeColor="text1"/>
        </w:rPr>
        <w:t>the</w:t>
      </w:r>
      <w:r w:rsidRPr="00D14CD7">
        <w:rPr>
          <w:color w:val="000000" w:themeColor="text1"/>
        </w:rPr>
        <w:t xml:space="preserve"> Bayesian Information Criterion (BIC) statistic</w:t>
      </w:r>
      <w:r w:rsidR="004B19D5" w:rsidRPr="00D14CD7">
        <w:rPr>
          <w:color w:val="000000" w:themeColor="text1"/>
        </w:rPr>
        <w:t xml:space="preserve"> [</w:t>
      </w:r>
      <w:r w:rsidR="0068023F" w:rsidRPr="00D14CD7">
        <w:rPr>
          <w:color w:val="000000" w:themeColor="text1"/>
          <w:position w:val="-10"/>
        </w:rPr>
        <w:object w:dxaOrig="900" w:dyaOrig="380" w14:anchorId="257E1442">
          <v:shape id="_x0000_i1129" type="#_x0000_t75" style="width:45pt;height:18.85pt" o:ole="" o:preferrelative="f">
            <v:imagedata r:id="rId212" o:title=""/>
            <o:lock v:ext="edit" aspectratio="f"/>
          </v:shape>
          <o:OLEObject Type="Embed" ProgID="Equation.DSMT4" ShapeID="_x0000_i1129" DrawAspect="Content" ObjectID="_1793173717" r:id="rId213"/>
        </w:object>
      </w:r>
      <w:r w:rsidR="004B19D5" w:rsidRPr="00D14CD7">
        <w:rPr>
          <w:color w:val="000000" w:themeColor="text1"/>
        </w:rPr>
        <w:t>+ 0.5 (# of model parameters) log (sample size)] for the linked and unlinked models (</w:t>
      </w:r>
      <w:r w:rsidR="0068023F" w:rsidRPr="00D14CD7">
        <w:rPr>
          <w:color w:val="000000" w:themeColor="text1"/>
          <w:position w:val="-10"/>
        </w:rPr>
        <w:object w:dxaOrig="580" w:dyaOrig="380" w14:anchorId="7CAD2822">
          <v:shape id="_x0000_i1130" type="#_x0000_t75" style="width:28.7pt;height:18.85pt" o:ole="" o:preferrelative="f">
            <v:imagedata r:id="rId214" o:title=""/>
            <o:lock v:ext="edit" aspectratio="f"/>
          </v:shape>
          <o:OLEObject Type="Embed" ProgID="Equation.DSMT4" ShapeID="_x0000_i1130" DrawAspect="Content" ObjectID="_1793173718" r:id="rId215"/>
        </w:object>
      </w:r>
      <w:r w:rsidR="00AC739E" w:rsidRPr="00D14CD7">
        <w:rPr>
          <w:color w:val="000000" w:themeColor="text1"/>
        </w:rPr>
        <w:t xml:space="preserve"> </w:t>
      </w:r>
      <w:r w:rsidR="004B19D5" w:rsidRPr="00D14CD7">
        <w:rPr>
          <w:color w:val="000000" w:themeColor="text1"/>
        </w:rPr>
        <w:t>is the log-likelihood at convergence</w:t>
      </w:r>
      <w:r w:rsidR="00AC739E" w:rsidRPr="00D14CD7">
        <w:rPr>
          <w:color w:val="000000" w:themeColor="text1"/>
        </w:rPr>
        <w:t xml:space="preserve"> with the estimated parameter vector denoted by </w:t>
      </w:r>
      <w:r w:rsidR="0068023F" w:rsidRPr="00D14CD7">
        <w:rPr>
          <w:color w:val="000000" w:themeColor="text1"/>
          <w:position w:val="-6"/>
        </w:rPr>
        <w:object w:dxaOrig="260" w:dyaOrig="340" w14:anchorId="183F0947">
          <v:shape id="_x0000_i1131" type="#_x0000_t75" style="width:13.3pt;height:17.15pt" o:ole="" o:preferrelative="f">
            <v:imagedata r:id="rId216" o:title=""/>
            <o:lock v:ext="edit" aspectratio="f"/>
          </v:shape>
          <o:OLEObject Type="Embed" ProgID="Equation.DSMT4" ShapeID="_x0000_i1131" DrawAspect="Content" ObjectID="_1793173719" r:id="rId217"/>
        </w:object>
      </w:r>
      <w:r w:rsidR="004B19D5" w:rsidRPr="00D14CD7">
        <w:rPr>
          <w:color w:val="000000" w:themeColor="text1"/>
        </w:rPr>
        <w:t>).</w:t>
      </w:r>
      <w:r w:rsidR="004B19D5" w:rsidRPr="00D14CD7">
        <w:rPr>
          <w:rStyle w:val="FootnoteReference"/>
          <w:color w:val="000000" w:themeColor="text1"/>
        </w:rPr>
        <w:footnoteReference w:id="8"/>
      </w:r>
      <w:r w:rsidR="004B19D5" w:rsidRPr="00D14CD7">
        <w:rPr>
          <w:color w:val="000000" w:themeColor="text1"/>
        </w:rPr>
        <w:t xml:space="preserve"> </w:t>
      </w:r>
      <w:r w:rsidRPr="00D14CD7">
        <w:rPr>
          <w:color w:val="000000" w:themeColor="text1"/>
        </w:rPr>
        <w:t xml:space="preserve">A lower BIC statistic implies better model performance. The linked and non-linked models </w:t>
      </w:r>
      <w:r w:rsidR="00CB36F1" w:rsidRPr="00D14CD7">
        <w:rPr>
          <w:color w:val="000000" w:themeColor="text1"/>
        </w:rPr>
        <w:t>can also be compared using</w:t>
      </w:r>
      <w:r w:rsidRPr="00D14CD7">
        <w:rPr>
          <w:color w:val="000000" w:themeColor="text1"/>
        </w:rPr>
        <w:t xml:space="preserve"> a non-nested likelihood ratio test. The adjusted likelihood ratio index </w:t>
      </w:r>
      <w:r w:rsidR="0068023F" w:rsidRPr="00D14CD7">
        <w:rPr>
          <w:color w:val="000000" w:themeColor="text1"/>
          <w:position w:val="-10"/>
        </w:rPr>
        <w:object w:dxaOrig="320" w:dyaOrig="360" w14:anchorId="12D8C0F0">
          <v:shape id="_x0000_i1132" type="#_x0000_t75" style="width:15.85pt;height:18pt" o:ole="" o:preferrelative="f">
            <v:imagedata r:id="rId218" o:title=""/>
            <o:lock v:ext="edit" aspectratio="f"/>
          </v:shape>
          <o:OLEObject Type="Embed" ProgID="Equation.DSMT4" ShapeID="_x0000_i1132" DrawAspect="Content" ObjectID="_1793173720" r:id="rId219"/>
        </w:object>
      </w:r>
      <w:r w:rsidR="001F05A7" w:rsidRPr="00D14CD7">
        <w:rPr>
          <w:color w:val="000000" w:themeColor="text1"/>
        </w:rPr>
        <w:t xml:space="preserve"> </w:t>
      </w:r>
      <w:r w:rsidRPr="00D14CD7">
        <w:rPr>
          <w:color w:val="000000" w:themeColor="text1"/>
        </w:rPr>
        <w:t>is calculated as follows:</w:t>
      </w:r>
    </w:p>
    <w:p w14:paraId="662853FC" w14:textId="58A31FE1" w:rsidR="0088791A" w:rsidRPr="00D14CD7" w:rsidRDefault="0068023F" w:rsidP="004E3632">
      <w:pPr>
        <w:tabs>
          <w:tab w:val="right" w:pos="9360"/>
        </w:tabs>
        <w:spacing w:before="60" w:after="60" w:line="240" w:lineRule="auto"/>
        <w:rPr>
          <w:color w:val="000000" w:themeColor="text1"/>
        </w:rPr>
      </w:pPr>
      <w:r w:rsidRPr="00D14CD7">
        <w:rPr>
          <w:color w:val="000000" w:themeColor="text1"/>
          <w:position w:val="-28"/>
        </w:rPr>
        <w:object w:dxaOrig="1860" w:dyaOrig="720" w14:anchorId="448303B6">
          <v:shape id="_x0000_i1133" type="#_x0000_t75" style="width:93pt;height:36pt" o:ole="" o:preferrelative="f">
            <v:imagedata r:id="rId220" o:title=""/>
            <o:lock v:ext="edit" aspectratio="f"/>
          </v:shape>
          <o:OLEObject Type="Embed" ProgID="Equation.DSMT4" ShapeID="_x0000_i1133" DrawAspect="Content" ObjectID="_1793173721" r:id="rId221"/>
        </w:object>
      </w:r>
      <w:r w:rsidR="0088791A" w:rsidRPr="00D14CD7">
        <w:rPr>
          <w:color w:val="000000" w:themeColor="text1"/>
        </w:rPr>
        <w:t xml:space="preserve"> </w:t>
      </w:r>
      <w:r w:rsidR="005B6BB0" w:rsidRPr="00D14CD7">
        <w:rPr>
          <w:color w:val="000000" w:themeColor="text1"/>
        </w:rPr>
        <w:tab/>
      </w:r>
      <w:r w:rsidR="0088791A" w:rsidRPr="00D14CD7">
        <w:rPr>
          <w:color w:val="000000" w:themeColor="text1"/>
        </w:rPr>
        <w:t>(</w:t>
      </w:r>
      <w:r w:rsidR="00CB36F1" w:rsidRPr="00D14CD7">
        <w:rPr>
          <w:color w:val="000000" w:themeColor="text1"/>
        </w:rPr>
        <w:t>1</w:t>
      </w:r>
      <w:r w:rsidR="002F5C17" w:rsidRPr="00D14CD7">
        <w:rPr>
          <w:color w:val="000000" w:themeColor="text1"/>
        </w:rPr>
        <w:t>5</w:t>
      </w:r>
      <w:r w:rsidR="0088791A" w:rsidRPr="00D14CD7">
        <w:rPr>
          <w:color w:val="000000" w:themeColor="text1"/>
        </w:rPr>
        <w:t>)</w:t>
      </w:r>
    </w:p>
    <w:p w14:paraId="56B03C4D" w14:textId="652B9094" w:rsidR="0088791A" w:rsidRPr="00D14CD7" w:rsidRDefault="0088791A" w:rsidP="007E2CED">
      <w:pPr>
        <w:spacing w:after="0" w:line="240" w:lineRule="auto"/>
        <w:rPr>
          <w:color w:val="000000" w:themeColor="text1"/>
        </w:rPr>
      </w:pPr>
      <w:r w:rsidRPr="00D14CD7">
        <w:rPr>
          <w:color w:val="000000" w:themeColor="text1"/>
        </w:rPr>
        <w:t xml:space="preserve">where </w:t>
      </w:r>
      <w:r w:rsidR="0068023F" w:rsidRPr="00D14CD7">
        <w:rPr>
          <w:color w:val="000000" w:themeColor="text1"/>
          <w:position w:val="-10"/>
        </w:rPr>
        <w:object w:dxaOrig="580" w:dyaOrig="380" w14:anchorId="2FE39C56">
          <v:shape id="_x0000_i1134" type="#_x0000_t75" style="width:28.7pt;height:18.85pt" o:ole="" o:preferrelative="f">
            <v:imagedata r:id="rId222" o:title=""/>
            <o:lock v:ext="edit" aspectratio="f"/>
          </v:shape>
          <o:OLEObject Type="Embed" ProgID="Equation.DSMT4" ShapeID="_x0000_i1134" DrawAspect="Content" ObjectID="_1793173722" r:id="rId223"/>
        </w:object>
      </w:r>
      <w:r w:rsidRPr="00D14CD7">
        <w:rPr>
          <w:color w:val="000000" w:themeColor="text1"/>
        </w:rPr>
        <w:t xml:space="preserve">and </w:t>
      </w:r>
      <w:r w:rsidR="0068023F" w:rsidRPr="00D14CD7">
        <w:rPr>
          <w:color w:val="000000" w:themeColor="text1"/>
          <w:position w:val="-10"/>
        </w:rPr>
        <w:object w:dxaOrig="499" w:dyaOrig="320" w14:anchorId="4F6B1242">
          <v:shape id="_x0000_i1135" type="#_x0000_t75" style="width:25.3pt;height:15.85pt" o:ole="" o:preferrelative="f">
            <v:imagedata r:id="rId224" o:title=""/>
            <o:lock v:ext="edit" aspectratio="f"/>
          </v:shape>
          <o:OLEObject Type="Embed" ProgID="Equation.DSMT4" ShapeID="_x0000_i1135" DrawAspect="Content" ObjectID="_1793173723" r:id="rId225"/>
        </w:object>
      </w:r>
      <w:r w:rsidR="00E84744" w:rsidRPr="00D14CD7">
        <w:rPr>
          <w:color w:val="000000" w:themeColor="text1"/>
        </w:rPr>
        <w:t xml:space="preserve"> </w:t>
      </w:r>
      <w:r w:rsidRPr="00D14CD7">
        <w:rPr>
          <w:color w:val="000000" w:themeColor="text1"/>
        </w:rPr>
        <w:t xml:space="preserve">are the log-likelihood functions at convergence and for the </w:t>
      </w:r>
      <w:r w:rsidR="00AC739E" w:rsidRPr="00D14CD7">
        <w:rPr>
          <w:color w:val="000000" w:themeColor="text1"/>
        </w:rPr>
        <w:t>CT</w:t>
      </w:r>
      <w:r w:rsidRPr="00D14CD7">
        <w:rPr>
          <w:color w:val="000000" w:themeColor="text1"/>
        </w:rPr>
        <w:t xml:space="preserve">-only model, respectively, and </w:t>
      </w:r>
      <w:r w:rsidRPr="00D14CD7">
        <w:rPr>
          <w:color w:val="000000" w:themeColor="text1"/>
          <w:position w:val="-4"/>
        </w:rPr>
        <w:object w:dxaOrig="320" w:dyaOrig="260" w14:anchorId="7A86E8CE">
          <v:shape id="_x0000_i1136" type="#_x0000_t75" style="width:15pt;height:13.3pt" o:ole="">
            <v:imagedata r:id="rId226" o:title=""/>
          </v:shape>
          <o:OLEObject Type="Embed" ProgID="Equation.DSMT4" ShapeID="_x0000_i1136" DrawAspect="Content" ObjectID="_1793173724" r:id="rId227"/>
        </w:object>
      </w:r>
      <w:r w:rsidRPr="00D14CD7">
        <w:rPr>
          <w:color w:val="000000" w:themeColor="text1"/>
        </w:rPr>
        <w:t xml:space="preserve"> is the number of parameters (excluding the constants</w:t>
      </w:r>
      <w:r w:rsidR="00AC739E" w:rsidRPr="00D14CD7">
        <w:rPr>
          <w:color w:val="000000" w:themeColor="text1"/>
        </w:rPr>
        <w:t xml:space="preserve"> and thresholds</w:t>
      </w:r>
      <w:r w:rsidRPr="00D14CD7">
        <w:rPr>
          <w:color w:val="000000" w:themeColor="text1"/>
        </w:rPr>
        <w:t>) estimated in the model. If the difference in the</w:t>
      </w:r>
      <w:r w:rsidR="00CB36F1" w:rsidRPr="00D14CD7">
        <w:rPr>
          <w:color w:val="000000" w:themeColor="text1"/>
        </w:rPr>
        <w:t xml:space="preserve"> adjusted likelihood ratio</w:t>
      </w:r>
      <w:r w:rsidRPr="00D14CD7">
        <w:rPr>
          <w:color w:val="000000" w:themeColor="text1"/>
        </w:rPr>
        <w:t xml:space="preserve"> indices for the linked (subscript 2) and unli</w:t>
      </w:r>
      <w:r w:rsidR="00CB36F1" w:rsidRPr="00D14CD7">
        <w:rPr>
          <w:color w:val="000000" w:themeColor="text1"/>
        </w:rPr>
        <w:t>n</w:t>
      </w:r>
      <w:r w:rsidRPr="00D14CD7">
        <w:rPr>
          <w:color w:val="000000" w:themeColor="text1"/>
        </w:rPr>
        <w:t>ked (subscript 1)</w:t>
      </w:r>
      <w:r w:rsidR="00CB36F1" w:rsidRPr="00D14CD7">
        <w:rPr>
          <w:color w:val="000000" w:themeColor="text1"/>
        </w:rPr>
        <w:t xml:space="preserve"> models</w:t>
      </w:r>
      <w:r w:rsidRPr="00D14CD7">
        <w:rPr>
          <w:color w:val="000000" w:themeColor="text1"/>
        </w:rPr>
        <w:t xml:space="preserve"> is </w:t>
      </w:r>
      <w:r w:rsidR="0068023F" w:rsidRPr="00D14CD7">
        <w:rPr>
          <w:color w:val="000000" w:themeColor="text1"/>
          <w:position w:val="-12"/>
        </w:rPr>
        <w:object w:dxaOrig="1400" w:dyaOrig="360" w14:anchorId="147D011E">
          <v:shape id="_x0000_i1137" type="#_x0000_t75" style="width:69.85pt;height:18pt" o:ole="" o:preferrelative="f">
            <v:imagedata r:id="rId228" o:title=""/>
            <o:lock v:ext="edit" aspectratio="f"/>
          </v:shape>
          <o:OLEObject Type="Embed" ProgID="Equation.DSMT4" ShapeID="_x0000_i1137" DrawAspect="Content" ObjectID="_1793173725" r:id="rId229"/>
        </w:object>
      </w:r>
      <w:r w:rsidRPr="00D14CD7">
        <w:rPr>
          <w:color w:val="000000" w:themeColor="text1"/>
        </w:rPr>
        <w:t>, then the difference between the two models is considered to be statistically significant at level</w:t>
      </w:r>
      <w:r w:rsidRPr="00D14CD7">
        <w:rPr>
          <w:i/>
          <w:color w:val="000000" w:themeColor="text1"/>
        </w:rPr>
        <w:t xml:space="preserve"> p </w:t>
      </w:r>
      <w:r w:rsidRPr="00D14CD7">
        <w:rPr>
          <w:color w:val="000000" w:themeColor="text1"/>
        </w:rPr>
        <w:t xml:space="preserve">if </w:t>
      </w:r>
      <w:r w:rsidR="0068023F" w:rsidRPr="00D14CD7">
        <w:rPr>
          <w:color w:val="000000" w:themeColor="text1"/>
          <w:position w:val="-12"/>
        </w:rPr>
        <w:object w:dxaOrig="3320" w:dyaOrig="380" w14:anchorId="1AA09033">
          <v:shape id="_x0000_i1138" type="#_x0000_t75" style="width:166.3pt;height:18.85pt" o:ole="" o:preferrelative="f">
            <v:imagedata r:id="rId230" o:title=""/>
            <o:lock v:ext="edit" aspectratio="f"/>
          </v:shape>
          <o:OLEObject Type="Embed" ProgID="Equation.DSMT4" ShapeID="_x0000_i1138" DrawAspect="Content" ObjectID="_1793173726" r:id="rId231"/>
        </w:object>
      </w:r>
      <w:r w:rsidRPr="00D14CD7">
        <w:rPr>
          <w:color w:val="000000" w:themeColor="text1"/>
        </w:rPr>
        <w:t>.</w:t>
      </w:r>
      <w:r w:rsidR="003150A3" w:rsidRPr="00D14CD7">
        <w:rPr>
          <w:rStyle w:val="FootnoteReference"/>
          <w:color w:val="000000" w:themeColor="text1"/>
        </w:rPr>
        <w:footnoteReference w:id="9"/>
      </w:r>
      <w:r w:rsidRPr="00D14CD7">
        <w:rPr>
          <w:color w:val="000000" w:themeColor="text1"/>
        </w:rPr>
        <w:t xml:space="preserve"> </w:t>
      </w:r>
    </w:p>
    <w:p w14:paraId="69945964" w14:textId="517AC41E" w:rsidR="000769FC" w:rsidRPr="00D14CD7" w:rsidRDefault="000769FC" w:rsidP="007E2CED">
      <w:pPr>
        <w:spacing w:after="0" w:line="240" w:lineRule="auto"/>
        <w:ind w:firstLine="720"/>
        <w:rPr>
          <w:bCs/>
          <w:color w:val="000000" w:themeColor="text1"/>
        </w:rPr>
      </w:pPr>
      <w:r w:rsidRPr="00D14CD7">
        <w:rPr>
          <w:color w:val="000000" w:themeColor="text1"/>
        </w:rPr>
        <w:t xml:space="preserve">In addition to likelihood-based performance, we evaluate the performance of the models intuitively and informally using the average probability of correct prediction statistic for the observed multivariate count outcome. </w:t>
      </w:r>
    </w:p>
    <w:p w14:paraId="3D45A054" w14:textId="6223B9F9" w:rsidR="002961D7" w:rsidRPr="00D14CD7" w:rsidRDefault="0005799C" w:rsidP="007E2CED">
      <w:pPr>
        <w:spacing w:after="0" w:line="240" w:lineRule="auto"/>
        <w:ind w:firstLine="720"/>
        <w:rPr>
          <w:bCs/>
          <w:color w:val="000000" w:themeColor="text1"/>
        </w:rPr>
      </w:pPr>
      <w:r w:rsidRPr="00D14CD7">
        <w:rPr>
          <w:color w:val="000000" w:themeColor="text1"/>
        </w:rPr>
        <w:t xml:space="preserve">Table </w:t>
      </w:r>
      <w:r w:rsidR="00BE151D" w:rsidRPr="00D14CD7">
        <w:rPr>
          <w:color w:val="000000" w:themeColor="text1"/>
        </w:rPr>
        <w:t>7</w:t>
      </w:r>
      <w:r w:rsidRPr="00D14CD7">
        <w:rPr>
          <w:color w:val="000000" w:themeColor="text1"/>
        </w:rPr>
        <w:t xml:space="preserve"> presents the results of </w:t>
      </w:r>
      <w:r w:rsidR="002961D7" w:rsidRPr="00D14CD7">
        <w:rPr>
          <w:color w:val="000000" w:themeColor="text1"/>
        </w:rPr>
        <w:t xml:space="preserve">these disaggregate likelihood-based </w:t>
      </w:r>
      <w:r w:rsidRPr="00D14CD7">
        <w:rPr>
          <w:color w:val="000000" w:themeColor="text1"/>
        </w:rPr>
        <w:t xml:space="preserve">goodness-of-fit statistics. It is evident that both the linked and unlinked model log-likelihood values outperform the constants-only model, as confirmed by the nested likelihood ratio test. Furthermore, the BIC and the results of the non-nested likelihood ratio test comparing the </w:t>
      </w:r>
      <w:bookmarkStart w:id="49" w:name="_Hlk171334003"/>
      <w:r w:rsidRPr="00D14CD7">
        <w:rPr>
          <w:color w:val="000000" w:themeColor="text1"/>
        </w:rPr>
        <w:t xml:space="preserve">linked and unlinked models demonstrate that the linked model exhibits </w:t>
      </w:r>
      <w:r w:rsidR="009739C0" w:rsidRPr="00D14CD7">
        <w:rPr>
          <w:color w:val="000000" w:themeColor="text1"/>
        </w:rPr>
        <w:t xml:space="preserve">a </w:t>
      </w:r>
      <w:r w:rsidR="006F43D5" w:rsidRPr="00D14CD7">
        <w:rPr>
          <w:color w:val="000000" w:themeColor="text1"/>
        </w:rPr>
        <w:t xml:space="preserve">better </w:t>
      </w:r>
      <w:r w:rsidR="009739C0" w:rsidRPr="00D14CD7">
        <w:rPr>
          <w:color w:val="000000" w:themeColor="text1"/>
        </w:rPr>
        <w:t>fit</w:t>
      </w:r>
      <w:r w:rsidRPr="00D14CD7">
        <w:rPr>
          <w:color w:val="000000" w:themeColor="text1"/>
        </w:rPr>
        <w:t xml:space="preserve"> compared to the unlinked model</w:t>
      </w:r>
      <w:bookmarkEnd w:id="49"/>
      <w:r w:rsidRPr="00D14CD7">
        <w:rPr>
          <w:color w:val="000000" w:themeColor="text1"/>
        </w:rPr>
        <w:t>.</w:t>
      </w:r>
      <w:r w:rsidR="000769FC" w:rsidRPr="00D14CD7">
        <w:rPr>
          <w:color w:val="000000" w:themeColor="text1"/>
        </w:rPr>
        <w:t xml:space="preserve"> Also, </w:t>
      </w:r>
      <w:r w:rsidR="000769FC" w:rsidRPr="00D14CD7">
        <w:rPr>
          <w:bCs/>
          <w:color w:val="000000" w:themeColor="text1"/>
        </w:rPr>
        <w:t xml:space="preserve">the </w:t>
      </w:r>
      <w:r w:rsidR="000769FC" w:rsidRPr="00D14CD7">
        <w:rPr>
          <w:bCs/>
          <w:color w:val="000000" w:themeColor="text1"/>
        </w:rPr>
        <w:lastRenderedPageBreak/>
        <w:t xml:space="preserve">average probability of correct prediction at the multivariate count level is </w:t>
      </w:r>
      <w:r w:rsidR="003B3FA0" w:rsidRPr="00D14CD7">
        <w:rPr>
          <w:bCs/>
          <w:color w:val="000000" w:themeColor="text1"/>
        </w:rPr>
        <w:t>0.098</w:t>
      </w:r>
      <w:r w:rsidR="00FE5BD9" w:rsidRPr="00D14CD7">
        <w:rPr>
          <w:bCs/>
          <w:color w:val="000000" w:themeColor="text1"/>
        </w:rPr>
        <w:t xml:space="preserve"> </w:t>
      </w:r>
      <w:r w:rsidR="000769FC" w:rsidRPr="00D14CD7">
        <w:rPr>
          <w:bCs/>
          <w:color w:val="000000" w:themeColor="text1"/>
        </w:rPr>
        <w:t xml:space="preserve">for the unlinked model and </w:t>
      </w:r>
      <w:r w:rsidR="00FE5BD9" w:rsidRPr="00D14CD7">
        <w:rPr>
          <w:bCs/>
          <w:color w:val="000000" w:themeColor="text1"/>
        </w:rPr>
        <w:t xml:space="preserve">0.105 </w:t>
      </w:r>
      <w:r w:rsidR="000769FC" w:rsidRPr="00D14CD7">
        <w:rPr>
          <w:bCs/>
          <w:color w:val="000000" w:themeColor="text1"/>
        </w:rPr>
        <w:t>for our proposed linked model</w:t>
      </w:r>
      <w:r w:rsidR="001F05A7" w:rsidRPr="00D14CD7">
        <w:rPr>
          <w:bCs/>
          <w:color w:val="000000" w:themeColor="text1"/>
        </w:rPr>
        <w:t xml:space="preserve">. </w:t>
      </w:r>
      <w:r w:rsidR="000769FC" w:rsidRPr="00D14CD7">
        <w:rPr>
          <w:bCs/>
          <w:color w:val="000000" w:themeColor="text1"/>
        </w:rPr>
        <w:t xml:space="preserve">This average probability may also be computed separately for the zero counts and for the non-zero counts. The average probability of correct prediction for zero counts is </w:t>
      </w:r>
      <w:r w:rsidR="003B3FA0" w:rsidRPr="00D14CD7">
        <w:rPr>
          <w:bCs/>
          <w:color w:val="000000" w:themeColor="text1"/>
        </w:rPr>
        <w:t>0.300</w:t>
      </w:r>
      <w:r w:rsidR="000769FC" w:rsidRPr="00D14CD7">
        <w:rPr>
          <w:bCs/>
          <w:color w:val="000000" w:themeColor="text1"/>
        </w:rPr>
        <w:t xml:space="preserve"> for the unlinked model and is </w:t>
      </w:r>
      <w:r w:rsidR="00FE5BD9" w:rsidRPr="00D14CD7">
        <w:rPr>
          <w:bCs/>
          <w:color w:val="000000" w:themeColor="text1"/>
        </w:rPr>
        <w:t>0.326</w:t>
      </w:r>
      <w:r w:rsidR="000769FC" w:rsidRPr="00D14CD7">
        <w:rPr>
          <w:bCs/>
          <w:color w:val="000000" w:themeColor="text1"/>
        </w:rPr>
        <w:t xml:space="preserve"> for the linked model. The corresponding average probability of correct prediction for non-zero counts is </w:t>
      </w:r>
      <w:r w:rsidR="003B3FA0" w:rsidRPr="00D14CD7">
        <w:rPr>
          <w:bCs/>
          <w:color w:val="000000" w:themeColor="text1"/>
        </w:rPr>
        <w:t>0.027</w:t>
      </w:r>
      <w:r w:rsidR="000769FC" w:rsidRPr="00D14CD7">
        <w:rPr>
          <w:bCs/>
          <w:color w:val="000000" w:themeColor="text1"/>
        </w:rPr>
        <w:t xml:space="preserve"> for the unlinked model and </w:t>
      </w:r>
      <w:r w:rsidR="00FE5BD9" w:rsidRPr="00D14CD7">
        <w:rPr>
          <w:bCs/>
          <w:color w:val="000000" w:themeColor="text1"/>
        </w:rPr>
        <w:t>0.028</w:t>
      </w:r>
      <w:r w:rsidR="000769FC" w:rsidRPr="00D14CD7">
        <w:rPr>
          <w:bCs/>
          <w:color w:val="000000" w:themeColor="text1"/>
        </w:rPr>
        <w:t xml:space="preserve"> for the linked model</w:t>
      </w:r>
      <w:r w:rsidR="001F05A7" w:rsidRPr="00D14CD7">
        <w:rPr>
          <w:bCs/>
          <w:color w:val="000000" w:themeColor="text1"/>
        </w:rPr>
        <w:t xml:space="preserve">. </w:t>
      </w:r>
      <w:bookmarkStart w:id="50" w:name="_Hlk171334027"/>
    </w:p>
    <w:p w14:paraId="4B242DE9" w14:textId="64C9C5C9" w:rsidR="00E83F71" w:rsidRPr="00D14CD7" w:rsidRDefault="00B915DE" w:rsidP="00E83F71">
      <w:pPr>
        <w:spacing w:after="0" w:line="240" w:lineRule="auto"/>
        <w:ind w:firstLine="720"/>
        <w:rPr>
          <w:color w:val="000000" w:themeColor="text1"/>
        </w:rPr>
      </w:pPr>
      <w:bookmarkStart w:id="51" w:name="_Hlk171342230"/>
      <w:r w:rsidRPr="00D14CD7">
        <w:rPr>
          <w:color w:val="000000" w:themeColor="text1"/>
        </w:rPr>
        <w:t xml:space="preserve">To complement the disaggregate-level goodness-of-fit outcomes, we also evaluated the data fit of the linked and unlinked models at the aggregate level. For clarity and manageability, we focused on the univariate count of visits to each restaurant segment (rather than considering the 234,256 possible multivariate eat-out count combinations). </w:t>
      </w:r>
      <w:r w:rsidR="00F030EF" w:rsidRPr="00D14CD7">
        <w:rPr>
          <w:color w:val="000000" w:themeColor="text1"/>
        </w:rPr>
        <w:t xml:space="preserve">Table </w:t>
      </w:r>
      <w:r w:rsidR="00BE151D" w:rsidRPr="00D14CD7">
        <w:rPr>
          <w:color w:val="000000" w:themeColor="text1"/>
        </w:rPr>
        <w:t xml:space="preserve">8 </w:t>
      </w:r>
      <w:r w:rsidRPr="00D14CD7">
        <w:rPr>
          <w:color w:val="000000" w:themeColor="text1"/>
        </w:rPr>
        <w:t xml:space="preserve">presents the results of this assessment, comparing the predicted and observed values for each restaurant segment in terms of the </w:t>
      </w:r>
      <w:r w:rsidRPr="00D14CD7">
        <w:rPr>
          <w:rFonts w:eastAsia="Times New Roman"/>
          <w:color w:val="000000" w:themeColor="text1"/>
        </w:rPr>
        <w:t>(a) number of individuals with zero consumption, (b) number of individuals with positive consumption, and (c) total number of visits to each segment. We used two metrics for comparison</w:t>
      </w:r>
      <w:r w:rsidR="009B10A8" w:rsidRPr="00D14CD7">
        <w:rPr>
          <w:rFonts w:eastAsia="Times New Roman"/>
          <w:color w:val="000000" w:themeColor="text1"/>
        </w:rPr>
        <w:t>,</w:t>
      </w:r>
      <w:r w:rsidRPr="00D14CD7">
        <w:rPr>
          <w:rFonts w:eastAsia="Times New Roman"/>
          <w:color w:val="000000" w:themeColor="text1"/>
        </w:rPr>
        <w:t xml:space="preserve"> including the average absolute percentage error (APE) and the weighted APE (WAPE), which is obtained by multiplying the APE with the observed share in the data for each restaurant segment.</w:t>
      </w:r>
      <w:r w:rsidR="00E83F71" w:rsidRPr="00D14CD7">
        <w:rPr>
          <w:rFonts w:eastAsia="Times New Roman"/>
          <w:color w:val="000000" w:themeColor="text1"/>
        </w:rPr>
        <w:t xml:space="preserve"> </w:t>
      </w:r>
      <w:r w:rsidR="00E83F71" w:rsidRPr="00D14CD7">
        <w:rPr>
          <w:color w:val="000000" w:themeColor="text1"/>
        </w:rPr>
        <w:t xml:space="preserve">The linked model demonstrates significantly better performance, particularly in predicting the number of individuals with zero consumption (WAPE of 8.34% for the linked model versus 12.72% for the unlinked model) and the number of individuals with positive consumption (WAPE of 18.79% for the linked model versus 28.21% for the unlinked model). Both models perform reasonably well in predicting the total number of visits across segments. </w:t>
      </w:r>
    </w:p>
    <w:bookmarkEnd w:id="51"/>
    <w:p w14:paraId="1434CA3D" w14:textId="2BB5A1E9" w:rsidR="004B19D5" w:rsidRPr="00D14CD7" w:rsidRDefault="00F3424D" w:rsidP="007E2CED">
      <w:pPr>
        <w:spacing w:after="0" w:line="240" w:lineRule="auto"/>
        <w:ind w:firstLine="720"/>
        <w:rPr>
          <w:bCs/>
          <w:color w:val="000000" w:themeColor="text1"/>
        </w:rPr>
      </w:pPr>
      <w:r w:rsidRPr="00D14CD7">
        <w:rPr>
          <w:bCs/>
          <w:color w:val="000000" w:themeColor="text1"/>
        </w:rPr>
        <w:t>Overall, all the goodness-of-fit statistics</w:t>
      </w:r>
      <w:r w:rsidR="000769FC" w:rsidRPr="00D14CD7">
        <w:rPr>
          <w:bCs/>
          <w:color w:val="000000" w:themeColor="text1"/>
        </w:rPr>
        <w:t xml:space="preserve"> demonstrat</w:t>
      </w:r>
      <w:r w:rsidRPr="00D14CD7">
        <w:rPr>
          <w:bCs/>
          <w:color w:val="000000" w:themeColor="text1"/>
        </w:rPr>
        <w:t>e</w:t>
      </w:r>
      <w:r w:rsidR="000769FC" w:rsidRPr="00D14CD7">
        <w:rPr>
          <w:bCs/>
          <w:color w:val="000000" w:themeColor="text1"/>
        </w:rPr>
        <w:t xml:space="preserve"> the importance of linkage </w:t>
      </w:r>
      <w:r w:rsidRPr="00D14CD7">
        <w:rPr>
          <w:bCs/>
          <w:color w:val="000000" w:themeColor="text1"/>
        </w:rPr>
        <w:t xml:space="preserve">from a data fit perspective. </w:t>
      </w:r>
      <w:bookmarkStart w:id="52" w:name="_Hlk171335023"/>
      <w:bookmarkEnd w:id="50"/>
      <w:r w:rsidR="006F43D5" w:rsidRPr="00D14CD7">
        <w:rPr>
          <w:bCs/>
          <w:color w:val="000000" w:themeColor="text1"/>
        </w:rPr>
        <w:t xml:space="preserve">However, based on the discussion in Bhat (2022), it is the </w:t>
      </w:r>
      <w:r w:rsidRPr="00D14CD7">
        <w:rPr>
          <w:bCs/>
          <w:color w:val="000000" w:themeColor="text1"/>
        </w:rPr>
        <w:t>link</w:t>
      </w:r>
      <w:r w:rsidR="006F43D5" w:rsidRPr="00D14CD7">
        <w:rPr>
          <w:bCs/>
          <w:color w:val="000000" w:themeColor="text1"/>
        </w:rPr>
        <w:t>age</w:t>
      </w:r>
      <w:r w:rsidRPr="00D14CD7">
        <w:rPr>
          <w:bCs/>
          <w:color w:val="000000" w:themeColor="text1"/>
        </w:rPr>
        <w:t xml:space="preserve"> </w:t>
      </w:r>
      <w:r w:rsidR="006F43D5" w:rsidRPr="00D14CD7">
        <w:rPr>
          <w:bCs/>
          <w:color w:val="000000" w:themeColor="text1"/>
        </w:rPr>
        <w:t xml:space="preserve">implications </w:t>
      </w:r>
      <w:r w:rsidRPr="00D14CD7">
        <w:rPr>
          <w:bCs/>
          <w:color w:val="000000" w:themeColor="text1"/>
        </w:rPr>
        <w:t xml:space="preserve">from a behavioral perspective </w:t>
      </w:r>
      <w:r w:rsidR="006F43D5" w:rsidRPr="00D14CD7">
        <w:rPr>
          <w:bCs/>
          <w:color w:val="000000" w:themeColor="text1"/>
        </w:rPr>
        <w:t xml:space="preserve">that are </w:t>
      </w:r>
      <w:r w:rsidR="0021354A" w:rsidRPr="00D14CD7">
        <w:rPr>
          <w:bCs/>
          <w:color w:val="000000" w:themeColor="text1"/>
        </w:rPr>
        <w:t xml:space="preserve">even more </w:t>
      </w:r>
      <w:r w:rsidR="006F43D5" w:rsidRPr="00D14CD7">
        <w:rPr>
          <w:bCs/>
          <w:color w:val="000000" w:themeColor="text1"/>
        </w:rPr>
        <w:t xml:space="preserve">important, </w:t>
      </w:r>
      <w:r w:rsidR="0021354A" w:rsidRPr="00D14CD7">
        <w:rPr>
          <w:bCs/>
          <w:color w:val="000000" w:themeColor="text1"/>
        </w:rPr>
        <w:t xml:space="preserve">as </w:t>
      </w:r>
      <w:r w:rsidR="006F43D5" w:rsidRPr="00D14CD7">
        <w:rPr>
          <w:bCs/>
          <w:color w:val="000000" w:themeColor="text1"/>
        </w:rPr>
        <w:t>further</w:t>
      </w:r>
      <w:r w:rsidRPr="00D14CD7">
        <w:rPr>
          <w:bCs/>
          <w:color w:val="000000" w:themeColor="text1"/>
        </w:rPr>
        <w:t xml:space="preserve"> discussed in Section </w:t>
      </w:r>
      <w:r w:rsidR="004D2A6C" w:rsidRPr="00D14CD7">
        <w:rPr>
          <w:bCs/>
          <w:color w:val="000000" w:themeColor="text1"/>
        </w:rPr>
        <w:t>7</w:t>
      </w:r>
      <w:r w:rsidRPr="00D14CD7">
        <w:rPr>
          <w:bCs/>
          <w:color w:val="000000" w:themeColor="text1"/>
        </w:rPr>
        <w:t xml:space="preserve">.2. </w:t>
      </w:r>
      <w:bookmarkEnd w:id="52"/>
    </w:p>
    <w:p w14:paraId="79608490" w14:textId="6613E7E0" w:rsidR="00F3424D" w:rsidRPr="00D14CD7" w:rsidRDefault="00F3424D" w:rsidP="007E2CED">
      <w:pPr>
        <w:spacing w:after="0" w:line="240" w:lineRule="auto"/>
        <w:rPr>
          <w:bCs/>
          <w:color w:val="000000" w:themeColor="text1"/>
        </w:rPr>
      </w:pPr>
    </w:p>
    <w:p w14:paraId="6A1BA73F" w14:textId="77777777" w:rsidR="004105CF" w:rsidRPr="00D14CD7" w:rsidRDefault="004105CF" w:rsidP="007E2CED">
      <w:pPr>
        <w:pStyle w:val="Heading1"/>
        <w:spacing w:after="0" w:line="240" w:lineRule="auto"/>
        <w:rPr>
          <w:color w:val="000000" w:themeColor="text1"/>
        </w:rPr>
      </w:pPr>
      <w:r w:rsidRPr="00D14CD7">
        <w:rPr>
          <w:color w:val="000000" w:themeColor="text1"/>
        </w:rPr>
        <w:t>MAGNITUDE EFFECTS OF VARIABLES</w:t>
      </w:r>
    </w:p>
    <w:p w14:paraId="41EC0277" w14:textId="77777777" w:rsidR="004105CF" w:rsidRPr="00D14CD7" w:rsidRDefault="004105CF" w:rsidP="007E2CED">
      <w:pPr>
        <w:pStyle w:val="Heading2"/>
        <w:spacing w:before="0" w:after="0" w:line="240" w:lineRule="auto"/>
        <w:rPr>
          <w:color w:val="000000" w:themeColor="text1"/>
        </w:rPr>
      </w:pPr>
      <w:r w:rsidRPr="00D14CD7">
        <w:rPr>
          <w:color w:val="000000" w:themeColor="text1"/>
        </w:rPr>
        <w:t xml:space="preserve"> Analysis Preparation</w:t>
      </w:r>
    </w:p>
    <w:p w14:paraId="0CE5294C" w14:textId="4B94C703" w:rsidR="002B1F5A" w:rsidRPr="00D14CD7" w:rsidRDefault="004105CF" w:rsidP="007E2CED">
      <w:pPr>
        <w:spacing w:after="0" w:line="240" w:lineRule="auto"/>
        <w:rPr>
          <w:color w:val="000000" w:themeColor="text1"/>
        </w:rPr>
      </w:pPr>
      <w:bookmarkStart w:id="53" w:name="_Hlk119670268"/>
      <w:r w:rsidRPr="00D14CD7">
        <w:rPr>
          <w:color w:val="000000" w:themeColor="text1"/>
        </w:rPr>
        <w:t>The estimation results in the previous section do not provide information on the actual effects of the variables on eat-out frequency by restaurant segment, nor do they provide a sense of the relative magnitudes of impacts of different variables. To determine directionality and magnitude effects, the estimates need to be translated to actual outcome effects</w:t>
      </w:r>
      <w:r w:rsidR="00011AA3" w:rsidRPr="00D14CD7">
        <w:rPr>
          <w:color w:val="000000" w:themeColor="text1"/>
        </w:rPr>
        <w:t xml:space="preserve">. But unlike the model coefficients in </w:t>
      </w:r>
      <w:r w:rsidR="00BE151D" w:rsidRPr="00D14CD7">
        <w:rPr>
          <w:color w:val="000000" w:themeColor="text1"/>
        </w:rPr>
        <w:t>Table 6</w:t>
      </w:r>
      <w:r w:rsidR="00011AA3" w:rsidRPr="00D14CD7">
        <w:rPr>
          <w:color w:val="000000" w:themeColor="text1"/>
        </w:rPr>
        <w:t>, the effect of any variable change on the count outcomes will vary based on the current</w:t>
      </w:r>
      <w:r w:rsidRPr="00D14CD7">
        <w:rPr>
          <w:color w:val="000000" w:themeColor="text1"/>
        </w:rPr>
        <w:t xml:space="preserve"> </w:t>
      </w:r>
      <w:r w:rsidR="00011AA3" w:rsidRPr="00D14CD7">
        <w:rPr>
          <w:color w:val="000000" w:themeColor="text1"/>
        </w:rPr>
        <w:t xml:space="preserve">level of the variable as well as the levels of other variables. However, </w:t>
      </w:r>
      <w:r w:rsidRPr="00D14CD7">
        <w:rPr>
          <w:color w:val="000000" w:themeColor="text1"/>
        </w:rPr>
        <w:t xml:space="preserve">an average effect of a change in </w:t>
      </w:r>
      <w:r w:rsidR="00011AA3" w:rsidRPr="00D14CD7">
        <w:rPr>
          <w:color w:val="000000" w:themeColor="text1"/>
        </w:rPr>
        <w:t>a</w:t>
      </w:r>
      <w:r w:rsidRPr="00D14CD7">
        <w:rPr>
          <w:color w:val="000000" w:themeColor="text1"/>
        </w:rPr>
        <w:t xml:space="preserve"> variable </w:t>
      </w:r>
      <w:r w:rsidR="00011AA3" w:rsidRPr="00D14CD7">
        <w:rPr>
          <w:color w:val="000000" w:themeColor="text1"/>
        </w:rPr>
        <w:t xml:space="preserve">may </w:t>
      </w:r>
      <w:r w:rsidRPr="00D14CD7">
        <w:rPr>
          <w:color w:val="000000" w:themeColor="text1"/>
        </w:rPr>
        <w:t>be computed</w:t>
      </w:r>
      <w:r w:rsidR="00011AA3" w:rsidRPr="00D14CD7">
        <w:rPr>
          <w:color w:val="000000" w:themeColor="text1"/>
        </w:rPr>
        <w:t xml:space="preserve"> across individuals</w:t>
      </w:r>
      <w:r w:rsidRPr="00D14CD7">
        <w:rPr>
          <w:color w:val="000000" w:themeColor="text1"/>
        </w:rPr>
        <w:t xml:space="preserve">, </w:t>
      </w:r>
      <w:r w:rsidR="00011AA3" w:rsidRPr="00D14CD7">
        <w:rPr>
          <w:color w:val="000000" w:themeColor="text1"/>
        </w:rPr>
        <w:t xml:space="preserve">assuming the levels of other variables are fixed for each individual at those currently in the sample. Specifically, for each exogenous variable, we consider all sample individuals to be at each specific state of the exogenous variable. For example, we consider all individuals to be in the youngest age category (18 to 29 years old). Then, using the forecasting procedure discussed in detail in Bhat (2022), we compute the expected counts in each restaurant segment as well as </w:t>
      </w:r>
      <w:r w:rsidR="004E0788" w:rsidRPr="00D14CD7">
        <w:rPr>
          <w:color w:val="000000" w:themeColor="text1"/>
        </w:rPr>
        <w:t>the</w:t>
      </w:r>
      <w:r w:rsidR="00011AA3" w:rsidRPr="00D14CD7">
        <w:rPr>
          <w:color w:val="000000" w:themeColor="text1"/>
        </w:rPr>
        <w:t xml:space="preserve"> total eat-outs</w:t>
      </w:r>
      <w:r w:rsidR="00CF6658" w:rsidRPr="00D14CD7">
        <w:rPr>
          <w:color w:val="000000" w:themeColor="text1"/>
        </w:rPr>
        <w:t xml:space="preserve"> for each individual</w:t>
      </w:r>
      <w:r w:rsidR="0054175E" w:rsidRPr="00D14CD7">
        <w:rPr>
          <w:color w:val="000000" w:themeColor="text1"/>
        </w:rPr>
        <w:t xml:space="preserve">, and compute </w:t>
      </w:r>
      <w:r w:rsidR="00FE5BD9" w:rsidRPr="00D14CD7">
        <w:rPr>
          <w:color w:val="000000" w:themeColor="text1"/>
        </w:rPr>
        <w:t>the average</w:t>
      </w:r>
      <w:r w:rsidR="0054175E" w:rsidRPr="00D14CD7">
        <w:rPr>
          <w:color w:val="000000" w:themeColor="text1"/>
        </w:rPr>
        <w:t xml:space="preserve"> across all individuals</w:t>
      </w:r>
      <w:r w:rsidR="00011AA3" w:rsidRPr="00D14CD7">
        <w:rPr>
          <w:color w:val="000000" w:themeColor="text1"/>
        </w:rPr>
        <w:t xml:space="preserve">. Next, we consider all individuals to be </w:t>
      </w:r>
      <w:r w:rsidR="001B0018" w:rsidRPr="00D14CD7">
        <w:rPr>
          <w:color w:val="000000" w:themeColor="text1"/>
        </w:rPr>
        <w:t>over 65 years old</w:t>
      </w:r>
      <w:r w:rsidR="00CF6658" w:rsidRPr="00D14CD7">
        <w:rPr>
          <w:color w:val="000000" w:themeColor="text1"/>
        </w:rPr>
        <w:t xml:space="preserve">, and repeat the procedure above. Finally, </w:t>
      </w:r>
      <w:r w:rsidR="002B1F5A" w:rsidRPr="00D14CD7">
        <w:rPr>
          <w:color w:val="000000" w:themeColor="text1"/>
        </w:rPr>
        <w:t xml:space="preserve">we compute the percentage </w:t>
      </w:r>
      <w:r w:rsidR="00DF4C8E" w:rsidRPr="00D14CD7">
        <w:rPr>
          <w:color w:val="000000" w:themeColor="text1"/>
        </w:rPr>
        <w:t xml:space="preserve">ATE </w:t>
      </w:r>
      <w:r w:rsidR="002B1F5A" w:rsidRPr="00D14CD7">
        <w:rPr>
          <w:color w:val="000000" w:themeColor="text1"/>
        </w:rPr>
        <w:t xml:space="preserve">change </w:t>
      </w:r>
      <w:r w:rsidR="00DF4C8E" w:rsidRPr="00D14CD7">
        <w:rPr>
          <w:color w:val="000000" w:themeColor="text1"/>
        </w:rPr>
        <w:t xml:space="preserve">in trip-making per capita at the total eat-out level as well as </w:t>
      </w:r>
      <w:r w:rsidR="0036147F" w:rsidRPr="00D14CD7">
        <w:rPr>
          <w:color w:val="000000" w:themeColor="text1"/>
        </w:rPr>
        <w:t>separately</w:t>
      </w:r>
      <w:r w:rsidR="004E0788" w:rsidRPr="00D14CD7">
        <w:rPr>
          <w:color w:val="000000" w:themeColor="text1"/>
        </w:rPr>
        <w:t xml:space="preserve"> </w:t>
      </w:r>
      <w:r w:rsidR="00DF4C8E" w:rsidRPr="00D14CD7">
        <w:rPr>
          <w:color w:val="000000" w:themeColor="text1"/>
        </w:rPr>
        <w:t xml:space="preserve">for each restaurant segment </w:t>
      </w:r>
      <w:r w:rsidR="002B1F5A" w:rsidRPr="00D14CD7">
        <w:rPr>
          <w:color w:val="000000" w:themeColor="text1"/>
        </w:rPr>
        <w:t xml:space="preserve">due to a change in </w:t>
      </w:r>
      <w:r w:rsidR="00CF6658" w:rsidRPr="00D14CD7">
        <w:rPr>
          <w:color w:val="000000" w:themeColor="text1"/>
        </w:rPr>
        <w:t xml:space="preserve">age from 18-29 years to </w:t>
      </w:r>
      <w:r w:rsidR="001B0018" w:rsidRPr="00D14CD7">
        <w:rPr>
          <w:color w:val="000000" w:themeColor="text1"/>
        </w:rPr>
        <w:t xml:space="preserve">over 65 </w:t>
      </w:r>
      <w:r w:rsidR="00CF6658" w:rsidRPr="00D14CD7">
        <w:rPr>
          <w:color w:val="000000" w:themeColor="text1"/>
        </w:rPr>
        <w:t>years</w:t>
      </w:r>
      <w:r w:rsidR="00DF4C8E" w:rsidRPr="00D14CD7">
        <w:rPr>
          <w:color w:val="000000" w:themeColor="text1"/>
        </w:rPr>
        <w:t>.</w:t>
      </w:r>
      <w:r w:rsidR="002B1F5A" w:rsidRPr="00D14CD7">
        <w:rPr>
          <w:color w:val="000000" w:themeColor="text1"/>
        </w:rPr>
        <w:t xml:space="preserve"> </w:t>
      </w:r>
    </w:p>
    <w:p w14:paraId="3EA98DAF" w14:textId="2D864FC1" w:rsidR="004105CF" w:rsidRPr="00D14CD7" w:rsidRDefault="002B1F5A" w:rsidP="007E2CED">
      <w:pPr>
        <w:spacing w:after="0" w:line="240" w:lineRule="auto"/>
        <w:ind w:firstLine="720"/>
        <w:rPr>
          <w:color w:val="000000" w:themeColor="text1"/>
        </w:rPr>
      </w:pPr>
      <w:r w:rsidRPr="00D14CD7">
        <w:rPr>
          <w:color w:val="000000" w:themeColor="text1"/>
        </w:rPr>
        <w:t xml:space="preserve">The above procedure can be applied to compute the ATE for the change from any state of a variable to any other state. But, for presentation simplicity, we only report the ATEs for a change between a specific pair of states for </w:t>
      </w:r>
      <w:r w:rsidR="00783671" w:rsidRPr="00D14CD7">
        <w:rPr>
          <w:color w:val="000000" w:themeColor="text1"/>
        </w:rPr>
        <w:t xml:space="preserve">categorical </w:t>
      </w:r>
      <w:r w:rsidRPr="00D14CD7">
        <w:rPr>
          <w:color w:val="000000" w:themeColor="text1"/>
        </w:rPr>
        <w:t xml:space="preserve">variables that can take more than two states. Specifically, we consider the following pair of states for each </w:t>
      </w:r>
      <w:r w:rsidR="008734AD" w:rsidRPr="00D14CD7">
        <w:rPr>
          <w:color w:val="000000" w:themeColor="text1"/>
        </w:rPr>
        <w:t xml:space="preserve">individual/household demographic </w:t>
      </w:r>
      <w:r w:rsidRPr="00D14CD7">
        <w:rPr>
          <w:color w:val="000000" w:themeColor="text1"/>
        </w:rPr>
        <w:lastRenderedPageBreak/>
        <w:t>variabl</w:t>
      </w:r>
      <w:r w:rsidR="008734AD" w:rsidRPr="00D14CD7">
        <w:rPr>
          <w:color w:val="000000" w:themeColor="text1"/>
        </w:rPr>
        <w:t>e</w:t>
      </w:r>
      <w:r w:rsidRPr="00D14CD7">
        <w:rPr>
          <w:color w:val="000000" w:themeColor="text1"/>
        </w:rPr>
        <w:t xml:space="preserve">: age (change from 18-29 years to 65 years and older), </w:t>
      </w:r>
      <w:r w:rsidR="008734AD" w:rsidRPr="00D14CD7">
        <w:rPr>
          <w:color w:val="000000" w:themeColor="text1"/>
        </w:rPr>
        <w:t xml:space="preserve">race (change from white to non-white), education degree attainment (from less than graduate degree to graduate degree), </w:t>
      </w:r>
      <w:r w:rsidRPr="00D14CD7">
        <w:rPr>
          <w:color w:val="000000" w:themeColor="text1"/>
        </w:rPr>
        <w:t>household income (from &lt;</w:t>
      </w:r>
      <w:r w:rsidR="001B0018" w:rsidRPr="00D14CD7">
        <w:rPr>
          <w:color w:val="000000" w:themeColor="text1"/>
        </w:rPr>
        <w:t>$</w:t>
      </w:r>
      <w:r w:rsidRPr="00D14CD7">
        <w:rPr>
          <w:color w:val="000000" w:themeColor="text1"/>
        </w:rPr>
        <w:t>25</w:t>
      </w:r>
      <w:r w:rsidR="001B0018" w:rsidRPr="00D14CD7">
        <w:rPr>
          <w:color w:val="000000" w:themeColor="text1"/>
        </w:rPr>
        <w:t>,000</w:t>
      </w:r>
      <w:r w:rsidRPr="00D14CD7">
        <w:rPr>
          <w:color w:val="000000" w:themeColor="text1"/>
        </w:rPr>
        <w:t xml:space="preserve"> to &gt;</w:t>
      </w:r>
      <w:r w:rsidR="001B0018" w:rsidRPr="00D14CD7">
        <w:rPr>
          <w:color w:val="000000" w:themeColor="text1"/>
        </w:rPr>
        <w:t>$</w:t>
      </w:r>
      <w:r w:rsidRPr="00D14CD7">
        <w:rPr>
          <w:color w:val="000000" w:themeColor="text1"/>
        </w:rPr>
        <w:t>150</w:t>
      </w:r>
      <w:r w:rsidR="001B0018" w:rsidRPr="00D14CD7">
        <w:rPr>
          <w:color w:val="000000" w:themeColor="text1"/>
        </w:rPr>
        <w:t>,000</w:t>
      </w:r>
      <w:r w:rsidRPr="00D14CD7">
        <w:rPr>
          <w:color w:val="000000" w:themeColor="text1"/>
        </w:rPr>
        <w:t>), vehicle ownership (from zero/on</w:t>
      </w:r>
      <w:r w:rsidR="001B0018" w:rsidRPr="00D14CD7">
        <w:rPr>
          <w:color w:val="000000" w:themeColor="text1"/>
        </w:rPr>
        <w:t>e</w:t>
      </w:r>
      <w:r w:rsidRPr="00D14CD7">
        <w:rPr>
          <w:color w:val="000000" w:themeColor="text1"/>
        </w:rPr>
        <w:t xml:space="preserve"> vehicle to ≥3 vehicles), </w:t>
      </w:r>
      <w:r w:rsidR="008734AD" w:rsidRPr="00D14CD7">
        <w:rPr>
          <w:color w:val="000000" w:themeColor="text1"/>
        </w:rPr>
        <w:t xml:space="preserve">and </w:t>
      </w:r>
      <w:r w:rsidR="00783671" w:rsidRPr="00D14CD7">
        <w:rPr>
          <w:color w:val="000000" w:themeColor="text1"/>
        </w:rPr>
        <w:t xml:space="preserve">household structure (from the state of </w:t>
      </w:r>
      <w:r w:rsidR="001B0018" w:rsidRPr="00D14CD7">
        <w:rPr>
          <w:color w:val="000000" w:themeColor="text1"/>
        </w:rPr>
        <w:t xml:space="preserve">single men to single women, multiple unrelated adults to multiple related adults without children, and </w:t>
      </w:r>
      <w:r w:rsidR="00783671" w:rsidRPr="00D14CD7">
        <w:rPr>
          <w:color w:val="000000" w:themeColor="text1"/>
        </w:rPr>
        <w:t>multiple related adults without children to multiple related adults with children)</w:t>
      </w:r>
      <w:r w:rsidR="008734AD" w:rsidRPr="00D14CD7">
        <w:rPr>
          <w:color w:val="000000" w:themeColor="text1"/>
        </w:rPr>
        <w:t>. For</w:t>
      </w:r>
      <w:r w:rsidR="00783671" w:rsidRPr="00D14CD7">
        <w:rPr>
          <w:color w:val="000000" w:themeColor="text1"/>
        </w:rPr>
        <w:t xml:space="preserve"> employment status/job characteristics</w:t>
      </w:r>
      <w:r w:rsidR="008734AD" w:rsidRPr="00D14CD7">
        <w:rPr>
          <w:color w:val="000000" w:themeColor="text1"/>
        </w:rPr>
        <w:t>, we only consider the case of a change of</w:t>
      </w:r>
      <w:r w:rsidR="00783671" w:rsidRPr="00D14CD7">
        <w:rPr>
          <w:color w:val="000000" w:themeColor="text1"/>
        </w:rPr>
        <w:t xml:space="preserve"> </w:t>
      </w:r>
      <w:r w:rsidR="001B0018" w:rsidRPr="00D14CD7">
        <w:rPr>
          <w:color w:val="000000" w:themeColor="text1"/>
        </w:rPr>
        <w:t xml:space="preserve">being unemployed to </w:t>
      </w:r>
      <w:r w:rsidR="00783671" w:rsidRPr="00D14CD7">
        <w:rPr>
          <w:color w:val="000000" w:themeColor="text1"/>
        </w:rPr>
        <w:t xml:space="preserve">working from </w:t>
      </w:r>
      <w:r w:rsidR="001B0018" w:rsidRPr="00D14CD7">
        <w:rPr>
          <w:color w:val="000000" w:themeColor="text1"/>
        </w:rPr>
        <w:t xml:space="preserve">the </w:t>
      </w:r>
      <w:r w:rsidR="00783671" w:rsidRPr="00D14CD7">
        <w:rPr>
          <w:color w:val="000000" w:themeColor="text1"/>
        </w:rPr>
        <w:t>office every day</w:t>
      </w:r>
      <w:r w:rsidR="001B0018" w:rsidRPr="00D14CD7">
        <w:rPr>
          <w:color w:val="000000" w:themeColor="text1"/>
        </w:rPr>
        <w:t>, to working from home 60% of the days (3 days a week),</w:t>
      </w:r>
      <w:r w:rsidR="00783671" w:rsidRPr="00D14CD7">
        <w:rPr>
          <w:color w:val="000000" w:themeColor="text1"/>
        </w:rPr>
        <w:t xml:space="preserve"> to working from home every day</w:t>
      </w:r>
      <w:r w:rsidR="008734AD" w:rsidRPr="00D14CD7">
        <w:rPr>
          <w:color w:val="000000" w:themeColor="text1"/>
        </w:rPr>
        <w:t xml:space="preserve"> (that is, a change in the fraction of work days from home from 0 to 1 for those employed, while keeping all other job-related variables at their current values). Finally, for the continuous residential location/BE factors, we change the variable from the </w:t>
      </w:r>
      <w:r w:rsidR="001B0018" w:rsidRPr="00D14CD7">
        <w:rPr>
          <w:color w:val="000000" w:themeColor="text1"/>
        </w:rPr>
        <w:t>10</w:t>
      </w:r>
      <w:r w:rsidR="001B0018" w:rsidRPr="00D14CD7">
        <w:rPr>
          <w:color w:val="000000" w:themeColor="text1"/>
          <w:vertAlign w:val="superscript"/>
        </w:rPr>
        <w:t>th</w:t>
      </w:r>
      <w:r w:rsidR="001B0018" w:rsidRPr="00D14CD7">
        <w:rPr>
          <w:color w:val="000000" w:themeColor="text1"/>
        </w:rPr>
        <w:t xml:space="preserve"> to the 90</w:t>
      </w:r>
      <w:r w:rsidR="001B0018" w:rsidRPr="00D14CD7">
        <w:rPr>
          <w:color w:val="000000" w:themeColor="text1"/>
          <w:vertAlign w:val="superscript"/>
        </w:rPr>
        <w:t>th</w:t>
      </w:r>
      <w:r w:rsidR="001B0018" w:rsidRPr="00D14CD7">
        <w:rPr>
          <w:color w:val="000000" w:themeColor="text1"/>
        </w:rPr>
        <w:t xml:space="preserve"> percentile </w:t>
      </w:r>
      <w:r w:rsidR="008734AD" w:rsidRPr="00D14CD7">
        <w:rPr>
          <w:color w:val="000000" w:themeColor="text1"/>
        </w:rPr>
        <w:t xml:space="preserve">to compute an ATE measure. </w:t>
      </w:r>
      <w:bookmarkEnd w:id="53"/>
    </w:p>
    <w:p w14:paraId="460C1F95" w14:textId="3801500E" w:rsidR="007E2CED" w:rsidRPr="00D14CD7" w:rsidRDefault="00BE151D" w:rsidP="007E2CED">
      <w:pPr>
        <w:spacing w:after="0" w:line="240" w:lineRule="auto"/>
        <w:ind w:firstLine="720"/>
        <w:rPr>
          <w:color w:val="000000" w:themeColor="text1"/>
        </w:rPr>
      </w:pPr>
      <w:r w:rsidRPr="00D14CD7">
        <w:rPr>
          <w:color w:val="000000" w:themeColor="text1"/>
        </w:rPr>
        <w:t>Table 9</w:t>
      </w:r>
      <w:r w:rsidR="001B0018" w:rsidRPr="00D14CD7">
        <w:rPr>
          <w:color w:val="000000" w:themeColor="text1"/>
        </w:rPr>
        <w:t xml:space="preserve"> provides a summary of the computed Average Treatment Effects (ATEs) for each variable. To illustrate, let</w:t>
      </w:r>
      <w:r w:rsidR="00FE5BD9" w:rsidRPr="00D14CD7">
        <w:rPr>
          <w:color w:val="000000" w:themeColor="text1"/>
        </w:rPr>
        <w:t xml:space="preserve"> us</w:t>
      </w:r>
      <w:r w:rsidR="001B0018" w:rsidRPr="00D14CD7">
        <w:rPr>
          <w:color w:val="000000" w:themeColor="text1"/>
        </w:rPr>
        <w:t xml:space="preserve"> consider the interpretation of the first numeric row corresponding to the age variable. </w:t>
      </w:r>
      <w:r w:rsidR="0014266B" w:rsidRPr="00D14CD7">
        <w:rPr>
          <w:color w:val="000000" w:themeColor="text1"/>
        </w:rPr>
        <w:t xml:space="preserve">If all sample individuals were </w:t>
      </w:r>
      <w:r w:rsidR="0054175E" w:rsidRPr="00D14CD7">
        <w:rPr>
          <w:color w:val="000000" w:themeColor="text1"/>
        </w:rPr>
        <w:t>a</w:t>
      </w:r>
      <w:r w:rsidR="001B0018" w:rsidRPr="00D14CD7">
        <w:rPr>
          <w:color w:val="000000" w:themeColor="text1"/>
        </w:rPr>
        <w:t>dult</w:t>
      </w:r>
      <w:r w:rsidR="0014266B" w:rsidRPr="00D14CD7">
        <w:rPr>
          <w:color w:val="000000" w:themeColor="text1"/>
        </w:rPr>
        <w:t>s</w:t>
      </w:r>
      <w:r w:rsidR="001B0018" w:rsidRPr="00D14CD7">
        <w:rPr>
          <w:color w:val="000000" w:themeColor="text1"/>
        </w:rPr>
        <w:t xml:space="preserve"> in the 18 to 29 years old age category</w:t>
      </w:r>
      <w:r w:rsidR="0014266B" w:rsidRPr="00D14CD7">
        <w:rPr>
          <w:color w:val="000000" w:themeColor="text1"/>
        </w:rPr>
        <w:t xml:space="preserve">, they are estimated to make a </w:t>
      </w:r>
      <w:r w:rsidR="001B0018" w:rsidRPr="00D14CD7">
        <w:rPr>
          <w:color w:val="000000" w:themeColor="text1"/>
        </w:rPr>
        <w:t>total of 3,</w:t>
      </w:r>
      <w:r w:rsidR="00D37578" w:rsidRPr="00D14CD7">
        <w:rPr>
          <w:color w:val="000000" w:themeColor="text1"/>
        </w:rPr>
        <w:t>237</w:t>
      </w:r>
      <w:r w:rsidR="001B0018" w:rsidRPr="00D14CD7">
        <w:rPr>
          <w:color w:val="000000" w:themeColor="text1"/>
        </w:rPr>
        <w:t xml:space="preserve"> weekday monthly dinner eat-out trips</w:t>
      </w:r>
      <w:r w:rsidR="0014266B" w:rsidRPr="00D14CD7">
        <w:rPr>
          <w:color w:val="000000" w:themeColor="text1"/>
        </w:rPr>
        <w:t xml:space="preserve"> (an average of 2.96 monthly eat-out trips per individual)</w:t>
      </w:r>
      <w:r w:rsidR="001B0018" w:rsidRPr="00D14CD7">
        <w:rPr>
          <w:color w:val="000000" w:themeColor="text1"/>
        </w:rPr>
        <w:t xml:space="preserve">. Out of these trips, </w:t>
      </w:r>
      <w:r w:rsidR="00D37578" w:rsidRPr="00D14CD7">
        <w:rPr>
          <w:color w:val="000000" w:themeColor="text1"/>
        </w:rPr>
        <w:t>22.2</w:t>
      </w:r>
      <w:r w:rsidR="001B0018" w:rsidRPr="00D14CD7">
        <w:rPr>
          <w:color w:val="000000" w:themeColor="text1"/>
        </w:rPr>
        <w:t xml:space="preserve">% are allocated to QSRs, </w:t>
      </w:r>
      <w:r w:rsidR="00D37578" w:rsidRPr="00D14CD7">
        <w:rPr>
          <w:color w:val="000000" w:themeColor="text1"/>
        </w:rPr>
        <w:t>15.8</w:t>
      </w:r>
      <w:r w:rsidR="001B0018" w:rsidRPr="00D14CD7">
        <w:rPr>
          <w:color w:val="000000" w:themeColor="text1"/>
        </w:rPr>
        <w:t xml:space="preserve">% to </w:t>
      </w:r>
      <w:r w:rsidR="00D37578" w:rsidRPr="00D14CD7">
        <w:rPr>
          <w:color w:val="000000" w:themeColor="text1"/>
        </w:rPr>
        <w:t>CHs,</w:t>
      </w:r>
      <w:r w:rsidR="001B0018" w:rsidRPr="00D14CD7">
        <w:rPr>
          <w:color w:val="000000" w:themeColor="text1"/>
        </w:rPr>
        <w:t xml:space="preserve"> </w:t>
      </w:r>
      <w:r w:rsidR="00D37578" w:rsidRPr="00D14CD7">
        <w:rPr>
          <w:color w:val="000000" w:themeColor="text1"/>
        </w:rPr>
        <w:t>48.</w:t>
      </w:r>
      <w:r w:rsidR="00D74013" w:rsidRPr="00D14CD7">
        <w:rPr>
          <w:color w:val="000000" w:themeColor="text1"/>
        </w:rPr>
        <w:t>7</w:t>
      </w:r>
      <w:r w:rsidR="001B0018" w:rsidRPr="00D14CD7">
        <w:rPr>
          <w:color w:val="000000" w:themeColor="text1"/>
        </w:rPr>
        <w:t xml:space="preserve">% to </w:t>
      </w:r>
      <w:r w:rsidR="00D37578" w:rsidRPr="00D14CD7">
        <w:rPr>
          <w:color w:val="000000" w:themeColor="text1"/>
        </w:rPr>
        <w:t>CSRs</w:t>
      </w:r>
      <w:r w:rsidR="001B0018" w:rsidRPr="00D14CD7">
        <w:rPr>
          <w:color w:val="000000" w:themeColor="text1"/>
        </w:rPr>
        <w:t xml:space="preserve">, and </w:t>
      </w:r>
      <w:r w:rsidR="00D37578" w:rsidRPr="00D14CD7">
        <w:rPr>
          <w:color w:val="000000" w:themeColor="text1"/>
        </w:rPr>
        <w:t>13.3</w:t>
      </w:r>
      <w:r w:rsidR="001B0018" w:rsidRPr="00D14CD7">
        <w:rPr>
          <w:color w:val="000000" w:themeColor="text1"/>
        </w:rPr>
        <w:t xml:space="preserve">% to FSRs (fourth broad column of </w:t>
      </w:r>
      <w:r w:rsidRPr="00D14CD7">
        <w:rPr>
          <w:color w:val="000000" w:themeColor="text1"/>
        </w:rPr>
        <w:t>Table 9</w:t>
      </w:r>
      <w:r w:rsidR="001B0018" w:rsidRPr="00D14CD7">
        <w:rPr>
          <w:color w:val="000000" w:themeColor="text1"/>
        </w:rPr>
        <w:t>). In contrast, adults who are 65 or more years old (treatment level) make a total of 3,</w:t>
      </w:r>
      <w:r w:rsidR="00D37578" w:rsidRPr="00D14CD7">
        <w:rPr>
          <w:color w:val="000000" w:themeColor="text1"/>
        </w:rPr>
        <w:t>266</w:t>
      </w:r>
      <w:r w:rsidR="001B0018" w:rsidRPr="00D14CD7">
        <w:rPr>
          <w:color w:val="000000" w:themeColor="text1"/>
        </w:rPr>
        <w:t xml:space="preserve"> eat-out trips</w:t>
      </w:r>
      <w:r w:rsidR="0014266B" w:rsidRPr="00D14CD7">
        <w:rPr>
          <w:color w:val="000000" w:themeColor="text1"/>
        </w:rPr>
        <w:t xml:space="preserve"> (an average of 2.99 monthly eat-out trips per individual)</w:t>
      </w:r>
      <w:r w:rsidR="001B0018" w:rsidRPr="00D14CD7">
        <w:rPr>
          <w:color w:val="000000" w:themeColor="text1"/>
        </w:rPr>
        <w:t>, with 15.</w:t>
      </w:r>
      <w:r w:rsidR="00FC630C" w:rsidRPr="00D14CD7">
        <w:rPr>
          <w:color w:val="000000" w:themeColor="text1"/>
        </w:rPr>
        <w:t>3</w:t>
      </w:r>
      <w:r w:rsidR="001B0018" w:rsidRPr="00D14CD7">
        <w:rPr>
          <w:color w:val="000000" w:themeColor="text1"/>
        </w:rPr>
        <w:t>% allocated to QSRs, 3.</w:t>
      </w:r>
      <w:r w:rsidR="00FC630C" w:rsidRPr="00D14CD7">
        <w:rPr>
          <w:color w:val="000000" w:themeColor="text1"/>
        </w:rPr>
        <w:t>7</w:t>
      </w:r>
      <w:r w:rsidR="001B0018" w:rsidRPr="00D14CD7">
        <w:rPr>
          <w:color w:val="000000" w:themeColor="text1"/>
        </w:rPr>
        <w:t xml:space="preserve">% to CHs, </w:t>
      </w:r>
      <w:r w:rsidR="00D37578" w:rsidRPr="00D14CD7">
        <w:rPr>
          <w:color w:val="000000" w:themeColor="text1"/>
        </w:rPr>
        <w:t>67.</w:t>
      </w:r>
      <w:r w:rsidR="00FC630C" w:rsidRPr="00D14CD7">
        <w:rPr>
          <w:color w:val="000000" w:themeColor="text1"/>
        </w:rPr>
        <w:t>8</w:t>
      </w:r>
      <w:r w:rsidR="001B0018" w:rsidRPr="00D14CD7">
        <w:rPr>
          <w:color w:val="000000" w:themeColor="text1"/>
        </w:rPr>
        <w:t>% to CSRs, and 1</w:t>
      </w:r>
      <w:r w:rsidR="00D37578" w:rsidRPr="00D14CD7">
        <w:rPr>
          <w:color w:val="000000" w:themeColor="text1"/>
        </w:rPr>
        <w:t>3</w:t>
      </w:r>
      <w:r w:rsidR="001B0018" w:rsidRPr="00D14CD7">
        <w:rPr>
          <w:color w:val="000000" w:themeColor="text1"/>
        </w:rPr>
        <w:t>.</w:t>
      </w:r>
      <w:r w:rsidR="00D37578" w:rsidRPr="00D14CD7">
        <w:rPr>
          <w:color w:val="000000" w:themeColor="text1"/>
        </w:rPr>
        <w:t>2</w:t>
      </w:r>
      <w:r w:rsidR="001B0018" w:rsidRPr="00D14CD7">
        <w:rPr>
          <w:color w:val="000000" w:themeColor="text1"/>
        </w:rPr>
        <w:t xml:space="preserve">% to FSRs (fifth broad column of </w:t>
      </w:r>
      <w:r w:rsidRPr="00D14CD7">
        <w:rPr>
          <w:color w:val="000000" w:themeColor="text1"/>
        </w:rPr>
        <w:t>Table 9</w:t>
      </w:r>
      <w:r w:rsidR="001B0018" w:rsidRPr="00D14CD7">
        <w:rPr>
          <w:color w:val="000000" w:themeColor="text1"/>
        </w:rPr>
        <w:t xml:space="preserve">). </w:t>
      </w:r>
      <w:r w:rsidR="00DF4C8E" w:rsidRPr="00D14CD7">
        <w:rPr>
          <w:color w:val="000000" w:themeColor="text1"/>
        </w:rPr>
        <w:t xml:space="preserve">In terms of net effect on total eat-outs and individuals segment eat-outs, one has to </w:t>
      </w:r>
      <w:r w:rsidR="00D33A74" w:rsidRPr="00D14CD7">
        <w:rPr>
          <w:color w:val="000000" w:themeColor="text1"/>
        </w:rPr>
        <w:t xml:space="preserve">multiply the </w:t>
      </w:r>
      <w:r w:rsidR="00DF4C8E" w:rsidRPr="00D14CD7">
        <w:rPr>
          <w:color w:val="000000" w:themeColor="text1"/>
        </w:rPr>
        <w:t>proportions with the total eat-outs in each of the base a</w:t>
      </w:r>
      <w:r w:rsidR="00D33A74" w:rsidRPr="00D14CD7">
        <w:rPr>
          <w:color w:val="000000" w:themeColor="text1"/>
        </w:rPr>
        <w:t>n</w:t>
      </w:r>
      <w:r w:rsidR="00DF4C8E" w:rsidRPr="00D14CD7">
        <w:rPr>
          <w:color w:val="000000" w:themeColor="text1"/>
        </w:rPr>
        <w:t xml:space="preserve">d treatment cases, and then get the percentage ATE. Thus, according to the results, </w:t>
      </w:r>
      <w:r w:rsidR="001B0018" w:rsidRPr="00D14CD7">
        <w:rPr>
          <w:color w:val="000000" w:themeColor="text1"/>
        </w:rPr>
        <w:t>older adults are estimated to have 0.</w:t>
      </w:r>
      <w:r w:rsidR="00D37578" w:rsidRPr="00D14CD7">
        <w:rPr>
          <w:color w:val="000000" w:themeColor="text1"/>
        </w:rPr>
        <w:t>9</w:t>
      </w:r>
      <w:r w:rsidR="001B0018" w:rsidRPr="00D14CD7">
        <w:rPr>
          <w:color w:val="000000" w:themeColor="text1"/>
        </w:rPr>
        <w:t xml:space="preserve">% more monthly eat-outs compared to the base </w:t>
      </w:r>
      <w:r w:rsidR="0014266B" w:rsidRPr="00D14CD7">
        <w:rPr>
          <w:color w:val="000000" w:themeColor="text1"/>
        </w:rPr>
        <w:t>younger age group</w:t>
      </w:r>
      <w:r w:rsidR="001B0018" w:rsidRPr="00D14CD7">
        <w:rPr>
          <w:color w:val="000000" w:themeColor="text1"/>
        </w:rPr>
        <w:t xml:space="preserve">, with </w:t>
      </w:r>
      <w:r w:rsidR="00D37578" w:rsidRPr="00D14CD7">
        <w:rPr>
          <w:color w:val="000000" w:themeColor="text1"/>
        </w:rPr>
        <w:t>3</w:t>
      </w:r>
      <w:r w:rsidR="00DF4C8E" w:rsidRPr="00D14CD7">
        <w:rPr>
          <w:color w:val="000000" w:themeColor="text1"/>
        </w:rPr>
        <w:t>0</w:t>
      </w:r>
      <w:r w:rsidR="00D37578" w:rsidRPr="00D14CD7">
        <w:rPr>
          <w:color w:val="000000" w:themeColor="text1"/>
        </w:rPr>
        <w:t>.</w:t>
      </w:r>
      <w:r w:rsidR="00DF4C8E" w:rsidRPr="00D14CD7">
        <w:rPr>
          <w:color w:val="000000" w:themeColor="text1"/>
        </w:rPr>
        <w:t>4</w:t>
      </w:r>
      <w:r w:rsidR="001B0018" w:rsidRPr="00D14CD7">
        <w:rPr>
          <w:color w:val="000000" w:themeColor="text1"/>
        </w:rPr>
        <w:t>% lower QSR</w:t>
      </w:r>
      <w:r w:rsidR="00DF4C8E" w:rsidRPr="00D14CD7">
        <w:rPr>
          <w:color w:val="000000" w:themeColor="text1"/>
        </w:rPr>
        <w:t xml:space="preserve"> eat-outs</w:t>
      </w:r>
      <w:r w:rsidR="001B0018" w:rsidRPr="00D14CD7">
        <w:rPr>
          <w:color w:val="000000" w:themeColor="text1"/>
        </w:rPr>
        <w:t>,</w:t>
      </w:r>
      <w:r w:rsidR="00D37578" w:rsidRPr="00D14CD7">
        <w:rPr>
          <w:color w:val="000000" w:themeColor="text1"/>
        </w:rPr>
        <w:t xml:space="preserve"> 7</w:t>
      </w:r>
      <w:r w:rsidR="001B0018" w:rsidRPr="00D14CD7">
        <w:rPr>
          <w:color w:val="000000" w:themeColor="text1"/>
        </w:rPr>
        <w:t>6.</w:t>
      </w:r>
      <w:r w:rsidR="00FE5BD9" w:rsidRPr="00D14CD7">
        <w:rPr>
          <w:color w:val="000000" w:themeColor="text1"/>
        </w:rPr>
        <w:t>4</w:t>
      </w:r>
      <w:r w:rsidR="001B0018" w:rsidRPr="00D14CD7">
        <w:rPr>
          <w:color w:val="000000" w:themeColor="text1"/>
        </w:rPr>
        <w:t>% lower CH</w:t>
      </w:r>
      <w:r w:rsidR="00DF4C8E" w:rsidRPr="00D14CD7">
        <w:rPr>
          <w:color w:val="000000" w:themeColor="text1"/>
        </w:rPr>
        <w:t xml:space="preserve"> eat-outs</w:t>
      </w:r>
      <w:r w:rsidR="001B0018" w:rsidRPr="00D14CD7">
        <w:rPr>
          <w:color w:val="000000" w:themeColor="text1"/>
        </w:rPr>
        <w:t xml:space="preserve">, </w:t>
      </w:r>
      <w:r w:rsidR="00DF4C8E" w:rsidRPr="00D14CD7">
        <w:rPr>
          <w:color w:val="000000" w:themeColor="text1"/>
        </w:rPr>
        <w:t>40</w:t>
      </w:r>
      <w:r w:rsidR="00D37578" w:rsidRPr="00D14CD7">
        <w:rPr>
          <w:color w:val="000000" w:themeColor="text1"/>
        </w:rPr>
        <w:t>.</w:t>
      </w:r>
      <w:r w:rsidR="00DF4C8E" w:rsidRPr="00D14CD7">
        <w:rPr>
          <w:color w:val="000000" w:themeColor="text1"/>
        </w:rPr>
        <w:t>5</w:t>
      </w:r>
      <w:r w:rsidR="001B0018" w:rsidRPr="00D14CD7">
        <w:rPr>
          <w:color w:val="000000" w:themeColor="text1"/>
        </w:rPr>
        <w:t xml:space="preserve">% higher </w:t>
      </w:r>
      <w:r w:rsidR="00DF4C8E" w:rsidRPr="00D14CD7">
        <w:rPr>
          <w:color w:val="000000" w:themeColor="text1"/>
        </w:rPr>
        <w:t>CS</w:t>
      </w:r>
      <w:r w:rsidR="004E0788" w:rsidRPr="00D14CD7">
        <w:rPr>
          <w:color w:val="000000" w:themeColor="text1"/>
        </w:rPr>
        <w:t>R</w:t>
      </w:r>
      <w:r w:rsidR="00DF4C8E" w:rsidRPr="00D14CD7">
        <w:rPr>
          <w:color w:val="000000" w:themeColor="text1"/>
        </w:rPr>
        <w:t xml:space="preserve"> eat-outs, </w:t>
      </w:r>
      <w:r w:rsidR="001B0018" w:rsidRPr="00D14CD7">
        <w:rPr>
          <w:color w:val="000000" w:themeColor="text1"/>
        </w:rPr>
        <w:t xml:space="preserve">and </w:t>
      </w:r>
      <w:r w:rsidR="00D37578" w:rsidRPr="00D14CD7">
        <w:rPr>
          <w:color w:val="000000" w:themeColor="text1"/>
        </w:rPr>
        <w:t>0.</w:t>
      </w:r>
      <w:r w:rsidR="00DF4C8E" w:rsidRPr="00D14CD7">
        <w:rPr>
          <w:color w:val="000000" w:themeColor="text1"/>
        </w:rPr>
        <w:t>1</w:t>
      </w:r>
      <w:r w:rsidR="001B0018" w:rsidRPr="00D14CD7">
        <w:rPr>
          <w:color w:val="000000" w:themeColor="text1"/>
        </w:rPr>
        <w:t xml:space="preserve">% </w:t>
      </w:r>
      <w:r w:rsidR="00D37578" w:rsidRPr="00D14CD7">
        <w:rPr>
          <w:color w:val="000000" w:themeColor="text1"/>
        </w:rPr>
        <w:t xml:space="preserve">lower </w:t>
      </w:r>
      <w:r w:rsidR="001B0018" w:rsidRPr="00D14CD7">
        <w:rPr>
          <w:color w:val="000000" w:themeColor="text1"/>
        </w:rPr>
        <w:t>FSR</w:t>
      </w:r>
      <w:r w:rsidR="00DF4C8E" w:rsidRPr="00D14CD7">
        <w:rPr>
          <w:color w:val="000000" w:themeColor="text1"/>
        </w:rPr>
        <w:t xml:space="preserve"> eat-outs</w:t>
      </w:r>
      <w:r w:rsidR="001B0018" w:rsidRPr="00D14CD7">
        <w:rPr>
          <w:color w:val="000000" w:themeColor="text1"/>
        </w:rPr>
        <w:t xml:space="preserve"> (last broad column of </w:t>
      </w:r>
      <w:r w:rsidRPr="00D14CD7">
        <w:rPr>
          <w:color w:val="000000" w:themeColor="text1"/>
        </w:rPr>
        <w:t>Table 9</w:t>
      </w:r>
      <w:r w:rsidR="001B0018" w:rsidRPr="00D14CD7">
        <w:rPr>
          <w:color w:val="000000" w:themeColor="text1"/>
        </w:rPr>
        <w:t>). Similar interpretations can be made for all other variables reported in the table.</w:t>
      </w:r>
    </w:p>
    <w:p w14:paraId="1F5CF905" w14:textId="269F3DA1" w:rsidR="00835C27" w:rsidRPr="00D14CD7" w:rsidRDefault="0014266B" w:rsidP="007E2CED">
      <w:pPr>
        <w:spacing w:after="0" w:line="240" w:lineRule="auto"/>
        <w:ind w:firstLine="720"/>
        <w:rPr>
          <w:color w:val="000000" w:themeColor="text1"/>
        </w:rPr>
      </w:pPr>
      <w:r w:rsidRPr="00D14CD7">
        <w:rPr>
          <w:color w:val="000000" w:themeColor="text1"/>
        </w:rPr>
        <w:t xml:space="preserve"> </w:t>
      </w:r>
    </w:p>
    <w:p w14:paraId="64DFF18C" w14:textId="71EBE7E1" w:rsidR="00835C27" w:rsidRPr="00D14CD7" w:rsidRDefault="001E2231" w:rsidP="007E2CED">
      <w:pPr>
        <w:pStyle w:val="Heading2"/>
        <w:spacing w:before="0" w:after="0" w:line="240" w:lineRule="auto"/>
        <w:rPr>
          <w:color w:val="000000" w:themeColor="text1"/>
        </w:rPr>
      </w:pPr>
      <w:r w:rsidRPr="00D14CD7">
        <w:rPr>
          <w:color w:val="000000" w:themeColor="text1"/>
        </w:rPr>
        <w:t xml:space="preserve"> </w:t>
      </w:r>
      <w:r w:rsidR="00835C27" w:rsidRPr="00D14CD7">
        <w:rPr>
          <w:color w:val="000000" w:themeColor="text1"/>
        </w:rPr>
        <w:t>ATE Results</w:t>
      </w:r>
    </w:p>
    <w:p w14:paraId="558848F2" w14:textId="41B10072" w:rsidR="008B6ECD" w:rsidRPr="00D14CD7" w:rsidRDefault="00C56029" w:rsidP="007E2CED">
      <w:pPr>
        <w:spacing w:after="0" w:line="240" w:lineRule="auto"/>
        <w:rPr>
          <w:color w:val="000000" w:themeColor="text1"/>
        </w:rPr>
      </w:pPr>
      <w:r w:rsidRPr="00D14CD7">
        <w:rPr>
          <w:color w:val="000000" w:themeColor="text1"/>
        </w:rPr>
        <w:t xml:space="preserve">The </w:t>
      </w:r>
      <w:r w:rsidR="00AC3C4B">
        <w:rPr>
          <w:color w:val="000000" w:themeColor="text1"/>
        </w:rPr>
        <w:t xml:space="preserve">ATE </w:t>
      </w:r>
      <w:r w:rsidRPr="00D14CD7">
        <w:rPr>
          <w:color w:val="000000" w:themeColor="text1"/>
        </w:rPr>
        <w:t xml:space="preserve">findings in </w:t>
      </w:r>
      <w:r w:rsidR="00BE151D" w:rsidRPr="00D14CD7">
        <w:rPr>
          <w:color w:val="000000" w:themeColor="text1"/>
        </w:rPr>
        <w:t>Table 9</w:t>
      </w:r>
      <w:r w:rsidRPr="00D14CD7">
        <w:rPr>
          <w:color w:val="000000" w:themeColor="text1"/>
        </w:rPr>
        <w:t xml:space="preserve"> generally align with our expectations and are consistent with the model results. The outcomes suggest that individuals who frequently </w:t>
      </w:r>
      <w:r w:rsidR="00D37578" w:rsidRPr="00D14CD7">
        <w:rPr>
          <w:color w:val="000000" w:themeColor="text1"/>
        </w:rPr>
        <w:t>eat</w:t>
      </w:r>
      <w:r w:rsidRPr="00D14CD7">
        <w:rPr>
          <w:color w:val="000000" w:themeColor="text1"/>
        </w:rPr>
        <w:t xml:space="preserve"> out </w:t>
      </w:r>
      <w:r w:rsidR="000C2910" w:rsidRPr="00D14CD7">
        <w:rPr>
          <w:color w:val="000000" w:themeColor="text1"/>
        </w:rPr>
        <w:t>(see the percentage ATE shift in the last broad column u</w:t>
      </w:r>
      <w:r w:rsidR="005D5527" w:rsidRPr="00D14CD7">
        <w:rPr>
          <w:color w:val="000000" w:themeColor="text1"/>
        </w:rPr>
        <w:t>n</w:t>
      </w:r>
      <w:r w:rsidR="000C2910" w:rsidRPr="00D14CD7">
        <w:rPr>
          <w:color w:val="000000" w:themeColor="text1"/>
        </w:rPr>
        <w:t xml:space="preserve">der “total eat-outs”) </w:t>
      </w:r>
      <w:r w:rsidRPr="00D14CD7">
        <w:rPr>
          <w:color w:val="000000" w:themeColor="text1"/>
        </w:rPr>
        <w:t xml:space="preserve">tend to be </w:t>
      </w:r>
      <w:r w:rsidR="0018383E" w:rsidRPr="00D14CD7">
        <w:rPr>
          <w:color w:val="000000" w:themeColor="text1"/>
        </w:rPr>
        <w:t xml:space="preserve">young, </w:t>
      </w:r>
      <w:r w:rsidRPr="00D14CD7">
        <w:rPr>
          <w:color w:val="000000" w:themeColor="text1"/>
        </w:rPr>
        <w:t xml:space="preserve">white, have an educational attainment below a graduate degree, enjoy a high income, </w:t>
      </w:r>
      <w:r w:rsidR="00D37578" w:rsidRPr="00D14CD7">
        <w:rPr>
          <w:color w:val="000000" w:themeColor="text1"/>
        </w:rPr>
        <w:t xml:space="preserve">own </w:t>
      </w:r>
      <w:r w:rsidR="00FC630C" w:rsidRPr="00D14CD7">
        <w:rPr>
          <w:color w:val="000000" w:themeColor="text1"/>
        </w:rPr>
        <w:t>three</w:t>
      </w:r>
      <w:r w:rsidR="00D37578" w:rsidRPr="00D14CD7">
        <w:rPr>
          <w:color w:val="000000" w:themeColor="text1"/>
        </w:rPr>
        <w:t xml:space="preserve"> or more motor vehicles, </w:t>
      </w:r>
      <w:r w:rsidRPr="00D14CD7">
        <w:rPr>
          <w:color w:val="000000" w:themeColor="text1"/>
        </w:rPr>
        <w:t>are single men,</w:t>
      </w:r>
      <w:r w:rsidR="0014266B" w:rsidRPr="00D14CD7">
        <w:rPr>
          <w:color w:val="000000" w:themeColor="text1"/>
        </w:rPr>
        <w:t xml:space="preserve"> are couples or other related adults without children,</w:t>
      </w:r>
      <w:r w:rsidR="00D210E0" w:rsidRPr="00D14CD7">
        <w:rPr>
          <w:color w:val="000000" w:themeColor="text1"/>
        </w:rPr>
        <w:t xml:space="preserve"> </w:t>
      </w:r>
      <w:r w:rsidRPr="00D14CD7">
        <w:rPr>
          <w:color w:val="000000" w:themeColor="text1"/>
        </w:rPr>
        <w:t>work full-time from a</w:t>
      </w:r>
      <w:r w:rsidR="00120239" w:rsidRPr="00D14CD7">
        <w:rPr>
          <w:color w:val="000000" w:themeColor="text1"/>
        </w:rPr>
        <w:t>n office</w:t>
      </w:r>
      <w:r w:rsidR="00D210E0" w:rsidRPr="00D14CD7">
        <w:rPr>
          <w:color w:val="000000" w:themeColor="text1"/>
        </w:rPr>
        <w:t>, and those who perceive less personal risk due to COVID</w:t>
      </w:r>
      <w:r w:rsidR="00FC630C" w:rsidRPr="00D14CD7">
        <w:rPr>
          <w:color w:val="000000" w:themeColor="text1"/>
        </w:rPr>
        <w:t>-19</w:t>
      </w:r>
      <w:r w:rsidR="00D210E0" w:rsidRPr="00D14CD7">
        <w:rPr>
          <w:color w:val="000000" w:themeColor="text1"/>
        </w:rPr>
        <w:t xml:space="preserve"> and are not immunocompromised</w:t>
      </w:r>
      <w:r w:rsidRPr="00D14CD7">
        <w:rPr>
          <w:color w:val="000000" w:themeColor="text1"/>
        </w:rPr>
        <w:t xml:space="preserve">. </w:t>
      </w:r>
      <w:r w:rsidR="009D634B" w:rsidRPr="00D14CD7">
        <w:rPr>
          <w:color w:val="000000" w:themeColor="text1"/>
        </w:rPr>
        <w:t xml:space="preserve">The income effect is particularly strong, dominating over other variables. </w:t>
      </w:r>
      <w:r w:rsidRPr="00D14CD7">
        <w:rPr>
          <w:color w:val="000000" w:themeColor="text1"/>
        </w:rPr>
        <w:t xml:space="preserve">Additionally, our analysis reveals distinctive demographic groups for QSR, CH, CSR, and FSR dining. The demographic groups that are particularly conspicuous in the QSR </w:t>
      </w:r>
      <w:r w:rsidR="0096248F" w:rsidRPr="00D14CD7">
        <w:rPr>
          <w:color w:val="000000" w:themeColor="text1"/>
        </w:rPr>
        <w:t xml:space="preserve">and CH </w:t>
      </w:r>
      <w:r w:rsidRPr="00D14CD7">
        <w:rPr>
          <w:color w:val="000000" w:themeColor="text1"/>
        </w:rPr>
        <w:t>segment</w:t>
      </w:r>
      <w:r w:rsidR="0096248F" w:rsidRPr="00D14CD7">
        <w:rPr>
          <w:color w:val="000000" w:themeColor="text1"/>
        </w:rPr>
        <w:t>s</w:t>
      </w:r>
      <w:r w:rsidRPr="00D14CD7">
        <w:rPr>
          <w:color w:val="000000" w:themeColor="text1"/>
        </w:rPr>
        <w:t xml:space="preserve"> include individuals who </w:t>
      </w:r>
      <w:r w:rsidR="001B0018" w:rsidRPr="00D14CD7">
        <w:rPr>
          <w:color w:val="000000" w:themeColor="text1"/>
        </w:rPr>
        <w:t xml:space="preserve">are </w:t>
      </w:r>
      <w:r w:rsidR="00D37578" w:rsidRPr="00D14CD7">
        <w:rPr>
          <w:color w:val="000000" w:themeColor="text1"/>
        </w:rPr>
        <w:t>younger than 30 years</w:t>
      </w:r>
      <w:r w:rsidR="009D634B" w:rsidRPr="00D14CD7">
        <w:rPr>
          <w:color w:val="000000" w:themeColor="text1"/>
        </w:rPr>
        <w:t xml:space="preserve"> and</w:t>
      </w:r>
      <w:r w:rsidR="00D37578" w:rsidRPr="00D14CD7">
        <w:rPr>
          <w:color w:val="000000" w:themeColor="text1"/>
        </w:rPr>
        <w:t xml:space="preserve"> </w:t>
      </w:r>
      <w:r w:rsidRPr="00D14CD7">
        <w:rPr>
          <w:color w:val="000000" w:themeColor="text1"/>
        </w:rPr>
        <w:t xml:space="preserve">not white, </w:t>
      </w:r>
      <w:r w:rsidR="009D634B" w:rsidRPr="00D14CD7">
        <w:rPr>
          <w:color w:val="000000" w:themeColor="text1"/>
        </w:rPr>
        <w:t xml:space="preserve">have a formal education degree that is below a graduate degree with </w:t>
      </w:r>
      <w:r w:rsidRPr="00D14CD7">
        <w:rPr>
          <w:color w:val="000000" w:themeColor="text1"/>
        </w:rPr>
        <w:t>low income levels</w:t>
      </w:r>
      <w:r w:rsidR="0096248F" w:rsidRPr="00D14CD7">
        <w:rPr>
          <w:color w:val="000000" w:themeColor="text1"/>
        </w:rPr>
        <w:t>,</w:t>
      </w:r>
      <w:r w:rsidR="000C2910" w:rsidRPr="00D14CD7">
        <w:rPr>
          <w:color w:val="000000" w:themeColor="text1"/>
        </w:rPr>
        <w:t xml:space="preserve"> have </w:t>
      </w:r>
      <w:r w:rsidR="00FC630C" w:rsidRPr="00D14CD7">
        <w:rPr>
          <w:color w:val="000000" w:themeColor="text1"/>
        </w:rPr>
        <w:t>three</w:t>
      </w:r>
      <w:r w:rsidR="000C2910" w:rsidRPr="00D14CD7">
        <w:rPr>
          <w:color w:val="000000" w:themeColor="text1"/>
        </w:rPr>
        <w:t xml:space="preserve"> or more motorized vehicles</w:t>
      </w:r>
      <w:r w:rsidR="009D634B" w:rsidRPr="00D14CD7">
        <w:rPr>
          <w:color w:val="000000" w:themeColor="text1"/>
        </w:rPr>
        <w:t>, are single men and full-time employees (especially if working only from the office)</w:t>
      </w:r>
      <w:r w:rsidR="0096248F" w:rsidRPr="00D14CD7">
        <w:rPr>
          <w:color w:val="000000" w:themeColor="text1"/>
        </w:rPr>
        <w:t xml:space="preserve">. Not surprisingly, those </w:t>
      </w:r>
      <w:r w:rsidR="00D37578" w:rsidRPr="00D14CD7">
        <w:rPr>
          <w:color w:val="000000" w:themeColor="text1"/>
        </w:rPr>
        <w:t>resid</w:t>
      </w:r>
      <w:r w:rsidR="0096248F" w:rsidRPr="00D14CD7">
        <w:rPr>
          <w:color w:val="000000" w:themeColor="text1"/>
        </w:rPr>
        <w:t>ing</w:t>
      </w:r>
      <w:r w:rsidR="00D37578" w:rsidRPr="00D14CD7">
        <w:rPr>
          <w:color w:val="000000" w:themeColor="text1"/>
        </w:rPr>
        <w:t xml:space="preserve"> in areas with a high fraction of QSRs</w:t>
      </w:r>
      <w:r w:rsidR="0096248F" w:rsidRPr="00D14CD7">
        <w:rPr>
          <w:color w:val="000000" w:themeColor="text1"/>
        </w:rPr>
        <w:t xml:space="preserve"> are also likely </w:t>
      </w:r>
      <w:r w:rsidR="003B3FA0" w:rsidRPr="00D14CD7">
        <w:rPr>
          <w:color w:val="000000" w:themeColor="text1"/>
        </w:rPr>
        <w:t xml:space="preserve">to be </w:t>
      </w:r>
      <w:r w:rsidR="0096248F" w:rsidRPr="00D14CD7">
        <w:rPr>
          <w:color w:val="000000" w:themeColor="text1"/>
        </w:rPr>
        <w:t>QSR patrons</w:t>
      </w:r>
      <w:r w:rsidR="009D634B" w:rsidRPr="00D14CD7">
        <w:rPr>
          <w:color w:val="000000" w:themeColor="text1"/>
        </w:rPr>
        <w:t>.</w:t>
      </w:r>
      <w:r w:rsidR="00120239" w:rsidRPr="00D14CD7">
        <w:rPr>
          <w:color w:val="000000" w:themeColor="text1"/>
        </w:rPr>
        <w:t xml:space="preserve"> </w:t>
      </w:r>
      <w:r w:rsidRPr="00D14CD7">
        <w:rPr>
          <w:color w:val="000000" w:themeColor="text1"/>
        </w:rPr>
        <w:t xml:space="preserve">For </w:t>
      </w:r>
      <w:r w:rsidR="00FC630C" w:rsidRPr="00D14CD7">
        <w:rPr>
          <w:color w:val="000000" w:themeColor="text1"/>
        </w:rPr>
        <w:t xml:space="preserve">the </w:t>
      </w:r>
      <w:r w:rsidRPr="00D14CD7">
        <w:rPr>
          <w:color w:val="000000" w:themeColor="text1"/>
        </w:rPr>
        <w:t>CSR</w:t>
      </w:r>
      <w:r w:rsidR="00FC630C" w:rsidRPr="00D14CD7">
        <w:rPr>
          <w:color w:val="000000" w:themeColor="text1"/>
        </w:rPr>
        <w:t xml:space="preserve"> segment</w:t>
      </w:r>
      <w:r w:rsidRPr="00D14CD7">
        <w:rPr>
          <w:color w:val="000000" w:themeColor="text1"/>
        </w:rPr>
        <w:t>, the demographic group</w:t>
      </w:r>
      <w:r w:rsidR="0096248F" w:rsidRPr="00D14CD7">
        <w:rPr>
          <w:color w:val="000000" w:themeColor="text1"/>
        </w:rPr>
        <w:t>s</w:t>
      </w:r>
      <w:r w:rsidRPr="00D14CD7">
        <w:rPr>
          <w:color w:val="000000" w:themeColor="text1"/>
        </w:rPr>
        <w:t xml:space="preserve"> that stand out </w:t>
      </w:r>
      <w:r w:rsidR="0096248F" w:rsidRPr="00D14CD7">
        <w:rPr>
          <w:color w:val="000000" w:themeColor="text1"/>
        </w:rPr>
        <w:t xml:space="preserve">include </w:t>
      </w:r>
      <w:r w:rsidR="008B6ECD" w:rsidRPr="00D14CD7">
        <w:rPr>
          <w:color w:val="000000" w:themeColor="text1"/>
        </w:rPr>
        <w:t xml:space="preserve">young, white individuals from </w:t>
      </w:r>
      <w:r w:rsidR="009D634B" w:rsidRPr="00D14CD7">
        <w:rPr>
          <w:color w:val="000000" w:themeColor="text1"/>
        </w:rPr>
        <w:t>high income</w:t>
      </w:r>
      <w:r w:rsidR="008B6ECD" w:rsidRPr="00D14CD7">
        <w:rPr>
          <w:color w:val="000000" w:themeColor="text1"/>
        </w:rPr>
        <w:t xml:space="preserve"> households</w:t>
      </w:r>
      <w:r w:rsidR="009D634B" w:rsidRPr="00D14CD7">
        <w:rPr>
          <w:color w:val="000000" w:themeColor="text1"/>
        </w:rPr>
        <w:t>,</w:t>
      </w:r>
      <w:r w:rsidR="008B6ECD" w:rsidRPr="00D14CD7">
        <w:rPr>
          <w:color w:val="000000" w:themeColor="text1"/>
        </w:rPr>
        <w:t xml:space="preserve"> individuals living with </w:t>
      </w:r>
      <w:r w:rsidR="009D634B" w:rsidRPr="00D14CD7">
        <w:rPr>
          <w:color w:val="000000" w:themeColor="text1"/>
        </w:rPr>
        <w:t>multiple-unrelated adult</w:t>
      </w:r>
      <w:r w:rsidR="008B6ECD" w:rsidRPr="00D14CD7">
        <w:rPr>
          <w:color w:val="000000" w:themeColor="text1"/>
        </w:rPr>
        <w:t>s</w:t>
      </w:r>
      <w:r w:rsidR="009D634B" w:rsidRPr="00D14CD7">
        <w:rPr>
          <w:color w:val="000000" w:themeColor="text1"/>
        </w:rPr>
        <w:t xml:space="preserve">, </w:t>
      </w:r>
      <w:r w:rsidR="008B6ECD" w:rsidRPr="00D14CD7">
        <w:rPr>
          <w:color w:val="000000" w:themeColor="text1"/>
        </w:rPr>
        <w:t>and full-time employees with no work from home</w:t>
      </w:r>
      <w:r w:rsidRPr="00D14CD7">
        <w:rPr>
          <w:color w:val="000000" w:themeColor="text1"/>
        </w:rPr>
        <w:t xml:space="preserve">. Meanwhile, in the FSR segment, the prominent demographic groups are individuals who </w:t>
      </w:r>
      <w:r w:rsidR="008B6ECD" w:rsidRPr="00D14CD7">
        <w:rPr>
          <w:color w:val="000000" w:themeColor="text1"/>
        </w:rPr>
        <w:t xml:space="preserve">are from high income households, single men, multiple-unrelated </w:t>
      </w:r>
      <w:r w:rsidR="008B6ECD" w:rsidRPr="00D14CD7">
        <w:rPr>
          <w:color w:val="000000" w:themeColor="text1"/>
        </w:rPr>
        <w:lastRenderedPageBreak/>
        <w:t>adults, and full-time employees with no work from home.</w:t>
      </w:r>
      <w:r w:rsidR="00C64E12" w:rsidRPr="00D14CD7">
        <w:rPr>
          <w:color w:val="000000" w:themeColor="text1"/>
        </w:rPr>
        <w:t xml:space="preserve"> Overall, in terms of demographics, there is much more commonality between frequent patrons of QSRs and CHs on the one hand, and CSRs and FSRs on the other. </w:t>
      </w:r>
    </w:p>
    <w:p w14:paraId="34F2C44F" w14:textId="06EC7D17" w:rsidR="00C64E12" w:rsidRPr="00D14CD7" w:rsidRDefault="00367220" w:rsidP="007E2CED">
      <w:pPr>
        <w:spacing w:after="0" w:line="240" w:lineRule="auto"/>
        <w:ind w:firstLine="720"/>
        <w:rPr>
          <w:color w:val="000000" w:themeColor="text1"/>
        </w:rPr>
      </w:pPr>
      <w:bookmarkStart w:id="54" w:name="_Hlk171335125"/>
      <w:r w:rsidRPr="00D14CD7">
        <w:rPr>
          <w:color w:val="000000" w:themeColor="text1"/>
        </w:rPr>
        <w:t xml:space="preserve">An important observation from </w:t>
      </w:r>
      <w:r w:rsidR="00BE151D" w:rsidRPr="00D14CD7">
        <w:rPr>
          <w:color w:val="000000" w:themeColor="text1"/>
        </w:rPr>
        <w:t>Table 9</w:t>
      </w:r>
      <w:r w:rsidRPr="00D14CD7">
        <w:rPr>
          <w:color w:val="000000" w:themeColor="text1"/>
        </w:rPr>
        <w:t xml:space="preserve"> is that variables that </w:t>
      </w:r>
      <w:r w:rsidR="00C64E12" w:rsidRPr="00D14CD7">
        <w:rPr>
          <w:color w:val="000000" w:themeColor="text1"/>
        </w:rPr>
        <w:t xml:space="preserve">only directly </w:t>
      </w:r>
      <w:r w:rsidRPr="00D14CD7">
        <w:rPr>
          <w:color w:val="000000" w:themeColor="text1"/>
        </w:rPr>
        <w:t>affect the fractional splits among the different restaurant segments (</w:t>
      </w:r>
      <w:r w:rsidR="00C64E12" w:rsidRPr="00D14CD7">
        <w:rPr>
          <w:color w:val="000000" w:themeColor="text1"/>
        </w:rPr>
        <w:t xml:space="preserve">without </w:t>
      </w:r>
      <w:r w:rsidRPr="00D14CD7">
        <w:rPr>
          <w:color w:val="000000" w:themeColor="text1"/>
        </w:rPr>
        <w:t xml:space="preserve">directly </w:t>
      </w:r>
      <w:r w:rsidR="00C64E12" w:rsidRPr="00D14CD7">
        <w:rPr>
          <w:color w:val="000000" w:themeColor="text1"/>
        </w:rPr>
        <w:t xml:space="preserve">affecting </w:t>
      </w:r>
      <w:r w:rsidRPr="00D14CD7">
        <w:rPr>
          <w:color w:val="000000" w:themeColor="text1"/>
        </w:rPr>
        <w:t xml:space="preserve">the total eat-out count) still do indirectly affect the total eat-out count through the composite linkage </w:t>
      </w:r>
      <w:r w:rsidR="00012F05" w:rsidRPr="00D14CD7">
        <w:rPr>
          <w:color w:val="000000" w:themeColor="text1"/>
        </w:rPr>
        <w:t xml:space="preserve">from the segment model to the total eat-out count model. </w:t>
      </w:r>
      <w:r w:rsidRPr="00D14CD7">
        <w:rPr>
          <w:color w:val="000000" w:themeColor="text1"/>
        </w:rPr>
        <w:t xml:space="preserve"> </w:t>
      </w:r>
      <w:r w:rsidR="00012F05" w:rsidRPr="00D14CD7">
        <w:rPr>
          <w:color w:val="000000" w:themeColor="text1"/>
        </w:rPr>
        <w:t xml:space="preserve">For instance, </w:t>
      </w:r>
      <w:r w:rsidR="00034B7C" w:rsidRPr="00D14CD7">
        <w:rPr>
          <w:color w:val="000000" w:themeColor="text1"/>
        </w:rPr>
        <w:t xml:space="preserve">consider the effect of </w:t>
      </w:r>
      <w:r w:rsidR="004113DE" w:rsidRPr="00D14CD7">
        <w:rPr>
          <w:color w:val="000000" w:themeColor="text1"/>
        </w:rPr>
        <w:t xml:space="preserve">three or more vehicles (versus zero or one), </w:t>
      </w:r>
      <w:r w:rsidR="00EC3FCD" w:rsidRPr="00D14CD7">
        <w:rPr>
          <w:color w:val="000000" w:themeColor="text1"/>
        </w:rPr>
        <w:t xml:space="preserve">full-time </w:t>
      </w:r>
      <w:r w:rsidR="004113DE" w:rsidRPr="00D14CD7">
        <w:rPr>
          <w:color w:val="000000" w:themeColor="text1"/>
        </w:rPr>
        <w:t>employed and working all days from home (versus unemployed), and the fraction of QSR restaurants in a residential neighborhood</w:t>
      </w:r>
      <w:r w:rsidR="00C64E12" w:rsidRPr="00D14CD7">
        <w:rPr>
          <w:color w:val="000000" w:themeColor="text1"/>
        </w:rPr>
        <w:t>. A</w:t>
      </w:r>
      <w:r w:rsidR="004113DE" w:rsidRPr="00D14CD7">
        <w:rPr>
          <w:color w:val="000000" w:themeColor="text1"/>
        </w:rPr>
        <w:t xml:space="preserve">ll </w:t>
      </w:r>
      <w:r w:rsidR="00C64E12" w:rsidRPr="00D14CD7">
        <w:rPr>
          <w:color w:val="000000" w:themeColor="text1"/>
        </w:rPr>
        <w:t xml:space="preserve">these variables </w:t>
      </w:r>
      <w:r w:rsidR="00261B43" w:rsidRPr="00D14CD7">
        <w:rPr>
          <w:color w:val="000000" w:themeColor="text1"/>
        </w:rPr>
        <w:t xml:space="preserve">positively affect one or both of </w:t>
      </w:r>
      <w:r w:rsidR="004113DE" w:rsidRPr="00D14CD7">
        <w:rPr>
          <w:color w:val="000000" w:themeColor="text1"/>
        </w:rPr>
        <w:t xml:space="preserve">QSR </w:t>
      </w:r>
      <w:r w:rsidR="00261B43" w:rsidRPr="00D14CD7">
        <w:rPr>
          <w:color w:val="000000" w:themeColor="text1"/>
        </w:rPr>
        <w:t xml:space="preserve">and CH </w:t>
      </w:r>
      <w:r w:rsidR="004113DE" w:rsidRPr="00D14CD7">
        <w:rPr>
          <w:color w:val="000000" w:themeColor="text1"/>
        </w:rPr>
        <w:t xml:space="preserve">patronage, but </w:t>
      </w:r>
      <w:r w:rsidR="00FC630C" w:rsidRPr="00D14CD7">
        <w:rPr>
          <w:color w:val="000000" w:themeColor="text1"/>
        </w:rPr>
        <w:t xml:space="preserve">do </w:t>
      </w:r>
      <w:r w:rsidR="004113DE" w:rsidRPr="00D14CD7">
        <w:rPr>
          <w:color w:val="000000" w:themeColor="text1"/>
        </w:rPr>
        <w:t xml:space="preserve">not </w:t>
      </w:r>
      <w:r w:rsidR="00FC630C" w:rsidRPr="00D14CD7">
        <w:rPr>
          <w:color w:val="000000" w:themeColor="text1"/>
        </w:rPr>
        <w:t xml:space="preserve">directly impact the </w:t>
      </w:r>
      <w:r w:rsidR="004113DE" w:rsidRPr="00D14CD7">
        <w:rPr>
          <w:color w:val="000000" w:themeColor="text1"/>
        </w:rPr>
        <w:t>total eat-out count. However, through the composite linkage</w:t>
      </w:r>
      <w:r w:rsidR="00034B7C" w:rsidRPr="00D14CD7">
        <w:rPr>
          <w:color w:val="000000" w:themeColor="text1"/>
        </w:rPr>
        <w:t xml:space="preserve"> </w:t>
      </w:r>
      <w:r w:rsidR="00261B43" w:rsidRPr="00D14CD7">
        <w:rPr>
          <w:color w:val="000000" w:themeColor="text1"/>
        </w:rPr>
        <w:t>(that is, a combination of income and variety seeking effects)</w:t>
      </w:r>
      <w:r w:rsidR="00034B7C" w:rsidRPr="00D14CD7">
        <w:rPr>
          <w:color w:val="000000" w:themeColor="text1"/>
        </w:rPr>
        <w:t xml:space="preserve"> in our linked model</w:t>
      </w:r>
      <w:r w:rsidR="00261B43" w:rsidRPr="00D14CD7">
        <w:rPr>
          <w:color w:val="000000" w:themeColor="text1"/>
        </w:rPr>
        <w:t>, all these variables lead to an overall increase in total eat-out</w:t>
      </w:r>
      <w:r w:rsidR="00FC630C" w:rsidRPr="00D14CD7">
        <w:rPr>
          <w:color w:val="000000" w:themeColor="text1"/>
        </w:rPr>
        <w:t xml:space="preserve"> count</w:t>
      </w:r>
      <w:r w:rsidR="00261B43" w:rsidRPr="00D14CD7">
        <w:rPr>
          <w:color w:val="000000" w:themeColor="text1"/>
        </w:rPr>
        <w:t xml:space="preserve"> too.</w:t>
      </w:r>
      <w:r w:rsidR="00034B7C" w:rsidRPr="00D14CD7">
        <w:rPr>
          <w:color w:val="000000" w:themeColor="text1"/>
        </w:rPr>
        <w:t xml:space="preserve"> Besides, </w:t>
      </w:r>
      <w:r w:rsidR="00C64E12" w:rsidRPr="00D14CD7">
        <w:rPr>
          <w:color w:val="000000" w:themeColor="text1"/>
        </w:rPr>
        <w:t xml:space="preserve">our </w:t>
      </w:r>
      <w:r w:rsidR="00034B7C" w:rsidRPr="00D14CD7">
        <w:rPr>
          <w:color w:val="000000" w:themeColor="text1"/>
        </w:rPr>
        <w:t xml:space="preserve">linked model also increases the eat-outs at some other restaurant segments. For example, consider the effect of </w:t>
      </w:r>
      <w:r w:rsidR="00EC3FCD" w:rsidRPr="00D14CD7">
        <w:rPr>
          <w:color w:val="000000" w:themeColor="text1"/>
        </w:rPr>
        <w:t xml:space="preserve">being full-time </w:t>
      </w:r>
      <w:r w:rsidR="00034B7C" w:rsidRPr="00D14CD7">
        <w:rPr>
          <w:color w:val="000000" w:themeColor="text1"/>
        </w:rPr>
        <w:t xml:space="preserve">employed and working from home </w:t>
      </w:r>
      <w:r w:rsidR="00FC630C" w:rsidRPr="00D14CD7">
        <w:rPr>
          <w:color w:val="000000" w:themeColor="text1"/>
        </w:rPr>
        <w:t>every day</w:t>
      </w:r>
      <w:r w:rsidR="00034B7C" w:rsidRPr="00D14CD7">
        <w:rPr>
          <w:color w:val="000000" w:themeColor="text1"/>
        </w:rPr>
        <w:t xml:space="preserve"> (versus being unemployed). This increases the </w:t>
      </w:r>
      <w:r w:rsidR="00EC3FCD" w:rsidRPr="00D14CD7">
        <w:rPr>
          <w:color w:val="000000" w:themeColor="text1"/>
        </w:rPr>
        <w:t xml:space="preserve">fractions of QSR/CH eat-outs and the total eat-outs, but also increases patronage at the CSR </w:t>
      </w:r>
      <w:r w:rsidR="00C64E12" w:rsidRPr="00D14CD7">
        <w:rPr>
          <w:color w:val="000000" w:themeColor="text1"/>
        </w:rPr>
        <w:t xml:space="preserve">(12.1% increase) </w:t>
      </w:r>
      <w:r w:rsidR="00EC3FCD" w:rsidRPr="00D14CD7">
        <w:rPr>
          <w:color w:val="000000" w:themeColor="text1"/>
        </w:rPr>
        <w:t xml:space="preserve">and FSR </w:t>
      </w:r>
      <w:r w:rsidR="00C64E12" w:rsidRPr="00D14CD7">
        <w:rPr>
          <w:color w:val="000000" w:themeColor="text1"/>
        </w:rPr>
        <w:t xml:space="preserve">(2.7% increase) </w:t>
      </w:r>
      <w:r w:rsidR="00EC3FCD" w:rsidRPr="00D14CD7">
        <w:rPr>
          <w:color w:val="000000" w:themeColor="text1"/>
        </w:rPr>
        <w:t>segments because of the increase</w:t>
      </w:r>
      <w:r w:rsidR="00C64E12" w:rsidRPr="00D14CD7">
        <w:rPr>
          <w:color w:val="000000" w:themeColor="text1"/>
        </w:rPr>
        <w:t>d</w:t>
      </w:r>
      <w:r w:rsidR="00EC3FCD" w:rsidRPr="00D14CD7">
        <w:rPr>
          <w:color w:val="000000" w:themeColor="text1"/>
        </w:rPr>
        <w:t xml:space="preserve"> total eat-outs</w:t>
      </w:r>
      <w:r w:rsidR="0021354A" w:rsidRPr="00D14CD7">
        <w:rPr>
          <w:color w:val="000000" w:themeColor="text1"/>
        </w:rPr>
        <w:t xml:space="preserve"> (see the last two entries in the final row of </w:t>
      </w:r>
      <w:r w:rsidR="00BE151D" w:rsidRPr="00D14CD7">
        <w:rPr>
          <w:color w:val="000000" w:themeColor="text1"/>
        </w:rPr>
        <w:t>Table 9</w:t>
      </w:r>
      <w:r w:rsidR="0021354A" w:rsidRPr="00D14CD7">
        <w:rPr>
          <w:color w:val="000000" w:themeColor="text1"/>
        </w:rPr>
        <w:t>)</w:t>
      </w:r>
      <w:r w:rsidR="00EC3FCD" w:rsidRPr="00D14CD7">
        <w:rPr>
          <w:color w:val="000000" w:themeColor="text1"/>
        </w:rPr>
        <w:t xml:space="preserve">. </w:t>
      </w:r>
      <w:r w:rsidR="00702501" w:rsidRPr="00D14CD7">
        <w:rPr>
          <w:color w:val="000000" w:themeColor="text1"/>
        </w:rPr>
        <w:t xml:space="preserve">On the other hand, the unlinked model necessarily (and incorrectly) estimates that full-time employees working from home every day, while having a higher fraction than their peers of QSR/CH eat-outs, also reduce their patronage of CSR and FSR restaurant segments. </w:t>
      </w:r>
      <w:r w:rsidR="00DB30EA" w:rsidRPr="00D14CD7">
        <w:rPr>
          <w:color w:val="000000" w:themeColor="text1"/>
        </w:rPr>
        <w:t>This shows the kind of comple</w:t>
      </w:r>
      <w:r w:rsidR="005D5527" w:rsidRPr="00D14CD7">
        <w:rPr>
          <w:color w:val="000000" w:themeColor="text1"/>
        </w:rPr>
        <w:t>men</w:t>
      </w:r>
      <w:r w:rsidR="00DB30EA" w:rsidRPr="00D14CD7">
        <w:rPr>
          <w:color w:val="000000" w:themeColor="text1"/>
        </w:rPr>
        <w:t xml:space="preserve">tary effects across restaurant segments that are possible in our linked model, rather than the strictly substitutive relationship that would be imposed by a more naïve unlinked model. </w:t>
      </w:r>
    </w:p>
    <w:bookmarkEnd w:id="54"/>
    <w:p w14:paraId="415C9F4B" w14:textId="77777777" w:rsidR="007E2CED" w:rsidRPr="00D14CD7" w:rsidRDefault="007E2CED" w:rsidP="007E2CED">
      <w:pPr>
        <w:spacing w:after="0" w:line="240" w:lineRule="auto"/>
        <w:ind w:firstLine="720"/>
        <w:rPr>
          <w:color w:val="000000" w:themeColor="text1"/>
        </w:rPr>
      </w:pPr>
    </w:p>
    <w:p w14:paraId="7A05E82B" w14:textId="607CA577" w:rsidR="00DB5B14" w:rsidRPr="00D14CD7" w:rsidRDefault="004319C0" w:rsidP="007E2CED">
      <w:pPr>
        <w:pStyle w:val="Heading2"/>
        <w:spacing w:before="0" w:after="0" w:line="240" w:lineRule="auto"/>
        <w:rPr>
          <w:color w:val="000000" w:themeColor="text1"/>
        </w:rPr>
      </w:pPr>
      <w:r w:rsidRPr="00D14CD7">
        <w:rPr>
          <w:color w:val="000000" w:themeColor="text1"/>
        </w:rPr>
        <w:t xml:space="preserve"> </w:t>
      </w:r>
      <w:r w:rsidR="00DB5B14" w:rsidRPr="00D14CD7">
        <w:rPr>
          <w:color w:val="000000" w:themeColor="text1"/>
        </w:rPr>
        <w:t>Implications</w:t>
      </w:r>
    </w:p>
    <w:p w14:paraId="496ED811" w14:textId="77777777" w:rsidR="004C60DA" w:rsidRPr="00D14CD7" w:rsidRDefault="004C60DA" w:rsidP="00C46E32">
      <w:pPr>
        <w:spacing w:after="0" w:line="240" w:lineRule="auto"/>
        <w:rPr>
          <w:color w:val="000000" w:themeColor="text1"/>
        </w:rPr>
      </w:pPr>
      <w:r w:rsidRPr="00D14CD7">
        <w:rPr>
          <w:color w:val="000000" w:themeColor="text1"/>
        </w:rPr>
        <w:t xml:space="preserve">The ATE results point to several important implications, emphasizing the multidisciplinary nature of eating-out behavior and revealing the intricate interplay between transportation systems, urban planning, public health, and social equity. </w:t>
      </w:r>
    </w:p>
    <w:p w14:paraId="525FCEA5" w14:textId="4E0B72D4" w:rsidR="00086A63" w:rsidRPr="00D14CD7" w:rsidRDefault="00D33A74" w:rsidP="004C60DA">
      <w:pPr>
        <w:spacing w:after="0" w:line="240" w:lineRule="auto"/>
        <w:ind w:firstLine="720"/>
        <w:rPr>
          <w:color w:val="000000" w:themeColor="text1"/>
        </w:rPr>
      </w:pPr>
      <w:r w:rsidRPr="00D14CD7">
        <w:rPr>
          <w:color w:val="000000" w:themeColor="text1"/>
          <w:u w:val="single"/>
        </w:rPr>
        <w:t>First</w:t>
      </w:r>
      <w:r w:rsidRPr="00D14CD7">
        <w:rPr>
          <w:color w:val="000000" w:themeColor="text1"/>
        </w:rPr>
        <w:t xml:space="preserve">, </w:t>
      </w:r>
      <w:r w:rsidR="0080453F" w:rsidRPr="00D14CD7">
        <w:rPr>
          <w:color w:val="000000" w:themeColor="text1"/>
        </w:rPr>
        <w:t xml:space="preserve">there is no substantial difference in total eat-outs based on age, though there are clear </w:t>
      </w:r>
      <w:r w:rsidR="00847621" w:rsidRPr="00D14CD7">
        <w:rPr>
          <w:color w:val="000000" w:themeColor="text1"/>
        </w:rPr>
        <w:t>age effect</w:t>
      </w:r>
      <w:r w:rsidR="0080453F" w:rsidRPr="00D14CD7">
        <w:rPr>
          <w:color w:val="000000" w:themeColor="text1"/>
        </w:rPr>
        <w:t>s</w:t>
      </w:r>
      <w:r w:rsidR="00847621" w:rsidRPr="00D14CD7">
        <w:rPr>
          <w:color w:val="000000" w:themeColor="text1"/>
        </w:rPr>
        <w:t xml:space="preserve"> </w:t>
      </w:r>
      <w:r w:rsidR="0080453F" w:rsidRPr="00D14CD7">
        <w:rPr>
          <w:color w:val="000000" w:themeColor="text1"/>
        </w:rPr>
        <w:t xml:space="preserve">based on restaurant segments, with elevated visits to QSRs and CHs among young individuals relative to their older counterparts. This does suggest lower vehicle miles of travel among the younger individuals (because QSRs and CHs are closer to places of residence than CSRs and FSRs), but also does not portend too well from a public health standpoint, given the typically low nutrient value of foods and snacks at QSRs and CHs relative to CSRs and FSRs. </w:t>
      </w:r>
      <w:r w:rsidR="00006304" w:rsidRPr="00D14CD7">
        <w:rPr>
          <w:color w:val="000000" w:themeColor="text1"/>
        </w:rPr>
        <w:t xml:space="preserve">While reduced vehicle miles align with transportation sustainability goals, the increased consumption of less nutritious food </w:t>
      </w:r>
      <w:r w:rsidR="00E1620D" w:rsidRPr="00D14CD7">
        <w:rPr>
          <w:color w:val="000000" w:themeColor="text1"/>
        </w:rPr>
        <w:t xml:space="preserve">conflicts with </w:t>
      </w:r>
      <w:r w:rsidR="00006304" w:rsidRPr="00D14CD7">
        <w:rPr>
          <w:color w:val="000000" w:themeColor="text1"/>
        </w:rPr>
        <w:t xml:space="preserve">public health objectives. Policymakers must navigate this trade-off, potentially by incentivizing healthier options at QSRs and CHs or improving public transit or active transportation mode access to CSRs and FSRs. Additionally, public health </w:t>
      </w:r>
      <w:r w:rsidR="00BD5BF9" w:rsidRPr="00D14CD7">
        <w:rPr>
          <w:color w:val="000000" w:themeColor="text1"/>
        </w:rPr>
        <w:t xml:space="preserve">policy efforts </w:t>
      </w:r>
      <w:r w:rsidR="00006304" w:rsidRPr="00D14CD7">
        <w:rPr>
          <w:color w:val="000000" w:themeColor="text1"/>
        </w:rPr>
        <w:t>need</w:t>
      </w:r>
      <w:r w:rsidR="00BD5BF9" w:rsidRPr="00D14CD7">
        <w:rPr>
          <w:color w:val="000000" w:themeColor="text1"/>
        </w:rPr>
        <w:t xml:space="preserve"> </w:t>
      </w:r>
      <w:r w:rsidR="00006304" w:rsidRPr="00D14CD7">
        <w:rPr>
          <w:color w:val="000000" w:themeColor="text1"/>
        </w:rPr>
        <w:t xml:space="preserve">to </w:t>
      </w:r>
      <w:r w:rsidR="00BD5BF9" w:rsidRPr="00D14CD7">
        <w:rPr>
          <w:color w:val="000000" w:themeColor="text1"/>
        </w:rPr>
        <w:t>highlight the strong connection between healthy eating and healthy living among this younger adult group are warranted. Also, nutritional programming and education at high schools and even earlier for the upcoming generation of adults would be beneficial and can put a stop to the inter-generational poor meal sourcing domino effect.</w:t>
      </w:r>
    </w:p>
    <w:p w14:paraId="23226B00" w14:textId="3E6AE750" w:rsidR="00006304" w:rsidRPr="00D14CD7" w:rsidRDefault="00BD5BF9" w:rsidP="004C60DA">
      <w:pPr>
        <w:spacing w:after="0" w:line="240" w:lineRule="auto"/>
        <w:ind w:firstLine="720"/>
        <w:rPr>
          <w:color w:val="000000" w:themeColor="text1"/>
        </w:rPr>
      </w:pPr>
      <w:r w:rsidRPr="00D14CD7">
        <w:rPr>
          <w:color w:val="000000" w:themeColor="text1"/>
        </w:rPr>
        <w:t xml:space="preserve"> </w:t>
      </w:r>
      <w:r w:rsidR="0080453F" w:rsidRPr="00D14CD7">
        <w:rPr>
          <w:color w:val="000000" w:themeColor="text1"/>
          <w:u w:val="single"/>
        </w:rPr>
        <w:t>Second,</w:t>
      </w:r>
      <w:r w:rsidR="0080453F" w:rsidRPr="00D14CD7">
        <w:rPr>
          <w:color w:val="000000" w:themeColor="text1"/>
        </w:rPr>
        <w:t xml:space="preserve"> there are </w:t>
      </w:r>
      <w:r w:rsidR="00D33A74" w:rsidRPr="00D14CD7">
        <w:rPr>
          <w:color w:val="000000" w:themeColor="text1"/>
        </w:rPr>
        <w:t>strong racial disparities in the total eat-outs and CSR eat-outs</w:t>
      </w:r>
      <w:r w:rsidR="002E53AB" w:rsidRPr="00D14CD7">
        <w:rPr>
          <w:color w:val="000000" w:themeColor="text1"/>
        </w:rPr>
        <w:t xml:space="preserve">, as can be observed from the last column panel of </w:t>
      </w:r>
      <w:r w:rsidR="00BE151D" w:rsidRPr="00D14CD7">
        <w:rPr>
          <w:color w:val="000000" w:themeColor="text1"/>
        </w:rPr>
        <w:t>Table 9</w:t>
      </w:r>
      <w:r w:rsidR="002E53AB" w:rsidRPr="00D14CD7">
        <w:rPr>
          <w:color w:val="000000" w:themeColor="text1"/>
        </w:rPr>
        <w:t xml:space="preserve">. </w:t>
      </w:r>
      <w:r w:rsidR="00D33A74" w:rsidRPr="00D14CD7">
        <w:rPr>
          <w:color w:val="000000" w:themeColor="text1"/>
        </w:rPr>
        <w:t>But</w:t>
      </w:r>
      <w:r w:rsidR="002E53AB" w:rsidRPr="00D14CD7">
        <w:rPr>
          <w:color w:val="000000" w:themeColor="text1"/>
        </w:rPr>
        <w:t xml:space="preserve">, interestingly, the relative proportions of the allocation of eat-outs to different restaurant segments </w:t>
      </w:r>
      <w:r w:rsidR="00FC630C" w:rsidRPr="00D14CD7">
        <w:rPr>
          <w:color w:val="000000" w:themeColor="text1"/>
        </w:rPr>
        <w:t>are</w:t>
      </w:r>
      <w:r w:rsidR="002E53AB" w:rsidRPr="00D14CD7">
        <w:rPr>
          <w:color w:val="000000" w:themeColor="text1"/>
        </w:rPr>
        <w:t xml:space="preserve"> affected by the walkability of the area (even though the ATEs in the last column panel do not show much variation between high and low walkability areas based on race).</w:t>
      </w:r>
      <w:r w:rsidR="00FC630C" w:rsidRPr="00D14CD7">
        <w:rPr>
          <w:color w:val="000000" w:themeColor="text1"/>
        </w:rPr>
        <w:t xml:space="preserve"> </w:t>
      </w:r>
      <w:r w:rsidR="00C56029" w:rsidRPr="00D14CD7">
        <w:rPr>
          <w:color w:val="000000" w:themeColor="text1"/>
        </w:rPr>
        <w:t xml:space="preserve">In less walkable built environments, individuals of color allocate </w:t>
      </w:r>
      <w:r w:rsidR="00C56029" w:rsidRPr="00D14CD7">
        <w:rPr>
          <w:color w:val="000000" w:themeColor="text1"/>
        </w:rPr>
        <w:lastRenderedPageBreak/>
        <w:t>2</w:t>
      </w:r>
      <w:r w:rsidR="00A3174B" w:rsidRPr="00D14CD7">
        <w:rPr>
          <w:color w:val="000000" w:themeColor="text1"/>
        </w:rPr>
        <w:t>7</w:t>
      </w:r>
      <w:r w:rsidR="00C56029" w:rsidRPr="00D14CD7">
        <w:rPr>
          <w:color w:val="000000" w:themeColor="text1"/>
        </w:rPr>
        <w:t>.</w:t>
      </w:r>
      <w:r w:rsidR="00A3174B" w:rsidRPr="00D14CD7">
        <w:rPr>
          <w:color w:val="000000" w:themeColor="text1"/>
        </w:rPr>
        <w:t>4</w:t>
      </w:r>
      <w:r w:rsidR="00C56029" w:rsidRPr="00D14CD7">
        <w:rPr>
          <w:color w:val="000000" w:themeColor="text1"/>
        </w:rPr>
        <w:t>% of their restaurant visits to QSR</w:t>
      </w:r>
      <w:r w:rsidR="002E53AB" w:rsidRPr="00D14CD7">
        <w:rPr>
          <w:color w:val="000000" w:themeColor="text1"/>
        </w:rPr>
        <w:t>s and 45.0% to CSRs, while, in high walkable built environments, individuals of color allocate a reduced 20.9% to QSRs and an increased 49.6% to CSRs</w:t>
      </w:r>
      <w:r w:rsidR="00FC630C" w:rsidRPr="00D14CD7">
        <w:rPr>
          <w:color w:val="000000" w:themeColor="text1"/>
        </w:rPr>
        <w:t>.</w:t>
      </w:r>
      <w:r w:rsidR="0018383E" w:rsidRPr="00D14CD7">
        <w:rPr>
          <w:color w:val="000000" w:themeColor="text1"/>
        </w:rPr>
        <w:t xml:space="preserve"> </w:t>
      </w:r>
      <w:r w:rsidR="00C56029" w:rsidRPr="00D14CD7">
        <w:rPr>
          <w:color w:val="000000" w:themeColor="text1"/>
        </w:rPr>
        <w:t xml:space="preserve">Overall, the findings consistently validate that individuals of color exhibit lower rates of eating out, </w:t>
      </w:r>
      <w:r w:rsidR="0018383E" w:rsidRPr="00D14CD7">
        <w:rPr>
          <w:color w:val="000000" w:themeColor="text1"/>
        </w:rPr>
        <w:t xml:space="preserve">but also reflect </w:t>
      </w:r>
      <w:r w:rsidR="00C56029" w:rsidRPr="00D14CD7">
        <w:rPr>
          <w:color w:val="000000" w:themeColor="text1"/>
        </w:rPr>
        <w:t>a higher propensity for consuming</w:t>
      </w:r>
      <w:r w:rsidR="00BF42B1" w:rsidRPr="00D14CD7">
        <w:rPr>
          <w:color w:val="000000" w:themeColor="text1"/>
        </w:rPr>
        <w:t xml:space="preserve"> relatively</w:t>
      </w:r>
      <w:r w:rsidR="00C56029" w:rsidRPr="00D14CD7">
        <w:rPr>
          <w:color w:val="000000" w:themeColor="text1"/>
        </w:rPr>
        <w:t xml:space="preserve"> unhealthy fast food. </w:t>
      </w:r>
      <w:r w:rsidR="002E53AB" w:rsidRPr="00D14CD7">
        <w:rPr>
          <w:color w:val="000000" w:themeColor="text1"/>
        </w:rPr>
        <w:t>While this may imply fewer trips generated from a travel perspective as the US population continues to diversify, it also portends a</w:t>
      </w:r>
      <w:r w:rsidR="00BF42B1" w:rsidRPr="00D14CD7">
        <w:rPr>
          <w:color w:val="000000" w:themeColor="text1"/>
        </w:rPr>
        <w:t xml:space="preserve"> widening health disparity gap based on race</w:t>
      </w:r>
      <w:r w:rsidR="005D5527" w:rsidRPr="00D14CD7">
        <w:rPr>
          <w:color w:val="000000" w:themeColor="text1"/>
        </w:rPr>
        <w:t>,</w:t>
      </w:r>
      <w:r w:rsidR="00BF42B1" w:rsidRPr="00D14CD7">
        <w:rPr>
          <w:color w:val="000000" w:themeColor="text1"/>
        </w:rPr>
        <w:t xml:space="preserve"> as well as</w:t>
      </w:r>
      <w:r w:rsidR="00A6161D" w:rsidRPr="00D14CD7">
        <w:rPr>
          <w:color w:val="000000" w:themeColor="text1"/>
        </w:rPr>
        <w:t xml:space="preserve"> an unhealthier </w:t>
      </w:r>
      <w:r w:rsidR="00BF42B1" w:rsidRPr="00D14CD7">
        <w:rPr>
          <w:color w:val="000000" w:themeColor="text1"/>
        </w:rPr>
        <w:t>population</w:t>
      </w:r>
      <w:r w:rsidR="005D5527" w:rsidRPr="00D14CD7">
        <w:rPr>
          <w:color w:val="000000" w:themeColor="text1"/>
        </w:rPr>
        <w:t>,</w:t>
      </w:r>
      <w:r w:rsidR="00BF42B1" w:rsidRPr="00D14CD7">
        <w:rPr>
          <w:color w:val="000000" w:themeColor="text1"/>
        </w:rPr>
        <w:t xml:space="preserve"> </w:t>
      </w:r>
      <w:r w:rsidR="005D5527" w:rsidRPr="00D14CD7">
        <w:rPr>
          <w:color w:val="000000" w:themeColor="text1"/>
        </w:rPr>
        <w:t xml:space="preserve">unless appropriate interventions are designed and implemented </w:t>
      </w:r>
      <w:r w:rsidR="00BF42B1" w:rsidRPr="00D14CD7">
        <w:rPr>
          <w:color w:val="000000" w:themeColor="text1"/>
        </w:rPr>
        <w:t xml:space="preserve">(note that the ATEs in the last column of </w:t>
      </w:r>
      <w:r w:rsidR="00BE151D" w:rsidRPr="00D14CD7">
        <w:rPr>
          <w:color w:val="000000" w:themeColor="text1"/>
        </w:rPr>
        <w:t>Table 9</w:t>
      </w:r>
      <w:r w:rsidR="00BF42B1" w:rsidRPr="00D14CD7">
        <w:rPr>
          <w:color w:val="000000" w:themeColor="text1"/>
        </w:rPr>
        <w:t xml:space="preserve"> are consistently higher for the QSR and CH segments among people of color relative to white individuals). </w:t>
      </w:r>
      <w:r w:rsidR="00A6161D" w:rsidRPr="00D14CD7">
        <w:rPr>
          <w:color w:val="000000" w:themeColor="text1"/>
        </w:rPr>
        <w:t>For instance</w:t>
      </w:r>
      <w:r w:rsidR="00C56029" w:rsidRPr="00D14CD7">
        <w:rPr>
          <w:color w:val="000000" w:themeColor="text1"/>
        </w:rPr>
        <w:t xml:space="preserve">, the presence of enhanced walkability fosters an inclusive and diverse dining environment, effectively </w:t>
      </w:r>
      <w:r w:rsidR="00BF42B1" w:rsidRPr="00D14CD7">
        <w:rPr>
          <w:color w:val="000000" w:themeColor="text1"/>
        </w:rPr>
        <w:t xml:space="preserve">reducing the health disparity gap based on race. This suggests that building walkable environments not only has transportation and active lifestyle-based public health benefits but can also help a more equitable playing field in terms of </w:t>
      </w:r>
      <w:r w:rsidR="0080453F" w:rsidRPr="00D14CD7">
        <w:rPr>
          <w:color w:val="000000" w:themeColor="text1"/>
        </w:rPr>
        <w:t xml:space="preserve">the nutrient quality of </w:t>
      </w:r>
      <w:r w:rsidR="00BF42B1" w:rsidRPr="00D14CD7">
        <w:rPr>
          <w:color w:val="000000" w:themeColor="text1"/>
        </w:rPr>
        <w:t>food consumption.</w:t>
      </w:r>
      <w:r w:rsidR="00013492" w:rsidRPr="00D14CD7">
        <w:rPr>
          <w:color w:val="000000" w:themeColor="text1"/>
        </w:rPr>
        <w:t xml:space="preserve"> By advocating and prioritizing walkable environments, policymakers can stimulate a diverse culinary ecosystem, promote healthier dining practices, and mitigate racial disparities tied to the distribution of visits to healthier dining establishments. </w:t>
      </w:r>
      <w:r w:rsidR="00E1620D" w:rsidRPr="00D14CD7">
        <w:rPr>
          <w:color w:val="000000" w:themeColor="text1"/>
        </w:rPr>
        <w:t xml:space="preserve">In this regard, future studies should focus on the effect of studying specific urban design features that promote walkability, such as safe pedestrian crossings, well-lit streets, and attractive walking routes. </w:t>
      </w:r>
      <w:r w:rsidR="0001668B" w:rsidRPr="00D14CD7">
        <w:rPr>
          <w:color w:val="000000" w:themeColor="text1"/>
        </w:rPr>
        <w:t xml:space="preserve">Also, policymakers </w:t>
      </w:r>
      <w:r w:rsidR="003A253F" w:rsidRPr="00D14CD7">
        <w:rPr>
          <w:color w:val="000000" w:themeColor="text1"/>
        </w:rPr>
        <w:t xml:space="preserve">can further </w:t>
      </w:r>
      <w:r w:rsidR="0001668B" w:rsidRPr="00D14CD7">
        <w:rPr>
          <w:color w:val="000000" w:themeColor="text1"/>
        </w:rPr>
        <w:t xml:space="preserve">promote healthy diets and better access to ingredients for healthier meal preparation </w:t>
      </w:r>
      <w:r w:rsidRPr="00D14CD7">
        <w:rPr>
          <w:color w:val="000000" w:themeColor="text1"/>
        </w:rPr>
        <w:t xml:space="preserve">by launching free diet and nutrition clinics </w:t>
      </w:r>
      <w:r w:rsidR="0001668B" w:rsidRPr="00D14CD7">
        <w:rPr>
          <w:color w:val="000000" w:themeColor="text1"/>
        </w:rPr>
        <w:t xml:space="preserve">that </w:t>
      </w:r>
      <w:r w:rsidRPr="00D14CD7">
        <w:rPr>
          <w:color w:val="000000" w:themeColor="text1"/>
        </w:rPr>
        <w:t>provid</w:t>
      </w:r>
      <w:r w:rsidR="0001668B" w:rsidRPr="00D14CD7">
        <w:rPr>
          <w:color w:val="000000" w:themeColor="text1"/>
        </w:rPr>
        <w:t>e</w:t>
      </w:r>
      <w:r w:rsidRPr="00D14CD7">
        <w:rPr>
          <w:color w:val="000000" w:themeColor="text1"/>
        </w:rPr>
        <w:t xml:space="preserve"> nutritional education, resources, and personalized guidance. </w:t>
      </w:r>
    </w:p>
    <w:p w14:paraId="5F6CF3D7" w14:textId="77777777" w:rsidR="00A54350" w:rsidRPr="00D14CD7" w:rsidRDefault="003A253F" w:rsidP="004C60DA">
      <w:pPr>
        <w:spacing w:after="0" w:line="240" w:lineRule="auto"/>
        <w:ind w:firstLine="720"/>
        <w:rPr>
          <w:color w:val="000000" w:themeColor="text1"/>
        </w:rPr>
      </w:pPr>
      <w:r w:rsidRPr="00D14CD7">
        <w:rPr>
          <w:color w:val="000000" w:themeColor="text1"/>
          <w:u w:val="single"/>
        </w:rPr>
        <w:t>Third</w:t>
      </w:r>
      <w:r w:rsidR="00BF42B1" w:rsidRPr="00D14CD7">
        <w:rPr>
          <w:color w:val="000000" w:themeColor="text1"/>
        </w:rPr>
        <w:t>, i</w:t>
      </w:r>
      <w:r w:rsidR="00C56029" w:rsidRPr="00D14CD7">
        <w:rPr>
          <w:color w:val="000000" w:themeColor="text1"/>
        </w:rPr>
        <w:t>ncome appears to be the strongest determinant of eating out behavior and preference as evident from the high ATE values associated with both the overall frequency of dining out and the distribution of visits across various restaurant segments</w:t>
      </w:r>
      <w:r w:rsidR="00BF42B1" w:rsidRPr="00D14CD7">
        <w:rPr>
          <w:color w:val="000000" w:themeColor="text1"/>
        </w:rPr>
        <w:t xml:space="preserve"> (especially in the CSR and FSR segments)</w:t>
      </w:r>
      <w:r w:rsidR="00C56029" w:rsidRPr="00D14CD7">
        <w:rPr>
          <w:color w:val="000000" w:themeColor="text1"/>
        </w:rPr>
        <w:t>. These findings highlight the profound influence of income disparities on eating behaviors, with individuals in lower income brackets displaying a significantly greater reliance on the unhealthy meal options provided by QSRs</w:t>
      </w:r>
      <w:r w:rsidR="00BF42B1" w:rsidRPr="00D14CD7">
        <w:rPr>
          <w:color w:val="000000" w:themeColor="text1"/>
        </w:rPr>
        <w:t xml:space="preserve"> (20.1% of eat-outs are allocated to QSRs among low income individuals, relative to 11.3% for high income individuals, as can be observed from the </w:t>
      </w:r>
      <w:r w:rsidR="0097296D" w:rsidRPr="00D14CD7">
        <w:rPr>
          <w:color w:val="000000" w:themeColor="text1"/>
        </w:rPr>
        <w:t>“base level” and “treatment level” columns for the income variable)</w:t>
      </w:r>
      <w:r w:rsidR="00C56029" w:rsidRPr="00D14CD7">
        <w:rPr>
          <w:color w:val="000000" w:themeColor="text1"/>
        </w:rPr>
        <w:t>.</w:t>
      </w:r>
      <w:r w:rsidR="00A3174B" w:rsidRPr="00D14CD7">
        <w:rPr>
          <w:color w:val="000000" w:themeColor="text1"/>
        </w:rPr>
        <w:t xml:space="preserve"> </w:t>
      </w:r>
      <w:r w:rsidRPr="00D14CD7">
        <w:rPr>
          <w:color w:val="000000" w:themeColor="text1"/>
        </w:rPr>
        <w:t>This tends to be the case because healthy food options are often more expensive than processed and unhealthy alternatives, causing low-income individuals to prioritize cheaper, calorie-dense, and nutrient-poor foods. Access to affordable, nutritious food options in underserved areas through initiatives such as community gardens and pantries, farmers' markets, and subsidized grocery programs can help promote healthy eating habits among low income individuals.</w:t>
      </w:r>
    </w:p>
    <w:p w14:paraId="7C1AA576" w14:textId="2184F6C9" w:rsidR="00A54350" w:rsidRPr="00D14CD7" w:rsidRDefault="003A253F" w:rsidP="00015031">
      <w:pPr>
        <w:spacing w:after="0" w:line="240" w:lineRule="auto"/>
        <w:ind w:firstLine="720"/>
        <w:rPr>
          <w:color w:val="000000" w:themeColor="text1"/>
        </w:rPr>
      </w:pPr>
      <w:r w:rsidRPr="00D14CD7">
        <w:rPr>
          <w:color w:val="000000" w:themeColor="text1"/>
        </w:rPr>
        <w:t xml:space="preserve"> </w:t>
      </w:r>
      <w:bookmarkStart w:id="55" w:name="_Hlk171261599"/>
      <w:r w:rsidRPr="00D14CD7">
        <w:rPr>
          <w:color w:val="000000" w:themeColor="text1"/>
          <w:u w:val="single"/>
        </w:rPr>
        <w:t>Fourth</w:t>
      </w:r>
      <w:r w:rsidRPr="00D14CD7">
        <w:rPr>
          <w:color w:val="000000" w:themeColor="text1"/>
        </w:rPr>
        <w:t>, a</w:t>
      </w:r>
      <w:r w:rsidR="0097296D" w:rsidRPr="00D14CD7">
        <w:rPr>
          <w:color w:val="000000" w:themeColor="text1"/>
        </w:rPr>
        <w:t>n increase in the number of vehicles (typically correlated with high income) also increases overall eat-out trip-making, though, interestingly, much of this additional trip-making is targeted at QSRs and CHs, with an increase by 85.3% for trips to QSRs and 7</w:t>
      </w:r>
      <w:r w:rsidR="00D74013" w:rsidRPr="00D14CD7">
        <w:rPr>
          <w:color w:val="000000" w:themeColor="text1"/>
        </w:rPr>
        <w:t>3</w:t>
      </w:r>
      <w:r w:rsidR="0097296D" w:rsidRPr="00D14CD7">
        <w:rPr>
          <w:color w:val="000000" w:themeColor="text1"/>
        </w:rPr>
        <w:t>.</w:t>
      </w:r>
      <w:r w:rsidR="00D74013" w:rsidRPr="00D14CD7">
        <w:rPr>
          <w:color w:val="000000" w:themeColor="text1"/>
        </w:rPr>
        <w:t>4</w:t>
      </w:r>
      <w:r w:rsidR="0097296D" w:rsidRPr="00D14CD7">
        <w:rPr>
          <w:color w:val="000000" w:themeColor="text1"/>
        </w:rPr>
        <w:t>%</w:t>
      </w:r>
      <w:r w:rsidR="004E4033" w:rsidRPr="00D14CD7">
        <w:rPr>
          <w:color w:val="000000" w:themeColor="text1"/>
        </w:rPr>
        <w:t xml:space="preserve"> </w:t>
      </w:r>
      <w:r w:rsidR="0097296D" w:rsidRPr="00D14CD7">
        <w:rPr>
          <w:color w:val="000000" w:themeColor="text1"/>
        </w:rPr>
        <w:t xml:space="preserve">to CHs. </w:t>
      </w:r>
      <w:r w:rsidR="00A54350" w:rsidRPr="00D14CD7">
        <w:rPr>
          <w:color w:val="000000" w:themeColor="text1"/>
        </w:rPr>
        <w:t xml:space="preserve">The availability of personal vehicles, a key component of the transportation system, clearly influences not only the frequency of eat-out trips but also the types of restaurants visited. While convenient for car owners, the easy access to drive-throughs and ample parking at QSRs </w:t>
      </w:r>
      <w:r w:rsidR="00E1620D" w:rsidRPr="00D14CD7">
        <w:rPr>
          <w:color w:val="000000" w:themeColor="text1"/>
        </w:rPr>
        <w:t xml:space="preserve">engendered by car availability </w:t>
      </w:r>
      <w:r w:rsidR="00A54350" w:rsidRPr="00D14CD7">
        <w:rPr>
          <w:color w:val="000000" w:themeColor="text1"/>
        </w:rPr>
        <w:t>may contribute to a sedentary lifestyle and poorer dietary choices, potentially leading to increased obesity and related health problems.</w:t>
      </w:r>
      <w:bookmarkEnd w:id="55"/>
      <w:r w:rsidR="00015031">
        <w:rPr>
          <w:color w:val="000000" w:themeColor="text1"/>
        </w:rPr>
        <w:t xml:space="preserve"> </w:t>
      </w:r>
      <w:r w:rsidR="00B112E2" w:rsidRPr="00D14CD7">
        <w:rPr>
          <w:color w:val="000000" w:themeColor="text1"/>
        </w:rPr>
        <w:t>In contrast</w:t>
      </w:r>
      <w:r w:rsidR="00C46E32" w:rsidRPr="00D14CD7">
        <w:rPr>
          <w:color w:val="000000" w:themeColor="text1"/>
        </w:rPr>
        <w:t>, the findings</w:t>
      </w:r>
      <w:r w:rsidR="0097296D" w:rsidRPr="00D14CD7">
        <w:rPr>
          <w:color w:val="000000" w:themeColor="text1"/>
        </w:rPr>
        <w:t xml:space="preserve"> emphasize the potential benefits of having a walkable environment, and promoting walking as a transportation mode across all individuals, which can not only have a direct walkability-based benefit to transportation and public health as discussed earlier, but also an indirect benefit </w:t>
      </w:r>
      <w:r w:rsidR="00847621" w:rsidRPr="00D14CD7">
        <w:rPr>
          <w:color w:val="000000" w:themeColor="text1"/>
        </w:rPr>
        <w:t xml:space="preserve">to both transportation and public health </w:t>
      </w:r>
      <w:r w:rsidR="0097296D" w:rsidRPr="00D14CD7">
        <w:rPr>
          <w:color w:val="000000" w:themeColor="text1"/>
        </w:rPr>
        <w:t>through a reduced vehicle ownership effect</w:t>
      </w:r>
      <w:r w:rsidR="00847621" w:rsidRPr="00D14CD7">
        <w:rPr>
          <w:color w:val="000000" w:themeColor="text1"/>
        </w:rPr>
        <w:t>. The close linkage between transportation</w:t>
      </w:r>
      <w:r w:rsidR="00C46E32" w:rsidRPr="00D14CD7">
        <w:rPr>
          <w:color w:val="000000" w:themeColor="text1"/>
        </w:rPr>
        <w:t xml:space="preserve">, urban design, </w:t>
      </w:r>
      <w:r w:rsidR="00847621" w:rsidRPr="00D14CD7">
        <w:rPr>
          <w:color w:val="000000" w:themeColor="text1"/>
        </w:rPr>
        <w:t>and public health brough</w:t>
      </w:r>
      <w:r w:rsidR="00FC630C" w:rsidRPr="00D14CD7">
        <w:rPr>
          <w:color w:val="000000" w:themeColor="text1"/>
        </w:rPr>
        <w:t>t</w:t>
      </w:r>
      <w:r w:rsidR="00847621" w:rsidRPr="00D14CD7">
        <w:rPr>
          <w:color w:val="000000" w:themeColor="text1"/>
        </w:rPr>
        <w:t xml:space="preserve"> about by a walkable environment becomes clear here through </w:t>
      </w:r>
      <w:r w:rsidR="00847621" w:rsidRPr="00D14CD7">
        <w:rPr>
          <w:color w:val="000000" w:themeColor="text1"/>
        </w:rPr>
        <w:lastRenderedPageBreak/>
        <w:t xml:space="preserve">(a) reduced motorized trip-making, (b) a higher level of walking and physical activity, </w:t>
      </w:r>
      <w:r w:rsidR="001C1FE5" w:rsidRPr="00D14CD7">
        <w:rPr>
          <w:color w:val="000000" w:themeColor="text1"/>
        </w:rPr>
        <w:t xml:space="preserve">(c) inexpensive and ready walk mode access to healthy eating environments, </w:t>
      </w:r>
      <w:r w:rsidR="00847621" w:rsidRPr="00D14CD7">
        <w:rPr>
          <w:color w:val="000000" w:themeColor="text1"/>
        </w:rPr>
        <w:t>and (</w:t>
      </w:r>
      <w:r w:rsidR="001C1FE5" w:rsidRPr="00D14CD7">
        <w:rPr>
          <w:color w:val="000000" w:themeColor="text1"/>
        </w:rPr>
        <w:t>d</w:t>
      </w:r>
      <w:r w:rsidR="00847621" w:rsidRPr="00D14CD7">
        <w:rPr>
          <w:color w:val="000000" w:themeColor="text1"/>
        </w:rPr>
        <w:t xml:space="preserve">) a </w:t>
      </w:r>
      <w:r w:rsidR="001C1FE5" w:rsidRPr="00D14CD7">
        <w:rPr>
          <w:color w:val="000000" w:themeColor="text1"/>
        </w:rPr>
        <w:t xml:space="preserve">direct negative effect on </w:t>
      </w:r>
      <w:r w:rsidR="00847621" w:rsidRPr="00D14CD7">
        <w:rPr>
          <w:color w:val="000000" w:themeColor="text1"/>
        </w:rPr>
        <w:t xml:space="preserve">relatively unhealthy food consumption. </w:t>
      </w:r>
      <w:bookmarkStart w:id="56" w:name="_Hlk171261609"/>
      <w:r w:rsidR="003B6FE9" w:rsidRPr="00D14CD7">
        <w:rPr>
          <w:color w:val="000000" w:themeColor="text1"/>
        </w:rPr>
        <w:t xml:space="preserve">Building on these findings, further research is needed to understand the complex relationship between transportation systems and eating-out behavior. Studies on the length of eat-out trips, their spatial-temporal patterns, and the modes of transportation used could provide valuable insights. While our results show increased eat-out trips with higher vehicle ownership, particularly to QSRs and CHs, </w:t>
      </w:r>
      <w:r w:rsidR="00015031">
        <w:rPr>
          <w:color w:val="000000" w:themeColor="text1"/>
        </w:rPr>
        <w:t xml:space="preserve">there is a need in the future to </w:t>
      </w:r>
      <w:r w:rsidR="003B6FE9" w:rsidRPr="00D14CD7">
        <w:rPr>
          <w:color w:val="000000" w:themeColor="text1"/>
        </w:rPr>
        <w:t>examin</w:t>
      </w:r>
      <w:r w:rsidR="00015031">
        <w:rPr>
          <w:color w:val="000000" w:themeColor="text1"/>
        </w:rPr>
        <w:t>e</w:t>
      </w:r>
      <w:r w:rsidR="003B6FE9" w:rsidRPr="00D14CD7">
        <w:rPr>
          <w:color w:val="000000" w:themeColor="text1"/>
        </w:rPr>
        <w:t xml:space="preserve"> how alternative transportation options might influence </w:t>
      </w:r>
      <w:r w:rsidR="00015031">
        <w:rPr>
          <w:color w:val="000000" w:themeColor="text1"/>
        </w:rPr>
        <w:t>eat-out</w:t>
      </w:r>
      <w:r w:rsidR="003B6FE9" w:rsidRPr="00D14CD7">
        <w:rPr>
          <w:color w:val="000000" w:themeColor="text1"/>
        </w:rPr>
        <w:t xml:space="preserve"> patterns</w:t>
      </w:r>
      <w:r w:rsidR="00015031">
        <w:rPr>
          <w:color w:val="000000" w:themeColor="text1"/>
        </w:rPr>
        <w:t>, issues that have not been considered in the current research</w:t>
      </w:r>
      <w:r w:rsidR="003B6FE9" w:rsidRPr="00D14CD7">
        <w:rPr>
          <w:color w:val="000000" w:themeColor="text1"/>
        </w:rPr>
        <w:t xml:space="preserve">. For instance, enhanced public transportation accessibility could counteract the increased visits to QSRs and CHs associated with higher vehicle ownership. </w:t>
      </w:r>
      <w:r w:rsidR="00E1620D" w:rsidRPr="00D14CD7">
        <w:rPr>
          <w:color w:val="000000" w:themeColor="text1"/>
        </w:rPr>
        <w:t>Further</w:t>
      </w:r>
      <w:r w:rsidR="003B6FE9" w:rsidRPr="00D14CD7">
        <w:rPr>
          <w:color w:val="000000" w:themeColor="text1"/>
        </w:rPr>
        <w:t>, the role of ridesharing and micro-mobility services in eat-out trip patterns, especially in areas with high vehicle ownership, merits investigation. Lastly, analyzing how parking availability and costs in different urban contexts impact decisions to dine out could offer additional insights. This could help explain the higher prevalence of QSR and CH visits among vehicle owners and inform strategies to promote healthier eating-out behaviors across different transportation contexts.</w:t>
      </w:r>
      <w:bookmarkEnd w:id="56"/>
      <w:r w:rsidR="003B6FE9" w:rsidRPr="00D14CD7">
        <w:rPr>
          <w:color w:val="000000" w:themeColor="text1"/>
        </w:rPr>
        <w:t xml:space="preserve"> </w:t>
      </w:r>
    </w:p>
    <w:p w14:paraId="659E49EA" w14:textId="06F22291" w:rsidR="00E0605A" w:rsidRPr="00D14CD7" w:rsidRDefault="001C1FE5" w:rsidP="004C60DA">
      <w:pPr>
        <w:spacing w:after="0" w:line="240" w:lineRule="auto"/>
        <w:ind w:firstLine="720"/>
        <w:rPr>
          <w:color w:val="000000" w:themeColor="text1"/>
        </w:rPr>
      </w:pPr>
      <w:r w:rsidRPr="00D14CD7">
        <w:rPr>
          <w:color w:val="000000" w:themeColor="text1"/>
          <w:u w:val="single"/>
        </w:rPr>
        <w:t>Fifth</w:t>
      </w:r>
      <w:r w:rsidR="00847621" w:rsidRPr="00D14CD7">
        <w:rPr>
          <w:color w:val="000000" w:themeColor="text1"/>
        </w:rPr>
        <w:t xml:space="preserve">, </w:t>
      </w:r>
      <w:r w:rsidR="0080453F" w:rsidRPr="00D14CD7">
        <w:rPr>
          <w:color w:val="000000" w:themeColor="text1"/>
        </w:rPr>
        <w:t>t</w:t>
      </w:r>
      <w:r w:rsidR="00C56029" w:rsidRPr="00D14CD7">
        <w:rPr>
          <w:color w:val="000000" w:themeColor="text1"/>
        </w:rPr>
        <w:t>he impact of employment and workplace location on dining habits also deserves attention</w:t>
      </w:r>
      <w:r w:rsidR="0080453F" w:rsidRPr="00D14CD7">
        <w:rPr>
          <w:color w:val="000000" w:themeColor="text1"/>
        </w:rPr>
        <w:t>, especially given the disruption in work location arrangements engendered by the pandemic</w:t>
      </w:r>
      <w:r w:rsidR="00C56029" w:rsidRPr="00D14CD7">
        <w:rPr>
          <w:color w:val="000000" w:themeColor="text1"/>
        </w:rPr>
        <w:t xml:space="preserve">. </w:t>
      </w:r>
      <w:r w:rsidR="0080453F" w:rsidRPr="00D14CD7">
        <w:rPr>
          <w:color w:val="000000" w:themeColor="text1"/>
        </w:rPr>
        <w:t xml:space="preserve">There has been substantial debate in the </w:t>
      </w:r>
      <w:r w:rsidR="00263932" w:rsidRPr="00D14CD7">
        <w:rPr>
          <w:color w:val="000000" w:themeColor="text1"/>
        </w:rPr>
        <w:t xml:space="preserve">transportation </w:t>
      </w:r>
      <w:r w:rsidR="0080453F" w:rsidRPr="00D14CD7">
        <w:rPr>
          <w:color w:val="000000" w:themeColor="text1"/>
        </w:rPr>
        <w:t xml:space="preserve">literature </w:t>
      </w:r>
      <w:r w:rsidR="00FC630C" w:rsidRPr="00D14CD7">
        <w:rPr>
          <w:color w:val="000000" w:themeColor="text1"/>
        </w:rPr>
        <w:t xml:space="preserve">about </w:t>
      </w:r>
      <w:r w:rsidR="0080453F" w:rsidRPr="00D14CD7">
        <w:rPr>
          <w:color w:val="000000" w:themeColor="text1"/>
        </w:rPr>
        <w:t xml:space="preserve">whether teleworking from home </w:t>
      </w:r>
      <w:r w:rsidR="00FC630C" w:rsidRPr="00D14CD7">
        <w:rPr>
          <w:color w:val="000000" w:themeColor="text1"/>
        </w:rPr>
        <w:t xml:space="preserve">for </w:t>
      </w:r>
      <w:r w:rsidR="0080453F" w:rsidRPr="00D14CD7">
        <w:rPr>
          <w:color w:val="000000" w:themeColor="text1"/>
        </w:rPr>
        <w:t xml:space="preserve">a few days will lead to urban sprawl and </w:t>
      </w:r>
      <w:r w:rsidR="00263932" w:rsidRPr="00D14CD7">
        <w:rPr>
          <w:color w:val="000000" w:themeColor="text1"/>
        </w:rPr>
        <w:t>even reduced commute</w:t>
      </w:r>
      <w:r w:rsidR="00DB135C" w:rsidRPr="00D14CD7">
        <w:rPr>
          <w:color w:val="000000" w:themeColor="text1"/>
        </w:rPr>
        <w:t xml:space="preserve"> vehicle miles traveled</w:t>
      </w:r>
      <w:r w:rsidR="00263932" w:rsidRPr="00D14CD7">
        <w:rPr>
          <w:color w:val="000000" w:themeColor="text1"/>
        </w:rPr>
        <w:t xml:space="preserve"> </w:t>
      </w:r>
      <w:r w:rsidR="00DB135C" w:rsidRPr="00D14CD7">
        <w:rPr>
          <w:color w:val="000000" w:themeColor="text1"/>
        </w:rPr>
        <w:t>(</w:t>
      </w:r>
      <w:r w:rsidR="00263932" w:rsidRPr="00D14CD7">
        <w:rPr>
          <w:color w:val="000000" w:themeColor="text1"/>
        </w:rPr>
        <w:t>VMT</w:t>
      </w:r>
      <w:r w:rsidR="00DB135C" w:rsidRPr="00D14CD7">
        <w:rPr>
          <w:color w:val="000000" w:themeColor="text1"/>
        </w:rPr>
        <w:t>)</w:t>
      </w:r>
      <w:r w:rsidR="00263932" w:rsidRPr="00D14CD7">
        <w:rPr>
          <w:color w:val="000000" w:themeColor="text1"/>
        </w:rPr>
        <w:t>. In a recent paper by Asmussen et al. (202</w:t>
      </w:r>
      <w:r w:rsidR="00503602">
        <w:rPr>
          <w:color w:val="000000" w:themeColor="text1"/>
        </w:rPr>
        <w:t>4</w:t>
      </w:r>
      <w:r w:rsidR="00263932" w:rsidRPr="00D14CD7">
        <w:rPr>
          <w:color w:val="000000" w:themeColor="text1"/>
        </w:rPr>
        <w:t>), the authors indicate that, while some sprawl is inevitable as people choose residential locations that are not necessarily proximal to their work location due to the flexibility of teleworking, commute VMT over a period of a month also reduces as long as teleworking is in the order of two days per week or more (</w:t>
      </w:r>
      <w:r w:rsidR="00A73FAD" w:rsidRPr="00D14CD7">
        <w:rPr>
          <w:color w:val="000000" w:themeColor="text1"/>
        </w:rPr>
        <w:t xml:space="preserve">teleworking </w:t>
      </w:r>
      <w:r w:rsidR="00263932" w:rsidRPr="00D14CD7">
        <w:rPr>
          <w:color w:val="000000" w:themeColor="text1"/>
        </w:rPr>
        <w:t xml:space="preserve">one day a week </w:t>
      </w:r>
      <w:r w:rsidR="0021354A" w:rsidRPr="00D14CD7">
        <w:rPr>
          <w:color w:val="000000" w:themeColor="text1"/>
        </w:rPr>
        <w:t xml:space="preserve">or less often </w:t>
      </w:r>
      <w:r w:rsidR="00263932" w:rsidRPr="00D14CD7">
        <w:rPr>
          <w:color w:val="000000" w:themeColor="text1"/>
        </w:rPr>
        <w:t>actually increases commute VMT, based on their analysis, due to the increased commute distance more than making up for the one-day reduction in commuting). The results here suggest that teleworking</w:t>
      </w:r>
      <w:r w:rsidR="00F3695A" w:rsidRPr="00D14CD7">
        <w:rPr>
          <w:color w:val="000000" w:themeColor="text1"/>
        </w:rPr>
        <w:t xml:space="preserve">, especially </w:t>
      </w:r>
      <w:r w:rsidR="00A73FAD" w:rsidRPr="00D14CD7">
        <w:rPr>
          <w:color w:val="000000" w:themeColor="text1"/>
        </w:rPr>
        <w:t xml:space="preserve">at </w:t>
      </w:r>
      <w:r w:rsidR="00F3695A" w:rsidRPr="00D14CD7">
        <w:rPr>
          <w:color w:val="000000" w:themeColor="text1"/>
        </w:rPr>
        <w:t>high levels,</w:t>
      </w:r>
      <w:r w:rsidR="00263932" w:rsidRPr="00D14CD7">
        <w:rPr>
          <w:color w:val="000000" w:themeColor="text1"/>
        </w:rPr>
        <w:t xml:space="preserve"> also has the benefit of reducing non-commute eat-out tr</w:t>
      </w:r>
      <w:r w:rsidR="00F3695A" w:rsidRPr="00D14CD7">
        <w:rPr>
          <w:color w:val="000000" w:themeColor="text1"/>
        </w:rPr>
        <w:t>ip-making</w:t>
      </w:r>
      <w:r w:rsidR="00EA1F7A" w:rsidRPr="00D14CD7">
        <w:rPr>
          <w:color w:val="000000" w:themeColor="text1"/>
        </w:rPr>
        <w:t xml:space="preserve"> (see also </w:t>
      </w:r>
      <w:bookmarkStart w:id="57" w:name="_Hlk141102160"/>
      <w:r w:rsidR="00EA1F7A" w:rsidRPr="00D14CD7">
        <w:rPr>
          <w:color w:val="000000" w:themeColor="text1"/>
        </w:rPr>
        <w:fldChar w:fldCharType="begin"/>
      </w:r>
      <w:r w:rsidR="00FB3566" w:rsidRPr="00D14CD7">
        <w:rPr>
          <w:color w:val="000000" w:themeColor="text1"/>
        </w:rPr>
        <w:instrText xml:space="preserve"> ADDIN ZOTERO_ITEM CSL_CITATION {"citationID":"lYTnMIkl","properties":{"formattedCitation":"(Caldarola &amp; Sorrell, 2022)","plainCitation":"(Caldarola &amp; Sorrell, 2022)","dontUpdate":true,"noteIndex":0},"citationItems":[{"id":1300,"uris":["http://zotero.org/users/9292995/items/DFAB483R"],"itemData":{"id":1300,"type":"article-journal","abstract":"The global pandemic has revived debates about the contribution of teleworking to reducing travel, air pollution and carbon emissions. However, previous research suggests that the availability of teleworking may encourage people to move farther from their place of work, creating the risk that longer commutes will offset the benefits of fewer commutes. In addition, teleworking may encourage additional non-work travel by the teleworker, and/or influence the travel behaviour of other household members. These complex interactions make the overall impacts of teleworking difficult to predict. In this context, we use data from the English National Travel Survey to estimate the impact of teleworking on the travel patterns of English households over the period 2005–2019. We compare the number of trips and distance travelled by teleworkers each week with the number of trips and distance travelled by non-teleworkers, controlling for a range of socio-economic, demographic and regional variables. We estimate the impact of teleworking on travel by purpose (commuting, non-work and business) and by mode (car, public transport and active travel) and investigate the impact on the travel patterns of other household members. Our results provide little support for the claim that teleworking reduces travel. Indeed, after controlling for a range of variables, we find that the majority of English teleworkers travel farther each week than non-teleworkers. This results from a combination of longer commutes and additional non-work travel. There appears to be a ‘tipping point’, however. If people telework three or more times a week, their weekly private travel (commuting + non-work) is less than that of non-teleworkers. We also find that the total weekly travel of all household members is greater in households where one member is teleworking, suggesting the presence of intra-household effects that further erode the benefits of fewer commutes. We additionally find that teleworkers engage in more business travel than non-teleworkers, although the reasons for this association are unclear. We discuss the factors contributing to these results and indicate priorities for further research.","container-title":"Transportation Research Part A: Policy and Practice","DOI":"10.1016/j.tra.2022.03.026","ISSN":"0965-8564","journalAbbreviation":"Transportation Research Part A: Policy and Practice","language":"en","page":"282-303","source":"ScienceDirect","title":"Do teleworkers travel less? Evidence from the English National Travel Survey","title-short":"Do teleworkers travel less?","volume":"159","author":[{"family":"Caldarola","given":"Bernardo"},{"family":"Sorrell","given":"Steve"}],"issued":{"date-parts":[["2022",5,1]]}}}],"schema":"https://github.com/citation-style-language/schema/raw/master/csl-citation.json"} </w:instrText>
      </w:r>
      <w:r w:rsidR="00EA1F7A" w:rsidRPr="00D14CD7">
        <w:rPr>
          <w:color w:val="000000" w:themeColor="text1"/>
        </w:rPr>
        <w:fldChar w:fldCharType="separate"/>
      </w:r>
      <w:r w:rsidR="00EA1F7A" w:rsidRPr="00D14CD7">
        <w:rPr>
          <w:color w:val="000000" w:themeColor="text1"/>
        </w:rPr>
        <w:t>Caldarola and Sorrell, 2022)</w:t>
      </w:r>
      <w:r w:rsidR="00EA1F7A" w:rsidRPr="00D14CD7">
        <w:rPr>
          <w:color w:val="000000" w:themeColor="text1"/>
        </w:rPr>
        <w:fldChar w:fldCharType="end"/>
      </w:r>
      <w:bookmarkEnd w:id="57"/>
      <w:r w:rsidR="00EA1F7A" w:rsidRPr="00D14CD7">
        <w:rPr>
          <w:color w:val="000000" w:themeColor="text1"/>
        </w:rPr>
        <w:t>.</w:t>
      </w:r>
      <w:r w:rsidR="00F3695A" w:rsidRPr="00D14CD7">
        <w:rPr>
          <w:color w:val="000000" w:themeColor="text1"/>
        </w:rPr>
        <w:t xml:space="preserve"> In particular, working from home three days a week </w:t>
      </w:r>
      <w:r w:rsidR="005D5527" w:rsidRPr="00D14CD7">
        <w:rPr>
          <w:color w:val="000000" w:themeColor="text1"/>
        </w:rPr>
        <w:t xml:space="preserve">for workers who work five days a week </w:t>
      </w:r>
      <w:r w:rsidR="00F3695A" w:rsidRPr="00D14CD7">
        <w:rPr>
          <w:color w:val="000000" w:themeColor="text1"/>
        </w:rPr>
        <w:t>(corre</w:t>
      </w:r>
      <w:r w:rsidR="005D5527" w:rsidRPr="00D14CD7">
        <w:rPr>
          <w:color w:val="000000" w:themeColor="text1"/>
        </w:rPr>
        <w:t>s</w:t>
      </w:r>
      <w:r w:rsidR="00F3695A" w:rsidRPr="00D14CD7">
        <w:rPr>
          <w:color w:val="000000" w:themeColor="text1"/>
        </w:rPr>
        <w:t xml:space="preserve">ponding to 60% work from home in the table) cuts down eat-out trip-making </w:t>
      </w:r>
      <w:r w:rsidR="00597E04" w:rsidRPr="00D14CD7">
        <w:rPr>
          <w:color w:val="000000" w:themeColor="text1"/>
        </w:rPr>
        <w:t xml:space="preserve">from an average of 3.83 per capita (for employees working all days from an office) to 3.10 per capita (see the total eat-outs per capita within the treatment column panel), constituting a 19% decrease in eat-out trip-making. This total eat-outs per capita further reduces by 30% for those who work all days from home relative to those who work all days from the office. While teleworking may increase other non-work travel relative to not teleworking, our results do indicate that, at least in the context of </w:t>
      </w:r>
      <w:r w:rsidR="00144794" w:rsidRPr="00D14CD7">
        <w:rPr>
          <w:color w:val="000000" w:themeColor="text1"/>
        </w:rPr>
        <w:t>eating out</w:t>
      </w:r>
      <w:r w:rsidR="00597E04" w:rsidRPr="00D14CD7">
        <w:rPr>
          <w:color w:val="000000" w:themeColor="text1"/>
        </w:rPr>
        <w:t>, there is a net and clear benefit in trip reduction associated with eat-outs</w:t>
      </w:r>
      <w:r w:rsidR="004F35AB" w:rsidRPr="00D14CD7">
        <w:rPr>
          <w:color w:val="000000" w:themeColor="text1"/>
        </w:rPr>
        <w:t xml:space="preserve">. As importantly, the results also indicate that the allocation across the many restaurant segments stays relatively fixed regardless of teleworking or not teleworking (see the percentage allocations across the three employment rows in the treatment level column panel of </w:t>
      </w:r>
      <w:r w:rsidR="00BE151D" w:rsidRPr="00D14CD7">
        <w:rPr>
          <w:color w:val="000000" w:themeColor="text1"/>
        </w:rPr>
        <w:t>Table 9</w:t>
      </w:r>
      <w:r w:rsidR="004F35AB" w:rsidRPr="00D14CD7">
        <w:rPr>
          <w:color w:val="000000" w:themeColor="text1"/>
        </w:rPr>
        <w:t>), suggesting that telework, while having benefits in terms of transportation, do</w:t>
      </w:r>
      <w:r w:rsidR="00962DE4" w:rsidRPr="00D14CD7">
        <w:rPr>
          <w:color w:val="000000" w:themeColor="text1"/>
        </w:rPr>
        <w:t>es</w:t>
      </w:r>
      <w:r w:rsidR="004F35AB" w:rsidRPr="00D14CD7">
        <w:rPr>
          <w:color w:val="000000" w:themeColor="text1"/>
        </w:rPr>
        <w:t xml:space="preserve"> not adversely impact public health considerations in terms of </w:t>
      </w:r>
      <w:r w:rsidR="00144794" w:rsidRPr="00D14CD7">
        <w:rPr>
          <w:color w:val="000000" w:themeColor="text1"/>
        </w:rPr>
        <w:t xml:space="preserve">the </w:t>
      </w:r>
      <w:r w:rsidR="004F35AB" w:rsidRPr="00D14CD7">
        <w:rPr>
          <w:color w:val="000000" w:themeColor="text1"/>
        </w:rPr>
        <w:t xml:space="preserve">nutrient quality of food consumption. </w:t>
      </w:r>
    </w:p>
    <w:p w14:paraId="23D29BB5" w14:textId="409B0CAB" w:rsidR="001B61C7" w:rsidRPr="00D14CD7" w:rsidRDefault="001C1FE5" w:rsidP="004C60DA">
      <w:pPr>
        <w:spacing w:after="0" w:line="240" w:lineRule="auto"/>
        <w:ind w:firstLine="720"/>
        <w:rPr>
          <w:color w:val="000000" w:themeColor="text1"/>
        </w:rPr>
      </w:pPr>
      <w:r w:rsidRPr="00D14CD7">
        <w:rPr>
          <w:color w:val="000000" w:themeColor="text1"/>
          <w:u w:val="single"/>
        </w:rPr>
        <w:t>Sixth</w:t>
      </w:r>
      <w:r w:rsidRPr="00D14CD7">
        <w:rPr>
          <w:color w:val="000000" w:themeColor="text1"/>
        </w:rPr>
        <w:t>, built environment measures (l</w:t>
      </w:r>
      <w:r w:rsidR="00C56029" w:rsidRPr="00D14CD7">
        <w:rPr>
          <w:color w:val="000000" w:themeColor="text1"/>
        </w:rPr>
        <w:t>and-use mix, exposure to QSRs, and restaurant</w:t>
      </w:r>
      <w:r w:rsidR="00013492" w:rsidRPr="00D14CD7">
        <w:rPr>
          <w:color w:val="000000" w:themeColor="text1"/>
        </w:rPr>
        <w:t xml:space="preserve"> density</w:t>
      </w:r>
      <w:r w:rsidRPr="00D14CD7">
        <w:rPr>
          <w:color w:val="000000" w:themeColor="text1"/>
        </w:rPr>
        <w:t>)</w:t>
      </w:r>
      <w:r w:rsidR="00C56029" w:rsidRPr="00D14CD7">
        <w:rPr>
          <w:color w:val="000000" w:themeColor="text1"/>
        </w:rPr>
        <w:t xml:space="preserve"> all play a role in shaping individuals' dining patterns</w:t>
      </w:r>
      <w:r w:rsidR="00013492" w:rsidRPr="00D14CD7">
        <w:rPr>
          <w:color w:val="000000" w:themeColor="text1"/>
        </w:rPr>
        <w:t xml:space="preserve">, though land-use mix and restaurant density have relatively little </w:t>
      </w:r>
      <w:r w:rsidR="00A3174B" w:rsidRPr="00D14CD7">
        <w:rPr>
          <w:color w:val="000000" w:themeColor="text1"/>
        </w:rPr>
        <w:t xml:space="preserve">effect on dining choices. </w:t>
      </w:r>
      <w:bookmarkStart w:id="58" w:name="_Hlk171261623"/>
      <w:r w:rsidR="00013492" w:rsidRPr="00D14CD7">
        <w:rPr>
          <w:color w:val="000000" w:themeColor="text1"/>
        </w:rPr>
        <w:t xml:space="preserve">However, the fraction of QSRs does have a more tangible positive effect on overall eat-out trip-making, and particularly on visitations to QSRs. </w:t>
      </w:r>
      <w:r w:rsidR="003B6FE9" w:rsidRPr="00D14CD7">
        <w:rPr>
          <w:color w:val="000000" w:themeColor="text1"/>
        </w:rPr>
        <w:t xml:space="preserve">These findings indirectly reflect the influence of transportation systems on eating-out </w:t>
      </w:r>
      <w:r w:rsidR="003B6FE9" w:rsidRPr="00D14CD7">
        <w:rPr>
          <w:color w:val="000000" w:themeColor="text1"/>
        </w:rPr>
        <w:lastRenderedPageBreak/>
        <w:t xml:space="preserve">behavior. For instance, areas with high restaurant density are likely to have more developed transportation networks, potentially increasing eat-out trips via various modes. The accessibility of QSRs, often designed with car-centric transportation in mind (e.g., drive-throughs, ample parking), </w:t>
      </w:r>
      <w:bookmarkStart w:id="59" w:name="_Hlk171261629"/>
      <w:bookmarkEnd w:id="58"/>
      <w:r w:rsidR="00013492" w:rsidRPr="00D14CD7">
        <w:rPr>
          <w:color w:val="000000" w:themeColor="text1"/>
        </w:rPr>
        <w:t>appears to have both negative implications for transportation as well as for public health, highlighting the importance of managing restaurant density and diversity to cultivate a balanced and healthier dining landscape.</w:t>
      </w:r>
      <w:bookmarkEnd w:id="59"/>
      <w:r w:rsidR="00013492" w:rsidRPr="00D14CD7">
        <w:rPr>
          <w:color w:val="000000" w:themeColor="text1"/>
        </w:rPr>
        <w:t xml:space="preserve"> Policymakers may want to consider these insights when developing zoning regulations that limit restaurant density and the concentration of QSRs within residential zones, especially in areas with a high population of low-income individuals.</w:t>
      </w:r>
      <w:r w:rsidRPr="00D14CD7">
        <w:rPr>
          <w:color w:val="000000" w:themeColor="text1"/>
        </w:rPr>
        <w:t xml:space="preserve"> </w:t>
      </w:r>
      <w:r w:rsidR="001B61C7" w:rsidRPr="00D14CD7">
        <w:rPr>
          <w:color w:val="000000" w:themeColor="text1"/>
        </w:rPr>
        <w:t>This approach, combined with investments in walkable environments and alternative transportation options, can nudge individuals towards healthier choices and reduce reliance on car-dependent fast food.</w:t>
      </w:r>
    </w:p>
    <w:p w14:paraId="14CCACC1" w14:textId="4C48E6FF" w:rsidR="00D66914" w:rsidRPr="00D14CD7" w:rsidRDefault="004319C0" w:rsidP="004C60DA">
      <w:pPr>
        <w:spacing w:after="0" w:line="240" w:lineRule="auto"/>
        <w:ind w:firstLine="720"/>
        <w:rPr>
          <w:color w:val="000000" w:themeColor="text1"/>
        </w:rPr>
      </w:pPr>
      <w:r w:rsidRPr="00D14CD7">
        <w:rPr>
          <w:color w:val="000000" w:themeColor="text1"/>
          <w:u w:val="single"/>
        </w:rPr>
        <w:t>Finally</w:t>
      </w:r>
      <w:r w:rsidRPr="00D14CD7">
        <w:rPr>
          <w:color w:val="000000" w:themeColor="text1"/>
        </w:rPr>
        <w:t xml:space="preserve">, dining </w:t>
      </w:r>
      <w:r w:rsidR="00D66914" w:rsidRPr="00D14CD7">
        <w:rPr>
          <w:color w:val="000000" w:themeColor="text1"/>
        </w:rPr>
        <w:t>behaviors are notably affected by perceived pandemic risk, with overall eat-outs decreasing and preference shifting towards CSRs.</w:t>
      </w:r>
    </w:p>
    <w:p w14:paraId="7805091B" w14:textId="1260C7F5" w:rsidR="00051F4C" w:rsidRPr="00D14CD7" w:rsidRDefault="00051F4C" w:rsidP="00051F4C">
      <w:pPr>
        <w:spacing w:after="0" w:line="240" w:lineRule="auto"/>
        <w:ind w:firstLine="720"/>
        <w:rPr>
          <w:color w:val="000000" w:themeColor="text1"/>
        </w:rPr>
      </w:pPr>
      <w:r w:rsidRPr="00D14CD7">
        <w:rPr>
          <w:color w:val="000000" w:themeColor="text1"/>
        </w:rPr>
        <w:t>Overall, this discussion highlights t</w:t>
      </w:r>
      <w:r w:rsidRPr="00D14CD7">
        <w:rPr>
          <w:rFonts w:eastAsia="Times New Roman"/>
          <w:color w:val="000000" w:themeColor="text1"/>
        </w:rPr>
        <w:t>he</w:t>
      </w:r>
      <w:r w:rsidR="0001668B" w:rsidRPr="00D14CD7">
        <w:rPr>
          <w:rFonts w:eastAsia="Times New Roman"/>
          <w:color w:val="000000" w:themeColor="text1"/>
        </w:rPr>
        <w:t xml:space="preserve"> complex and nuanced </w:t>
      </w:r>
      <w:r w:rsidRPr="00D14CD7">
        <w:rPr>
          <w:rFonts w:eastAsia="Times New Roman"/>
          <w:color w:val="000000" w:themeColor="text1"/>
        </w:rPr>
        <w:t>interplay between transportation systems, urban design, public health outcomes, and socioeconomic factors in shaping eating-out behavior. It also demonstrates that interventions aimed at improving community well-being cannot be siloed within a single domain. Instead, effective and sustainable policies must consider the existing interactions across sectors. For instance, transportation decisions influence not just mobility</w:t>
      </w:r>
      <w:r w:rsidR="0001668B" w:rsidRPr="00D14CD7">
        <w:rPr>
          <w:rFonts w:eastAsia="Times New Roman"/>
          <w:color w:val="000000" w:themeColor="text1"/>
        </w:rPr>
        <w:t>,</w:t>
      </w:r>
      <w:r w:rsidRPr="00D14CD7">
        <w:rPr>
          <w:rFonts w:eastAsia="Times New Roman"/>
          <w:color w:val="000000" w:themeColor="text1"/>
        </w:rPr>
        <w:t xml:space="preserve"> but also dietary choices and public health outcomes. Similarly, urban planning affects both the physical landscape and the health equity of communities. By recognizing and leveraging these interconnections, policymakers can collaborate across sectors to develop more holistic and effective strategies that simultaneously address multiple aspects of community well-being, from transportation efficiency and environmental sustainability to public health and social equity.</w:t>
      </w:r>
    </w:p>
    <w:p w14:paraId="549F3752" w14:textId="77777777" w:rsidR="00C31F16" w:rsidRPr="00D14CD7" w:rsidRDefault="00C31F16" w:rsidP="007E2CED">
      <w:pPr>
        <w:spacing w:after="0" w:line="240" w:lineRule="auto"/>
        <w:rPr>
          <w:color w:val="000000" w:themeColor="text1"/>
        </w:rPr>
      </w:pPr>
    </w:p>
    <w:p w14:paraId="10D46B2F" w14:textId="43E2730C" w:rsidR="00B52D1C" w:rsidRPr="00D14CD7" w:rsidRDefault="0033419B" w:rsidP="007E2CED">
      <w:pPr>
        <w:pStyle w:val="Heading1"/>
        <w:spacing w:after="0" w:line="240" w:lineRule="auto"/>
        <w:rPr>
          <w:color w:val="000000" w:themeColor="text1"/>
        </w:rPr>
      </w:pPr>
      <w:r w:rsidRPr="00D14CD7">
        <w:rPr>
          <w:color w:val="000000" w:themeColor="text1"/>
        </w:rPr>
        <w:t>CONCLUSIONS AND LIMITATIONS</w:t>
      </w:r>
    </w:p>
    <w:p w14:paraId="3B7998E1" w14:textId="355C9775" w:rsidR="00E247EF" w:rsidRPr="00D14CD7" w:rsidRDefault="004319C0" w:rsidP="007E2CED">
      <w:pPr>
        <w:spacing w:after="0" w:line="240" w:lineRule="auto"/>
        <w:rPr>
          <w:color w:val="000000" w:themeColor="text1"/>
        </w:rPr>
      </w:pPr>
      <w:r w:rsidRPr="00D14CD7">
        <w:rPr>
          <w:color w:val="000000" w:themeColor="text1"/>
        </w:rPr>
        <w:t>The r</w:t>
      </w:r>
      <w:r w:rsidR="008A4696" w:rsidRPr="00D14CD7">
        <w:rPr>
          <w:color w:val="000000" w:themeColor="text1"/>
        </w:rPr>
        <w:t>esults of th</w:t>
      </w:r>
      <w:r w:rsidRPr="00D14CD7">
        <w:rPr>
          <w:color w:val="000000" w:themeColor="text1"/>
        </w:rPr>
        <w:t>is</w:t>
      </w:r>
      <w:r w:rsidR="008A4696" w:rsidRPr="00D14CD7">
        <w:rPr>
          <w:color w:val="000000" w:themeColor="text1"/>
        </w:rPr>
        <w:t xml:space="preserve"> study contribute to the existing literature on dining choices by demonstrating the significant role of individual demographics, household characteristics, employment status/job characteristics, residential location BE factors, and COVID-19</w:t>
      </w:r>
      <w:r w:rsidR="001A75D6" w:rsidRPr="00D14CD7">
        <w:rPr>
          <w:color w:val="000000" w:themeColor="text1"/>
        </w:rPr>
        <w:t>-</w:t>
      </w:r>
      <w:r w:rsidR="008A4696" w:rsidRPr="00D14CD7">
        <w:rPr>
          <w:color w:val="000000" w:themeColor="text1"/>
        </w:rPr>
        <w:t>related perceptions in determining the frequency of eating out and preferences for different restaurant segments</w:t>
      </w:r>
      <w:r w:rsidR="00670778" w:rsidRPr="00D14CD7">
        <w:rPr>
          <w:color w:val="000000" w:themeColor="text1"/>
        </w:rPr>
        <w:t xml:space="preserve"> for weekday dinner meals</w:t>
      </w:r>
      <w:r w:rsidR="008A4696" w:rsidRPr="00D14CD7">
        <w:rPr>
          <w:color w:val="000000" w:themeColor="text1"/>
        </w:rPr>
        <w:t>.</w:t>
      </w:r>
      <w:r w:rsidR="00670778" w:rsidRPr="00D14CD7">
        <w:rPr>
          <w:color w:val="000000" w:themeColor="text1"/>
        </w:rPr>
        <w:t xml:space="preserve"> </w:t>
      </w:r>
      <w:r w:rsidR="00E247EF" w:rsidRPr="00D14CD7">
        <w:rPr>
          <w:color w:val="000000" w:themeColor="text1"/>
        </w:rPr>
        <w:t xml:space="preserve">The study recognizes the unique utilitarian/hedonic mix offered by each restaurant segment, leading to a formulation of the dining choice process as a deliberate </w:t>
      </w:r>
      <w:r w:rsidR="0068023F">
        <w:rPr>
          <w:color w:val="000000" w:themeColor="text1"/>
        </w:rPr>
        <w:t>“</w:t>
      </w:r>
      <w:r w:rsidR="00E247EF" w:rsidRPr="00D14CD7">
        <w:rPr>
          <w:color w:val="000000" w:themeColor="text1"/>
        </w:rPr>
        <w:t>at-once</w:t>
      </w:r>
      <w:r w:rsidR="0068023F">
        <w:rPr>
          <w:color w:val="000000" w:themeColor="text1"/>
        </w:rPr>
        <w:t>”</w:t>
      </w:r>
      <w:r w:rsidR="00E247EF" w:rsidRPr="00D14CD7">
        <w:rPr>
          <w:color w:val="000000" w:themeColor="text1"/>
        </w:rPr>
        <w:t xml:space="preserve"> horizontal choice of a portfolio of restaurant segment participation occasions over a period of time. </w:t>
      </w:r>
    </w:p>
    <w:p w14:paraId="2B8752A9" w14:textId="05A7E121" w:rsidR="008936D4" w:rsidRPr="00D14CD7" w:rsidRDefault="004319C0" w:rsidP="007E2CED">
      <w:pPr>
        <w:spacing w:after="0" w:line="240" w:lineRule="auto"/>
        <w:ind w:firstLine="720"/>
        <w:rPr>
          <w:color w:val="000000" w:themeColor="text1"/>
        </w:rPr>
      </w:pPr>
      <w:r w:rsidRPr="00D14CD7">
        <w:rPr>
          <w:color w:val="000000" w:themeColor="text1"/>
        </w:rPr>
        <w:t>The study has implications for multiple field</w:t>
      </w:r>
      <w:r w:rsidR="004E4033" w:rsidRPr="00D14CD7">
        <w:rPr>
          <w:color w:val="000000" w:themeColor="text1"/>
        </w:rPr>
        <w:t>s</w:t>
      </w:r>
      <w:r w:rsidRPr="00D14CD7">
        <w:rPr>
          <w:color w:val="000000" w:themeColor="text1"/>
        </w:rPr>
        <w:t>, incl</w:t>
      </w:r>
      <w:r w:rsidR="00D74C96" w:rsidRPr="00D14CD7">
        <w:rPr>
          <w:color w:val="000000" w:themeColor="text1"/>
        </w:rPr>
        <w:t>u</w:t>
      </w:r>
      <w:r w:rsidRPr="00D14CD7">
        <w:rPr>
          <w:color w:val="000000" w:themeColor="text1"/>
        </w:rPr>
        <w:t>ding transportation</w:t>
      </w:r>
      <w:r w:rsidR="00D74C96" w:rsidRPr="00D14CD7">
        <w:rPr>
          <w:color w:val="000000" w:themeColor="text1"/>
        </w:rPr>
        <w:t xml:space="preserve"> and </w:t>
      </w:r>
      <w:r w:rsidRPr="00D14CD7">
        <w:rPr>
          <w:color w:val="000000" w:themeColor="text1"/>
        </w:rPr>
        <w:t>urban planning, public health, and food services, as di</w:t>
      </w:r>
      <w:r w:rsidR="00A6161D" w:rsidRPr="00D14CD7">
        <w:rPr>
          <w:color w:val="000000" w:themeColor="text1"/>
        </w:rPr>
        <w:t>s</w:t>
      </w:r>
      <w:r w:rsidRPr="00D14CD7">
        <w:rPr>
          <w:color w:val="000000" w:themeColor="text1"/>
        </w:rPr>
        <w:t xml:space="preserve">cussed in the previous section. From a transportation </w:t>
      </w:r>
      <w:r w:rsidR="00D74C96" w:rsidRPr="00D14CD7">
        <w:rPr>
          <w:color w:val="000000" w:themeColor="text1"/>
        </w:rPr>
        <w:t xml:space="preserve">and urban </w:t>
      </w:r>
      <w:r w:rsidRPr="00D14CD7">
        <w:rPr>
          <w:color w:val="000000" w:themeColor="text1"/>
        </w:rPr>
        <w:t>planning perspective</w:t>
      </w:r>
      <w:r w:rsidR="00A73FAD" w:rsidRPr="00D14CD7">
        <w:rPr>
          <w:color w:val="000000" w:themeColor="text1"/>
        </w:rPr>
        <w:t>,</w:t>
      </w:r>
      <w:r w:rsidR="00E247EF" w:rsidRPr="00D14CD7">
        <w:rPr>
          <w:color w:val="000000" w:themeColor="text1"/>
        </w:rPr>
        <w:t xml:space="preserve"> in particular</w:t>
      </w:r>
      <w:r w:rsidRPr="00D14CD7">
        <w:rPr>
          <w:color w:val="000000" w:themeColor="text1"/>
        </w:rPr>
        <w:t xml:space="preserve">, there is little literature </w:t>
      </w:r>
      <w:r w:rsidR="00E247EF" w:rsidRPr="00D14CD7">
        <w:rPr>
          <w:color w:val="000000" w:themeColor="text1"/>
        </w:rPr>
        <w:t>on travel-related behaviors for eat-out activity. Indeed, in all trip-based models as well as in all activity-based models that we are aware of, there is no specific eat-out activity</w:t>
      </w:r>
      <w:r w:rsidR="00E112F6" w:rsidRPr="00D14CD7">
        <w:rPr>
          <w:color w:val="000000" w:themeColor="text1"/>
        </w:rPr>
        <w:t xml:space="preserve"> purpose</w:t>
      </w:r>
      <w:r w:rsidR="00E247EF" w:rsidRPr="00D14CD7">
        <w:rPr>
          <w:color w:val="000000" w:themeColor="text1"/>
        </w:rPr>
        <w:t>, with eat-out b</w:t>
      </w:r>
      <w:r w:rsidR="00144794" w:rsidRPr="00D14CD7">
        <w:rPr>
          <w:color w:val="000000" w:themeColor="text1"/>
        </w:rPr>
        <w:t>eing</w:t>
      </w:r>
      <w:r w:rsidR="00E247EF" w:rsidRPr="00D14CD7">
        <w:rPr>
          <w:color w:val="000000" w:themeColor="text1"/>
        </w:rPr>
        <w:t xml:space="preserve"> aggregated within a broader social-recreational category or a non-work category. At the same time, in the aftermath of the onset of the pandemic, it is becoming increasingly important to consider eat-out as a category of its own. In particular, our results</w:t>
      </w:r>
      <w:r w:rsidR="00D74C96" w:rsidRPr="00D14CD7">
        <w:rPr>
          <w:color w:val="000000" w:themeColor="text1"/>
        </w:rPr>
        <w:t>, as discussed earlier,</w:t>
      </w:r>
      <w:r w:rsidR="00E247EF" w:rsidRPr="00D14CD7">
        <w:rPr>
          <w:color w:val="000000" w:themeColor="text1"/>
        </w:rPr>
        <w:t xml:space="preserve"> </w:t>
      </w:r>
      <w:r w:rsidRPr="00D14CD7">
        <w:rPr>
          <w:color w:val="000000" w:themeColor="text1"/>
        </w:rPr>
        <w:t xml:space="preserve">suggest a strong </w:t>
      </w:r>
      <w:r w:rsidR="00E247EF" w:rsidRPr="00D14CD7">
        <w:rPr>
          <w:color w:val="000000" w:themeColor="text1"/>
        </w:rPr>
        <w:t>relationship b</w:t>
      </w:r>
      <w:r w:rsidRPr="00D14CD7">
        <w:rPr>
          <w:color w:val="000000" w:themeColor="text1"/>
        </w:rPr>
        <w:t>etween employment</w:t>
      </w:r>
      <w:r w:rsidR="00D74C96" w:rsidRPr="00D14CD7">
        <w:rPr>
          <w:color w:val="000000" w:themeColor="text1"/>
        </w:rPr>
        <w:t xml:space="preserve">/telework </w:t>
      </w:r>
      <w:r w:rsidRPr="00D14CD7">
        <w:rPr>
          <w:color w:val="000000" w:themeColor="text1"/>
        </w:rPr>
        <w:t>arrangemen</w:t>
      </w:r>
      <w:r w:rsidR="00D74C96" w:rsidRPr="00D14CD7">
        <w:rPr>
          <w:color w:val="000000" w:themeColor="text1"/>
        </w:rPr>
        <w:t xml:space="preserve">ts </w:t>
      </w:r>
      <w:r w:rsidRPr="00D14CD7">
        <w:rPr>
          <w:color w:val="000000" w:themeColor="text1"/>
        </w:rPr>
        <w:t>and eating-out choices</w:t>
      </w:r>
      <w:r w:rsidR="00D74C96" w:rsidRPr="00D14CD7">
        <w:rPr>
          <w:color w:val="000000" w:themeColor="text1"/>
        </w:rPr>
        <w:t xml:space="preserve">, with </w:t>
      </w:r>
      <w:r w:rsidR="00E112F6" w:rsidRPr="00D14CD7">
        <w:rPr>
          <w:color w:val="000000" w:themeColor="text1"/>
        </w:rPr>
        <w:t xml:space="preserve">individuals working from the office on all days of the week having a strong positive effect on </w:t>
      </w:r>
      <w:r w:rsidR="00D74C96" w:rsidRPr="00D14CD7">
        <w:rPr>
          <w:color w:val="000000" w:themeColor="text1"/>
        </w:rPr>
        <w:t xml:space="preserve">the total number of eat-out episodes. </w:t>
      </w:r>
      <w:r w:rsidR="00E112F6" w:rsidRPr="00D14CD7">
        <w:rPr>
          <w:color w:val="000000" w:themeColor="text1"/>
        </w:rPr>
        <w:t>The implication is that there is a good bit of activity chaining of eat-out activities during the evening commute of employed individuals, reinforcing the need for an activity-based modeling approach that considers eat-out as a stand-alone activity purpose.</w:t>
      </w:r>
      <w:r w:rsidR="009B10A8" w:rsidRPr="00D14CD7">
        <w:rPr>
          <w:color w:val="000000" w:themeColor="text1"/>
        </w:rPr>
        <w:t xml:space="preserve"> The model proposed in this study addresses this gap by forecasting monthly weekday dinner eat-outs (by restaurant segment type) </w:t>
      </w:r>
      <w:r w:rsidR="009B10A8" w:rsidRPr="00D14CD7">
        <w:rPr>
          <w:color w:val="000000" w:themeColor="text1"/>
        </w:rPr>
        <w:lastRenderedPageBreak/>
        <w:t>as a function of socio-demographics. Importantly, we diverge from traditional practice models by considering a</w:t>
      </w:r>
      <w:r w:rsidR="0061061E">
        <w:rPr>
          <w:color w:val="000000" w:themeColor="text1"/>
        </w:rPr>
        <w:t xml:space="preserve"> </w:t>
      </w:r>
      <w:r w:rsidR="009B10A8" w:rsidRPr="00D14CD7">
        <w:rPr>
          <w:color w:val="000000" w:themeColor="text1"/>
        </w:rPr>
        <w:t xml:space="preserve">suite of BE measures, identifying four such measures significantly impacting dine-out activity generation. These BE measures can now be incorporated within the activity generation step of travel demand models, enhancing their accuracy and relevance. Although our model primarily focuses on monthly weekday dinner eat-outs, it can be modified for </w:t>
      </w:r>
      <w:r w:rsidR="0013007D">
        <w:rPr>
          <w:color w:val="000000" w:themeColor="text1"/>
        </w:rPr>
        <w:t xml:space="preserve">today’s </w:t>
      </w:r>
      <w:r w:rsidR="009B10A8" w:rsidRPr="00D14CD7">
        <w:rPr>
          <w:color w:val="000000" w:themeColor="text1"/>
        </w:rPr>
        <w:t xml:space="preserve">travel demand models that rely on one-day </w:t>
      </w:r>
      <w:r w:rsidR="00FD4D36">
        <w:rPr>
          <w:color w:val="000000" w:themeColor="text1"/>
        </w:rPr>
        <w:t>“</w:t>
      </w:r>
      <w:r w:rsidR="009B10A8" w:rsidRPr="00D14CD7">
        <w:rPr>
          <w:color w:val="000000" w:themeColor="text1"/>
        </w:rPr>
        <w:t>average</w:t>
      </w:r>
      <w:r w:rsidR="00FD4D36">
        <w:rPr>
          <w:color w:val="000000" w:themeColor="text1"/>
        </w:rPr>
        <w:t>”</w:t>
      </w:r>
      <w:r w:rsidR="009B10A8" w:rsidRPr="00D14CD7">
        <w:rPr>
          <w:color w:val="000000" w:themeColor="text1"/>
        </w:rPr>
        <w:t xml:space="preserve"> weekday forecasts. This modification includes transforming our monthly eat-out forecasts into the probability of participating in an eat-out activity on any given weekday. This probability can then be integrated into typical agent-based daily activity-based travel model frameworks.</w:t>
      </w:r>
      <w:r w:rsidR="00E112F6" w:rsidRPr="00D14CD7">
        <w:rPr>
          <w:color w:val="000000" w:themeColor="text1"/>
        </w:rPr>
        <w:t xml:space="preserve"> </w:t>
      </w:r>
      <w:r w:rsidR="008936D4" w:rsidRPr="00D14CD7">
        <w:rPr>
          <w:color w:val="000000" w:themeColor="text1"/>
        </w:rPr>
        <w:t xml:space="preserve">The results also </w:t>
      </w:r>
      <w:r w:rsidR="009B10A8" w:rsidRPr="00D14CD7">
        <w:rPr>
          <w:color w:val="000000" w:themeColor="text1"/>
        </w:rPr>
        <w:t xml:space="preserve">emphasize </w:t>
      </w:r>
      <w:r w:rsidR="008936D4" w:rsidRPr="00D14CD7">
        <w:rPr>
          <w:color w:val="000000" w:themeColor="text1"/>
        </w:rPr>
        <w:t xml:space="preserve">the need for future activity-travel surveys to incorporate </w:t>
      </w:r>
      <w:r w:rsidR="00387C24" w:rsidRPr="00D14CD7">
        <w:rPr>
          <w:color w:val="000000" w:themeColor="text1"/>
        </w:rPr>
        <w:t xml:space="preserve">detailed </w:t>
      </w:r>
      <w:r w:rsidR="008936D4" w:rsidRPr="00D14CD7">
        <w:rPr>
          <w:color w:val="000000" w:themeColor="text1"/>
        </w:rPr>
        <w:t>questions related to eat-outs, a</w:t>
      </w:r>
      <w:r w:rsidR="00387C24" w:rsidRPr="00D14CD7">
        <w:rPr>
          <w:color w:val="000000" w:themeColor="text1"/>
        </w:rPr>
        <w:t>s well as telework arrangements</w:t>
      </w:r>
      <w:r w:rsidR="008936D4" w:rsidRPr="00D14CD7">
        <w:rPr>
          <w:color w:val="000000" w:themeColor="text1"/>
        </w:rPr>
        <w:t>. Then, by predicting the frequency of eat-outs and the allocation to different restaurant segments, it becomes possible to estimate the number and characteristics of trips people will take to restaurants. This information can be used to identify areas with high transportation demand during peak dining hours, facilitating optimal route planning and resource allocation. In addition, integrating the models into activity-based travel demand models can help identify areas with high demand for parking near restaurants during peak dining hours. Moreover, the outputs of our models</w:t>
      </w:r>
      <w:r w:rsidR="00AC3C4B">
        <w:rPr>
          <w:color w:val="000000" w:themeColor="text1"/>
        </w:rPr>
        <w:t>,</w:t>
      </w:r>
      <w:r w:rsidR="008936D4" w:rsidRPr="00D14CD7">
        <w:rPr>
          <w:color w:val="000000" w:themeColor="text1"/>
        </w:rPr>
        <w:t xml:space="preserve"> in conjunction with activity-based travel models</w:t>
      </w:r>
      <w:r w:rsidR="00AC3C4B">
        <w:rPr>
          <w:color w:val="000000" w:themeColor="text1"/>
        </w:rPr>
        <w:t>,</w:t>
      </w:r>
      <w:r w:rsidR="008936D4" w:rsidRPr="00D14CD7">
        <w:rPr>
          <w:color w:val="000000" w:themeColor="text1"/>
        </w:rPr>
        <w:t xml:space="preserve"> can be used to predict the impact of changes in restaurant availability on travel patterns and to identify areas where new restaurants may have the most significant impact on travel demand. Additionally, incorporating information on the allocation of visits to different restaurant segments can help identify which types of restaurants are likely to generate the most traffic and at what times, leading to more effective transportation planning and resource allocation. </w:t>
      </w:r>
    </w:p>
    <w:p w14:paraId="79E9AE86" w14:textId="3A6B9005" w:rsidR="004319C0" w:rsidRPr="00D14CD7" w:rsidRDefault="008936D4" w:rsidP="007E2CED">
      <w:pPr>
        <w:spacing w:after="0" w:line="240" w:lineRule="auto"/>
        <w:ind w:firstLine="720"/>
        <w:rPr>
          <w:color w:val="000000" w:themeColor="text1"/>
        </w:rPr>
      </w:pPr>
      <w:r w:rsidRPr="00D14CD7">
        <w:rPr>
          <w:color w:val="000000" w:themeColor="text1"/>
        </w:rPr>
        <w:t>The implications of our results from a public health perspective ha</w:t>
      </w:r>
      <w:r w:rsidR="00AC3C4B">
        <w:rPr>
          <w:color w:val="000000" w:themeColor="text1"/>
        </w:rPr>
        <w:t>ve</w:t>
      </w:r>
      <w:r w:rsidRPr="00D14CD7">
        <w:rPr>
          <w:color w:val="000000" w:themeColor="text1"/>
        </w:rPr>
        <w:t xml:space="preserve"> already been discussed in the previous section. </w:t>
      </w:r>
      <w:r w:rsidR="004319C0" w:rsidRPr="00D14CD7">
        <w:rPr>
          <w:color w:val="000000" w:themeColor="text1"/>
        </w:rPr>
        <w:t xml:space="preserve">From a food service sector perspective, our findings emphasize the importance of understanding individual demographics, household characteristics, and employment status in shaping restaurant preferences. Restaurants can tailor their offerings and marketing strategies to cater to different age groups, income levels, and household structures more effectively. Age-related factors, for instance, reveal a higher consumption of meals at CSRs by older individuals. As a result, CSRs </w:t>
      </w:r>
      <w:r w:rsidR="00387C24" w:rsidRPr="00D14CD7">
        <w:rPr>
          <w:color w:val="000000" w:themeColor="text1"/>
        </w:rPr>
        <w:t xml:space="preserve">may </w:t>
      </w:r>
      <w:r w:rsidR="004319C0" w:rsidRPr="00D14CD7">
        <w:rPr>
          <w:color w:val="000000" w:themeColor="text1"/>
        </w:rPr>
        <w:t xml:space="preserve">consider offering early-bird specials, menus with larger font sizes, and easily accessible facilities to accommodate older adults. At the same time, our results reveal that the CH segment is not particularly appealing to older patrons. To broaden their appeal, </w:t>
      </w:r>
      <w:r w:rsidRPr="00D14CD7">
        <w:rPr>
          <w:color w:val="000000" w:themeColor="text1"/>
        </w:rPr>
        <w:t>CHs</w:t>
      </w:r>
      <w:r w:rsidR="004319C0" w:rsidRPr="00D14CD7">
        <w:rPr>
          <w:color w:val="000000" w:themeColor="text1"/>
        </w:rPr>
        <w:t xml:space="preserve"> could diversify their offerings, incorporat</w:t>
      </w:r>
      <w:r w:rsidRPr="00D14CD7">
        <w:rPr>
          <w:color w:val="000000" w:themeColor="text1"/>
        </w:rPr>
        <w:t>ing</w:t>
      </w:r>
      <w:r w:rsidR="004319C0" w:rsidRPr="00D14CD7">
        <w:rPr>
          <w:color w:val="000000" w:themeColor="text1"/>
        </w:rPr>
        <w:t xml:space="preserve"> a range of food and beverage options that cater to the unique preferences and dietary requirements of older individuals. Furthermore, it would be beneficial to cultivate an inviting atmosphere that resonates with an older demographic. This could entail providing ample and suitable seating options, integrating softer furniture for increased comfort, and ensuring</w:t>
      </w:r>
      <w:r w:rsidR="00387C24" w:rsidRPr="00D14CD7">
        <w:rPr>
          <w:color w:val="000000" w:themeColor="text1"/>
        </w:rPr>
        <w:t xml:space="preserve"> good</w:t>
      </w:r>
      <w:r w:rsidR="004319C0" w:rsidRPr="00D14CD7">
        <w:rPr>
          <w:color w:val="000000" w:themeColor="text1"/>
        </w:rPr>
        <w:t xml:space="preserve"> lighting.</w:t>
      </w:r>
      <w:r w:rsidRPr="00D14CD7">
        <w:rPr>
          <w:color w:val="000000" w:themeColor="text1"/>
        </w:rPr>
        <w:t xml:space="preserve"> </w:t>
      </w:r>
      <w:r w:rsidR="004319C0" w:rsidRPr="00D14CD7">
        <w:rPr>
          <w:color w:val="000000" w:themeColor="text1"/>
        </w:rPr>
        <w:t xml:space="preserve">Additionally, our results unmask cultural barriers that </w:t>
      </w:r>
      <w:r w:rsidR="00B43609" w:rsidRPr="00D14CD7">
        <w:rPr>
          <w:color w:val="000000" w:themeColor="text1"/>
        </w:rPr>
        <w:t xml:space="preserve">appear to </w:t>
      </w:r>
      <w:r w:rsidR="004319C0" w:rsidRPr="00D14CD7">
        <w:rPr>
          <w:color w:val="000000" w:themeColor="text1"/>
        </w:rPr>
        <w:t>discourage racial minorities from eating out. To tackle these barriers, restaurant operators can regularly conduct anti-bias training for their employees. These measures can contribute to fostering a more inclusive and welcoming dining environment for individuals of all racial backgrounds. Household structure also plays an important role in shaping dining habits. For instance, the presence of children significantly increases the preference for QSRs</w:t>
      </w:r>
      <w:r w:rsidR="00B43609" w:rsidRPr="00D14CD7">
        <w:rPr>
          <w:color w:val="000000" w:themeColor="text1"/>
        </w:rPr>
        <w:t xml:space="preserve"> and decreases the inclination to visit CSRs</w:t>
      </w:r>
      <w:r w:rsidR="004319C0" w:rsidRPr="00D14CD7">
        <w:rPr>
          <w:color w:val="000000" w:themeColor="text1"/>
        </w:rPr>
        <w:t xml:space="preserve">. To counteract this trend, CSRs could attract families by organizing family-friendly events, providing childcare services, or offering dedicated play areas. Finally, the restaurant industry must adapt to the shift in dining patterns with increased remote work. Remote workers eat out less frequently than those working from the physical workplace, showing a higher reliance on delivery and pick-up services (Haddad et al., 2023). This shifting landscape indicates </w:t>
      </w:r>
      <w:r w:rsidR="004319C0" w:rsidRPr="00D14CD7">
        <w:rPr>
          <w:color w:val="000000" w:themeColor="text1"/>
        </w:rPr>
        <w:lastRenderedPageBreak/>
        <w:t>an urgent need for restaurants to be prepared to partner with reliable delivery services or develop and maintain their own ordering platforms. This will ensure that the restaurants can meet the evolving demand while maintaining accessible and convenient service for all consumers, irrespective of their work arrangements.</w:t>
      </w:r>
    </w:p>
    <w:p w14:paraId="13F7FC81" w14:textId="5E77D4C9" w:rsidR="00DD2090" w:rsidRPr="00D14CD7" w:rsidRDefault="00B125DB" w:rsidP="007E2CED">
      <w:pPr>
        <w:spacing w:after="0" w:line="240" w:lineRule="auto"/>
        <w:ind w:firstLine="720"/>
        <w:rPr>
          <w:color w:val="000000" w:themeColor="text1"/>
        </w:rPr>
      </w:pPr>
      <w:r w:rsidRPr="00D14CD7">
        <w:rPr>
          <w:color w:val="000000" w:themeColor="text1"/>
        </w:rPr>
        <w:t>Alt</w:t>
      </w:r>
      <w:r w:rsidR="00394497" w:rsidRPr="00D14CD7">
        <w:rPr>
          <w:color w:val="000000" w:themeColor="text1"/>
        </w:rPr>
        <w:t xml:space="preserve">hough the results of </w:t>
      </w:r>
      <w:r w:rsidRPr="00D14CD7">
        <w:rPr>
          <w:color w:val="000000" w:themeColor="text1"/>
        </w:rPr>
        <w:t>this</w:t>
      </w:r>
      <w:r w:rsidR="00394497" w:rsidRPr="00D14CD7">
        <w:rPr>
          <w:color w:val="000000" w:themeColor="text1"/>
        </w:rPr>
        <w:t xml:space="preserve"> study contribute to a richer understanding of dining choices, </w:t>
      </w:r>
      <w:r w:rsidR="00F3424D" w:rsidRPr="00D14CD7">
        <w:rPr>
          <w:color w:val="000000" w:themeColor="text1"/>
        </w:rPr>
        <w:t>there are important avenues for further research</w:t>
      </w:r>
      <w:r w:rsidRPr="00D14CD7">
        <w:rPr>
          <w:color w:val="000000" w:themeColor="text1"/>
        </w:rPr>
        <w:t>.</w:t>
      </w:r>
      <w:r w:rsidR="00614834" w:rsidRPr="00D14CD7">
        <w:rPr>
          <w:color w:val="000000" w:themeColor="text1"/>
        </w:rPr>
        <w:t xml:space="preserve"> </w:t>
      </w:r>
      <w:r w:rsidR="005C55ED" w:rsidRPr="00D14CD7">
        <w:rPr>
          <w:color w:val="000000" w:themeColor="text1"/>
        </w:rPr>
        <w:t xml:space="preserve">A </w:t>
      </w:r>
      <w:r w:rsidR="00F3424D" w:rsidRPr="00D14CD7">
        <w:rPr>
          <w:color w:val="000000" w:themeColor="text1"/>
        </w:rPr>
        <w:t xml:space="preserve">more </w:t>
      </w:r>
      <w:r w:rsidR="005C55ED" w:rsidRPr="00D14CD7">
        <w:rPr>
          <w:color w:val="000000" w:themeColor="text1"/>
        </w:rPr>
        <w:t>comprehensive</w:t>
      </w:r>
      <w:r w:rsidR="00F3424D" w:rsidRPr="00D14CD7">
        <w:rPr>
          <w:color w:val="000000" w:themeColor="text1"/>
        </w:rPr>
        <w:t xml:space="preserve"> consideration of additional </w:t>
      </w:r>
      <w:r w:rsidR="0013007D">
        <w:rPr>
          <w:color w:val="000000" w:themeColor="text1"/>
        </w:rPr>
        <w:t xml:space="preserve">factors and </w:t>
      </w:r>
      <w:r w:rsidR="00F3424D" w:rsidRPr="00D14CD7">
        <w:rPr>
          <w:color w:val="000000" w:themeColor="text1"/>
        </w:rPr>
        <w:t xml:space="preserve">dimensions </w:t>
      </w:r>
      <w:r w:rsidR="0013007D">
        <w:rPr>
          <w:color w:val="000000" w:themeColor="text1"/>
        </w:rPr>
        <w:t>affecting/</w:t>
      </w:r>
      <w:r w:rsidR="00F3424D" w:rsidRPr="00D14CD7">
        <w:rPr>
          <w:color w:val="000000" w:themeColor="text1"/>
        </w:rPr>
        <w:t>characterizing eat-out epis</w:t>
      </w:r>
      <w:r w:rsidR="00A6161D" w:rsidRPr="00D14CD7">
        <w:rPr>
          <w:color w:val="000000" w:themeColor="text1"/>
        </w:rPr>
        <w:t>o</w:t>
      </w:r>
      <w:r w:rsidR="00F3424D" w:rsidRPr="00D14CD7">
        <w:rPr>
          <w:color w:val="000000" w:themeColor="text1"/>
        </w:rPr>
        <w:t xml:space="preserve">des, </w:t>
      </w:r>
      <w:r w:rsidR="005C55ED" w:rsidRPr="00D14CD7">
        <w:rPr>
          <w:color w:val="000000" w:themeColor="text1"/>
        </w:rPr>
        <w:t>includ</w:t>
      </w:r>
      <w:r w:rsidR="00F3424D" w:rsidRPr="00D14CD7">
        <w:rPr>
          <w:color w:val="000000" w:themeColor="text1"/>
        </w:rPr>
        <w:t>ing</w:t>
      </w:r>
      <w:r w:rsidR="005C55ED" w:rsidRPr="00D14CD7">
        <w:rPr>
          <w:color w:val="000000" w:themeColor="text1"/>
        </w:rPr>
        <w:t xml:space="preserve"> the mode of transport used to reach restaurants, travel distance</w:t>
      </w:r>
      <w:r w:rsidR="00F3424D" w:rsidRPr="00D14CD7">
        <w:rPr>
          <w:color w:val="000000" w:themeColor="text1"/>
        </w:rPr>
        <w:t xml:space="preserve"> and location</w:t>
      </w:r>
      <w:r w:rsidR="005C55ED" w:rsidRPr="00D14CD7">
        <w:rPr>
          <w:color w:val="000000" w:themeColor="text1"/>
        </w:rPr>
        <w:t>, dining companions and occasion, duration spent, and expenditure</w:t>
      </w:r>
      <w:r w:rsidR="00F3424D" w:rsidRPr="00D14CD7">
        <w:rPr>
          <w:color w:val="000000" w:themeColor="text1"/>
        </w:rPr>
        <w:t>,</w:t>
      </w:r>
      <w:r w:rsidR="005C55ED" w:rsidRPr="00D14CD7">
        <w:rPr>
          <w:color w:val="000000" w:themeColor="text1"/>
        </w:rPr>
        <w:t xml:space="preserve"> is essential for accurately identifying and addressing changing travel patterns. Unfortunately, our dataset did not provide this level of detail. In addition, data concerning preferences for delivery and pickup services across different restaurant segments were unavailable.</w:t>
      </w:r>
      <w:r w:rsidR="00DD2090" w:rsidRPr="00D14CD7">
        <w:rPr>
          <w:color w:val="000000" w:themeColor="text1"/>
        </w:rPr>
        <w:t xml:space="preserve"> As delivery and pickup services are growing trends in the food service industry, a comprehensive understanding of these aspects could enhance our understanding of changing consumer behaviors. </w:t>
      </w:r>
      <w:r w:rsidR="00271F02">
        <w:rPr>
          <w:color w:val="000000" w:themeColor="text1"/>
        </w:rPr>
        <w:t>Further</w:t>
      </w:r>
      <w:r w:rsidR="00DD2090" w:rsidRPr="00D14CD7">
        <w:rPr>
          <w:color w:val="000000" w:themeColor="text1"/>
        </w:rPr>
        <w:t xml:space="preserve">, our analysis was focused only on weekday dinner meals, not considering lunch and weekend meals. </w:t>
      </w:r>
      <w:r w:rsidR="00F3424D" w:rsidRPr="00D14CD7">
        <w:rPr>
          <w:color w:val="000000" w:themeColor="text1"/>
        </w:rPr>
        <w:t>Eat-out</w:t>
      </w:r>
      <w:r w:rsidR="00DD2090" w:rsidRPr="00D14CD7">
        <w:rPr>
          <w:color w:val="000000" w:themeColor="text1"/>
        </w:rPr>
        <w:t xml:space="preserve"> behavior and choices during these other meal periods may differ substantially and warrant further investigation</w:t>
      </w:r>
      <w:r w:rsidR="003058C8" w:rsidRPr="00D14CD7">
        <w:rPr>
          <w:color w:val="000000" w:themeColor="text1"/>
        </w:rPr>
        <w:t>.</w:t>
      </w:r>
      <w:r w:rsidR="00DD2090" w:rsidRPr="00D14CD7">
        <w:rPr>
          <w:color w:val="000000" w:themeColor="text1"/>
        </w:rPr>
        <w:t xml:space="preserve"> </w:t>
      </w:r>
      <w:r w:rsidR="00271F02">
        <w:rPr>
          <w:color w:val="000000" w:themeColor="text1"/>
        </w:rPr>
        <w:t xml:space="preserve">Finally, eat-out decisions are likely a combination of individual-level </w:t>
      </w:r>
      <w:r w:rsidR="0061061E">
        <w:rPr>
          <w:color w:val="000000" w:themeColor="text1"/>
        </w:rPr>
        <w:t xml:space="preserve">preferences and </w:t>
      </w:r>
      <w:r w:rsidR="00271F02">
        <w:rPr>
          <w:color w:val="000000" w:themeColor="text1"/>
        </w:rPr>
        <w:t>the preferences</w:t>
      </w:r>
      <w:r w:rsidR="0061061E">
        <w:rPr>
          <w:color w:val="000000" w:themeColor="text1"/>
        </w:rPr>
        <w:t xml:space="preserve"> </w:t>
      </w:r>
      <w:r w:rsidR="00271F02">
        <w:rPr>
          <w:color w:val="000000" w:themeColor="text1"/>
        </w:rPr>
        <w:t xml:space="preserve">of other individuals in the household. Thus, a hybrid individual-household level analysis would be a </w:t>
      </w:r>
      <w:r w:rsidR="0061061E">
        <w:rPr>
          <w:color w:val="000000" w:themeColor="text1"/>
        </w:rPr>
        <w:t xml:space="preserve">good direction for further exploration. </w:t>
      </w:r>
    </w:p>
    <w:p w14:paraId="704C541B" w14:textId="59366EC0" w:rsidR="00394497" w:rsidRPr="00D14CD7" w:rsidRDefault="00394497" w:rsidP="00BB6226">
      <w:pPr>
        <w:spacing w:after="0" w:line="240" w:lineRule="auto"/>
        <w:rPr>
          <w:color w:val="000000" w:themeColor="text1"/>
        </w:rPr>
      </w:pPr>
    </w:p>
    <w:p w14:paraId="71261710" w14:textId="77777777" w:rsidR="00BB6226" w:rsidRPr="00D14CD7" w:rsidRDefault="00BB6226" w:rsidP="00BB6226">
      <w:pPr>
        <w:pStyle w:val="Heading1"/>
        <w:numPr>
          <w:ilvl w:val="0"/>
          <w:numId w:val="0"/>
        </w:numPr>
        <w:spacing w:after="0" w:line="240" w:lineRule="auto"/>
        <w:rPr>
          <w:color w:val="000000" w:themeColor="text1"/>
        </w:rPr>
      </w:pPr>
      <w:r w:rsidRPr="00D14CD7">
        <w:rPr>
          <w:color w:val="000000" w:themeColor="text1"/>
        </w:rPr>
        <w:t>ACKNOWLEDGMENTS</w:t>
      </w:r>
    </w:p>
    <w:p w14:paraId="1843AB9F" w14:textId="0BC0F4BA" w:rsidR="00BB6226" w:rsidRPr="00D14CD7" w:rsidRDefault="00BB6226" w:rsidP="00BB6226">
      <w:pPr>
        <w:spacing w:after="0" w:line="240" w:lineRule="auto"/>
        <w:rPr>
          <w:color w:val="000000" w:themeColor="text1"/>
        </w:rPr>
      </w:pPr>
      <w:r w:rsidRPr="00D14CD7">
        <w:rPr>
          <w:color w:val="000000" w:themeColor="text1"/>
        </w:rPr>
        <w:t xml:space="preserve">This research was partially supported by the U.S. Department of Transportation through the Center for Understanding Future Travel Behavior and Demand (TBD) (Grant No. 69A3552344815 and No. 69A3552348320), </w:t>
      </w:r>
      <w:r w:rsidRPr="004E3632">
        <w:rPr>
          <w:color w:val="000000" w:themeColor="text1"/>
        </w:rPr>
        <w:t>and the UT Good Systems Grand Challenge through the Good Systems Core Research Project entitled “</w:t>
      </w:r>
      <w:r w:rsidR="00970BC6" w:rsidRPr="00970BC6">
        <w:t>Designing AI to Advance Racial Equity</w:t>
      </w:r>
      <w:r w:rsidRPr="004E3632">
        <w:rPr>
          <w:color w:val="000000" w:themeColor="text1"/>
        </w:rPr>
        <w:t>.” This research was based on data collected for the study of workplace location choices as part of Texas Department of Transportation (TxDOT) project number 0-7054: Integration of Stated Preference</w:t>
      </w:r>
      <w:r w:rsidRPr="00D14CD7">
        <w:rPr>
          <w:color w:val="000000" w:themeColor="text1"/>
        </w:rPr>
        <w:t xml:space="preserve"> and Revealed Preference Methods in Regional Travel Survey Programs. </w:t>
      </w:r>
      <w:r w:rsidR="00AC3C4B">
        <w:t>The authors are grateful to Lisa Macias for her help in formatting this document, and to two anonymous reviewers who provided useful comments and suggestions on an earlier version of this paper.</w:t>
      </w:r>
    </w:p>
    <w:p w14:paraId="7F2EA7C6" w14:textId="3BE7435A" w:rsidR="005B6BB0" w:rsidRPr="00D14CD7" w:rsidRDefault="005B6BB0" w:rsidP="00BB6226">
      <w:pPr>
        <w:spacing w:after="0" w:line="240" w:lineRule="auto"/>
        <w:rPr>
          <w:color w:val="000000" w:themeColor="text1"/>
        </w:rPr>
      </w:pPr>
    </w:p>
    <w:p w14:paraId="2AD43B82" w14:textId="77777777" w:rsidR="005B6BB0" w:rsidRPr="00D14CD7" w:rsidRDefault="005B6BB0" w:rsidP="00DD2090">
      <w:pPr>
        <w:rPr>
          <w:color w:val="000000" w:themeColor="text1"/>
        </w:rPr>
        <w:sectPr w:rsidR="005B6BB0" w:rsidRPr="00D14CD7" w:rsidSect="00AE0A4C">
          <w:footerReference w:type="default" r:id="rId232"/>
          <w:pgSz w:w="12240" w:h="15840"/>
          <w:pgMar w:top="1440" w:right="1440" w:bottom="1440" w:left="1440" w:header="720" w:footer="720" w:gutter="0"/>
          <w:pgNumType w:start="0"/>
          <w:cols w:space="720"/>
          <w:titlePg/>
          <w:docGrid w:linePitch="360"/>
        </w:sectPr>
      </w:pPr>
    </w:p>
    <w:p w14:paraId="30C6D9FE" w14:textId="33EF996A" w:rsidR="00C46970" w:rsidRPr="00D14CD7" w:rsidRDefault="00AC3C4B" w:rsidP="007E2CED">
      <w:pPr>
        <w:pStyle w:val="Heading1"/>
        <w:numPr>
          <w:ilvl w:val="0"/>
          <w:numId w:val="0"/>
        </w:numPr>
        <w:spacing w:after="60" w:line="240" w:lineRule="auto"/>
        <w:ind w:left="360" w:hanging="360"/>
        <w:contextualSpacing w:val="0"/>
        <w:rPr>
          <w:color w:val="000000" w:themeColor="text1"/>
        </w:rPr>
      </w:pPr>
      <w:r>
        <w:rPr>
          <w:color w:val="000000" w:themeColor="text1"/>
        </w:rPr>
        <w:lastRenderedPageBreak/>
        <w:t>REFERENCES</w:t>
      </w:r>
    </w:p>
    <w:p w14:paraId="24C426ED" w14:textId="07155B3F" w:rsidR="00D2328A" w:rsidRPr="00D14CD7" w:rsidRDefault="00D2328A" w:rsidP="001B6746">
      <w:pPr>
        <w:spacing w:after="40" w:line="240" w:lineRule="auto"/>
        <w:ind w:left="540" w:hanging="540"/>
        <w:rPr>
          <w:color w:val="000000" w:themeColor="text1"/>
        </w:rPr>
      </w:pPr>
      <w:bookmarkStart w:id="60" w:name="_Hlk175221725"/>
      <w:bookmarkStart w:id="61" w:name="_Hlk140185523"/>
      <w:r w:rsidRPr="00D14CD7">
        <w:rPr>
          <w:color w:val="000000" w:themeColor="text1"/>
        </w:rPr>
        <w:t>Ahuja, K., Chandra, V., Lord, V., and Peens, C. (2021). Ordering in: The rapid evolution of food delivery. Mc</w:t>
      </w:r>
      <w:r w:rsidR="00FD4D36">
        <w:rPr>
          <w:color w:val="000000" w:themeColor="text1"/>
        </w:rPr>
        <w:t>K</w:t>
      </w:r>
      <w:r w:rsidRPr="00D14CD7">
        <w:rPr>
          <w:color w:val="000000" w:themeColor="text1"/>
        </w:rPr>
        <w:t>insey</w:t>
      </w:r>
      <w:r w:rsidR="00FD4D36">
        <w:rPr>
          <w:color w:val="000000" w:themeColor="text1"/>
        </w:rPr>
        <w:t xml:space="preserve"> &amp; Company</w:t>
      </w:r>
      <w:r w:rsidRPr="00D14CD7">
        <w:rPr>
          <w:color w:val="000000" w:themeColor="text1"/>
        </w:rPr>
        <w:t xml:space="preserve">. </w:t>
      </w:r>
      <w:hyperlink r:id="rId233" w:history="1">
        <w:r w:rsidR="005970AF" w:rsidRPr="00D14CD7">
          <w:rPr>
            <w:rStyle w:val="Hyperlink"/>
            <w:color w:val="000000" w:themeColor="text1"/>
          </w:rPr>
          <w:t>https://www.mckinsey.com/industries/technology-media-and-telecommunications/our-insights/ordering-in-the-rapid-evolution-of-food-delivery</w:t>
        </w:r>
      </w:hyperlink>
    </w:p>
    <w:p w14:paraId="26233C12" w14:textId="72F7BA6D" w:rsidR="005970AF" w:rsidRPr="00D14CD7" w:rsidRDefault="005970AF" w:rsidP="001B6746">
      <w:pPr>
        <w:spacing w:after="40" w:line="240" w:lineRule="auto"/>
        <w:ind w:left="540" w:hanging="540"/>
        <w:rPr>
          <w:color w:val="000000" w:themeColor="text1"/>
        </w:rPr>
      </w:pPr>
      <w:r w:rsidRPr="00D14CD7">
        <w:rPr>
          <w:color w:val="000000" w:themeColor="text1"/>
        </w:rPr>
        <w:t>Alonso, A., O’</w:t>
      </w:r>
      <w:r w:rsidR="00BB6226" w:rsidRPr="00D14CD7">
        <w:rPr>
          <w:color w:val="000000" w:themeColor="text1"/>
        </w:rPr>
        <w:t>N</w:t>
      </w:r>
      <w:r w:rsidRPr="00D14CD7">
        <w:rPr>
          <w:color w:val="000000" w:themeColor="text1"/>
        </w:rPr>
        <w:t>eill, M., Liu, Y., and O’</w:t>
      </w:r>
      <w:r w:rsidR="00BB6226" w:rsidRPr="00D14CD7">
        <w:rPr>
          <w:color w:val="000000" w:themeColor="text1"/>
        </w:rPr>
        <w:t>S</w:t>
      </w:r>
      <w:r w:rsidRPr="00D14CD7">
        <w:rPr>
          <w:color w:val="000000" w:themeColor="text1"/>
        </w:rPr>
        <w:t xml:space="preserve">hea, M. (2013). Factors driving consumer restaurant choice: An exploratory study from the Southeastern United States. </w:t>
      </w:r>
      <w:r w:rsidRPr="00D14CD7">
        <w:rPr>
          <w:i/>
          <w:iCs/>
          <w:color w:val="000000" w:themeColor="text1"/>
        </w:rPr>
        <w:t>Journal of Hospitality Marketing and Management</w:t>
      </w:r>
      <w:r w:rsidRPr="00D14CD7">
        <w:rPr>
          <w:color w:val="000000" w:themeColor="text1"/>
        </w:rPr>
        <w:t>, 22(5), 547–567.</w:t>
      </w:r>
    </w:p>
    <w:p w14:paraId="141606C6" w14:textId="5CDEB53A" w:rsidR="00D2328A" w:rsidRPr="00D14CD7" w:rsidRDefault="00D2328A" w:rsidP="001B6746">
      <w:pPr>
        <w:spacing w:after="40" w:line="240" w:lineRule="auto"/>
        <w:ind w:left="540" w:hanging="540"/>
        <w:rPr>
          <w:color w:val="000000" w:themeColor="text1"/>
        </w:rPr>
      </w:pPr>
      <w:proofErr w:type="spellStart"/>
      <w:r w:rsidRPr="00D14CD7">
        <w:rPr>
          <w:color w:val="000000" w:themeColor="text1"/>
        </w:rPr>
        <w:t>AlTamimi</w:t>
      </w:r>
      <w:proofErr w:type="spellEnd"/>
      <w:r w:rsidRPr="00D14CD7">
        <w:rPr>
          <w:color w:val="000000" w:themeColor="text1"/>
        </w:rPr>
        <w:t>, J.</w:t>
      </w:r>
      <w:r w:rsidR="001B6746" w:rsidRPr="00D14CD7">
        <w:rPr>
          <w:color w:val="000000" w:themeColor="text1"/>
        </w:rPr>
        <w:t xml:space="preserve"> </w:t>
      </w:r>
      <w:r w:rsidRPr="00D14CD7">
        <w:rPr>
          <w:color w:val="000000" w:themeColor="text1"/>
        </w:rPr>
        <w:t xml:space="preserve">Z., </w:t>
      </w:r>
      <w:proofErr w:type="spellStart"/>
      <w:r w:rsidRPr="00D14CD7">
        <w:rPr>
          <w:color w:val="000000" w:themeColor="text1"/>
        </w:rPr>
        <w:t>Alshwaiyat</w:t>
      </w:r>
      <w:proofErr w:type="spellEnd"/>
      <w:r w:rsidRPr="00D14CD7">
        <w:rPr>
          <w:color w:val="000000" w:themeColor="text1"/>
        </w:rPr>
        <w:t>, N.</w:t>
      </w:r>
      <w:r w:rsidR="001B6746" w:rsidRPr="00D14CD7">
        <w:rPr>
          <w:color w:val="000000" w:themeColor="text1"/>
        </w:rPr>
        <w:t xml:space="preserve"> </w:t>
      </w:r>
      <w:r w:rsidRPr="00D14CD7">
        <w:rPr>
          <w:color w:val="000000" w:themeColor="text1"/>
        </w:rPr>
        <w:t xml:space="preserve">M., </w:t>
      </w:r>
      <w:proofErr w:type="spellStart"/>
      <w:r w:rsidRPr="00D14CD7">
        <w:rPr>
          <w:color w:val="000000" w:themeColor="text1"/>
        </w:rPr>
        <w:t>Alkhalidy</w:t>
      </w:r>
      <w:proofErr w:type="spellEnd"/>
      <w:r w:rsidRPr="00D14CD7">
        <w:rPr>
          <w:color w:val="000000" w:themeColor="text1"/>
        </w:rPr>
        <w:t xml:space="preserve">, H., </w:t>
      </w:r>
      <w:proofErr w:type="spellStart"/>
      <w:r w:rsidRPr="00D14CD7">
        <w:rPr>
          <w:color w:val="000000" w:themeColor="text1"/>
        </w:rPr>
        <w:t>AlFaris</w:t>
      </w:r>
      <w:proofErr w:type="spellEnd"/>
      <w:r w:rsidRPr="00D14CD7">
        <w:rPr>
          <w:color w:val="000000" w:themeColor="text1"/>
        </w:rPr>
        <w:t>, N.</w:t>
      </w:r>
      <w:r w:rsidR="001B6746" w:rsidRPr="00D14CD7">
        <w:rPr>
          <w:color w:val="000000" w:themeColor="text1"/>
        </w:rPr>
        <w:t xml:space="preserve"> </w:t>
      </w:r>
      <w:r w:rsidRPr="00D14CD7">
        <w:rPr>
          <w:color w:val="000000" w:themeColor="text1"/>
        </w:rPr>
        <w:t xml:space="preserve">A., </w:t>
      </w:r>
      <w:proofErr w:type="spellStart"/>
      <w:r w:rsidRPr="00D14CD7">
        <w:rPr>
          <w:color w:val="000000" w:themeColor="text1"/>
        </w:rPr>
        <w:t>AlKehayez</w:t>
      </w:r>
      <w:proofErr w:type="spellEnd"/>
      <w:r w:rsidRPr="00D14CD7">
        <w:rPr>
          <w:color w:val="000000" w:themeColor="text1"/>
        </w:rPr>
        <w:t>, N.</w:t>
      </w:r>
      <w:r w:rsidR="001B6746" w:rsidRPr="00D14CD7">
        <w:rPr>
          <w:color w:val="000000" w:themeColor="text1"/>
        </w:rPr>
        <w:t xml:space="preserve"> </w:t>
      </w:r>
      <w:r w:rsidRPr="00D14CD7">
        <w:rPr>
          <w:color w:val="000000" w:themeColor="text1"/>
        </w:rPr>
        <w:t xml:space="preserve">M., </w:t>
      </w:r>
      <w:proofErr w:type="spellStart"/>
      <w:r w:rsidRPr="00D14CD7">
        <w:rPr>
          <w:color w:val="000000" w:themeColor="text1"/>
        </w:rPr>
        <w:t>Alsemari</w:t>
      </w:r>
      <w:proofErr w:type="spellEnd"/>
      <w:r w:rsidRPr="00D14CD7">
        <w:rPr>
          <w:color w:val="000000" w:themeColor="text1"/>
        </w:rPr>
        <w:t>, M.</w:t>
      </w:r>
      <w:r w:rsidR="001B6746" w:rsidRPr="00D14CD7">
        <w:rPr>
          <w:color w:val="000000" w:themeColor="text1"/>
        </w:rPr>
        <w:t xml:space="preserve"> </w:t>
      </w:r>
      <w:r w:rsidRPr="00D14CD7">
        <w:rPr>
          <w:color w:val="000000" w:themeColor="text1"/>
        </w:rPr>
        <w:t xml:space="preserve">A., and </w:t>
      </w:r>
      <w:proofErr w:type="spellStart"/>
      <w:r w:rsidRPr="00D14CD7">
        <w:rPr>
          <w:color w:val="000000" w:themeColor="text1"/>
        </w:rPr>
        <w:t>Alagal</w:t>
      </w:r>
      <w:proofErr w:type="spellEnd"/>
      <w:r w:rsidRPr="00D14CD7">
        <w:rPr>
          <w:color w:val="000000" w:themeColor="text1"/>
        </w:rPr>
        <w:t>, R.</w:t>
      </w:r>
      <w:r w:rsidR="001B6746" w:rsidRPr="00D14CD7">
        <w:rPr>
          <w:color w:val="000000" w:themeColor="text1"/>
        </w:rPr>
        <w:t xml:space="preserve"> </w:t>
      </w:r>
      <w:r w:rsidRPr="00D14CD7">
        <w:rPr>
          <w:color w:val="000000" w:themeColor="text1"/>
        </w:rPr>
        <w:t xml:space="preserve">I. (2022). Prevalence of </w:t>
      </w:r>
      <w:r w:rsidR="00BB6226" w:rsidRPr="00D14CD7">
        <w:rPr>
          <w:color w:val="000000" w:themeColor="text1"/>
        </w:rPr>
        <w:t>f</w:t>
      </w:r>
      <w:r w:rsidRPr="00D14CD7">
        <w:rPr>
          <w:color w:val="000000" w:themeColor="text1"/>
        </w:rPr>
        <w:t xml:space="preserve">ast </w:t>
      </w:r>
      <w:r w:rsidR="00BB6226" w:rsidRPr="00D14CD7">
        <w:rPr>
          <w:color w:val="000000" w:themeColor="text1"/>
        </w:rPr>
        <w:t>f</w:t>
      </w:r>
      <w:r w:rsidRPr="00D14CD7">
        <w:rPr>
          <w:color w:val="000000" w:themeColor="text1"/>
        </w:rPr>
        <w:t xml:space="preserve">ood </w:t>
      </w:r>
      <w:r w:rsidR="00BB6226" w:rsidRPr="00D14CD7">
        <w:rPr>
          <w:color w:val="000000" w:themeColor="text1"/>
        </w:rPr>
        <w:t>i</w:t>
      </w:r>
      <w:r w:rsidRPr="00D14CD7">
        <w:rPr>
          <w:color w:val="000000" w:themeColor="text1"/>
        </w:rPr>
        <w:t xml:space="preserve">ntake among a </w:t>
      </w:r>
      <w:r w:rsidR="00BB6226" w:rsidRPr="00D14CD7">
        <w:rPr>
          <w:color w:val="000000" w:themeColor="text1"/>
        </w:rPr>
        <w:t>m</w:t>
      </w:r>
      <w:r w:rsidRPr="00D14CD7">
        <w:rPr>
          <w:color w:val="000000" w:themeColor="text1"/>
        </w:rPr>
        <w:t>ulti-</w:t>
      </w:r>
      <w:r w:rsidR="00BB6226" w:rsidRPr="00D14CD7">
        <w:rPr>
          <w:color w:val="000000" w:themeColor="text1"/>
        </w:rPr>
        <w:t>e</w:t>
      </w:r>
      <w:r w:rsidRPr="00D14CD7">
        <w:rPr>
          <w:color w:val="000000" w:themeColor="text1"/>
        </w:rPr>
        <w:t xml:space="preserve">thnic </w:t>
      </w:r>
      <w:r w:rsidR="00BB6226" w:rsidRPr="00D14CD7">
        <w:rPr>
          <w:color w:val="000000" w:themeColor="text1"/>
        </w:rPr>
        <w:t>p</w:t>
      </w:r>
      <w:r w:rsidRPr="00D14CD7">
        <w:rPr>
          <w:color w:val="000000" w:themeColor="text1"/>
        </w:rPr>
        <w:t xml:space="preserve">opulation of </w:t>
      </w:r>
      <w:r w:rsidR="00BB6226" w:rsidRPr="00D14CD7">
        <w:rPr>
          <w:color w:val="000000" w:themeColor="text1"/>
        </w:rPr>
        <w:t>y</w:t>
      </w:r>
      <w:r w:rsidRPr="00D14CD7">
        <w:rPr>
          <w:color w:val="000000" w:themeColor="text1"/>
        </w:rPr>
        <w:t xml:space="preserve">oung </w:t>
      </w:r>
      <w:r w:rsidR="00BB6226" w:rsidRPr="00D14CD7">
        <w:rPr>
          <w:color w:val="000000" w:themeColor="text1"/>
        </w:rPr>
        <w:t>m</w:t>
      </w:r>
      <w:r w:rsidRPr="00D14CD7">
        <w:rPr>
          <w:color w:val="000000" w:themeColor="text1"/>
        </w:rPr>
        <w:t xml:space="preserve">en and </w:t>
      </w:r>
      <w:r w:rsidR="00BB6226" w:rsidRPr="00D14CD7">
        <w:rPr>
          <w:color w:val="000000" w:themeColor="text1"/>
        </w:rPr>
        <w:t>i</w:t>
      </w:r>
      <w:r w:rsidRPr="00D14CD7">
        <w:rPr>
          <w:color w:val="000000" w:themeColor="text1"/>
        </w:rPr>
        <w:t xml:space="preserve">ts </w:t>
      </w:r>
      <w:r w:rsidR="00BB6226" w:rsidRPr="00D14CD7">
        <w:rPr>
          <w:color w:val="000000" w:themeColor="text1"/>
        </w:rPr>
        <w:t>c</w:t>
      </w:r>
      <w:r w:rsidRPr="00D14CD7">
        <w:rPr>
          <w:color w:val="000000" w:themeColor="text1"/>
        </w:rPr>
        <w:t xml:space="preserve">onnection with </w:t>
      </w:r>
      <w:r w:rsidR="00BB6226" w:rsidRPr="00D14CD7">
        <w:rPr>
          <w:color w:val="000000" w:themeColor="text1"/>
        </w:rPr>
        <w:t>s</w:t>
      </w:r>
      <w:r w:rsidRPr="00D14CD7">
        <w:rPr>
          <w:color w:val="000000" w:themeColor="text1"/>
        </w:rPr>
        <w:t xml:space="preserve">ociodemographic </w:t>
      </w:r>
      <w:r w:rsidR="00BB6226" w:rsidRPr="00D14CD7">
        <w:rPr>
          <w:color w:val="000000" w:themeColor="text1"/>
        </w:rPr>
        <w:t>d</w:t>
      </w:r>
      <w:r w:rsidRPr="00D14CD7">
        <w:rPr>
          <w:color w:val="000000" w:themeColor="text1"/>
        </w:rPr>
        <w:t xml:space="preserve">eterminants and </w:t>
      </w:r>
      <w:r w:rsidR="00BB6226" w:rsidRPr="00D14CD7">
        <w:rPr>
          <w:color w:val="000000" w:themeColor="text1"/>
        </w:rPr>
        <w:t>o</w:t>
      </w:r>
      <w:r w:rsidRPr="00D14CD7">
        <w:rPr>
          <w:color w:val="000000" w:themeColor="text1"/>
        </w:rPr>
        <w:t xml:space="preserve">besity. </w:t>
      </w:r>
      <w:r w:rsidRPr="00D14CD7">
        <w:rPr>
          <w:i/>
          <w:iCs/>
          <w:color w:val="000000" w:themeColor="text1"/>
        </w:rPr>
        <w:t>International Journal of Environmental Research and Public Health</w:t>
      </w:r>
      <w:r w:rsidRPr="00D14CD7">
        <w:rPr>
          <w:color w:val="000000" w:themeColor="text1"/>
        </w:rPr>
        <w:t>, 19(22), 14933.</w:t>
      </w:r>
    </w:p>
    <w:p w14:paraId="531FE375" w14:textId="3BD6DFB0" w:rsidR="005970AF" w:rsidRPr="00D14CD7" w:rsidRDefault="005970AF" w:rsidP="001B6746">
      <w:pPr>
        <w:spacing w:after="40" w:line="240" w:lineRule="auto"/>
        <w:ind w:left="540" w:hanging="540"/>
        <w:rPr>
          <w:color w:val="000000" w:themeColor="text1"/>
        </w:rPr>
      </w:pPr>
      <w:proofErr w:type="spellStart"/>
      <w:r w:rsidRPr="00D14CD7">
        <w:rPr>
          <w:color w:val="000000" w:themeColor="text1"/>
        </w:rPr>
        <w:t>AreaVibes</w:t>
      </w:r>
      <w:proofErr w:type="spellEnd"/>
      <w:r w:rsidRPr="00D14CD7">
        <w:rPr>
          <w:color w:val="000000" w:themeColor="text1"/>
        </w:rPr>
        <w:t xml:space="preserve"> Methodology. (2023). </w:t>
      </w:r>
      <w:hyperlink r:id="rId234" w:history="1">
        <w:r w:rsidR="00BB6226" w:rsidRPr="00D14CD7">
          <w:rPr>
            <w:rStyle w:val="Hyperlink"/>
            <w:color w:val="000000" w:themeColor="text1"/>
          </w:rPr>
          <w:t>https://www.areavibes.com/methodology/</w:t>
        </w:r>
      </w:hyperlink>
      <w:r w:rsidR="00BB6226" w:rsidRPr="00D14CD7">
        <w:rPr>
          <w:color w:val="000000" w:themeColor="text1"/>
        </w:rPr>
        <w:t xml:space="preserve"> </w:t>
      </w:r>
    </w:p>
    <w:p w14:paraId="28115B0C" w14:textId="5DAECEEF" w:rsidR="00FC630C" w:rsidRPr="00503602" w:rsidRDefault="00FC630C" w:rsidP="001B6746">
      <w:pPr>
        <w:spacing w:after="40" w:line="240" w:lineRule="auto"/>
        <w:ind w:left="540" w:hanging="540"/>
      </w:pPr>
      <w:r w:rsidRPr="00D14CD7">
        <w:rPr>
          <w:color w:val="000000" w:themeColor="text1"/>
        </w:rPr>
        <w:t>Asmussen, K.E., Mondal, A., and Bhat, C.R. (202</w:t>
      </w:r>
      <w:r w:rsidR="00503602">
        <w:rPr>
          <w:color w:val="000000" w:themeColor="text1"/>
        </w:rPr>
        <w:t>4</w:t>
      </w:r>
      <w:r w:rsidRPr="00D14CD7">
        <w:rPr>
          <w:color w:val="000000" w:themeColor="text1"/>
        </w:rPr>
        <w:t xml:space="preserve">). The </w:t>
      </w:r>
      <w:r w:rsidR="00BB6226" w:rsidRPr="00D14CD7">
        <w:rPr>
          <w:color w:val="000000" w:themeColor="text1"/>
        </w:rPr>
        <w:t>i</w:t>
      </w:r>
      <w:r w:rsidRPr="00D14CD7">
        <w:rPr>
          <w:color w:val="000000" w:themeColor="text1"/>
        </w:rPr>
        <w:t xml:space="preserve">nterplay between </w:t>
      </w:r>
      <w:r w:rsidR="00BB6226" w:rsidRPr="00D14CD7">
        <w:rPr>
          <w:color w:val="000000" w:themeColor="text1"/>
        </w:rPr>
        <w:t>t</w:t>
      </w:r>
      <w:r w:rsidRPr="00D14CD7">
        <w:rPr>
          <w:color w:val="000000" w:themeColor="text1"/>
        </w:rPr>
        <w:t xml:space="preserve">eleworking </w:t>
      </w:r>
      <w:r w:rsidR="00BB6226" w:rsidRPr="00D14CD7">
        <w:rPr>
          <w:color w:val="000000" w:themeColor="text1"/>
        </w:rPr>
        <w:t>c</w:t>
      </w:r>
      <w:r w:rsidRPr="00D14CD7">
        <w:rPr>
          <w:color w:val="000000" w:themeColor="text1"/>
        </w:rPr>
        <w:t xml:space="preserve">hoice and </w:t>
      </w:r>
      <w:r w:rsidR="00BB6226" w:rsidRPr="00D14CD7">
        <w:rPr>
          <w:color w:val="000000" w:themeColor="text1"/>
        </w:rPr>
        <w:t>c</w:t>
      </w:r>
      <w:r w:rsidRPr="00D14CD7">
        <w:rPr>
          <w:color w:val="000000" w:themeColor="text1"/>
        </w:rPr>
        <w:t xml:space="preserve">ommute </w:t>
      </w:r>
      <w:r w:rsidR="00BB6226" w:rsidRPr="00D14CD7">
        <w:rPr>
          <w:color w:val="000000" w:themeColor="text1"/>
        </w:rPr>
        <w:t>d</w:t>
      </w:r>
      <w:r w:rsidRPr="00D14CD7">
        <w:rPr>
          <w:color w:val="000000" w:themeColor="text1"/>
        </w:rPr>
        <w:t xml:space="preserve">istance. </w:t>
      </w:r>
      <w:r w:rsidR="00503602" w:rsidRPr="00503602">
        <w:rPr>
          <w:i/>
          <w:iCs/>
        </w:rPr>
        <w:t>Transportation Research Part C</w:t>
      </w:r>
      <w:r w:rsidR="00503602" w:rsidRPr="00503602">
        <w:t>, 165, 104690</w:t>
      </w:r>
      <w:r w:rsidRPr="00503602">
        <w:t>.</w:t>
      </w:r>
    </w:p>
    <w:p w14:paraId="2C0EA802" w14:textId="0276F13D" w:rsidR="00D2328A" w:rsidRPr="00D14CD7" w:rsidRDefault="00D2328A" w:rsidP="001B6746">
      <w:pPr>
        <w:spacing w:after="40" w:line="240" w:lineRule="auto"/>
        <w:ind w:left="540" w:hanging="540"/>
        <w:rPr>
          <w:color w:val="000000" w:themeColor="text1"/>
        </w:rPr>
      </w:pPr>
      <w:r w:rsidRPr="00D14CD7">
        <w:rPr>
          <w:color w:val="000000" w:themeColor="text1"/>
        </w:rPr>
        <w:t xml:space="preserve">Athens, J. K., Duncan, D. T., and </w:t>
      </w:r>
      <w:proofErr w:type="spellStart"/>
      <w:r w:rsidRPr="00D14CD7">
        <w:rPr>
          <w:color w:val="000000" w:themeColor="text1"/>
        </w:rPr>
        <w:t>Elbel</w:t>
      </w:r>
      <w:proofErr w:type="spellEnd"/>
      <w:r w:rsidRPr="00D14CD7">
        <w:rPr>
          <w:color w:val="000000" w:themeColor="text1"/>
        </w:rPr>
        <w:t xml:space="preserve">, B. (2016). Proximity to fast-food outlets and supermarkets as predictors of fast-food dining frequency. </w:t>
      </w:r>
      <w:r w:rsidRPr="00D14CD7">
        <w:rPr>
          <w:i/>
          <w:iCs/>
          <w:color w:val="000000" w:themeColor="text1"/>
        </w:rPr>
        <w:t>Journal of the Academy of Nutrition and Dietetics</w:t>
      </w:r>
      <w:r w:rsidRPr="00D14CD7">
        <w:rPr>
          <w:color w:val="000000" w:themeColor="text1"/>
        </w:rPr>
        <w:t>, 116(8), 1266–1275.</w:t>
      </w:r>
    </w:p>
    <w:p w14:paraId="09A06D29" w14:textId="60AEFBF1" w:rsidR="00A40E11" w:rsidRDefault="00A40E11" w:rsidP="001B6746">
      <w:pPr>
        <w:spacing w:after="40" w:line="240" w:lineRule="auto"/>
        <w:ind w:left="540" w:hanging="540"/>
        <w:rPr>
          <w:color w:val="000000" w:themeColor="text1"/>
        </w:rPr>
      </w:pPr>
      <w:r w:rsidRPr="00A40E11">
        <w:rPr>
          <w:color w:val="000000" w:themeColor="text1"/>
        </w:rPr>
        <w:t xml:space="preserve">Babbie, E. R. (2021). </w:t>
      </w:r>
      <w:r w:rsidRPr="00DE0256">
        <w:rPr>
          <w:i/>
          <w:iCs/>
          <w:color w:val="000000" w:themeColor="text1"/>
        </w:rPr>
        <w:t xml:space="preserve">The </w:t>
      </w:r>
      <w:r w:rsidR="00FD4D36" w:rsidRPr="00DE0256">
        <w:rPr>
          <w:i/>
          <w:iCs/>
          <w:color w:val="000000" w:themeColor="text1"/>
        </w:rPr>
        <w:t>P</w:t>
      </w:r>
      <w:r w:rsidRPr="00DE0256">
        <w:rPr>
          <w:i/>
          <w:iCs/>
          <w:color w:val="000000" w:themeColor="text1"/>
        </w:rPr>
        <w:t xml:space="preserve">ractice of </w:t>
      </w:r>
      <w:r w:rsidR="00FD4D36" w:rsidRPr="00DE0256">
        <w:rPr>
          <w:i/>
          <w:iCs/>
          <w:color w:val="000000" w:themeColor="text1"/>
        </w:rPr>
        <w:t>S</w:t>
      </w:r>
      <w:r w:rsidRPr="00DE0256">
        <w:rPr>
          <w:i/>
          <w:iCs/>
          <w:color w:val="000000" w:themeColor="text1"/>
        </w:rPr>
        <w:t xml:space="preserve">ocial </w:t>
      </w:r>
      <w:r w:rsidR="00FD4D36" w:rsidRPr="00DE0256">
        <w:rPr>
          <w:i/>
          <w:iCs/>
          <w:color w:val="000000" w:themeColor="text1"/>
        </w:rPr>
        <w:t>R</w:t>
      </w:r>
      <w:r w:rsidRPr="00DE0256">
        <w:rPr>
          <w:i/>
          <w:iCs/>
          <w:color w:val="000000" w:themeColor="text1"/>
        </w:rPr>
        <w:t>esearch</w:t>
      </w:r>
      <w:r w:rsidRPr="00A40E11">
        <w:rPr>
          <w:color w:val="000000" w:themeColor="text1"/>
        </w:rPr>
        <w:t xml:space="preserve"> (Fifteenth edition). Cengage.</w:t>
      </w:r>
    </w:p>
    <w:p w14:paraId="4950128B" w14:textId="02E4410E" w:rsidR="00D2328A" w:rsidRPr="00D14CD7" w:rsidRDefault="00D2328A" w:rsidP="001B6746">
      <w:pPr>
        <w:spacing w:after="40" w:line="240" w:lineRule="auto"/>
        <w:ind w:left="540" w:hanging="540"/>
        <w:rPr>
          <w:color w:val="000000" w:themeColor="text1"/>
        </w:rPr>
      </w:pPr>
      <w:proofErr w:type="spellStart"/>
      <w:r w:rsidRPr="00D14CD7">
        <w:rPr>
          <w:color w:val="000000" w:themeColor="text1"/>
        </w:rPr>
        <w:t>Baobeid</w:t>
      </w:r>
      <w:proofErr w:type="spellEnd"/>
      <w:r w:rsidRPr="00D14CD7">
        <w:rPr>
          <w:color w:val="000000" w:themeColor="text1"/>
        </w:rPr>
        <w:t xml:space="preserve">, A., </w:t>
      </w:r>
      <w:proofErr w:type="spellStart"/>
      <w:r w:rsidRPr="00D14CD7">
        <w:rPr>
          <w:color w:val="000000" w:themeColor="text1"/>
        </w:rPr>
        <w:t>Koç</w:t>
      </w:r>
      <w:proofErr w:type="spellEnd"/>
      <w:r w:rsidRPr="00D14CD7">
        <w:rPr>
          <w:color w:val="000000" w:themeColor="text1"/>
        </w:rPr>
        <w:t>, M., and Al-</w:t>
      </w:r>
      <w:proofErr w:type="spellStart"/>
      <w:r w:rsidRPr="00D14CD7">
        <w:rPr>
          <w:color w:val="000000" w:themeColor="text1"/>
        </w:rPr>
        <w:t>Ghamdi</w:t>
      </w:r>
      <w:proofErr w:type="spellEnd"/>
      <w:r w:rsidRPr="00D14CD7">
        <w:rPr>
          <w:color w:val="000000" w:themeColor="text1"/>
        </w:rPr>
        <w:t xml:space="preserve">, S. G. (2021). Walkability and its relationships with health, sustainability, and livability: Elements of physical environment and evaluation frameworks. </w:t>
      </w:r>
      <w:r w:rsidRPr="00D14CD7">
        <w:rPr>
          <w:i/>
          <w:iCs/>
          <w:color w:val="000000" w:themeColor="text1"/>
        </w:rPr>
        <w:t>Frontiers in Built Environment</w:t>
      </w:r>
      <w:r w:rsidRPr="00D14CD7">
        <w:rPr>
          <w:color w:val="000000" w:themeColor="text1"/>
        </w:rPr>
        <w:t>, 7, 721218.</w:t>
      </w:r>
    </w:p>
    <w:p w14:paraId="1FE432B8" w14:textId="43AD325F" w:rsidR="00D2328A" w:rsidRPr="00D14CD7" w:rsidRDefault="00D2328A" w:rsidP="001B6746">
      <w:pPr>
        <w:spacing w:after="40" w:line="240" w:lineRule="auto"/>
        <w:ind w:left="540" w:hanging="540"/>
        <w:rPr>
          <w:color w:val="000000" w:themeColor="text1"/>
        </w:rPr>
      </w:pPr>
      <w:proofErr w:type="spellStart"/>
      <w:r w:rsidRPr="00D14CD7">
        <w:rPr>
          <w:color w:val="000000" w:themeColor="text1"/>
        </w:rPr>
        <w:t>Bärebring</w:t>
      </w:r>
      <w:proofErr w:type="spellEnd"/>
      <w:r w:rsidRPr="00D14CD7">
        <w:rPr>
          <w:color w:val="000000" w:themeColor="text1"/>
        </w:rPr>
        <w:t xml:space="preserve">, L., </w:t>
      </w:r>
      <w:proofErr w:type="spellStart"/>
      <w:r w:rsidRPr="00D14CD7">
        <w:rPr>
          <w:color w:val="000000" w:themeColor="text1"/>
        </w:rPr>
        <w:t>Palmqvist</w:t>
      </w:r>
      <w:proofErr w:type="spellEnd"/>
      <w:r w:rsidRPr="00D14CD7">
        <w:rPr>
          <w:color w:val="000000" w:themeColor="text1"/>
        </w:rPr>
        <w:t xml:space="preserve">, M., </w:t>
      </w:r>
      <w:proofErr w:type="spellStart"/>
      <w:r w:rsidRPr="00D14CD7">
        <w:rPr>
          <w:color w:val="000000" w:themeColor="text1"/>
        </w:rPr>
        <w:t>Winkvist</w:t>
      </w:r>
      <w:proofErr w:type="spellEnd"/>
      <w:r w:rsidRPr="00D14CD7">
        <w:rPr>
          <w:color w:val="000000" w:themeColor="text1"/>
        </w:rPr>
        <w:t xml:space="preserve">, A., and Augustin, H. (2020). Gender differences in perceived food healthiness and food avoidance in a Swedish population-based survey: A cross sectional study. </w:t>
      </w:r>
      <w:r w:rsidRPr="00D14CD7">
        <w:rPr>
          <w:i/>
          <w:iCs/>
          <w:color w:val="000000" w:themeColor="text1"/>
        </w:rPr>
        <w:t>Nutrition Journal</w:t>
      </w:r>
      <w:r w:rsidRPr="00D14CD7">
        <w:rPr>
          <w:color w:val="000000" w:themeColor="text1"/>
        </w:rPr>
        <w:t xml:space="preserve">, 19, </w:t>
      </w:r>
      <w:r w:rsidR="00970BC6">
        <w:rPr>
          <w:color w:val="000000" w:themeColor="text1"/>
        </w:rPr>
        <w:t>140</w:t>
      </w:r>
      <w:r w:rsidRPr="00D14CD7">
        <w:rPr>
          <w:color w:val="000000" w:themeColor="text1"/>
        </w:rPr>
        <w:t>.</w:t>
      </w:r>
    </w:p>
    <w:p w14:paraId="107A769E" w14:textId="77777777" w:rsidR="00D2328A" w:rsidRPr="00D14CD7" w:rsidRDefault="00D2328A" w:rsidP="001B6746">
      <w:pPr>
        <w:spacing w:after="40" w:line="240" w:lineRule="auto"/>
        <w:ind w:left="540" w:hanging="540"/>
        <w:rPr>
          <w:color w:val="000000" w:themeColor="text1"/>
        </w:rPr>
      </w:pPr>
      <w:r w:rsidRPr="00D14CD7">
        <w:rPr>
          <w:color w:val="000000" w:themeColor="text1"/>
        </w:rPr>
        <w:t xml:space="preserve">Bell, C. N., Sacks, T. K., Tobin, C. S. T., and Thorpe Jr, R. J. (2020). Racial non-equivalence of socioeconomic status and self-rated health among African Americans and Whites. </w:t>
      </w:r>
      <w:r w:rsidRPr="00D14CD7">
        <w:rPr>
          <w:i/>
          <w:iCs/>
          <w:color w:val="000000" w:themeColor="text1"/>
        </w:rPr>
        <w:t>SSM-Population Health</w:t>
      </w:r>
      <w:r w:rsidRPr="00D14CD7">
        <w:rPr>
          <w:color w:val="000000" w:themeColor="text1"/>
        </w:rPr>
        <w:t>, 10, 100561.</w:t>
      </w:r>
    </w:p>
    <w:p w14:paraId="45254099" w14:textId="4CB344CD" w:rsidR="00D2328A" w:rsidRPr="00D14CD7" w:rsidRDefault="00D2328A" w:rsidP="001B6746">
      <w:pPr>
        <w:spacing w:after="40" w:line="240" w:lineRule="auto"/>
        <w:ind w:left="540" w:hanging="540"/>
        <w:rPr>
          <w:color w:val="000000" w:themeColor="text1"/>
        </w:rPr>
      </w:pPr>
      <w:r w:rsidRPr="00D14CD7">
        <w:rPr>
          <w:color w:val="000000" w:themeColor="text1"/>
        </w:rPr>
        <w:t xml:space="preserve">Bernardo, C., Paleti, R., </w:t>
      </w:r>
      <w:proofErr w:type="spellStart"/>
      <w:r w:rsidRPr="00D14CD7">
        <w:rPr>
          <w:color w:val="000000" w:themeColor="text1"/>
        </w:rPr>
        <w:t>Hoklas</w:t>
      </w:r>
      <w:proofErr w:type="spellEnd"/>
      <w:r w:rsidRPr="00D14CD7">
        <w:rPr>
          <w:color w:val="000000" w:themeColor="text1"/>
        </w:rPr>
        <w:t xml:space="preserve">, M., and Bhat, C. (2015). An empirical investigation into the time-use and activity patterns of dual-earner couples with and without young children. </w:t>
      </w:r>
      <w:r w:rsidRPr="00D14CD7">
        <w:rPr>
          <w:i/>
          <w:iCs/>
          <w:color w:val="000000" w:themeColor="text1"/>
        </w:rPr>
        <w:t>Transportation Research Part A</w:t>
      </w:r>
      <w:r w:rsidRPr="00D14CD7">
        <w:rPr>
          <w:color w:val="000000" w:themeColor="text1"/>
        </w:rPr>
        <w:t>, 76, 71–91.</w:t>
      </w:r>
    </w:p>
    <w:p w14:paraId="412C0613" w14:textId="419E24F0" w:rsidR="00D2328A" w:rsidRPr="00D14CD7" w:rsidRDefault="00D2328A" w:rsidP="001B6746">
      <w:pPr>
        <w:spacing w:after="40" w:line="240" w:lineRule="auto"/>
        <w:ind w:left="540" w:hanging="540"/>
        <w:rPr>
          <w:color w:val="000000" w:themeColor="text1"/>
        </w:rPr>
      </w:pPr>
      <w:r w:rsidRPr="00D14CD7">
        <w:rPr>
          <w:color w:val="000000" w:themeColor="text1"/>
        </w:rPr>
        <w:t xml:space="preserve">Bhat, C. R. (2015). A new generalized heterogeneous data model (GHDM) to jointly model mixed types of dependent variables. </w:t>
      </w:r>
      <w:r w:rsidRPr="00D14CD7">
        <w:rPr>
          <w:i/>
          <w:iCs/>
          <w:color w:val="000000" w:themeColor="text1"/>
        </w:rPr>
        <w:t>Transportation Research Part B</w:t>
      </w:r>
      <w:r w:rsidRPr="00D14CD7">
        <w:rPr>
          <w:color w:val="000000" w:themeColor="text1"/>
        </w:rPr>
        <w:t>, 79, 50–77.</w:t>
      </w:r>
    </w:p>
    <w:p w14:paraId="50F1CE3C" w14:textId="0105EBCC" w:rsidR="00D2328A" w:rsidRPr="00D14CD7" w:rsidRDefault="00D2328A" w:rsidP="001B6746">
      <w:pPr>
        <w:spacing w:after="40" w:line="240" w:lineRule="auto"/>
        <w:ind w:left="540" w:hanging="540"/>
        <w:rPr>
          <w:color w:val="000000" w:themeColor="text1"/>
        </w:rPr>
      </w:pPr>
      <w:r w:rsidRPr="00D14CD7">
        <w:rPr>
          <w:color w:val="000000" w:themeColor="text1"/>
        </w:rPr>
        <w:t xml:space="preserve">Bhat, C. R. (2022). A closed-form multiple discrete-count extreme value (MDCNTEV) model. </w:t>
      </w:r>
      <w:r w:rsidRPr="00D14CD7">
        <w:rPr>
          <w:i/>
          <w:iCs/>
          <w:color w:val="000000" w:themeColor="text1"/>
        </w:rPr>
        <w:t>Transportation Research Part B</w:t>
      </w:r>
      <w:r w:rsidRPr="00D14CD7">
        <w:rPr>
          <w:color w:val="000000" w:themeColor="text1"/>
        </w:rPr>
        <w:t>, 164, 65–86.</w:t>
      </w:r>
    </w:p>
    <w:p w14:paraId="6781AAA3" w14:textId="7C691913" w:rsidR="00D2328A" w:rsidRPr="00D14CD7" w:rsidRDefault="00D2328A" w:rsidP="001B6746">
      <w:pPr>
        <w:spacing w:after="40" w:line="240" w:lineRule="auto"/>
        <w:ind w:left="540" w:hanging="540"/>
        <w:rPr>
          <w:color w:val="000000" w:themeColor="text1"/>
        </w:rPr>
      </w:pPr>
      <w:r w:rsidRPr="00D14CD7">
        <w:rPr>
          <w:color w:val="000000" w:themeColor="text1"/>
        </w:rPr>
        <w:t xml:space="preserve">Bhat, C. R., and </w:t>
      </w:r>
      <w:proofErr w:type="spellStart"/>
      <w:r w:rsidRPr="00D14CD7">
        <w:rPr>
          <w:color w:val="000000" w:themeColor="text1"/>
        </w:rPr>
        <w:t>Gossen</w:t>
      </w:r>
      <w:proofErr w:type="spellEnd"/>
      <w:r w:rsidRPr="00D14CD7">
        <w:rPr>
          <w:color w:val="000000" w:themeColor="text1"/>
        </w:rPr>
        <w:t xml:space="preserve">, R. (2004). A mixed multinomial logit model analysis of weekend recreational episode type choice. </w:t>
      </w:r>
      <w:r w:rsidRPr="00D14CD7">
        <w:rPr>
          <w:i/>
          <w:iCs/>
          <w:color w:val="000000" w:themeColor="text1"/>
        </w:rPr>
        <w:t>Transportation Research Part B</w:t>
      </w:r>
      <w:r w:rsidR="00F85F00" w:rsidRPr="00D14CD7">
        <w:rPr>
          <w:color w:val="000000" w:themeColor="text1"/>
        </w:rPr>
        <w:t xml:space="preserve">, </w:t>
      </w:r>
      <w:r w:rsidRPr="00D14CD7">
        <w:rPr>
          <w:color w:val="000000" w:themeColor="text1"/>
        </w:rPr>
        <w:t>38(9), 767–787.</w:t>
      </w:r>
    </w:p>
    <w:p w14:paraId="747C1D0F" w14:textId="77777777" w:rsidR="00D2328A" w:rsidRPr="00D14CD7" w:rsidRDefault="00D2328A" w:rsidP="001B6746">
      <w:pPr>
        <w:spacing w:after="40" w:line="240" w:lineRule="auto"/>
        <w:ind w:left="540" w:hanging="540"/>
        <w:rPr>
          <w:color w:val="000000" w:themeColor="text1"/>
        </w:rPr>
      </w:pPr>
      <w:r w:rsidRPr="00D14CD7">
        <w:rPr>
          <w:color w:val="000000" w:themeColor="text1"/>
        </w:rPr>
        <w:t xml:space="preserve">Billingsley, B. L. (2016). Racialized and classed contexts: Shifting audiences and changes in emotional labor among restaurant servers. </w:t>
      </w:r>
      <w:r w:rsidRPr="00D14CD7">
        <w:rPr>
          <w:i/>
          <w:iCs/>
          <w:color w:val="000000" w:themeColor="text1"/>
        </w:rPr>
        <w:t>Sociological Inquiry</w:t>
      </w:r>
      <w:r w:rsidRPr="00D14CD7">
        <w:rPr>
          <w:color w:val="000000" w:themeColor="text1"/>
        </w:rPr>
        <w:t>, 86(4), 641–657.</w:t>
      </w:r>
    </w:p>
    <w:p w14:paraId="68C96FBF" w14:textId="134FBAAE" w:rsidR="00D2328A" w:rsidRPr="00D14CD7" w:rsidRDefault="00D2328A" w:rsidP="001B6746">
      <w:pPr>
        <w:spacing w:after="40" w:line="240" w:lineRule="auto"/>
        <w:ind w:left="540" w:hanging="540"/>
        <w:rPr>
          <w:color w:val="000000" w:themeColor="text1"/>
        </w:rPr>
      </w:pPr>
      <w:r w:rsidRPr="00D14CD7">
        <w:rPr>
          <w:color w:val="000000" w:themeColor="text1"/>
        </w:rPr>
        <w:t xml:space="preserve">Brewster, Z. W., and Heffner, A. V. (2021). Expressions of </w:t>
      </w:r>
      <w:r w:rsidR="00BB6226" w:rsidRPr="00D14CD7">
        <w:rPr>
          <w:color w:val="000000" w:themeColor="text1"/>
        </w:rPr>
        <w:t>a</w:t>
      </w:r>
      <w:r w:rsidRPr="00D14CD7">
        <w:rPr>
          <w:color w:val="000000" w:themeColor="text1"/>
        </w:rPr>
        <w:t>nti-</w:t>
      </w:r>
      <w:r w:rsidR="00BB6226" w:rsidRPr="00D14CD7">
        <w:rPr>
          <w:color w:val="000000" w:themeColor="text1"/>
        </w:rPr>
        <w:t>B</w:t>
      </w:r>
      <w:r w:rsidRPr="00D14CD7">
        <w:rPr>
          <w:color w:val="000000" w:themeColor="text1"/>
        </w:rPr>
        <w:t xml:space="preserve">lack </w:t>
      </w:r>
      <w:r w:rsidR="00BB6226" w:rsidRPr="00D14CD7">
        <w:rPr>
          <w:color w:val="000000" w:themeColor="text1"/>
        </w:rPr>
        <w:t>b</w:t>
      </w:r>
      <w:r w:rsidRPr="00D14CD7">
        <w:rPr>
          <w:color w:val="000000" w:themeColor="text1"/>
        </w:rPr>
        <w:t xml:space="preserve">iases, </w:t>
      </w:r>
      <w:r w:rsidR="00BB6226" w:rsidRPr="00D14CD7">
        <w:rPr>
          <w:color w:val="000000" w:themeColor="text1"/>
        </w:rPr>
        <w:t>j</w:t>
      </w:r>
      <w:r w:rsidRPr="00D14CD7">
        <w:rPr>
          <w:color w:val="000000" w:themeColor="text1"/>
        </w:rPr>
        <w:t xml:space="preserve">ob </w:t>
      </w:r>
      <w:r w:rsidR="00BB6226" w:rsidRPr="00D14CD7">
        <w:rPr>
          <w:color w:val="000000" w:themeColor="text1"/>
        </w:rPr>
        <w:t>s</w:t>
      </w:r>
      <w:r w:rsidRPr="00D14CD7">
        <w:rPr>
          <w:color w:val="000000" w:themeColor="text1"/>
        </w:rPr>
        <w:t xml:space="preserve">atisfaction, and </w:t>
      </w:r>
      <w:r w:rsidR="00BB6226" w:rsidRPr="00D14CD7">
        <w:rPr>
          <w:color w:val="000000" w:themeColor="text1"/>
        </w:rPr>
        <w:t>t</w:t>
      </w:r>
      <w:r w:rsidRPr="00D14CD7">
        <w:rPr>
          <w:color w:val="000000" w:themeColor="text1"/>
        </w:rPr>
        <w:t xml:space="preserve">urnover </w:t>
      </w:r>
      <w:r w:rsidR="00BB6226" w:rsidRPr="00D14CD7">
        <w:rPr>
          <w:color w:val="000000" w:themeColor="text1"/>
        </w:rPr>
        <w:t>i</w:t>
      </w:r>
      <w:r w:rsidRPr="00D14CD7">
        <w:rPr>
          <w:color w:val="000000" w:themeColor="text1"/>
        </w:rPr>
        <w:t xml:space="preserve">ntentions in the </w:t>
      </w:r>
      <w:r w:rsidR="00BB6226" w:rsidRPr="00D14CD7">
        <w:rPr>
          <w:color w:val="000000" w:themeColor="text1"/>
        </w:rPr>
        <w:t>f</w:t>
      </w:r>
      <w:r w:rsidRPr="00D14CD7">
        <w:rPr>
          <w:color w:val="000000" w:themeColor="text1"/>
        </w:rPr>
        <w:t>ull-</w:t>
      </w:r>
      <w:r w:rsidR="00BB6226" w:rsidRPr="00D14CD7">
        <w:rPr>
          <w:color w:val="000000" w:themeColor="text1"/>
        </w:rPr>
        <w:t>s</w:t>
      </w:r>
      <w:r w:rsidRPr="00D14CD7">
        <w:rPr>
          <w:color w:val="000000" w:themeColor="text1"/>
        </w:rPr>
        <w:t xml:space="preserve">ervice </w:t>
      </w:r>
      <w:r w:rsidR="00BB6226" w:rsidRPr="00D14CD7">
        <w:rPr>
          <w:color w:val="000000" w:themeColor="text1"/>
        </w:rPr>
        <w:t>r</w:t>
      </w:r>
      <w:r w:rsidRPr="00D14CD7">
        <w:rPr>
          <w:color w:val="000000" w:themeColor="text1"/>
        </w:rPr>
        <w:t xml:space="preserve">estaurant </w:t>
      </w:r>
      <w:r w:rsidR="00BB6226" w:rsidRPr="00D14CD7">
        <w:rPr>
          <w:color w:val="000000" w:themeColor="text1"/>
        </w:rPr>
        <w:t>i</w:t>
      </w:r>
      <w:r w:rsidRPr="00D14CD7">
        <w:rPr>
          <w:color w:val="000000" w:themeColor="text1"/>
        </w:rPr>
        <w:t xml:space="preserve">ndustry. </w:t>
      </w:r>
      <w:r w:rsidRPr="00D14CD7">
        <w:rPr>
          <w:i/>
          <w:iCs/>
          <w:color w:val="000000" w:themeColor="text1"/>
        </w:rPr>
        <w:t>Journal of Hospitality and Tourism Research</w:t>
      </w:r>
      <w:r w:rsidRPr="00D14CD7">
        <w:rPr>
          <w:color w:val="000000" w:themeColor="text1"/>
        </w:rPr>
        <w:t xml:space="preserve">, </w:t>
      </w:r>
      <w:r w:rsidR="00BB6226" w:rsidRPr="00D14CD7">
        <w:rPr>
          <w:color w:val="000000" w:themeColor="text1"/>
        </w:rPr>
        <w:t>47(2), 291–302</w:t>
      </w:r>
      <w:r w:rsidRPr="00D14CD7">
        <w:rPr>
          <w:color w:val="000000" w:themeColor="text1"/>
        </w:rPr>
        <w:t>.</w:t>
      </w:r>
    </w:p>
    <w:p w14:paraId="12D0DEE3" w14:textId="3311CBD4" w:rsidR="00D2328A" w:rsidRPr="00D14CD7" w:rsidRDefault="00D2328A" w:rsidP="001B6746">
      <w:pPr>
        <w:spacing w:after="40" w:line="240" w:lineRule="auto"/>
        <w:ind w:left="540" w:hanging="540"/>
        <w:rPr>
          <w:color w:val="000000" w:themeColor="text1"/>
        </w:rPr>
      </w:pPr>
      <w:r w:rsidRPr="00D14CD7">
        <w:rPr>
          <w:color w:val="000000" w:themeColor="text1"/>
        </w:rPr>
        <w:t xml:space="preserve">Brown, L., </w:t>
      </w:r>
      <w:proofErr w:type="spellStart"/>
      <w:r w:rsidRPr="00D14CD7">
        <w:rPr>
          <w:color w:val="000000" w:themeColor="text1"/>
        </w:rPr>
        <w:t>Buhalis</w:t>
      </w:r>
      <w:proofErr w:type="spellEnd"/>
      <w:r w:rsidRPr="00D14CD7">
        <w:rPr>
          <w:color w:val="000000" w:themeColor="text1"/>
        </w:rPr>
        <w:t xml:space="preserve">, D., and Beer, S. (2020). Dining alone: Improving the experience of solo restaurant goers. </w:t>
      </w:r>
      <w:r w:rsidRPr="00D14CD7">
        <w:rPr>
          <w:i/>
          <w:iCs/>
          <w:color w:val="000000" w:themeColor="text1"/>
        </w:rPr>
        <w:t>International Journal of Contemporary Hospitality Management</w:t>
      </w:r>
      <w:r w:rsidR="00F85F00" w:rsidRPr="00D14CD7">
        <w:rPr>
          <w:color w:val="000000" w:themeColor="text1"/>
        </w:rPr>
        <w:t>, 32(3), 1347–1365.</w:t>
      </w:r>
    </w:p>
    <w:p w14:paraId="72035E8A" w14:textId="22AF5F0E" w:rsidR="00D2328A" w:rsidRPr="00D14CD7" w:rsidRDefault="00D2328A" w:rsidP="001B6746">
      <w:pPr>
        <w:spacing w:after="40" w:line="240" w:lineRule="auto"/>
        <w:ind w:left="540" w:hanging="540"/>
        <w:rPr>
          <w:color w:val="000000" w:themeColor="text1"/>
        </w:rPr>
      </w:pPr>
      <w:proofErr w:type="spellStart"/>
      <w:r w:rsidRPr="00D14CD7">
        <w:rPr>
          <w:color w:val="000000" w:themeColor="text1"/>
        </w:rPr>
        <w:lastRenderedPageBreak/>
        <w:t>Burgoine</w:t>
      </w:r>
      <w:proofErr w:type="spellEnd"/>
      <w:r w:rsidRPr="00D14CD7">
        <w:rPr>
          <w:color w:val="000000" w:themeColor="text1"/>
        </w:rPr>
        <w:t xml:space="preserve">, T., Sarkar, C., Webster, C. J., and </w:t>
      </w:r>
      <w:proofErr w:type="spellStart"/>
      <w:r w:rsidRPr="00D14CD7">
        <w:rPr>
          <w:color w:val="000000" w:themeColor="text1"/>
        </w:rPr>
        <w:t>Monsivais</w:t>
      </w:r>
      <w:proofErr w:type="spellEnd"/>
      <w:r w:rsidRPr="00D14CD7">
        <w:rPr>
          <w:color w:val="000000" w:themeColor="text1"/>
        </w:rPr>
        <w:t xml:space="preserve">, P. (2018). Examining the interaction of fast-food outlet exposure and income on diet and obesity: Evidence from 51,361 UK Biobank participants. </w:t>
      </w:r>
      <w:r w:rsidRPr="00D14CD7">
        <w:rPr>
          <w:i/>
          <w:iCs/>
          <w:color w:val="000000" w:themeColor="text1"/>
        </w:rPr>
        <w:t>International Journal of Behavioral Nutrition and Physical Activity</w:t>
      </w:r>
      <w:r w:rsidRPr="00D14CD7">
        <w:rPr>
          <w:color w:val="000000" w:themeColor="text1"/>
        </w:rPr>
        <w:t xml:space="preserve">, 15, </w:t>
      </w:r>
      <w:r w:rsidR="00970BC6">
        <w:rPr>
          <w:color w:val="000000" w:themeColor="text1"/>
        </w:rPr>
        <w:t>71</w:t>
      </w:r>
      <w:r w:rsidRPr="00D14CD7">
        <w:rPr>
          <w:color w:val="000000" w:themeColor="text1"/>
        </w:rPr>
        <w:t>.</w:t>
      </w:r>
    </w:p>
    <w:p w14:paraId="1949F11D" w14:textId="04F0CF13" w:rsidR="000F179B" w:rsidRDefault="000F179B" w:rsidP="001B6746">
      <w:pPr>
        <w:spacing w:after="40" w:line="240" w:lineRule="auto"/>
        <w:ind w:left="540" w:hanging="540"/>
        <w:rPr>
          <w:color w:val="000000" w:themeColor="text1"/>
        </w:rPr>
      </w:pPr>
      <w:proofErr w:type="spellStart"/>
      <w:r>
        <w:t>Cadario</w:t>
      </w:r>
      <w:proofErr w:type="spellEnd"/>
      <w:r>
        <w:t xml:space="preserve">, R., and </w:t>
      </w:r>
      <w:proofErr w:type="spellStart"/>
      <w:r>
        <w:t>Morewedge</w:t>
      </w:r>
      <w:proofErr w:type="spellEnd"/>
      <w:r>
        <w:t xml:space="preserve">, C. K. (2022). Why do people eat the same breakfast every day? Goals and circadian rhythms of variety seeking in meals. </w:t>
      </w:r>
      <w:r w:rsidRPr="00DE0256">
        <w:rPr>
          <w:i/>
          <w:iCs/>
        </w:rPr>
        <w:t>Appetite</w:t>
      </w:r>
      <w:r>
        <w:t>, 168, 105716.</w:t>
      </w:r>
    </w:p>
    <w:p w14:paraId="78BEB4F4" w14:textId="24041424" w:rsidR="00EA1F7A" w:rsidRPr="00D14CD7" w:rsidRDefault="00EA1F7A" w:rsidP="001B6746">
      <w:pPr>
        <w:spacing w:after="40" w:line="240" w:lineRule="auto"/>
        <w:ind w:left="540" w:hanging="540"/>
        <w:rPr>
          <w:color w:val="000000" w:themeColor="text1"/>
        </w:rPr>
      </w:pPr>
      <w:proofErr w:type="spellStart"/>
      <w:r w:rsidRPr="00D14CD7">
        <w:rPr>
          <w:color w:val="000000" w:themeColor="text1"/>
        </w:rPr>
        <w:t>Caldarola</w:t>
      </w:r>
      <w:proofErr w:type="spellEnd"/>
      <w:r w:rsidRPr="00D14CD7">
        <w:rPr>
          <w:color w:val="000000" w:themeColor="text1"/>
        </w:rPr>
        <w:t xml:space="preserve">, B., </w:t>
      </w:r>
      <w:r w:rsidR="009D7783">
        <w:rPr>
          <w:color w:val="000000" w:themeColor="text1"/>
        </w:rPr>
        <w:t>and</w:t>
      </w:r>
      <w:r w:rsidRPr="00D14CD7">
        <w:rPr>
          <w:color w:val="000000" w:themeColor="text1"/>
        </w:rPr>
        <w:t xml:space="preserve"> Sorrell, S. (2022). Do teleworkers travel less? Evidence from the English National Travel Survey. </w:t>
      </w:r>
      <w:r w:rsidRPr="00D14CD7">
        <w:rPr>
          <w:i/>
          <w:iCs/>
          <w:color w:val="000000" w:themeColor="text1"/>
        </w:rPr>
        <w:t>Transportation Research Part A</w:t>
      </w:r>
      <w:r w:rsidRPr="00D14CD7">
        <w:rPr>
          <w:color w:val="000000" w:themeColor="text1"/>
        </w:rPr>
        <w:t xml:space="preserve">, 159, 282–303. </w:t>
      </w:r>
    </w:p>
    <w:p w14:paraId="064EB731" w14:textId="607C27FB" w:rsidR="00D2328A" w:rsidRPr="00D14CD7" w:rsidRDefault="00D2328A" w:rsidP="001B6746">
      <w:pPr>
        <w:spacing w:after="40" w:line="240" w:lineRule="auto"/>
        <w:ind w:left="540" w:hanging="540"/>
        <w:rPr>
          <w:color w:val="000000" w:themeColor="text1"/>
        </w:rPr>
      </w:pPr>
      <w:proofErr w:type="spellStart"/>
      <w:r w:rsidRPr="00D14CD7">
        <w:rPr>
          <w:color w:val="000000" w:themeColor="text1"/>
        </w:rPr>
        <w:t>Canziani</w:t>
      </w:r>
      <w:proofErr w:type="spellEnd"/>
      <w:r w:rsidRPr="00D14CD7">
        <w:rPr>
          <w:color w:val="000000" w:themeColor="text1"/>
        </w:rPr>
        <w:t xml:space="preserve">, B. F., Almanza, B., </w:t>
      </w:r>
      <w:proofErr w:type="spellStart"/>
      <w:r w:rsidRPr="00D14CD7">
        <w:rPr>
          <w:color w:val="000000" w:themeColor="text1"/>
        </w:rPr>
        <w:t>Frash</w:t>
      </w:r>
      <w:proofErr w:type="spellEnd"/>
      <w:r w:rsidRPr="00D14CD7">
        <w:rPr>
          <w:color w:val="000000" w:themeColor="text1"/>
        </w:rPr>
        <w:t xml:space="preserve">, R. E., </w:t>
      </w:r>
      <w:proofErr w:type="spellStart"/>
      <w:r w:rsidRPr="00D14CD7">
        <w:rPr>
          <w:color w:val="000000" w:themeColor="text1"/>
        </w:rPr>
        <w:t>McKeig</w:t>
      </w:r>
      <w:proofErr w:type="spellEnd"/>
      <w:r w:rsidRPr="00D14CD7">
        <w:rPr>
          <w:color w:val="000000" w:themeColor="text1"/>
        </w:rPr>
        <w:t xml:space="preserve">, M. J., and Sullivan-Reid, C. (2016). Classifying restaurants to improve usability of restaurant research. </w:t>
      </w:r>
      <w:r w:rsidRPr="00D14CD7">
        <w:rPr>
          <w:i/>
          <w:iCs/>
          <w:color w:val="000000" w:themeColor="text1"/>
        </w:rPr>
        <w:t>International Journal of Contemporary Hospitality Management</w:t>
      </w:r>
      <w:r w:rsidR="00F85F00" w:rsidRPr="00D14CD7">
        <w:rPr>
          <w:color w:val="000000" w:themeColor="text1"/>
        </w:rPr>
        <w:t>, 28(7), 1467–1483.</w:t>
      </w:r>
    </w:p>
    <w:p w14:paraId="14D68B60" w14:textId="7DA5EE19" w:rsidR="00D2328A" w:rsidRPr="00D14CD7" w:rsidRDefault="00D2328A" w:rsidP="001B6746">
      <w:pPr>
        <w:spacing w:after="40" w:line="240" w:lineRule="auto"/>
        <w:ind w:left="540" w:hanging="540"/>
        <w:rPr>
          <w:color w:val="000000" w:themeColor="text1"/>
        </w:rPr>
      </w:pPr>
      <w:r w:rsidRPr="00D14CD7">
        <w:rPr>
          <w:color w:val="000000" w:themeColor="text1"/>
        </w:rPr>
        <w:t xml:space="preserve">Castro, M., Paleti, R., and Bhat, C. R. (2012). A latent variable representation of count data models to accommodate spatial and temporal dependence: Application to predicting crash frequency at intersections. </w:t>
      </w:r>
      <w:r w:rsidRPr="00D14CD7">
        <w:rPr>
          <w:i/>
          <w:iCs/>
          <w:color w:val="000000" w:themeColor="text1"/>
        </w:rPr>
        <w:t>Transportation Research Part B</w:t>
      </w:r>
      <w:r w:rsidRPr="00D14CD7">
        <w:rPr>
          <w:color w:val="000000" w:themeColor="text1"/>
        </w:rPr>
        <w:t>, 46(1), 253–272.</w:t>
      </w:r>
    </w:p>
    <w:p w14:paraId="16928791" w14:textId="34661285" w:rsidR="005970AF" w:rsidRPr="00D14CD7" w:rsidRDefault="005970AF" w:rsidP="001B6746">
      <w:pPr>
        <w:spacing w:after="40" w:line="240" w:lineRule="auto"/>
        <w:ind w:left="540" w:hanging="540"/>
        <w:rPr>
          <w:color w:val="000000" w:themeColor="text1"/>
        </w:rPr>
      </w:pPr>
      <w:r w:rsidRPr="00D14CD7">
        <w:rPr>
          <w:color w:val="000000" w:themeColor="text1"/>
        </w:rPr>
        <w:t xml:space="preserve">Chapman, J., Fox, E. H., Bachman, W., </w:t>
      </w:r>
      <w:r w:rsidR="009D7783">
        <w:rPr>
          <w:color w:val="000000" w:themeColor="text1"/>
        </w:rPr>
        <w:t>and</w:t>
      </w:r>
      <w:r w:rsidRPr="00D14CD7">
        <w:rPr>
          <w:color w:val="000000" w:themeColor="text1"/>
        </w:rPr>
        <w:t xml:space="preserve"> Frank, L. D. (2021). Smart Location Database: Version 3.0 </w:t>
      </w:r>
      <w:r w:rsidR="008C23FF">
        <w:rPr>
          <w:color w:val="000000" w:themeColor="text1"/>
        </w:rPr>
        <w:t>t</w:t>
      </w:r>
      <w:r w:rsidRPr="00D14CD7">
        <w:rPr>
          <w:color w:val="000000" w:themeColor="text1"/>
        </w:rPr>
        <w:t xml:space="preserve">echnical </w:t>
      </w:r>
      <w:r w:rsidR="008C23FF">
        <w:rPr>
          <w:color w:val="000000" w:themeColor="text1"/>
        </w:rPr>
        <w:t>d</w:t>
      </w:r>
      <w:r w:rsidRPr="00D14CD7">
        <w:rPr>
          <w:color w:val="000000" w:themeColor="text1"/>
        </w:rPr>
        <w:t xml:space="preserve">ocumentation and </w:t>
      </w:r>
      <w:r w:rsidR="008C23FF">
        <w:rPr>
          <w:color w:val="000000" w:themeColor="text1"/>
        </w:rPr>
        <w:t>u</w:t>
      </w:r>
      <w:r w:rsidRPr="00D14CD7">
        <w:rPr>
          <w:color w:val="000000" w:themeColor="text1"/>
        </w:rPr>
        <w:t xml:space="preserve">ser </w:t>
      </w:r>
      <w:r w:rsidR="008C23FF">
        <w:rPr>
          <w:color w:val="000000" w:themeColor="text1"/>
        </w:rPr>
        <w:t>g</w:t>
      </w:r>
      <w:r w:rsidRPr="00D14CD7">
        <w:rPr>
          <w:color w:val="000000" w:themeColor="text1"/>
        </w:rPr>
        <w:t>uide</w:t>
      </w:r>
      <w:r w:rsidR="00DE0256">
        <w:rPr>
          <w:color w:val="000000" w:themeColor="text1"/>
        </w:rPr>
        <w:t xml:space="preserve">. </w:t>
      </w:r>
      <w:r w:rsidRPr="00D14CD7">
        <w:rPr>
          <w:color w:val="000000" w:themeColor="text1"/>
        </w:rPr>
        <w:t xml:space="preserve">US Environment Protection Agency. </w:t>
      </w:r>
      <w:hyperlink r:id="rId235" w:history="1">
        <w:r w:rsidR="00BB6226" w:rsidRPr="00D14CD7">
          <w:rPr>
            <w:rStyle w:val="Hyperlink"/>
            <w:color w:val="000000" w:themeColor="text1"/>
          </w:rPr>
          <w:t>https://www.epa.gov/sites/default/files/2021-06/documents/epa_sld_3.0_technicaldocumentationuserguide_may2021.pdf</w:t>
        </w:r>
      </w:hyperlink>
      <w:r w:rsidR="00BB6226" w:rsidRPr="00D14CD7">
        <w:rPr>
          <w:color w:val="000000" w:themeColor="text1"/>
        </w:rPr>
        <w:t xml:space="preserve"> </w:t>
      </w:r>
    </w:p>
    <w:p w14:paraId="05AD9AAD" w14:textId="16C82079" w:rsidR="00D2328A" w:rsidRPr="00D14CD7" w:rsidRDefault="00D2328A" w:rsidP="001B6746">
      <w:pPr>
        <w:spacing w:after="40" w:line="240" w:lineRule="auto"/>
        <w:ind w:left="540" w:hanging="540"/>
        <w:rPr>
          <w:color w:val="000000" w:themeColor="text1"/>
        </w:rPr>
      </w:pPr>
      <w:r w:rsidRPr="00D14CD7">
        <w:rPr>
          <w:color w:val="000000" w:themeColor="text1"/>
        </w:rPr>
        <w:t xml:space="preserve">Cho, M., Bonn, M. A., and Li, J. J. (2019). Differences in perceptions about food delivery apps between single-person and multi-person households. </w:t>
      </w:r>
      <w:r w:rsidRPr="00D14CD7">
        <w:rPr>
          <w:i/>
          <w:iCs/>
          <w:color w:val="000000" w:themeColor="text1"/>
        </w:rPr>
        <w:t>International Journal of Hospitality Management</w:t>
      </w:r>
      <w:r w:rsidRPr="00D14CD7">
        <w:rPr>
          <w:color w:val="000000" w:themeColor="text1"/>
        </w:rPr>
        <w:t>, 77, 108–116.</w:t>
      </w:r>
    </w:p>
    <w:p w14:paraId="7013862F" w14:textId="625399F2" w:rsidR="00D2328A" w:rsidRPr="00D14CD7" w:rsidRDefault="00D2328A" w:rsidP="001B6746">
      <w:pPr>
        <w:spacing w:after="40" w:line="240" w:lineRule="auto"/>
        <w:ind w:left="540" w:hanging="540"/>
        <w:rPr>
          <w:color w:val="000000" w:themeColor="text1"/>
        </w:rPr>
      </w:pPr>
      <w:r w:rsidRPr="00D14CD7">
        <w:rPr>
          <w:color w:val="000000" w:themeColor="text1"/>
        </w:rPr>
        <w:t>Choi, J., Lee, J., and Zhao, J. (2009). A comparison of the restaurant selection preferences between residents and visitors of South Florida.</w:t>
      </w:r>
      <w:r w:rsidR="00F85F00" w:rsidRPr="00D14CD7">
        <w:rPr>
          <w:color w:val="000000" w:themeColor="text1"/>
        </w:rPr>
        <w:t xml:space="preserve"> </w:t>
      </w:r>
      <w:r w:rsidR="00F85F00" w:rsidRPr="00D14CD7">
        <w:rPr>
          <w:i/>
          <w:iCs/>
          <w:color w:val="000000" w:themeColor="text1"/>
        </w:rPr>
        <w:t>International CHRIE Conference-Refereed Track</w:t>
      </w:r>
      <w:r w:rsidR="00F85F00" w:rsidRPr="00D14CD7">
        <w:rPr>
          <w:color w:val="000000" w:themeColor="text1"/>
        </w:rPr>
        <w:t>. 14.</w:t>
      </w:r>
    </w:p>
    <w:p w14:paraId="380FA0C7" w14:textId="77777777" w:rsidR="00D2328A" w:rsidRPr="00D14CD7" w:rsidRDefault="00D2328A" w:rsidP="001B6746">
      <w:pPr>
        <w:spacing w:after="40" w:line="240" w:lineRule="auto"/>
        <w:ind w:left="540" w:hanging="540"/>
        <w:rPr>
          <w:color w:val="000000" w:themeColor="text1"/>
        </w:rPr>
      </w:pPr>
      <w:r w:rsidRPr="00D14CD7">
        <w:rPr>
          <w:color w:val="000000" w:themeColor="text1"/>
        </w:rPr>
        <w:t xml:space="preserve">Chua, B.-L., Karim, S., Lee, S., and Han, H. (2020). Customer restaurant choice: An empirical analysis of restaurant types and eating-out occasions. </w:t>
      </w:r>
      <w:r w:rsidRPr="00D14CD7">
        <w:rPr>
          <w:i/>
          <w:iCs/>
          <w:color w:val="000000" w:themeColor="text1"/>
        </w:rPr>
        <w:t>International Journal of Environmental Research and Public Health</w:t>
      </w:r>
      <w:r w:rsidRPr="00D14CD7">
        <w:rPr>
          <w:color w:val="000000" w:themeColor="text1"/>
        </w:rPr>
        <w:t>, 17(17), 6276.</w:t>
      </w:r>
    </w:p>
    <w:p w14:paraId="4A97B4C1" w14:textId="77777777" w:rsidR="00D2328A" w:rsidRPr="00D14CD7" w:rsidRDefault="00D2328A" w:rsidP="001B6746">
      <w:pPr>
        <w:spacing w:after="40" w:line="240" w:lineRule="auto"/>
        <w:ind w:left="540" w:hanging="540"/>
        <w:rPr>
          <w:color w:val="000000" w:themeColor="text1"/>
        </w:rPr>
      </w:pPr>
      <w:r w:rsidRPr="00D14CD7">
        <w:rPr>
          <w:color w:val="000000" w:themeColor="text1"/>
        </w:rPr>
        <w:t xml:space="preserve">Clifford Astbury, C., Foley, L., Penney, T. L., and Adams, J. (2020). How does time use differ between individuals who do more versus less </w:t>
      </w:r>
      <w:proofErr w:type="spellStart"/>
      <w:r w:rsidRPr="00D14CD7">
        <w:rPr>
          <w:color w:val="000000" w:themeColor="text1"/>
        </w:rPr>
        <w:t>foodwork</w:t>
      </w:r>
      <w:proofErr w:type="spellEnd"/>
      <w:r w:rsidRPr="00D14CD7">
        <w:rPr>
          <w:color w:val="000000" w:themeColor="text1"/>
        </w:rPr>
        <w:t xml:space="preserve">? A compositional data analysis of time use in the United Kingdom time use survey 2014–2015. </w:t>
      </w:r>
      <w:r w:rsidRPr="00D14CD7">
        <w:rPr>
          <w:i/>
          <w:iCs/>
          <w:color w:val="000000" w:themeColor="text1"/>
        </w:rPr>
        <w:t>Nutrients</w:t>
      </w:r>
      <w:r w:rsidRPr="00D14CD7">
        <w:rPr>
          <w:color w:val="000000" w:themeColor="text1"/>
        </w:rPr>
        <w:t>, 12(8), 2280.</w:t>
      </w:r>
    </w:p>
    <w:p w14:paraId="6DCB8376" w14:textId="5980C223" w:rsidR="00EA1F7A" w:rsidRPr="00D14CD7" w:rsidRDefault="00EA1F7A" w:rsidP="001B6746">
      <w:pPr>
        <w:spacing w:after="40" w:line="240" w:lineRule="auto"/>
        <w:ind w:left="540" w:hanging="540"/>
        <w:rPr>
          <w:color w:val="000000" w:themeColor="text1"/>
        </w:rPr>
      </w:pPr>
      <w:r w:rsidRPr="00D14CD7">
        <w:rPr>
          <w:color w:val="000000" w:themeColor="text1"/>
        </w:rPr>
        <w:t xml:space="preserve">Dias, F. F., Lavieri, P. S., Sharda, S., Khoeini, S., Bhat, C. R., Pendyala, R. M., Pinjari, A. R., Ramadurai, G., </w:t>
      </w:r>
      <w:r w:rsidR="009D7783">
        <w:rPr>
          <w:color w:val="000000" w:themeColor="text1"/>
        </w:rPr>
        <w:t>and</w:t>
      </w:r>
      <w:r w:rsidRPr="00D14CD7">
        <w:rPr>
          <w:color w:val="000000" w:themeColor="text1"/>
        </w:rPr>
        <w:t xml:space="preserve"> Srinivasan, K. K. (2020). A comparison of online and in-person activity engagement: The case of shopping and eating meals. </w:t>
      </w:r>
      <w:r w:rsidRPr="00D14CD7">
        <w:rPr>
          <w:i/>
          <w:iCs/>
          <w:color w:val="000000" w:themeColor="text1"/>
        </w:rPr>
        <w:t>Transportation Research Part C</w:t>
      </w:r>
      <w:r w:rsidRPr="00D14CD7">
        <w:rPr>
          <w:color w:val="000000" w:themeColor="text1"/>
        </w:rPr>
        <w:t>, 114, 643–656.</w:t>
      </w:r>
    </w:p>
    <w:p w14:paraId="38FE2E60" w14:textId="3F6B90FB" w:rsidR="00D2328A" w:rsidRPr="00D14CD7" w:rsidRDefault="00D2328A" w:rsidP="001B6746">
      <w:pPr>
        <w:spacing w:after="40" w:line="240" w:lineRule="auto"/>
        <w:ind w:left="540" w:hanging="540"/>
        <w:rPr>
          <w:color w:val="000000" w:themeColor="text1"/>
        </w:rPr>
      </w:pPr>
      <w:r w:rsidRPr="00D14CD7">
        <w:rPr>
          <w:color w:val="000000" w:themeColor="text1"/>
        </w:rPr>
        <w:t xml:space="preserve">DiPietro, R. (2017). Restaurant and foodservice research: A critical reflection behind and an optimistic look ahead. </w:t>
      </w:r>
      <w:r w:rsidRPr="00D14CD7">
        <w:rPr>
          <w:i/>
          <w:iCs/>
          <w:color w:val="000000" w:themeColor="text1"/>
        </w:rPr>
        <w:t>International Journal of Contemporary Hospitality Management</w:t>
      </w:r>
      <w:r w:rsidR="00775943" w:rsidRPr="00D14CD7">
        <w:rPr>
          <w:color w:val="000000" w:themeColor="text1"/>
        </w:rPr>
        <w:t>, 29(4), 1203–1234</w:t>
      </w:r>
      <w:r w:rsidRPr="00D14CD7">
        <w:rPr>
          <w:color w:val="000000" w:themeColor="text1"/>
        </w:rPr>
        <w:t>.</w:t>
      </w:r>
    </w:p>
    <w:p w14:paraId="35A30901" w14:textId="303C9BB2" w:rsidR="00D2328A" w:rsidRPr="00D14CD7" w:rsidRDefault="00D2328A" w:rsidP="001B6746">
      <w:pPr>
        <w:spacing w:after="40" w:line="240" w:lineRule="auto"/>
        <w:ind w:left="540" w:hanging="540"/>
        <w:rPr>
          <w:color w:val="000000" w:themeColor="text1"/>
        </w:rPr>
      </w:pPr>
      <w:r w:rsidRPr="00D14CD7">
        <w:rPr>
          <w:color w:val="000000" w:themeColor="text1"/>
        </w:rPr>
        <w:t xml:space="preserve">Duncan, J. L., </w:t>
      </w:r>
      <w:proofErr w:type="spellStart"/>
      <w:r w:rsidRPr="00D14CD7">
        <w:rPr>
          <w:color w:val="000000" w:themeColor="text1"/>
        </w:rPr>
        <w:t>Josiam</w:t>
      </w:r>
      <w:proofErr w:type="spellEnd"/>
      <w:r w:rsidRPr="00D14CD7">
        <w:rPr>
          <w:color w:val="000000" w:themeColor="text1"/>
        </w:rPr>
        <w:t xml:space="preserve">, B. M., Kim, Y. H., and </w:t>
      </w:r>
      <w:proofErr w:type="spellStart"/>
      <w:r w:rsidRPr="00D14CD7">
        <w:rPr>
          <w:color w:val="000000" w:themeColor="text1"/>
        </w:rPr>
        <w:t>Kalldin</w:t>
      </w:r>
      <w:proofErr w:type="spellEnd"/>
      <w:r w:rsidRPr="00D14CD7">
        <w:rPr>
          <w:color w:val="000000" w:themeColor="text1"/>
        </w:rPr>
        <w:t xml:space="preserve">, A. C. (2015). Using factor-cluster analysis to segment patrons of casual dining establishments in the United States. </w:t>
      </w:r>
      <w:r w:rsidRPr="00D14CD7">
        <w:rPr>
          <w:i/>
          <w:iCs/>
          <w:color w:val="000000" w:themeColor="text1"/>
        </w:rPr>
        <w:t>British Food Journal</w:t>
      </w:r>
      <w:r w:rsidR="00775943" w:rsidRPr="00D14CD7">
        <w:rPr>
          <w:color w:val="000000" w:themeColor="text1"/>
        </w:rPr>
        <w:t>, 117(4), 1377–1398.</w:t>
      </w:r>
    </w:p>
    <w:p w14:paraId="79718662" w14:textId="5D6DCF29" w:rsidR="00DE14BD" w:rsidRPr="00D14CD7" w:rsidRDefault="00DE14BD" w:rsidP="001B6746">
      <w:pPr>
        <w:spacing w:after="40" w:line="240" w:lineRule="auto"/>
        <w:ind w:left="540" w:hanging="540"/>
        <w:rPr>
          <w:color w:val="000000" w:themeColor="text1"/>
        </w:rPr>
      </w:pPr>
      <w:proofErr w:type="spellStart"/>
      <w:r w:rsidRPr="00D14CD7">
        <w:rPr>
          <w:color w:val="000000" w:themeColor="text1"/>
        </w:rPr>
        <w:t>Dziak</w:t>
      </w:r>
      <w:proofErr w:type="spellEnd"/>
      <w:r w:rsidRPr="00D14CD7">
        <w:rPr>
          <w:color w:val="000000" w:themeColor="text1"/>
        </w:rPr>
        <w:t xml:space="preserve">, J. J., </w:t>
      </w:r>
      <w:proofErr w:type="spellStart"/>
      <w:r w:rsidRPr="00D14CD7">
        <w:rPr>
          <w:color w:val="000000" w:themeColor="text1"/>
        </w:rPr>
        <w:t>Dierker</w:t>
      </w:r>
      <w:proofErr w:type="spellEnd"/>
      <w:r w:rsidRPr="00D14CD7">
        <w:rPr>
          <w:color w:val="000000" w:themeColor="text1"/>
        </w:rPr>
        <w:t xml:space="preserve">, L. C., </w:t>
      </w:r>
      <w:r w:rsidR="001F05A7" w:rsidRPr="00D14CD7">
        <w:rPr>
          <w:color w:val="000000" w:themeColor="text1"/>
        </w:rPr>
        <w:t>and</w:t>
      </w:r>
      <w:r w:rsidRPr="00D14CD7">
        <w:rPr>
          <w:color w:val="000000" w:themeColor="text1"/>
        </w:rPr>
        <w:t xml:space="preserve"> </w:t>
      </w:r>
      <w:proofErr w:type="spellStart"/>
      <w:r w:rsidRPr="00D14CD7">
        <w:rPr>
          <w:color w:val="000000" w:themeColor="text1"/>
        </w:rPr>
        <w:t>Abar</w:t>
      </w:r>
      <w:proofErr w:type="spellEnd"/>
      <w:r w:rsidRPr="00D14CD7">
        <w:rPr>
          <w:color w:val="000000" w:themeColor="text1"/>
        </w:rPr>
        <w:t xml:space="preserve">, B. (2020). The </w:t>
      </w:r>
      <w:r w:rsidR="00BB6226" w:rsidRPr="00D14CD7">
        <w:rPr>
          <w:color w:val="000000" w:themeColor="text1"/>
        </w:rPr>
        <w:t>i</w:t>
      </w:r>
      <w:r w:rsidRPr="00D14CD7">
        <w:rPr>
          <w:color w:val="000000" w:themeColor="text1"/>
        </w:rPr>
        <w:t xml:space="preserve">nterpretation of </w:t>
      </w:r>
      <w:r w:rsidR="00BB6226" w:rsidRPr="00D14CD7">
        <w:rPr>
          <w:color w:val="000000" w:themeColor="text1"/>
        </w:rPr>
        <w:t>s</w:t>
      </w:r>
      <w:r w:rsidRPr="00D14CD7">
        <w:rPr>
          <w:color w:val="000000" w:themeColor="text1"/>
        </w:rPr>
        <w:t xml:space="preserve">tatistical </w:t>
      </w:r>
      <w:r w:rsidR="00BB6226" w:rsidRPr="00D14CD7">
        <w:rPr>
          <w:color w:val="000000" w:themeColor="text1"/>
        </w:rPr>
        <w:t>p</w:t>
      </w:r>
      <w:r w:rsidRPr="00D14CD7">
        <w:rPr>
          <w:color w:val="000000" w:themeColor="text1"/>
        </w:rPr>
        <w:t xml:space="preserve">ower after the </w:t>
      </w:r>
      <w:r w:rsidR="00BB6226" w:rsidRPr="00D14CD7">
        <w:rPr>
          <w:color w:val="000000" w:themeColor="text1"/>
        </w:rPr>
        <w:t>d</w:t>
      </w:r>
      <w:r w:rsidRPr="00D14CD7">
        <w:rPr>
          <w:color w:val="000000" w:themeColor="text1"/>
        </w:rPr>
        <w:t xml:space="preserve">ata have been </w:t>
      </w:r>
      <w:r w:rsidR="00BB6226" w:rsidRPr="00D14CD7">
        <w:rPr>
          <w:color w:val="000000" w:themeColor="text1"/>
        </w:rPr>
        <w:t>g</w:t>
      </w:r>
      <w:r w:rsidRPr="00D14CD7">
        <w:rPr>
          <w:color w:val="000000" w:themeColor="text1"/>
        </w:rPr>
        <w:t xml:space="preserve">athered. </w:t>
      </w:r>
      <w:r w:rsidRPr="00D14CD7">
        <w:rPr>
          <w:i/>
          <w:iCs/>
          <w:color w:val="000000" w:themeColor="text1"/>
        </w:rPr>
        <w:t>Current Psychology</w:t>
      </w:r>
      <w:r w:rsidRPr="00D14CD7">
        <w:rPr>
          <w:color w:val="000000" w:themeColor="text1"/>
        </w:rPr>
        <w:t xml:space="preserve">, 39(3), 870–877. </w:t>
      </w:r>
    </w:p>
    <w:p w14:paraId="7A39EE5B" w14:textId="458C2D07" w:rsidR="00F74DB0" w:rsidRPr="00D14CD7" w:rsidRDefault="00F74DB0" w:rsidP="001B6746">
      <w:pPr>
        <w:spacing w:after="40" w:line="240" w:lineRule="auto"/>
        <w:ind w:left="540" w:hanging="540"/>
        <w:rPr>
          <w:color w:val="000000" w:themeColor="text1"/>
        </w:rPr>
      </w:pPr>
      <w:r w:rsidRPr="00D14CD7">
        <w:rPr>
          <w:color w:val="000000" w:themeColor="text1"/>
          <w:shd w:val="clear" w:color="auto" w:fill="FFFFFF"/>
        </w:rPr>
        <w:t>Fan, Y., Jiang, J., and Hu, Z. (2020). More or less? The effects of financial constraints on variety-seeking behavior. </w:t>
      </w:r>
      <w:r w:rsidRPr="00D14CD7">
        <w:rPr>
          <w:i/>
          <w:iCs/>
          <w:color w:val="000000" w:themeColor="text1"/>
          <w:shd w:val="clear" w:color="auto" w:fill="FFFFFF"/>
        </w:rPr>
        <w:t>Journal of Contemporary Marketing Science</w:t>
      </w:r>
      <w:r w:rsidRPr="00D14CD7">
        <w:rPr>
          <w:color w:val="000000" w:themeColor="text1"/>
          <w:shd w:val="clear" w:color="auto" w:fill="FFFFFF"/>
        </w:rPr>
        <w:t>, </w:t>
      </w:r>
      <w:r w:rsidRPr="00D14CD7">
        <w:rPr>
          <w:i/>
          <w:iCs/>
          <w:color w:val="000000" w:themeColor="text1"/>
          <w:shd w:val="clear" w:color="auto" w:fill="FFFFFF"/>
        </w:rPr>
        <w:t>3</w:t>
      </w:r>
      <w:r w:rsidRPr="00D14CD7">
        <w:rPr>
          <w:color w:val="000000" w:themeColor="text1"/>
          <w:shd w:val="clear" w:color="auto" w:fill="FFFFFF"/>
        </w:rPr>
        <w:t>(2), 195</w:t>
      </w:r>
      <w:r w:rsidR="00970BC6" w:rsidRPr="00D14CD7">
        <w:rPr>
          <w:color w:val="000000" w:themeColor="text1"/>
        </w:rPr>
        <w:t>–</w:t>
      </w:r>
      <w:r w:rsidRPr="00D14CD7">
        <w:rPr>
          <w:color w:val="000000" w:themeColor="text1"/>
          <w:shd w:val="clear" w:color="auto" w:fill="FFFFFF"/>
        </w:rPr>
        <w:t>205.</w:t>
      </w:r>
    </w:p>
    <w:p w14:paraId="4A9D2954" w14:textId="36ABDC94" w:rsidR="00D2328A" w:rsidRPr="00D14CD7" w:rsidRDefault="00D2328A" w:rsidP="001B6746">
      <w:pPr>
        <w:spacing w:after="40" w:line="240" w:lineRule="auto"/>
        <w:ind w:left="540" w:hanging="540"/>
        <w:rPr>
          <w:color w:val="000000" w:themeColor="text1"/>
        </w:rPr>
      </w:pPr>
      <w:r w:rsidRPr="00D14CD7">
        <w:rPr>
          <w:color w:val="000000" w:themeColor="text1"/>
        </w:rPr>
        <w:lastRenderedPageBreak/>
        <w:t xml:space="preserve">Ferreira, J., Ferreira, C., and Bos, E. (2021). Spaces of consumption, connection, and community: Exploring the role of the coffee shop in urban lives. </w:t>
      </w:r>
      <w:proofErr w:type="spellStart"/>
      <w:r w:rsidRPr="00D14CD7">
        <w:rPr>
          <w:i/>
          <w:iCs/>
          <w:color w:val="000000" w:themeColor="text1"/>
        </w:rPr>
        <w:t>Geoforum</w:t>
      </w:r>
      <w:proofErr w:type="spellEnd"/>
      <w:r w:rsidRPr="00D14CD7">
        <w:rPr>
          <w:color w:val="000000" w:themeColor="text1"/>
        </w:rPr>
        <w:t>, 119, 21–29.</w:t>
      </w:r>
    </w:p>
    <w:p w14:paraId="0A475DAD" w14:textId="498EE2ED" w:rsidR="00D2328A" w:rsidRPr="00D14CD7" w:rsidRDefault="00D2328A" w:rsidP="001B6746">
      <w:pPr>
        <w:spacing w:after="40" w:line="240" w:lineRule="auto"/>
        <w:ind w:left="540" w:hanging="540"/>
        <w:rPr>
          <w:color w:val="000000" w:themeColor="text1"/>
        </w:rPr>
      </w:pPr>
      <w:proofErr w:type="spellStart"/>
      <w:r w:rsidRPr="00D14CD7">
        <w:rPr>
          <w:color w:val="000000" w:themeColor="text1"/>
        </w:rPr>
        <w:t>Foxall</w:t>
      </w:r>
      <w:proofErr w:type="spellEnd"/>
      <w:r w:rsidRPr="00D14CD7">
        <w:rPr>
          <w:color w:val="000000" w:themeColor="text1"/>
        </w:rPr>
        <w:t>, G. R. (1993). The influence of cognitive style on consumers</w:t>
      </w:r>
      <w:r w:rsidR="00BB6226" w:rsidRPr="00D14CD7">
        <w:rPr>
          <w:color w:val="000000" w:themeColor="text1"/>
        </w:rPr>
        <w:t>’</w:t>
      </w:r>
      <w:r w:rsidRPr="00D14CD7">
        <w:rPr>
          <w:color w:val="000000" w:themeColor="text1"/>
        </w:rPr>
        <w:t xml:space="preserve"> variety seeking among food innovations. </w:t>
      </w:r>
      <w:r w:rsidRPr="00D14CD7">
        <w:rPr>
          <w:i/>
          <w:iCs/>
          <w:color w:val="000000" w:themeColor="text1"/>
        </w:rPr>
        <w:t>British Food Journal</w:t>
      </w:r>
      <w:r w:rsidRPr="00D14CD7">
        <w:rPr>
          <w:color w:val="000000" w:themeColor="text1"/>
        </w:rPr>
        <w:t>, 95(9), 32–36.</w:t>
      </w:r>
    </w:p>
    <w:p w14:paraId="6EE1675F" w14:textId="77777777" w:rsidR="00D2328A" w:rsidRPr="00D14CD7" w:rsidRDefault="00D2328A" w:rsidP="001B6746">
      <w:pPr>
        <w:spacing w:after="40" w:line="240" w:lineRule="auto"/>
        <w:ind w:left="540" w:hanging="540"/>
        <w:rPr>
          <w:color w:val="000000" w:themeColor="text1"/>
        </w:rPr>
      </w:pPr>
      <w:r w:rsidRPr="00D14CD7">
        <w:rPr>
          <w:color w:val="000000" w:themeColor="text1"/>
        </w:rPr>
        <w:t>Fryar, C. D., Hughes, J. P., Herrick, K. A., and Ahluwalia, N. (2018). Fast food consumption among adults in the United States, 2013–2016. NCHS Data Brief, No 322. https://www.cdc.gov/nchs/data/databriefs/db322-h.pdf</w:t>
      </w:r>
    </w:p>
    <w:p w14:paraId="5847AA2F" w14:textId="77777777" w:rsidR="00D2328A" w:rsidRPr="00D14CD7" w:rsidRDefault="00D2328A" w:rsidP="001B6746">
      <w:pPr>
        <w:spacing w:after="40" w:line="240" w:lineRule="auto"/>
        <w:ind w:left="540" w:hanging="540"/>
        <w:rPr>
          <w:color w:val="000000" w:themeColor="text1"/>
        </w:rPr>
      </w:pPr>
      <w:r w:rsidRPr="00D14CD7">
        <w:rPr>
          <w:color w:val="000000" w:themeColor="text1"/>
        </w:rPr>
        <w:t xml:space="preserve">Fulkerson, J. A., </w:t>
      </w:r>
      <w:proofErr w:type="spellStart"/>
      <w:r w:rsidRPr="00D14CD7">
        <w:rPr>
          <w:color w:val="000000" w:themeColor="text1"/>
        </w:rPr>
        <w:t>Farbakhsh</w:t>
      </w:r>
      <w:proofErr w:type="spellEnd"/>
      <w:r w:rsidRPr="00D14CD7">
        <w:rPr>
          <w:color w:val="000000" w:themeColor="text1"/>
        </w:rPr>
        <w:t xml:space="preserve">, K., Lytle, L., Hearst, M. O., </w:t>
      </w:r>
      <w:proofErr w:type="spellStart"/>
      <w:r w:rsidRPr="00D14CD7">
        <w:rPr>
          <w:color w:val="000000" w:themeColor="text1"/>
        </w:rPr>
        <w:t>Dengel</w:t>
      </w:r>
      <w:proofErr w:type="spellEnd"/>
      <w:r w:rsidRPr="00D14CD7">
        <w:rPr>
          <w:color w:val="000000" w:themeColor="text1"/>
        </w:rPr>
        <w:t xml:space="preserve">, D. R., Pasch, K. E., and </w:t>
      </w:r>
      <w:proofErr w:type="spellStart"/>
      <w:r w:rsidRPr="00D14CD7">
        <w:rPr>
          <w:color w:val="000000" w:themeColor="text1"/>
        </w:rPr>
        <w:t>Kubik</w:t>
      </w:r>
      <w:proofErr w:type="spellEnd"/>
      <w:r w:rsidRPr="00D14CD7">
        <w:rPr>
          <w:color w:val="000000" w:themeColor="text1"/>
        </w:rPr>
        <w:t xml:space="preserve">, M. Y. (2011). Away-from-home family dinner sources and associations with weight status, body composition, and related biomarkers of chronic disease among adolescents and their parents. </w:t>
      </w:r>
      <w:r w:rsidRPr="00D14CD7">
        <w:rPr>
          <w:i/>
          <w:iCs/>
          <w:color w:val="000000" w:themeColor="text1"/>
        </w:rPr>
        <w:t>Journal of the American Dietetic Association</w:t>
      </w:r>
      <w:r w:rsidRPr="00D14CD7">
        <w:rPr>
          <w:color w:val="000000" w:themeColor="text1"/>
        </w:rPr>
        <w:t>, 111(12), 1892–1897.</w:t>
      </w:r>
    </w:p>
    <w:p w14:paraId="5058C4E2" w14:textId="77777777" w:rsidR="00D2328A" w:rsidRPr="00D14CD7" w:rsidRDefault="00D2328A" w:rsidP="001B6746">
      <w:pPr>
        <w:spacing w:after="40" w:line="240" w:lineRule="auto"/>
        <w:ind w:left="540" w:hanging="540"/>
        <w:rPr>
          <w:color w:val="000000" w:themeColor="text1"/>
        </w:rPr>
      </w:pPr>
      <w:proofErr w:type="spellStart"/>
      <w:r w:rsidRPr="00D14CD7">
        <w:rPr>
          <w:color w:val="000000" w:themeColor="text1"/>
        </w:rPr>
        <w:t>Giurge</w:t>
      </w:r>
      <w:proofErr w:type="spellEnd"/>
      <w:r w:rsidRPr="00D14CD7">
        <w:rPr>
          <w:color w:val="000000" w:themeColor="text1"/>
        </w:rPr>
        <w:t xml:space="preserve">, L. M., Whillans, A. V., and West, C. (2020). Why time poverty matters for individuals, </w:t>
      </w:r>
      <w:proofErr w:type="spellStart"/>
      <w:r w:rsidRPr="00D14CD7">
        <w:rPr>
          <w:color w:val="000000" w:themeColor="text1"/>
        </w:rPr>
        <w:t>organisations</w:t>
      </w:r>
      <w:proofErr w:type="spellEnd"/>
      <w:r w:rsidRPr="00D14CD7">
        <w:rPr>
          <w:color w:val="000000" w:themeColor="text1"/>
        </w:rPr>
        <w:t xml:space="preserve"> and nations. </w:t>
      </w:r>
      <w:r w:rsidRPr="00D14CD7">
        <w:rPr>
          <w:i/>
          <w:iCs/>
          <w:color w:val="000000" w:themeColor="text1"/>
        </w:rPr>
        <w:t>Nature Human Behaviour</w:t>
      </w:r>
      <w:r w:rsidRPr="00D14CD7">
        <w:rPr>
          <w:color w:val="000000" w:themeColor="text1"/>
        </w:rPr>
        <w:t>, 4(10), 993–1003.</w:t>
      </w:r>
    </w:p>
    <w:p w14:paraId="73AB0808" w14:textId="793411B9" w:rsidR="00A40E11" w:rsidRDefault="00A40E11" w:rsidP="001B6746">
      <w:pPr>
        <w:spacing w:after="40" w:line="240" w:lineRule="auto"/>
        <w:ind w:left="540" w:hanging="540"/>
        <w:rPr>
          <w:color w:val="000000" w:themeColor="text1"/>
        </w:rPr>
      </w:pPr>
      <w:r w:rsidRPr="00A40E11">
        <w:rPr>
          <w:color w:val="000000" w:themeColor="text1"/>
        </w:rPr>
        <w:t xml:space="preserve">Groves, R. M., Singer, E., </w:t>
      </w:r>
      <w:proofErr w:type="spellStart"/>
      <w:r w:rsidRPr="00A40E11">
        <w:rPr>
          <w:color w:val="000000" w:themeColor="text1"/>
        </w:rPr>
        <w:t>Lepkowski</w:t>
      </w:r>
      <w:proofErr w:type="spellEnd"/>
      <w:r w:rsidRPr="00A40E11">
        <w:rPr>
          <w:color w:val="000000" w:themeColor="text1"/>
        </w:rPr>
        <w:t xml:space="preserve">, J. M., </w:t>
      </w:r>
      <w:proofErr w:type="spellStart"/>
      <w:r w:rsidRPr="00A40E11">
        <w:rPr>
          <w:color w:val="000000" w:themeColor="text1"/>
        </w:rPr>
        <w:t>Heeringa</w:t>
      </w:r>
      <w:proofErr w:type="spellEnd"/>
      <w:r w:rsidRPr="00A40E11">
        <w:rPr>
          <w:color w:val="000000" w:themeColor="text1"/>
        </w:rPr>
        <w:t xml:space="preserve">, S. G., </w:t>
      </w:r>
      <w:r w:rsidR="009D7783">
        <w:rPr>
          <w:color w:val="000000" w:themeColor="text1"/>
        </w:rPr>
        <w:t>and</w:t>
      </w:r>
      <w:r w:rsidRPr="00A40E11">
        <w:rPr>
          <w:color w:val="000000" w:themeColor="text1"/>
        </w:rPr>
        <w:t xml:space="preserve"> Alwin, D. F. (2004). Survey methodology. In J. S. House, F. T. </w:t>
      </w:r>
      <w:proofErr w:type="spellStart"/>
      <w:r w:rsidRPr="00A40E11">
        <w:rPr>
          <w:color w:val="000000" w:themeColor="text1"/>
        </w:rPr>
        <w:t>Juster</w:t>
      </w:r>
      <w:proofErr w:type="spellEnd"/>
      <w:r w:rsidRPr="00A40E11">
        <w:rPr>
          <w:color w:val="000000" w:themeColor="text1"/>
        </w:rPr>
        <w:t xml:space="preserve">, R. L. Kahn, H. Schuman, </w:t>
      </w:r>
      <w:r w:rsidR="009D7783">
        <w:rPr>
          <w:color w:val="000000" w:themeColor="text1"/>
        </w:rPr>
        <w:t>and</w:t>
      </w:r>
      <w:r w:rsidRPr="00A40E11">
        <w:rPr>
          <w:color w:val="000000" w:themeColor="text1"/>
        </w:rPr>
        <w:t xml:space="preserve"> E. Singer (Eds.), </w:t>
      </w:r>
      <w:r w:rsidRPr="00DE0256">
        <w:rPr>
          <w:i/>
          <w:iCs/>
          <w:color w:val="000000" w:themeColor="text1"/>
        </w:rPr>
        <w:t xml:space="preserve">A </w:t>
      </w:r>
      <w:r w:rsidR="00DE0256" w:rsidRPr="00DE0256">
        <w:rPr>
          <w:i/>
          <w:iCs/>
          <w:color w:val="000000" w:themeColor="text1"/>
        </w:rPr>
        <w:t>T</w:t>
      </w:r>
      <w:r w:rsidRPr="00DE0256">
        <w:rPr>
          <w:i/>
          <w:iCs/>
          <w:color w:val="000000" w:themeColor="text1"/>
        </w:rPr>
        <w:t xml:space="preserve">elescope on </w:t>
      </w:r>
      <w:r w:rsidR="00DE0256" w:rsidRPr="00DE0256">
        <w:rPr>
          <w:i/>
          <w:iCs/>
          <w:color w:val="000000" w:themeColor="text1"/>
        </w:rPr>
        <w:t>S</w:t>
      </w:r>
      <w:r w:rsidRPr="00DE0256">
        <w:rPr>
          <w:i/>
          <w:iCs/>
          <w:color w:val="000000" w:themeColor="text1"/>
        </w:rPr>
        <w:t xml:space="preserve">ociety: Survey </w:t>
      </w:r>
      <w:r w:rsidR="00DE0256" w:rsidRPr="00DE0256">
        <w:rPr>
          <w:i/>
          <w:iCs/>
          <w:color w:val="000000" w:themeColor="text1"/>
        </w:rPr>
        <w:t>R</w:t>
      </w:r>
      <w:r w:rsidRPr="00DE0256">
        <w:rPr>
          <w:i/>
          <w:iCs/>
          <w:color w:val="000000" w:themeColor="text1"/>
        </w:rPr>
        <w:t xml:space="preserve">esearch and </w:t>
      </w:r>
      <w:r w:rsidR="00DE0256" w:rsidRPr="00DE0256">
        <w:rPr>
          <w:i/>
          <w:iCs/>
          <w:color w:val="000000" w:themeColor="text1"/>
        </w:rPr>
        <w:t>S</w:t>
      </w:r>
      <w:r w:rsidRPr="00DE0256">
        <w:rPr>
          <w:i/>
          <w:iCs/>
          <w:color w:val="000000" w:themeColor="text1"/>
        </w:rPr>
        <w:t xml:space="preserve">ocial </w:t>
      </w:r>
      <w:r w:rsidR="00DE0256" w:rsidRPr="00DE0256">
        <w:rPr>
          <w:i/>
          <w:iCs/>
          <w:color w:val="000000" w:themeColor="text1"/>
        </w:rPr>
        <w:t>S</w:t>
      </w:r>
      <w:r w:rsidRPr="00DE0256">
        <w:rPr>
          <w:i/>
          <w:iCs/>
          <w:color w:val="000000" w:themeColor="text1"/>
        </w:rPr>
        <w:t xml:space="preserve">cience at the University of Michigan and </w:t>
      </w:r>
      <w:r w:rsidR="00DE0256" w:rsidRPr="00DE0256">
        <w:rPr>
          <w:i/>
          <w:iCs/>
          <w:color w:val="000000" w:themeColor="text1"/>
        </w:rPr>
        <w:t>B</w:t>
      </w:r>
      <w:r w:rsidRPr="00DE0256">
        <w:rPr>
          <w:i/>
          <w:iCs/>
          <w:color w:val="000000" w:themeColor="text1"/>
        </w:rPr>
        <w:t>eyond</w:t>
      </w:r>
      <w:r w:rsidRPr="00A40E11">
        <w:rPr>
          <w:color w:val="000000" w:themeColor="text1"/>
        </w:rPr>
        <w:t xml:space="preserve"> (pp. 21–64). The University of Michigan Press.</w:t>
      </w:r>
    </w:p>
    <w:p w14:paraId="7885FCF2" w14:textId="5A7FCB67" w:rsidR="00D2328A" w:rsidRPr="00D14CD7" w:rsidRDefault="00D2328A" w:rsidP="001B6746">
      <w:pPr>
        <w:spacing w:after="40" w:line="240" w:lineRule="auto"/>
        <w:ind w:left="540" w:hanging="540"/>
        <w:rPr>
          <w:color w:val="000000" w:themeColor="text1"/>
        </w:rPr>
      </w:pPr>
      <w:r w:rsidRPr="00D14CD7">
        <w:rPr>
          <w:color w:val="000000" w:themeColor="text1"/>
        </w:rPr>
        <w:t xml:space="preserve">Ha, J. (2020). Why do people try different restaurants? The investigation of personality, involvement, and customer satisfaction. </w:t>
      </w:r>
      <w:r w:rsidRPr="00D14CD7">
        <w:rPr>
          <w:i/>
          <w:iCs/>
          <w:color w:val="000000" w:themeColor="text1"/>
        </w:rPr>
        <w:t>International Journal of Hospitality and Tourism Administration</w:t>
      </w:r>
      <w:r w:rsidRPr="00D14CD7">
        <w:rPr>
          <w:color w:val="000000" w:themeColor="text1"/>
        </w:rPr>
        <w:t>, 21(4), 456–470.</w:t>
      </w:r>
    </w:p>
    <w:p w14:paraId="4745D0DE" w14:textId="6B401894" w:rsidR="00D2328A" w:rsidRPr="00D14CD7" w:rsidRDefault="00D2328A" w:rsidP="001B6746">
      <w:pPr>
        <w:spacing w:after="40" w:line="240" w:lineRule="auto"/>
        <w:ind w:left="540" w:hanging="540"/>
        <w:rPr>
          <w:color w:val="000000" w:themeColor="text1"/>
        </w:rPr>
      </w:pPr>
      <w:r w:rsidRPr="00D14CD7">
        <w:rPr>
          <w:color w:val="000000" w:themeColor="text1"/>
        </w:rPr>
        <w:t xml:space="preserve">Ha, J., and Jang, S. S. (2013). Attributes, consequences, and consumer values: A means‐end chain approach across restaurant segments. </w:t>
      </w:r>
      <w:r w:rsidRPr="00D14CD7">
        <w:rPr>
          <w:i/>
          <w:iCs/>
          <w:color w:val="000000" w:themeColor="text1"/>
        </w:rPr>
        <w:t>International Journal of Contemporary Hospitality Management</w:t>
      </w:r>
      <w:r w:rsidR="00775943" w:rsidRPr="00D14CD7">
        <w:rPr>
          <w:color w:val="000000" w:themeColor="text1"/>
        </w:rPr>
        <w:t>, 25(3), 383–409.</w:t>
      </w:r>
    </w:p>
    <w:p w14:paraId="5C6A9F5A" w14:textId="232A880F" w:rsidR="00D2328A" w:rsidRPr="00D14CD7" w:rsidRDefault="00D2328A" w:rsidP="001B6746">
      <w:pPr>
        <w:spacing w:after="40" w:line="240" w:lineRule="auto"/>
        <w:ind w:left="540" w:hanging="540"/>
        <w:rPr>
          <w:color w:val="000000" w:themeColor="text1"/>
        </w:rPr>
      </w:pPr>
      <w:r w:rsidRPr="00D14CD7">
        <w:rPr>
          <w:color w:val="000000" w:themeColor="text1"/>
        </w:rPr>
        <w:t xml:space="preserve">Haddad, A. J., Mondal, A., and Bhat, C. R. (2023). Eat-in or eat-out? A joint model to analyze the new landscape of dinner meal preferences. </w:t>
      </w:r>
      <w:r w:rsidRPr="00D14CD7">
        <w:rPr>
          <w:i/>
          <w:iCs/>
          <w:color w:val="000000" w:themeColor="text1"/>
        </w:rPr>
        <w:t>Transportation Research Part C</w:t>
      </w:r>
      <w:r w:rsidRPr="00D14CD7">
        <w:rPr>
          <w:color w:val="000000" w:themeColor="text1"/>
        </w:rPr>
        <w:t>, 147, 104016.</w:t>
      </w:r>
    </w:p>
    <w:p w14:paraId="4AE9EC95" w14:textId="0B589809" w:rsidR="00F74DB0" w:rsidRPr="00D14CD7" w:rsidRDefault="00F74DB0" w:rsidP="001B6746">
      <w:pPr>
        <w:spacing w:after="40" w:line="240" w:lineRule="auto"/>
        <w:ind w:left="540" w:hanging="540"/>
        <w:rPr>
          <w:color w:val="000000" w:themeColor="text1"/>
        </w:rPr>
      </w:pPr>
      <w:r w:rsidRPr="00D14CD7">
        <w:rPr>
          <w:color w:val="000000" w:themeColor="text1"/>
        </w:rPr>
        <w:t>Hamilton, R.</w:t>
      </w:r>
      <w:r w:rsidR="00FD4D36">
        <w:rPr>
          <w:color w:val="000000" w:themeColor="text1"/>
        </w:rPr>
        <w:t xml:space="preserve"> </w:t>
      </w:r>
      <w:r w:rsidRPr="00D14CD7">
        <w:rPr>
          <w:color w:val="000000" w:themeColor="text1"/>
        </w:rPr>
        <w:t>W., Mittal, C., Shah, A., Thompson, D.</w:t>
      </w:r>
      <w:r w:rsidR="00FD4D36">
        <w:rPr>
          <w:color w:val="000000" w:themeColor="text1"/>
        </w:rPr>
        <w:t xml:space="preserve"> </w:t>
      </w:r>
      <w:r w:rsidRPr="00D14CD7">
        <w:rPr>
          <w:color w:val="000000" w:themeColor="text1"/>
        </w:rPr>
        <w:t xml:space="preserve">V. and </w:t>
      </w:r>
      <w:proofErr w:type="spellStart"/>
      <w:r w:rsidRPr="00D14CD7">
        <w:rPr>
          <w:color w:val="000000" w:themeColor="text1"/>
        </w:rPr>
        <w:t>Griskevicius</w:t>
      </w:r>
      <w:proofErr w:type="spellEnd"/>
      <w:r w:rsidRPr="00D14CD7">
        <w:rPr>
          <w:color w:val="000000" w:themeColor="text1"/>
        </w:rPr>
        <w:t>, V. (2019)</w:t>
      </w:r>
      <w:r w:rsidR="00FD4D36">
        <w:rPr>
          <w:color w:val="000000" w:themeColor="text1"/>
        </w:rPr>
        <w:t xml:space="preserve">. </w:t>
      </w:r>
      <w:r w:rsidRPr="00D14CD7">
        <w:rPr>
          <w:color w:val="000000" w:themeColor="text1"/>
        </w:rPr>
        <w:t>How financial constraints influence consumer behavior: an integrative framework</w:t>
      </w:r>
      <w:r w:rsidR="00FD4D36">
        <w:rPr>
          <w:color w:val="000000" w:themeColor="text1"/>
        </w:rPr>
        <w:t>.</w:t>
      </w:r>
      <w:r w:rsidRPr="00D14CD7">
        <w:rPr>
          <w:color w:val="000000" w:themeColor="text1"/>
        </w:rPr>
        <w:t xml:space="preserve"> </w:t>
      </w:r>
      <w:r w:rsidRPr="00FD4D36">
        <w:rPr>
          <w:i/>
          <w:iCs/>
          <w:color w:val="000000" w:themeColor="text1"/>
        </w:rPr>
        <w:t>Journal of Consumer Psychology</w:t>
      </w:r>
      <w:r w:rsidRPr="00D14CD7">
        <w:rPr>
          <w:color w:val="000000" w:themeColor="text1"/>
        </w:rPr>
        <w:t>, 29</w:t>
      </w:r>
      <w:r w:rsidR="00FD4D36">
        <w:rPr>
          <w:color w:val="000000" w:themeColor="text1"/>
        </w:rPr>
        <w:t>(</w:t>
      </w:r>
      <w:r w:rsidRPr="00D14CD7">
        <w:rPr>
          <w:color w:val="000000" w:themeColor="text1"/>
        </w:rPr>
        <w:t>2</w:t>
      </w:r>
      <w:r w:rsidR="00FD4D36">
        <w:rPr>
          <w:color w:val="000000" w:themeColor="text1"/>
        </w:rPr>
        <w:t>)</w:t>
      </w:r>
      <w:r w:rsidRPr="00D14CD7">
        <w:rPr>
          <w:color w:val="000000" w:themeColor="text1"/>
        </w:rPr>
        <w:t>, 285</w:t>
      </w:r>
      <w:r w:rsidR="00FD4D36" w:rsidRPr="00D14CD7">
        <w:rPr>
          <w:color w:val="000000" w:themeColor="text1"/>
        </w:rPr>
        <w:t>–</w:t>
      </w:r>
      <w:r w:rsidRPr="00D14CD7">
        <w:rPr>
          <w:color w:val="000000" w:themeColor="text1"/>
        </w:rPr>
        <w:t>305.</w:t>
      </w:r>
    </w:p>
    <w:p w14:paraId="01701D36" w14:textId="06AD8C3E" w:rsidR="00D2328A" w:rsidRPr="00D14CD7" w:rsidRDefault="00D2328A" w:rsidP="001B6746">
      <w:pPr>
        <w:spacing w:after="40" w:line="240" w:lineRule="auto"/>
        <w:ind w:left="540" w:hanging="540"/>
        <w:rPr>
          <w:color w:val="000000" w:themeColor="text1"/>
        </w:rPr>
      </w:pPr>
      <w:r w:rsidRPr="00D14CD7">
        <w:rPr>
          <w:color w:val="000000" w:themeColor="text1"/>
        </w:rPr>
        <w:t xml:space="preserve">Harrington, R. J., </w:t>
      </w:r>
      <w:proofErr w:type="spellStart"/>
      <w:r w:rsidRPr="00D14CD7">
        <w:rPr>
          <w:color w:val="000000" w:themeColor="text1"/>
        </w:rPr>
        <w:t>Ottenbacher</w:t>
      </w:r>
      <w:proofErr w:type="spellEnd"/>
      <w:r w:rsidRPr="00D14CD7">
        <w:rPr>
          <w:color w:val="000000" w:themeColor="text1"/>
        </w:rPr>
        <w:t xml:space="preserve">, M. C., and Kendall, K. (2011). Fine-dining restaurant selection: Direct and moderating effects of customer attributes. </w:t>
      </w:r>
      <w:r w:rsidRPr="00D14CD7">
        <w:rPr>
          <w:i/>
          <w:iCs/>
          <w:color w:val="000000" w:themeColor="text1"/>
        </w:rPr>
        <w:t>Journal of Foodservice Business Research</w:t>
      </w:r>
      <w:r w:rsidRPr="00D14CD7">
        <w:rPr>
          <w:color w:val="000000" w:themeColor="text1"/>
        </w:rPr>
        <w:t>, 14(3), 272–289.</w:t>
      </w:r>
    </w:p>
    <w:p w14:paraId="451D481B" w14:textId="77777777" w:rsidR="00D2328A" w:rsidRPr="00D14CD7" w:rsidRDefault="00D2328A" w:rsidP="001B6746">
      <w:pPr>
        <w:spacing w:after="40" w:line="240" w:lineRule="auto"/>
        <w:ind w:left="540" w:hanging="540"/>
        <w:rPr>
          <w:color w:val="000000" w:themeColor="text1"/>
        </w:rPr>
      </w:pPr>
      <w:r w:rsidRPr="00D14CD7">
        <w:rPr>
          <w:color w:val="000000" w:themeColor="text1"/>
        </w:rPr>
        <w:t xml:space="preserve">Harrington, R. J., </w:t>
      </w:r>
      <w:proofErr w:type="spellStart"/>
      <w:r w:rsidRPr="00D14CD7">
        <w:rPr>
          <w:color w:val="000000" w:themeColor="text1"/>
        </w:rPr>
        <w:t>Ottenbacher</w:t>
      </w:r>
      <w:proofErr w:type="spellEnd"/>
      <w:r w:rsidRPr="00D14CD7">
        <w:rPr>
          <w:color w:val="000000" w:themeColor="text1"/>
        </w:rPr>
        <w:t xml:space="preserve">, M. C., and Way, K. A. (2013). QSR choice: Key restaurant attributes and the roles of gender, age and dining frequency. </w:t>
      </w:r>
      <w:r w:rsidRPr="00D14CD7">
        <w:rPr>
          <w:i/>
          <w:iCs/>
          <w:color w:val="000000" w:themeColor="text1"/>
        </w:rPr>
        <w:t>Journal of Quality Assurance in Hospitality and Tourism</w:t>
      </w:r>
      <w:r w:rsidRPr="00D14CD7">
        <w:rPr>
          <w:color w:val="000000" w:themeColor="text1"/>
        </w:rPr>
        <w:t>, 14(1), 81–100.</w:t>
      </w:r>
    </w:p>
    <w:p w14:paraId="0F640316" w14:textId="77777777" w:rsidR="00D2328A" w:rsidRPr="00D14CD7" w:rsidRDefault="00D2328A" w:rsidP="001B6746">
      <w:pPr>
        <w:spacing w:after="40" w:line="240" w:lineRule="auto"/>
        <w:ind w:left="540" w:hanging="540"/>
        <w:rPr>
          <w:color w:val="000000" w:themeColor="text1"/>
        </w:rPr>
      </w:pPr>
      <w:r w:rsidRPr="00D14CD7">
        <w:rPr>
          <w:color w:val="000000" w:themeColor="text1"/>
        </w:rPr>
        <w:t xml:space="preserve">Hidaka, B. H., Hester, C. M., Bridges, K. M., Daley, C. M., and Greiner, K. A. (2018). Fast food consumption is associated with higher education in women, but not men, among older adults in urban safety-net clinics: A cross-sectional survey. </w:t>
      </w:r>
      <w:r w:rsidRPr="00D14CD7">
        <w:rPr>
          <w:i/>
          <w:iCs/>
          <w:color w:val="000000" w:themeColor="text1"/>
        </w:rPr>
        <w:t>Preventive Medicine Reports</w:t>
      </w:r>
      <w:r w:rsidRPr="00D14CD7">
        <w:rPr>
          <w:color w:val="000000" w:themeColor="text1"/>
        </w:rPr>
        <w:t>, 12, 148–151.</w:t>
      </w:r>
    </w:p>
    <w:p w14:paraId="0AD728AE" w14:textId="77777777" w:rsidR="00D2328A" w:rsidRPr="00D14CD7" w:rsidRDefault="00D2328A" w:rsidP="001B6746">
      <w:pPr>
        <w:spacing w:after="40" w:line="240" w:lineRule="auto"/>
        <w:ind w:left="540" w:hanging="540"/>
        <w:rPr>
          <w:color w:val="000000" w:themeColor="text1"/>
        </w:rPr>
      </w:pPr>
      <w:proofErr w:type="spellStart"/>
      <w:r w:rsidRPr="00D14CD7">
        <w:rPr>
          <w:color w:val="000000" w:themeColor="text1"/>
        </w:rPr>
        <w:t>Hiza</w:t>
      </w:r>
      <w:proofErr w:type="spellEnd"/>
      <w:r w:rsidRPr="00D14CD7">
        <w:rPr>
          <w:color w:val="000000" w:themeColor="text1"/>
        </w:rPr>
        <w:t xml:space="preserve">, H. A., </w:t>
      </w:r>
      <w:proofErr w:type="spellStart"/>
      <w:r w:rsidRPr="00D14CD7">
        <w:rPr>
          <w:color w:val="000000" w:themeColor="text1"/>
        </w:rPr>
        <w:t>Casavale</w:t>
      </w:r>
      <w:proofErr w:type="spellEnd"/>
      <w:r w:rsidRPr="00D14CD7">
        <w:rPr>
          <w:color w:val="000000" w:themeColor="text1"/>
        </w:rPr>
        <w:t xml:space="preserve">, K. O., Guenther, P. M., and Davis, C. A. (2013). Diet quality of Americans differs by age, sex, race/ethnicity, income, and education level. </w:t>
      </w:r>
      <w:r w:rsidRPr="00D14CD7">
        <w:rPr>
          <w:i/>
          <w:iCs/>
          <w:color w:val="000000" w:themeColor="text1"/>
        </w:rPr>
        <w:t>Journal of the Academy of Nutrition and Dietetics</w:t>
      </w:r>
      <w:r w:rsidRPr="00D14CD7">
        <w:rPr>
          <w:color w:val="000000" w:themeColor="text1"/>
        </w:rPr>
        <w:t>, 113(2), 297–306.</w:t>
      </w:r>
    </w:p>
    <w:p w14:paraId="7B404BD6" w14:textId="77777777" w:rsidR="00D2328A" w:rsidRPr="00D14CD7" w:rsidRDefault="00D2328A" w:rsidP="001B6746">
      <w:pPr>
        <w:spacing w:after="40" w:line="240" w:lineRule="auto"/>
        <w:ind w:left="540" w:hanging="540"/>
        <w:rPr>
          <w:color w:val="000000" w:themeColor="text1"/>
        </w:rPr>
      </w:pPr>
      <w:r w:rsidRPr="00D14CD7">
        <w:rPr>
          <w:color w:val="000000" w:themeColor="text1"/>
        </w:rPr>
        <w:t xml:space="preserve">Hwang, J., and Ok, C. (2013). The antecedents and consequence of consumer attitudes toward restaurant brands: A comparative study between casual and fine dining restaurants. </w:t>
      </w:r>
      <w:r w:rsidRPr="00D14CD7">
        <w:rPr>
          <w:i/>
          <w:iCs/>
          <w:color w:val="000000" w:themeColor="text1"/>
        </w:rPr>
        <w:t>International Journal of Hospitality Management</w:t>
      </w:r>
      <w:r w:rsidRPr="00D14CD7">
        <w:rPr>
          <w:color w:val="000000" w:themeColor="text1"/>
        </w:rPr>
        <w:t>, 32, 121–131.</w:t>
      </w:r>
    </w:p>
    <w:p w14:paraId="6CAA4C85" w14:textId="14AE0B0E" w:rsidR="00D2328A" w:rsidRPr="00D14CD7" w:rsidRDefault="00D2328A" w:rsidP="001B6746">
      <w:pPr>
        <w:spacing w:after="40" w:line="240" w:lineRule="auto"/>
        <w:ind w:left="540" w:hanging="540"/>
        <w:rPr>
          <w:color w:val="000000" w:themeColor="text1"/>
        </w:rPr>
      </w:pPr>
      <w:proofErr w:type="spellStart"/>
      <w:r w:rsidRPr="00D14CD7">
        <w:rPr>
          <w:color w:val="000000" w:themeColor="text1"/>
        </w:rPr>
        <w:lastRenderedPageBreak/>
        <w:t>Ipatenco</w:t>
      </w:r>
      <w:proofErr w:type="spellEnd"/>
      <w:r w:rsidRPr="00D14CD7">
        <w:rPr>
          <w:color w:val="000000" w:themeColor="text1"/>
        </w:rPr>
        <w:t xml:space="preserve">, S. (2012). What </w:t>
      </w:r>
      <w:r w:rsidR="008C23FF">
        <w:rPr>
          <w:color w:val="000000" w:themeColor="text1"/>
        </w:rPr>
        <w:t>a</w:t>
      </w:r>
      <w:r w:rsidRPr="00D14CD7">
        <w:rPr>
          <w:color w:val="000000" w:themeColor="text1"/>
        </w:rPr>
        <w:t xml:space="preserve">ttracts </w:t>
      </w:r>
      <w:r w:rsidR="008C23FF">
        <w:rPr>
          <w:color w:val="000000" w:themeColor="text1"/>
        </w:rPr>
        <w:t>k</w:t>
      </w:r>
      <w:r w:rsidRPr="00D14CD7">
        <w:rPr>
          <w:color w:val="000000" w:themeColor="text1"/>
        </w:rPr>
        <w:t xml:space="preserve">ids to </w:t>
      </w:r>
      <w:r w:rsidR="008C23FF">
        <w:rPr>
          <w:color w:val="000000" w:themeColor="text1"/>
        </w:rPr>
        <w:t>f</w:t>
      </w:r>
      <w:r w:rsidRPr="00D14CD7">
        <w:rPr>
          <w:color w:val="000000" w:themeColor="text1"/>
        </w:rPr>
        <w:t xml:space="preserve">ast </w:t>
      </w:r>
      <w:r w:rsidR="008C23FF">
        <w:rPr>
          <w:color w:val="000000" w:themeColor="text1"/>
        </w:rPr>
        <w:t>f</w:t>
      </w:r>
      <w:r w:rsidRPr="00D14CD7">
        <w:rPr>
          <w:color w:val="000000" w:themeColor="text1"/>
        </w:rPr>
        <w:t>ood?</w:t>
      </w:r>
      <w:r w:rsidR="00DE0256">
        <w:rPr>
          <w:color w:val="000000" w:themeColor="text1"/>
        </w:rPr>
        <w:t xml:space="preserve"> Week&amp;</w:t>
      </w:r>
      <w:r w:rsidR="008C23FF">
        <w:rPr>
          <w:color w:val="000000" w:themeColor="text1"/>
        </w:rPr>
        <w:t>.</w:t>
      </w:r>
      <w:r w:rsidRPr="00D14CD7">
        <w:rPr>
          <w:color w:val="000000" w:themeColor="text1"/>
        </w:rPr>
        <w:t xml:space="preserve"> </w:t>
      </w:r>
      <w:hyperlink r:id="rId236" w:history="1">
        <w:r w:rsidR="00BB6226" w:rsidRPr="00D14CD7">
          <w:rPr>
            <w:rStyle w:val="Hyperlink"/>
            <w:color w:val="000000" w:themeColor="text1"/>
          </w:rPr>
          <w:t>https://www.weekand.com/healthy-living/article/attracts-kids-fast-food-18002699.php</w:t>
        </w:r>
      </w:hyperlink>
      <w:r w:rsidR="00BB6226" w:rsidRPr="00D14CD7">
        <w:rPr>
          <w:color w:val="000000" w:themeColor="text1"/>
        </w:rPr>
        <w:t xml:space="preserve"> </w:t>
      </w:r>
    </w:p>
    <w:p w14:paraId="5C468D37" w14:textId="77777777" w:rsidR="00D2328A" w:rsidRPr="00D14CD7" w:rsidRDefault="00D2328A" w:rsidP="001B6746">
      <w:pPr>
        <w:spacing w:after="40" w:line="240" w:lineRule="auto"/>
        <w:ind w:left="540" w:hanging="540"/>
        <w:rPr>
          <w:color w:val="000000" w:themeColor="text1"/>
        </w:rPr>
      </w:pPr>
      <w:r w:rsidRPr="00D14CD7">
        <w:rPr>
          <w:color w:val="000000" w:themeColor="text1"/>
        </w:rPr>
        <w:t xml:space="preserve">Jang, S. S., and </w:t>
      </w:r>
      <w:proofErr w:type="spellStart"/>
      <w:r w:rsidRPr="00D14CD7">
        <w:rPr>
          <w:color w:val="000000" w:themeColor="text1"/>
        </w:rPr>
        <w:t>Namkung</w:t>
      </w:r>
      <w:proofErr w:type="spellEnd"/>
      <w:r w:rsidRPr="00D14CD7">
        <w:rPr>
          <w:color w:val="000000" w:themeColor="text1"/>
        </w:rPr>
        <w:t xml:space="preserve">, Y. (2009). Perceived quality, emotions, and behavioral intentions: Application of an extended Mehrabian–Russell model to restaurants. </w:t>
      </w:r>
      <w:r w:rsidRPr="00D14CD7">
        <w:rPr>
          <w:i/>
          <w:iCs/>
          <w:color w:val="000000" w:themeColor="text1"/>
        </w:rPr>
        <w:t>Journal of Business Research</w:t>
      </w:r>
      <w:r w:rsidRPr="00D14CD7">
        <w:rPr>
          <w:color w:val="000000" w:themeColor="text1"/>
        </w:rPr>
        <w:t>, 62(4), 451–460.</w:t>
      </w:r>
    </w:p>
    <w:p w14:paraId="19A45D69" w14:textId="77777777" w:rsidR="00D2328A" w:rsidRPr="00D14CD7" w:rsidRDefault="00D2328A" w:rsidP="001B6746">
      <w:pPr>
        <w:spacing w:after="40" w:line="240" w:lineRule="auto"/>
        <w:ind w:left="540" w:hanging="540"/>
        <w:rPr>
          <w:color w:val="000000" w:themeColor="text1"/>
        </w:rPr>
      </w:pPr>
      <w:r w:rsidRPr="00D14CD7">
        <w:rPr>
          <w:color w:val="000000" w:themeColor="text1"/>
        </w:rPr>
        <w:t xml:space="preserve">Jones, C. (2018). Restaurant food choices by moms: An exploratory study. </w:t>
      </w:r>
      <w:r w:rsidRPr="00D14CD7">
        <w:rPr>
          <w:i/>
          <w:iCs/>
          <w:color w:val="000000" w:themeColor="text1"/>
        </w:rPr>
        <w:t>Journal of Foodservice Business Research</w:t>
      </w:r>
      <w:r w:rsidRPr="00D14CD7">
        <w:rPr>
          <w:color w:val="000000" w:themeColor="text1"/>
        </w:rPr>
        <w:t>, 21(4), 377–393.</w:t>
      </w:r>
    </w:p>
    <w:p w14:paraId="51A0443C" w14:textId="77777777" w:rsidR="00D2328A" w:rsidRPr="00D14CD7" w:rsidRDefault="00D2328A" w:rsidP="001B6746">
      <w:pPr>
        <w:spacing w:after="40" w:line="240" w:lineRule="auto"/>
        <w:ind w:left="540" w:hanging="540"/>
        <w:rPr>
          <w:color w:val="000000" w:themeColor="text1"/>
        </w:rPr>
      </w:pPr>
      <w:r w:rsidRPr="00D14CD7">
        <w:rPr>
          <w:color w:val="000000" w:themeColor="text1"/>
        </w:rPr>
        <w:t xml:space="preserve">Jung, H. S., and Yoon, H. H. (2012). Why do satisfied customers switch? Focus on the restaurant patron variety-seeking orientation and purchase decision involvement. </w:t>
      </w:r>
      <w:r w:rsidRPr="00D14CD7">
        <w:rPr>
          <w:i/>
          <w:iCs/>
          <w:color w:val="000000" w:themeColor="text1"/>
        </w:rPr>
        <w:t>International Journal of Hospitality Management</w:t>
      </w:r>
      <w:r w:rsidRPr="00D14CD7">
        <w:rPr>
          <w:color w:val="000000" w:themeColor="text1"/>
        </w:rPr>
        <w:t>, 31(3), 875–884.</w:t>
      </w:r>
    </w:p>
    <w:p w14:paraId="0C668964" w14:textId="77777777" w:rsidR="00D2328A" w:rsidRPr="00D14CD7" w:rsidRDefault="00D2328A" w:rsidP="001B6746">
      <w:pPr>
        <w:spacing w:after="40" w:line="240" w:lineRule="auto"/>
        <w:ind w:left="540" w:hanging="540"/>
        <w:rPr>
          <w:color w:val="000000" w:themeColor="text1"/>
        </w:rPr>
      </w:pPr>
      <w:r w:rsidRPr="00D14CD7">
        <w:rPr>
          <w:color w:val="000000" w:themeColor="text1"/>
        </w:rPr>
        <w:t xml:space="preserve">Jung, J. M., Sydnor, S., Lee, S. K., and Almanza, B. (2015). A conflict of choice: How consumers choose where to go for dinner. </w:t>
      </w:r>
      <w:r w:rsidRPr="00D14CD7">
        <w:rPr>
          <w:i/>
          <w:iCs/>
          <w:color w:val="000000" w:themeColor="text1"/>
        </w:rPr>
        <w:t>International Journal of Hospitality Management</w:t>
      </w:r>
      <w:r w:rsidRPr="00D14CD7">
        <w:rPr>
          <w:color w:val="000000" w:themeColor="text1"/>
        </w:rPr>
        <w:t>, 45, 88–98.</w:t>
      </w:r>
    </w:p>
    <w:p w14:paraId="54B181C4" w14:textId="77777777" w:rsidR="00D2328A" w:rsidRPr="00D14CD7" w:rsidRDefault="00D2328A" w:rsidP="001B6746">
      <w:pPr>
        <w:spacing w:after="40" w:line="240" w:lineRule="auto"/>
        <w:ind w:left="540" w:hanging="540"/>
        <w:rPr>
          <w:color w:val="000000" w:themeColor="text1"/>
        </w:rPr>
      </w:pPr>
      <w:r w:rsidRPr="00D14CD7">
        <w:rPr>
          <w:color w:val="000000" w:themeColor="text1"/>
        </w:rPr>
        <w:t xml:space="preserve">Kenyon, E., and Heath, S. (2001). Choosing this life: Narratives of choice amongst house sharers. </w:t>
      </w:r>
      <w:r w:rsidRPr="00D14CD7">
        <w:rPr>
          <w:i/>
          <w:iCs/>
          <w:color w:val="000000" w:themeColor="text1"/>
        </w:rPr>
        <w:t>Housing Studies</w:t>
      </w:r>
      <w:r w:rsidRPr="00D14CD7">
        <w:rPr>
          <w:color w:val="000000" w:themeColor="text1"/>
        </w:rPr>
        <w:t>, 16(5), 619–635.</w:t>
      </w:r>
    </w:p>
    <w:p w14:paraId="38CC1E23" w14:textId="19A38405" w:rsidR="00D2328A" w:rsidRPr="00D14CD7" w:rsidRDefault="00D2328A" w:rsidP="001B6746">
      <w:pPr>
        <w:spacing w:after="40" w:line="240" w:lineRule="auto"/>
        <w:ind w:left="540" w:hanging="540"/>
        <w:rPr>
          <w:color w:val="000000" w:themeColor="text1"/>
        </w:rPr>
      </w:pPr>
      <w:r w:rsidRPr="00D14CD7">
        <w:rPr>
          <w:color w:val="000000" w:themeColor="text1"/>
        </w:rPr>
        <w:t xml:space="preserve">Kim, K. J., and Kim, D.-Y. (2021). I </w:t>
      </w:r>
      <w:r w:rsidR="008C23FF">
        <w:rPr>
          <w:color w:val="000000" w:themeColor="text1"/>
        </w:rPr>
        <w:t>w</w:t>
      </w:r>
      <w:r w:rsidRPr="00D14CD7">
        <w:rPr>
          <w:color w:val="000000" w:themeColor="text1"/>
        </w:rPr>
        <w:t xml:space="preserve">ant to eat out, but something holding me back: Mom’s cooking stress and family dining out constraints. </w:t>
      </w:r>
      <w:r w:rsidRPr="00D14CD7">
        <w:rPr>
          <w:i/>
          <w:iCs/>
          <w:color w:val="000000" w:themeColor="text1"/>
        </w:rPr>
        <w:t>International Journal of Hospitality Management</w:t>
      </w:r>
      <w:r w:rsidRPr="00D14CD7">
        <w:rPr>
          <w:color w:val="000000" w:themeColor="text1"/>
        </w:rPr>
        <w:t>, 99, 103069.</w:t>
      </w:r>
    </w:p>
    <w:p w14:paraId="09ACE7B4" w14:textId="77777777" w:rsidR="00D2328A" w:rsidRPr="00D14CD7" w:rsidRDefault="00D2328A" w:rsidP="001B6746">
      <w:pPr>
        <w:spacing w:after="40" w:line="240" w:lineRule="auto"/>
        <w:ind w:left="540" w:hanging="540"/>
        <w:rPr>
          <w:color w:val="000000" w:themeColor="text1"/>
        </w:rPr>
      </w:pPr>
      <w:r w:rsidRPr="008C23FF">
        <w:rPr>
          <w:color w:val="000000" w:themeColor="text1"/>
        </w:rPr>
        <w:t>Kim, S., and Chung, J.-E. (2011). Restaurant selection criteria: Understanding the roles of restaurant type and customers’ sociodemographic characteristics.</w:t>
      </w:r>
    </w:p>
    <w:p w14:paraId="3AFCB4C3" w14:textId="24E94A28" w:rsidR="00EA1F7A" w:rsidRPr="00D14CD7" w:rsidRDefault="00EA1F7A" w:rsidP="001B6746">
      <w:pPr>
        <w:spacing w:after="40" w:line="240" w:lineRule="auto"/>
        <w:ind w:left="540" w:hanging="540"/>
        <w:rPr>
          <w:color w:val="000000" w:themeColor="text1"/>
        </w:rPr>
      </w:pPr>
      <w:r w:rsidRPr="00D14CD7">
        <w:rPr>
          <w:color w:val="000000" w:themeColor="text1"/>
        </w:rPr>
        <w:t xml:space="preserve">Kim, W., and Wang, X. C. (2021). To be online or in-store: Analysis of retail, grocery, and food shopping in New York city. </w:t>
      </w:r>
      <w:r w:rsidRPr="00D14CD7">
        <w:rPr>
          <w:i/>
          <w:iCs/>
          <w:color w:val="000000" w:themeColor="text1"/>
        </w:rPr>
        <w:t>Transportation Research Part C</w:t>
      </w:r>
      <w:r w:rsidRPr="00D14CD7">
        <w:rPr>
          <w:color w:val="000000" w:themeColor="text1"/>
        </w:rPr>
        <w:t>, 126, 103052.</w:t>
      </w:r>
    </w:p>
    <w:p w14:paraId="4941A6B4" w14:textId="19144DE3" w:rsidR="00D2328A" w:rsidRPr="00D14CD7" w:rsidRDefault="00D2328A" w:rsidP="001B6746">
      <w:pPr>
        <w:spacing w:after="40" w:line="240" w:lineRule="auto"/>
        <w:ind w:left="540" w:hanging="540"/>
        <w:rPr>
          <w:color w:val="000000" w:themeColor="text1"/>
        </w:rPr>
      </w:pPr>
      <w:r w:rsidRPr="00D14CD7">
        <w:rPr>
          <w:color w:val="000000" w:themeColor="text1"/>
        </w:rPr>
        <w:t xml:space="preserve">Kraus, M. W., Park, J. W., and Tan, J. J. (2017). Signs of social class: The experience of economic inequality in everyday life. </w:t>
      </w:r>
      <w:r w:rsidRPr="00D14CD7">
        <w:rPr>
          <w:i/>
          <w:iCs/>
          <w:color w:val="000000" w:themeColor="text1"/>
        </w:rPr>
        <w:t>Perspectives on Psychological Science</w:t>
      </w:r>
      <w:r w:rsidRPr="00D14CD7">
        <w:rPr>
          <w:color w:val="000000" w:themeColor="text1"/>
        </w:rPr>
        <w:t>, 12(3), 422–435.</w:t>
      </w:r>
    </w:p>
    <w:p w14:paraId="76A517B6" w14:textId="77777777" w:rsidR="00D2328A" w:rsidRPr="00D14CD7" w:rsidRDefault="00D2328A" w:rsidP="001B6746">
      <w:pPr>
        <w:spacing w:after="40" w:line="240" w:lineRule="auto"/>
        <w:ind w:left="540" w:hanging="540"/>
        <w:rPr>
          <w:color w:val="000000" w:themeColor="text1"/>
        </w:rPr>
      </w:pPr>
      <w:r w:rsidRPr="00D14CD7">
        <w:rPr>
          <w:color w:val="000000" w:themeColor="text1"/>
        </w:rPr>
        <w:t xml:space="preserve">Krause, C. G., Beer-Borst, S., </w:t>
      </w:r>
      <w:proofErr w:type="spellStart"/>
      <w:r w:rsidRPr="00D14CD7">
        <w:rPr>
          <w:color w:val="000000" w:themeColor="text1"/>
        </w:rPr>
        <w:t>Sommerhalder</w:t>
      </w:r>
      <w:proofErr w:type="spellEnd"/>
      <w:r w:rsidRPr="00D14CD7">
        <w:rPr>
          <w:color w:val="000000" w:themeColor="text1"/>
        </w:rPr>
        <w:t xml:space="preserve">, K., </w:t>
      </w:r>
      <w:proofErr w:type="spellStart"/>
      <w:r w:rsidRPr="00D14CD7">
        <w:rPr>
          <w:color w:val="000000" w:themeColor="text1"/>
        </w:rPr>
        <w:t>Hayoz</w:t>
      </w:r>
      <w:proofErr w:type="spellEnd"/>
      <w:r w:rsidRPr="00D14CD7">
        <w:rPr>
          <w:color w:val="000000" w:themeColor="text1"/>
        </w:rPr>
        <w:t xml:space="preserve">, S., and Abel, T. (2018). A short food literacy questionnaire (SFLQ) for adults: Findings from a Swiss validation study. </w:t>
      </w:r>
      <w:r w:rsidRPr="00D14CD7">
        <w:rPr>
          <w:i/>
          <w:iCs/>
          <w:color w:val="000000" w:themeColor="text1"/>
        </w:rPr>
        <w:t>Appetite</w:t>
      </w:r>
      <w:r w:rsidRPr="00D14CD7">
        <w:rPr>
          <w:color w:val="000000" w:themeColor="text1"/>
        </w:rPr>
        <w:t>, 120, 275–280.</w:t>
      </w:r>
    </w:p>
    <w:p w14:paraId="368B9688" w14:textId="77777777" w:rsidR="00D2328A" w:rsidRPr="00D14CD7" w:rsidRDefault="00D2328A" w:rsidP="001B6746">
      <w:pPr>
        <w:spacing w:after="40" w:line="240" w:lineRule="auto"/>
        <w:ind w:left="540" w:hanging="540"/>
        <w:rPr>
          <w:color w:val="000000" w:themeColor="text1"/>
        </w:rPr>
      </w:pPr>
      <w:r w:rsidRPr="00D14CD7">
        <w:rPr>
          <w:color w:val="000000" w:themeColor="text1"/>
        </w:rPr>
        <w:t>Lahad, K., and May, V. (2017). Just one? Solo dining, gender and temporal belonging in public spaces</w:t>
      </w:r>
      <w:r w:rsidRPr="00D14CD7">
        <w:rPr>
          <w:i/>
          <w:iCs/>
          <w:color w:val="000000" w:themeColor="text1"/>
        </w:rPr>
        <w:t>. Sociological Research Online</w:t>
      </w:r>
      <w:r w:rsidRPr="00D14CD7">
        <w:rPr>
          <w:color w:val="000000" w:themeColor="text1"/>
        </w:rPr>
        <w:t>, 22(2), 176–186.</w:t>
      </w:r>
    </w:p>
    <w:p w14:paraId="241AAB29" w14:textId="6DB8BD0A" w:rsidR="00D2328A" w:rsidRPr="00D14CD7" w:rsidRDefault="00D2328A" w:rsidP="001B6746">
      <w:pPr>
        <w:spacing w:after="40" w:line="240" w:lineRule="auto"/>
        <w:ind w:left="540" w:hanging="540"/>
        <w:rPr>
          <w:color w:val="000000" w:themeColor="text1"/>
        </w:rPr>
      </w:pPr>
      <w:r w:rsidRPr="00D14CD7">
        <w:rPr>
          <w:color w:val="000000" w:themeColor="text1"/>
        </w:rPr>
        <w:t xml:space="preserve">Lamb, K. E., Thornton, L. E., King, T. L., Ball, K., White, S. R., Bentley, R., Coffee, N. T., and Daniel, M. (2020). Methods for accounting for </w:t>
      </w:r>
      <w:proofErr w:type="spellStart"/>
      <w:r w:rsidRPr="00D14CD7">
        <w:rPr>
          <w:color w:val="000000" w:themeColor="text1"/>
        </w:rPr>
        <w:t>neighbourhood</w:t>
      </w:r>
      <w:proofErr w:type="spellEnd"/>
      <w:r w:rsidRPr="00D14CD7">
        <w:rPr>
          <w:color w:val="000000" w:themeColor="text1"/>
        </w:rPr>
        <w:t xml:space="preserve"> self-selection in physical activity and dietary </w:t>
      </w:r>
      <w:proofErr w:type="spellStart"/>
      <w:r w:rsidRPr="00D14CD7">
        <w:rPr>
          <w:color w:val="000000" w:themeColor="text1"/>
        </w:rPr>
        <w:t>behaviour</w:t>
      </w:r>
      <w:proofErr w:type="spellEnd"/>
      <w:r w:rsidRPr="00D14CD7">
        <w:rPr>
          <w:color w:val="000000" w:themeColor="text1"/>
        </w:rPr>
        <w:t xml:space="preserve"> research: A systematic review. </w:t>
      </w:r>
      <w:r w:rsidRPr="00D14CD7">
        <w:rPr>
          <w:i/>
          <w:iCs/>
          <w:color w:val="000000" w:themeColor="text1"/>
        </w:rPr>
        <w:t>International Journal of Behavioral Nutrition and Physical Activity</w:t>
      </w:r>
      <w:r w:rsidRPr="00D14CD7">
        <w:rPr>
          <w:color w:val="000000" w:themeColor="text1"/>
        </w:rPr>
        <w:t>, 17</w:t>
      </w:r>
      <w:r w:rsidR="00970BC6">
        <w:rPr>
          <w:color w:val="000000" w:themeColor="text1"/>
        </w:rPr>
        <w:t xml:space="preserve">, </w:t>
      </w:r>
      <w:r w:rsidR="00DE0256">
        <w:rPr>
          <w:color w:val="000000" w:themeColor="text1"/>
        </w:rPr>
        <w:t>45</w:t>
      </w:r>
      <w:r w:rsidRPr="00D14CD7">
        <w:rPr>
          <w:color w:val="000000" w:themeColor="text1"/>
        </w:rPr>
        <w:t>.</w:t>
      </w:r>
    </w:p>
    <w:p w14:paraId="2E250FE0" w14:textId="77777777" w:rsidR="00D2328A" w:rsidRPr="00D14CD7" w:rsidRDefault="00D2328A" w:rsidP="001B6746">
      <w:pPr>
        <w:spacing w:after="40" w:line="240" w:lineRule="auto"/>
        <w:ind w:left="540" w:hanging="540"/>
        <w:rPr>
          <w:color w:val="000000" w:themeColor="text1"/>
        </w:rPr>
      </w:pPr>
      <w:r w:rsidRPr="00D14CD7">
        <w:rPr>
          <w:color w:val="000000" w:themeColor="text1"/>
        </w:rPr>
        <w:t xml:space="preserve">Lee, J. H., and Hwang, J. (2011). Luxury marketing: The influences of psychological and demographic characteristics on attitudes toward luxury restaurants. </w:t>
      </w:r>
      <w:r w:rsidRPr="00D14CD7">
        <w:rPr>
          <w:i/>
          <w:iCs/>
          <w:color w:val="000000" w:themeColor="text1"/>
        </w:rPr>
        <w:t>International Journal of Hospitality Management</w:t>
      </w:r>
      <w:r w:rsidRPr="00D14CD7">
        <w:rPr>
          <w:color w:val="000000" w:themeColor="text1"/>
        </w:rPr>
        <w:t>, 30(3), 658–669.</w:t>
      </w:r>
    </w:p>
    <w:p w14:paraId="5EDEBEE4" w14:textId="77777777" w:rsidR="00D2328A" w:rsidRPr="00D14CD7" w:rsidRDefault="00D2328A" w:rsidP="001B6746">
      <w:pPr>
        <w:spacing w:after="40" w:line="240" w:lineRule="auto"/>
        <w:ind w:left="540" w:hanging="540"/>
        <w:rPr>
          <w:color w:val="000000" w:themeColor="text1"/>
        </w:rPr>
      </w:pPr>
      <w:r w:rsidRPr="00D14CD7">
        <w:rPr>
          <w:color w:val="000000" w:themeColor="text1"/>
        </w:rPr>
        <w:t xml:space="preserve">Lee, S., Chua, B.-L., and Han, H. (2020). Variety-seeking motivations and customer behaviors for new restaurants: An empirical comparison among full-service, quick-casual, and quick-service restaurants. </w:t>
      </w:r>
      <w:r w:rsidRPr="00D14CD7">
        <w:rPr>
          <w:i/>
          <w:iCs/>
          <w:color w:val="000000" w:themeColor="text1"/>
        </w:rPr>
        <w:t>Journal of Hospitality and Tourism Management</w:t>
      </w:r>
      <w:r w:rsidRPr="00D14CD7">
        <w:rPr>
          <w:color w:val="000000" w:themeColor="text1"/>
        </w:rPr>
        <w:t>, 43, 220–231.</w:t>
      </w:r>
    </w:p>
    <w:p w14:paraId="224E2BB6" w14:textId="48BA8707" w:rsidR="00D2328A" w:rsidRPr="00D14CD7" w:rsidRDefault="00D2328A" w:rsidP="001B6746">
      <w:pPr>
        <w:spacing w:after="40" w:line="240" w:lineRule="auto"/>
        <w:ind w:left="540" w:hanging="540"/>
        <w:rPr>
          <w:color w:val="000000" w:themeColor="text1"/>
        </w:rPr>
      </w:pPr>
      <w:r w:rsidRPr="00D14CD7">
        <w:rPr>
          <w:color w:val="000000" w:themeColor="text1"/>
        </w:rPr>
        <w:t>Ma, E., Q</w:t>
      </w:r>
      <w:r w:rsidR="00A73FAD" w:rsidRPr="00D14CD7">
        <w:rPr>
          <w:color w:val="000000" w:themeColor="text1"/>
        </w:rPr>
        <w:t>u</w:t>
      </w:r>
      <w:r w:rsidRPr="00D14CD7">
        <w:rPr>
          <w:color w:val="000000" w:themeColor="text1"/>
        </w:rPr>
        <w:t xml:space="preserve">, H., and </w:t>
      </w:r>
      <w:proofErr w:type="spellStart"/>
      <w:r w:rsidRPr="00D14CD7">
        <w:rPr>
          <w:color w:val="000000" w:themeColor="text1"/>
        </w:rPr>
        <w:t>Eliwa</w:t>
      </w:r>
      <w:proofErr w:type="spellEnd"/>
      <w:r w:rsidRPr="00D14CD7">
        <w:rPr>
          <w:color w:val="000000" w:themeColor="text1"/>
        </w:rPr>
        <w:t xml:space="preserve">, R. A. (2014). Customer loyalty with fine dining: The moderating role of gender. </w:t>
      </w:r>
      <w:r w:rsidRPr="00D14CD7">
        <w:rPr>
          <w:i/>
          <w:iCs/>
          <w:color w:val="000000" w:themeColor="text1"/>
        </w:rPr>
        <w:t>Journal of Hospitality Marketing and Management</w:t>
      </w:r>
      <w:r w:rsidRPr="00D14CD7">
        <w:rPr>
          <w:color w:val="000000" w:themeColor="text1"/>
        </w:rPr>
        <w:t>, 23(5), 513–535.</w:t>
      </w:r>
    </w:p>
    <w:p w14:paraId="2BEFBAC3" w14:textId="5E79BFBA" w:rsidR="00D2328A" w:rsidRPr="00D14CD7" w:rsidRDefault="00D2328A" w:rsidP="001B6746">
      <w:pPr>
        <w:spacing w:after="40" w:line="240" w:lineRule="auto"/>
        <w:ind w:left="540" w:hanging="540"/>
        <w:rPr>
          <w:color w:val="000000" w:themeColor="text1"/>
        </w:rPr>
      </w:pPr>
      <w:r w:rsidRPr="00D14CD7">
        <w:rPr>
          <w:color w:val="000000" w:themeColor="text1"/>
        </w:rPr>
        <w:t xml:space="preserve">Marchesi, K., and McLaughlin, P. W. (2022). COVID-19 </w:t>
      </w:r>
      <w:r w:rsidR="008C23FF">
        <w:rPr>
          <w:color w:val="000000" w:themeColor="text1"/>
        </w:rPr>
        <w:t>w</w:t>
      </w:r>
      <w:r w:rsidRPr="00D14CD7">
        <w:rPr>
          <w:color w:val="000000" w:themeColor="text1"/>
        </w:rPr>
        <w:t xml:space="preserve">orking </w:t>
      </w:r>
      <w:r w:rsidR="008C23FF">
        <w:rPr>
          <w:color w:val="000000" w:themeColor="text1"/>
        </w:rPr>
        <w:t>p</w:t>
      </w:r>
      <w:r w:rsidRPr="00D14CD7">
        <w:rPr>
          <w:color w:val="000000" w:themeColor="text1"/>
        </w:rPr>
        <w:t xml:space="preserve">aper: The </w:t>
      </w:r>
      <w:r w:rsidR="008C23FF">
        <w:rPr>
          <w:color w:val="000000" w:themeColor="text1"/>
        </w:rPr>
        <w:t>i</w:t>
      </w:r>
      <w:r w:rsidRPr="00D14CD7">
        <w:rPr>
          <w:color w:val="000000" w:themeColor="text1"/>
        </w:rPr>
        <w:t xml:space="preserve">mpact of COVID-19 </w:t>
      </w:r>
      <w:r w:rsidR="008C23FF">
        <w:rPr>
          <w:color w:val="000000" w:themeColor="text1"/>
        </w:rPr>
        <w:t>p</w:t>
      </w:r>
      <w:r w:rsidRPr="00D14CD7">
        <w:rPr>
          <w:color w:val="000000" w:themeColor="text1"/>
        </w:rPr>
        <w:t xml:space="preserve">andemic on </w:t>
      </w:r>
      <w:r w:rsidR="008C23FF">
        <w:rPr>
          <w:color w:val="000000" w:themeColor="text1"/>
        </w:rPr>
        <w:t>f</w:t>
      </w:r>
      <w:r w:rsidRPr="00D14CD7">
        <w:rPr>
          <w:color w:val="000000" w:themeColor="text1"/>
        </w:rPr>
        <w:t>ood-</w:t>
      </w:r>
      <w:r w:rsidR="008C23FF">
        <w:rPr>
          <w:color w:val="000000" w:themeColor="text1"/>
        </w:rPr>
        <w:t>a</w:t>
      </w:r>
      <w:r w:rsidRPr="00D14CD7">
        <w:rPr>
          <w:color w:val="000000" w:themeColor="text1"/>
        </w:rPr>
        <w:t>way-</w:t>
      </w:r>
      <w:r w:rsidR="008C23FF">
        <w:rPr>
          <w:color w:val="000000" w:themeColor="text1"/>
        </w:rPr>
        <w:t>f</w:t>
      </w:r>
      <w:r w:rsidRPr="00D14CD7">
        <w:rPr>
          <w:color w:val="000000" w:themeColor="text1"/>
        </w:rPr>
        <w:t>rom-</w:t>
      </w:r>
      <w:r w:rsidR="008C23FF">
        <w:rPr>
          <w:color w:val="000000" w:themeColor="text1"/>
        </w:rPr>
        <w:t>h</w:t>
      </w:r>
      <w:r w:rsidRPr="00D14CD7">
        <w:rPr>
          <w:color w:val="000000" w:themeColor="text1"/>
        </w:rPr>
        <w:t xml:space="preserve">ome </w:t>
      </w:r>
      <w:r w:rsidR="008C23FF">
        <w:rPr>
          <w:color w:val="000000" w:themeColor="text1"/>
        </w:rPr>
        <w:t>s</w:t>
      </w:r>
      <w:r w:rsidRPr="00D14CD7">
        <w:rPr>
          <w:color w:val="000000" w:themeColor="text1"/>
        </w:rPr>
        <w:t>pending.</w:t>
      </w:r>
      <w:r w:rsidR="00775943" w:rsidRPr="00D14CD7">
        <w:rPr>
          <w:color w:val="000000" w:themeColor="text1"/>
        </w:rPr>
        <w:t xml:space="preserve"> USDA, Economic Research Service.</w:t>
      </w:r>
    </w:p>
    <w:p w14:paraId="26DC95EB" w14:textId="77777777" w:rsidR="00D2328A" w:rsidRPr="00D14CD7" w:rsidRDefault="00D2328A" w:rsidP="001B6746">
      <w:pPr>
        <w:spacing w:after="40" w:line="240" w:lineRule="auto"/>
        <w:ind w:left="540" w:hanging="540"/>
        <w:rPr>
          <w:color w:val="000000" w:themeColor="text1"/>
        </w:rPr>
      </w:pPr>
      <w:r w:rsidRPr="00D14CD7">
        <w:rPr>
          <w:color w:val="000000" w:themeColor="text1"/>
        </w:rPr>
        <w:t xml:space="preserve">Marks, D. F. (2022). Psychological homeostasis and protective </w:t>
      </w:r>
      <w:proofErr w:type="spellStart"/>
      <w:r w:rsidRPr="00D14CD7">
        <w:rPr>
          <w:color w:val="000000" w:themeColor="text1"/>
        </w:rPr>
        <w:t>behaviours</w:t>
      </w:r>
      <w:proofErr w:type="spellEnd"/>
      <w:r w:rsidRPr="00D14CD7">
        <w:rPr>
          <w:color w:val="000000" w:themeColor="text1"/>
        </w:rPr>
        <w:t xml:space="preserve"> in the Covid-19 pandemic. </w:t>
      </w:r>
      <w:r w:rsidRPr="00D14CD7">
        <w:rPr>
          <w:i/>
          <w:iCs/>
          <w:color w:val="000000" w:themeColor="text1"/>
        </w:rPr>
        <w:t>Journal of Health Psychology</w:t>
      </w:r>
      <w:r w:rsidRPr="00D14CD7">
        <w:rPr>
          <w:color w:val="000000" w:themeColor="text1"/>
        </w:rPr>
        <w:t>, 27(6), 1275–1287.</w:t>
      </w:r>
    </w:p>
    <w:p w14:paraId="7770325B" w14:textId="77777777" w:rsidR="00D2328A" w:rsidRPr="00D14CD7" w:rsidRDefault="00D2328A" w:rsidP="001B6746">
      <w:pPr>
        <w:spacing w:after="40" w:line="240" w:lineRule="auto"/>
        <w:ind w:left="540" w:hanging="540"/>
        <w:rPr>
          <w:color w:val="000000" w:themeColor="text1"/>
        </w:rPr>
      </w:pPr>
      <w:r w:rsidRPr="00D14CD7">
        <w:rPr>
          <w:color w:val="000000" w:themeColor="text1"/>
        </w:rPr>
        <w:lastRenderedPageBreak/>
        <w:t xml:space="preserve">Marques-Vidal, P., </w:t>
      </w:r>
      <w:proofErr w:type="spellStart"/>
      <w:r w:rsidRPr="00D14CD7">
        <w:rPr>
          <w:color w:val="000000" w:themeColor="text1"/>
        </w:rPr>
        <w:t>Waeber</w:t>
      </w:r>
      <w:proofErr w:type="spellEnd"/>
      <w:r w:rsidRPr="00D14CD7">
        <w:rPr>
          <w:color w:val="000000" w:themeColor="text1"/>
        </w:rPr>
        <w:t xml:space="preserve">, G., </w:t>
      </w:r>
      <w:proofErr w:type="spellStart"/>
      <w:r w:rsidRPr="00D14CD7">
        <w:rPr>
          <w:color w:val="000000" w:themeColor="text1"/>
        </w:rPr>
        <w:t>Vollenweider</w:t>
      </w:r>
      <w:proofErr w:type="spellEnd"/>
      <w:r w:rsidRPr="00D14CD7">
        <w:rPr>
          <w:color w:val="000000" w:themeColor="text1"/>
        </w:rPr>
        <w:t xml:space="preserve">, P., </w:t>
      </w:r>
      <w:proofErr w:type="spellStart"/>
      <w:r w:rsidRPr="00D14CD7">
        <w:rPr>
          <w:color w:val="000000" w:themeColor="text1"/>
        </w:rPr>
        <w:t>Bochud</w:t>
      </w:r>
      <w:proofErr w:type="spellEnd"/>
      <w:r w:rsidRPr="00D14CD7">
        <w:rPr>
          <w:color w:val="000000" w:themeColor="text1"/>
        </w:rPr>
        <w:t xml:space="preserve">, M., </w:t>
      </w:r>
      <w:proofErr w:type="spellStart"/>
      <w:r w:rsidRPr="00D14CD7">
        <w:rPr>
          <w:color w:val="000000" w:themeColor="text1"/>
        </w:rPr>
        <w:t>Stringhini</w:t>
      </w:r>
      <w:proofErr w:type="spellEnd"/>
      <w:r w:rsidRPr="00D14CD7">
        <w:rPr>
          <w:color w:val="000000" w:themeColor="text1"/>
        </w:rPr>
        <w:t xml:space="preserve">, S., and </w:t>
      </w:r>
      <w:proofErr w:type="spellStart"/>
      <w:r w:rsidRPr="00D14CD7">
        <w:rPr>
          <w:color w:val="000000" w:themeColor="text1"/>
        </w:rPr>
        <w:t>Guessous</w:t>
      </w:r>
      <w:proofErr w:type="spellEnd"/>
      <w:r w:rsidRPr="00D14CD7">
        <w:rPr>
          <w:color w:val="000000" w:themeColor="text1"/>
        </w:rPr>
        <w:t xml:space="preserve">, I. (2015). Sociodemographic and </w:t>
      </w:r>
      <w:proofErr w:type="spellStart"/>
      <w:r w:rsidRPr="00D14CD7">
        <w:rPr>
          <w:color w:val="000000" w:themeColor="text1"/>
        </w:rPr>
        <w:t>behavioural</w:t>
      </w:r>
      <w:proofErr w:type="spellEnd"/>
      <w:r w:rsidRPr="00D14CD7">
        <w:rPr>
          <w:color w:val="000000" w:themeColor="text1"/>
        </w:rPr>
        <w:t xml:space="preserve"> determinants of a healthy diet in Switzerland. </w:t>
      </w:r>
      <w:r w:rsidRPr="00D14CD7">
        <w:rPr>
          <w:i/>
          <w:iCs/>
          <w:color w:val="000000" w:themeColor="text1"/>
        </w:rPr>
        <w:t>Annals of Nutrition and Metabolism</w:t>
      </w:r>
      <w:r w:rsidRPr="00D14CD7">
        <w:rPr>
          <w:color w:val="000000" w:themeColor="text1"/>
        </w:rPr>
        <w:t>, 67(2), 87–95.</w:t>
      </w:r>
    </w:p>
    <w:p w14:paraId="2648D308" w14:textId="77777777" w:rsidR="00D2328A" w:rsidRPr="00D14CD7" w:rsidRDefault="00D2328A" w:rsidP="001B6746">
      <w:pPr>
        <w:spacing w:after="40" w:line="240" w:lineRule="auto"/>
        <w:ind w:left="540" w:hanging="540"/>
        <w:rPr>
          <w:color w:val="000000" w:themeColor="text1"/>
        </w:rPr>
      </w:pPr>
      <w:r w:rsidRPr="00D14CD7">
        <w:rPr>
          <w:color w:val="000000" w:themeColor="text1"/>
        </w:rPr>
        <w:t xml:space="preserve">Mills, S., Adams, J., </w:t>
      </w:r>
      <w:proofErr w:type="spellStart"/>
      <w:r w:rsidRPr="00D14CD7">
        <w:rPr>
          <w:color w:val="000000" w:themeColor="text1"/>
        </w:rPr>
        <w:t>Wrieden</w:t>
      </w:r>
      <w:proofErr w:type="spellEnd"/>
      <w:r w:rsidRPr="00D14CD7">
        <w:rPr>
          <w:color w:val="000000" w:themeColor="text1"/>
        </w:rPr>
        <w:t xml:space="preserve">, W., White, M., and Brown, H. (2018). Sociodemographic characteristics and frequency of consuming home-cooked meals and meals from out-of-home sources: Cross-sectional analysis of a population-based cohort study. </w:t>
      </w:r>
      <w:r w:rsidRPr="00D14CD7">
        <w:rPr>
          <w:i/>
          <w:iCs/>
          <w:color w:val="000000" w:themeColor="text1"/>
        </w:rPr>
        <w:t>Public Health Nutrition</w:t>
      </w:r>
      <w:r w:rsidRPr="00D14CD7">
        <w:rPr>
          <w:color w:val="000000" w:themeColor="text1"/>
        </w:rPr>
        <w:t>, 21(12), 2255–2266.</w:t>
      </w:r>
    </w:p>
    <w:p w14:paraId="52D4AB0E" w14:textId="77777777" w:rsidR="00D2328A" w:rsidRPr="00D14CD7" w:rsidRDefault="00D2328A" w:rsidP="001B6746">
      <w:pPr>
        <w:spacing w:after="40" w:line="240" w:lineRule="auto"/>
        <w:ind w:left="540" w:hanging="540"/>
        <w:rPr>
          <w:color w:val="000000" w:themeColor="text1"/>
        </w:rPr>
      </w:pPr>
      <w:r w:rsidRPr="00D14CD7">
        <w:rPr>
          <w:color w:val="000000" w:themeColor="text1"/>
        </w:rPr>
        <w:t xml:space="preserve">Moore, L. V., Diez Roux, A. V., Nettleton, J. A., Jacobs, D. R., and Franco, M. (2009). Fast-food consumption, diet quality, and neighborhood exposure to fast food: The multi-ethnic study of atherosclerosis. </w:t>
      </w:r>
      <w:r w:rsidRPr="00D14CD7">
        <w:rPr>
          <w:i/>
          <w:iCs/>
          <w:color w:val="000000" w:themeColor="text1"/>
        </w:rPr>
        <w:t>American Journal of Epidemiology</w:t>
      </w:r>
      <w:r w:rsidRPr="00D14CD7">
        <w:rPr>
          <w:color w:val="000000" w:themeColor="text1"/>
        </w:rPr>
        <w:t>, 170(1), 29–36.</w:t>
      </w:r>
    </w:p>
    <w:p w14:paraId="43B3070F" w14:textId="77777777" w:rsidR="00D2328A" w:rsidRPr="00D14CD7" w:rsidRDefault="00D2328A" w:rsidP="001B6746">
      <w:pPr>
        <w:spacing w:after="40" w:line="240" w:lineRule="auto"/>
        <w:ind w:left="540" w:hanging="540"/>
        <w:rPr>
          <w:color w:val="000000" w:themeColor="text1"/>
        </w:rPr>
      </w:pPr>
      <w:r w:rsidRPr="00D14CD7">
        <w:rPr>
          <w:color w:val="000000" w:themeColor="text1"/>
        </w:rPr>
        <w:t>National Coffee Association. (2020). National Coffee Data Trends (NCDT) report. https://www.ncausa.org/newsroom/nca-releases-atlas-of-american-coffee</w:t>
      </w:r>
    </w:p>
    <w:p w14:paraId="4622B586" w14:textId="6076D3E7" w:rsidR="00D2328A" w:rsidRPr="00D14CD7" w:rsidRDefault="00D2328A" w:rsidP="001B6746">
      <w:pPr>
        <w:spacing w:after="40" w:line="240" w:lineRule="auto"/>
        <w:ind w:left="540" w:hanging="540"/>
        <w:rPr>
          <w:color w:val="000000" w:themeColor="text1"/>
        </w:rPr>
      </w:pPr>
      <w:r w:rsidRPr="00D14CD7">
        <w:rPr>
          <w:color w:val="000000" w:themeColor="text1"/>
        </w:rPr>
        <w:t xml:space="preserve">National Restaurant Association. (2022). State of the </w:t>
      </w:r>
      <w:r w:rsidR="008C23FF">
        <w:rPr>
          <w:color w:val="000000" w:themeColor="text1"/>
        </w:rPr>
        <w:t>r</w:t>
      </w:r>
      <w:r w:rsidRPr="00D14CD7">
        <w:rPr>
          <w:color w:val="000000" w:themeColor="text1"/>
        </w:rPr>
        <w:t xml:space="preserve">estaurant </w:t>
      </w:r>
      <w:r w:rsidR="008C23FF">
        <w:rPr>
          <w:color w:val="000000" w:themeColor="text1"/>
        </w:rPr>
        <w:t>i</w:t>
      </w:r>
      <w:r w:rsidRPr="00D14CD7">
        <w:rPr>
          <w:color w:val="000000" w:themeColor="text1"/>
        </w:rPr>
        <w:t>ndustry. https://restaurant.org/research-and-media/research/research-reports/state-of-the-industry/</w:t>
      </w:r>
    </w:p>
    <w:p w14:paraId="3C9A9ECF" w14:textId="77777777" w:rsidR="00D2328A" w:rsidRPr="00D14CD7" w:rsidRDefault="00D2328A" w:rsidP="001B6746">
      <w:pPr>
        <w:spacing w:after="40" w:line="240" w:lineRule="auto"/>
        <w:ind w:left="540" w:hanging="540"/>
        <w:rPr>
          <w:color w:val="000000" w:themeColor="text1"/>
        </w:rPr>
      </w:pPr>
      <w:r w:rsidRPr="00D14CD7">
        <w:rPr>
          <w:color w:val="000000" w:themeColor="text1"/>
        </w:rPr>
        <w:t xml:space="preserve">Nogueira, L. M., Thai, C. L., Nelson, W., and Oh, A. (2016). Nutrition label numeracy: Disparities and association with health behaviors. </w:t>
      </w:r>
      <w:r w:rsidRPr="00D14CD7">
        <w:rPr>
          <w:i/>
          <w:iCs/>
          <w:color w:val="000000" w:themeColor="text1"/>
        </w:rPr>
        <w:t>American Journal of Health Behavior</w:t>
      </w:r>
      <w:r w:rsidRPr="00D14CD7">
        <w:rPr>
          <w:color w:val="000000" w:themeColor="text1"/>
        </w:rPr>
        <w:t>, 40(4), 427–436.</w:t>
      </w:r>
    </w:p>
    <w:p w14:paraId="12CB4FD5" w14:textId="77777777" w:rsidR="00D2328A" w:rsidRPr="00D14CD7" w:rsidRDefault="00D2328A" w:rsidP="001B6746">
      <w:pPr>
        <w:spacing w:after="40" w:line="240" w:lineRule="auto"/>
        <w:ind w:left="540" w:hanging="540"/>
        <w:rPr>
          <w:color w:val="000000" w:themeColor="text1"/>
        </w:rPr>
      </w:pPr>
      <w:proofErr w:type="spellStart"/>
      <w:r w:rsidRPr="00D14CD7">
        <w:rPr>
          <w:color w:val="000000" w:themeColor="text1"/>
        </w:rPr>
        <w:t>Olise</w:t>
      </w:r>
      <w:proofErr w:type="spellEnd"/>
      <w:r w:rsidRPr="00D14CD7">
        <w:rPr>
          <w:color w:val="000000" w:themeColor="text1"/>
        </w:rPr>
        <w:t xml:space="preserve">, M. C., </w:t>
      </w:r>
      <w:proofErr w:type="spellStart"/>
      <w:r w:rsidRPr="00D14CD7">
        <w:rPr>
          <w:color w:val="000000" w:themeColor="text1"/>
        </w:rPr>
        <w:t>Okoli</w:t>
      </w:r>
      <w:proofErr w:type="spellEnd"/>
      <w:r w:rsidRPr="00D14CD7">
        <w:rPr>
          <w:color w:val="000000" w:themeColor="text1"/>
        </w:rPr>
        <w:t xml:space="preserve">, M. I., and </w:t>
      </w:r>
      <w:proofErr w:type="spellStart"/>
      <w:r w:rsidRPr="00D14CD7">
        <w:rPr>
          <w:color w:val="000000" w:themeColor="text1"/>
        </w:rPr>
        <w:t>Ekeke</w:t>
      </w:r>
      <w:proofErr w:type="spellEnd"/>
      <w:r w:rsidRPr="00D14CD7">
        <w:rPr>
          <w:color w:val="000000" w:themeColor="text1"/>
        </w:rPr>
        <w:t xml:space="preserve">, J. N. (2015). Factors influencing customers patronage of fast food restaurants. </w:t>
      </w:r>
      <w:r w:rsidRPr="00D14CD7">
        <w:rPr>
          <w:i/>
          <w:iCs/>
          <w:color w:val="000000" w:themeColor="text1"/>
        </w:rPr>
        <w:t>International Journal of Economics, Commerce and Management</w:t>
      </w:r>
      <w:r w:rsidRPr="00D14CD7">
        <w:rPr>
          <w:color w:val="000000" w:themeColor="text1"/>
        </w:rPr>
        <w:t>, 3(11), 686–701.</w:t>
      </w:r>
    </w:p>
    <w:p w14:paraId="1CC24FAF" w14:textId="0899A4A2" w:rsidR="00D2328A" w:rsidRPr="00D14CD7" w:rsidRDefault="00D2328A" w:rsidP="001B6746">
      <w:pPr>
        <w:spacing w:after="40" w:line="240" w:lineRule="auto"/>
        <w:ind w:left="540" w:hanging="540"/>
        <w:rPr>
          <w:color w:val="000000" w:themeColor="text1"/>
        </w:rPr>
      </w:pPr>
      <w:r w:rsidRPr="00D14CD7">
        <w:rPr>
          <w:color w:val="000000" w:themeColor="text1"/>
        </w:rPr>
        <w:t xml:space="preserve">OpenTable. (2022). State of the </w:t>
      </w:r>
      <w:r w:rsidR="008C23FF">
        <w:rPr>
          <w:color w:val="000000" w:themeColor="text1"/>
        </w:rPr>
        <w:t>i</w:t>
      </w:r>
      <w:r w:rsidRPr="00D14CD7">
        <w:rPr>
          <w:color w:val="000000" w:themeColor="text1"/>
        </w:rPr>
        <w:t xml:space="preserve">ndustry. OpenTable. </w:t>
      </w:r>
      <w:hyperlink r:id="rId237" w:history="1">
        <w:r w:rsidR="00BB6226" w:rsidRPr="00D14CD7">
          <w:rPr>
            <w:rStyle w:val="Hyperlink"/>
            <w:color w:val="000000" w:themeColor="text1"/>
          </w:rPr>
          <w:t>https://www.opentable.com/state-of-industry</w:t>
        </w:r>
      </w:hyperlink>
      <w:r w:rsidR="00BB6226" w:rsidRPr="00D14CD7">
        <w:rPr>
          <w:color w:val="000000" w:themeColor="text1"/>
        </w:rPr>
        <w:t xml:space="preserve"> </w:t>
      </w:r>
    </w:p>
    <w:p w14:paraId="6577B3FB" w14:textId="77777777" w:rsidR="00D2328A" w:rsidRPr="00D14CD7" w:rsidRDefault="00D2328A" w:rsidP="001B6746">
      <w:pPr>
        <w:spacing w:after="40" w:line="240" w:lineRule="auto"/>
        <w:ind w:left="540" w:hanging="540"/>
        <w:rPr>
          <w:color w:val="000000" w:themeColor="text1"/>
        </w:rPr>
      </w:pPr>
      <w:proofErr w:type="spellStart"/>
      <w:r w:rsidRPr="00D14CD7">
        <w:rPr>
          <w:color w:val="000000" w:themeColor="text1"/>
        </w:rPr>
        <w:t>Parsa</w:t>
      </w:r>
      <w:proofErr w:type="spellEnd"/>
      <w:r w:rsidRPr="00D14CD7">
        <w:rPr>
          <w:color w:val="000000" w:themeColor="text1"/>
        </w:rPr>
        <w:t xml:space="preserve">, H., Shuster, B. K., and </w:t>
      </w:r>
      <w:proofErr w:type="spellStart"/>
      <w:r w:rsidRPr="00D14CD7">
        <w:rPr>
          <w:color w:val="000000" w:themeColor="text1"/>
        </w:rPr>
        <w:t>Bujisic</w:t>
      </w:r>
      <w:proofErr w:type="spellEnd"/>
      <w:r w:rsidRPr="00D14CD7">
        <w:rPr>
          <w:color w:val="000000" w:themeColor="text1"/>
        </w:rPr>
        <w:t xml:space="preserve">, M. (2020). New classification system for the US restaurant industry: Application of utilitarian and hedonic continuum model. </w:t>
      </w:r>
      <w:r w:rsidRPr="00D14CD7">
        <w:rPr>
          <w:i/>
          <w:iCs/>
          <w:color w:val="000000" w:themeColor="text1"/>
        </w:rPr>
        <w:t>Cornell Hospitality Quarterly</w:t>
      </w:r>
      <w:r w:rsidRPr="00D14CD7">
        <w:rPr>
          <w:color w:val="000000" w:themeColor="text1"/>
        </w:rPr>
        <w:t>, 61(4), 379–400.</w:t>
      </w:r>
    </w:p>
    <w:p w14:paraId="3C4081FF" w14:textId="2F0D37BB" w:rsidR="00D2328A" w:rsidRPr="00D14CD7" w:rsidRDefault="00D2328A" w:rsidP="001B6746">
      <w:pPr>
        <w:spacing w:after="40" w:line="240" w:lineRule="auto"/>
        <w:ind w:left="540" w:hanging="540"/>
        <w:rPr>
          <w:color w:val="000000" w:themeColor="text1"/>
        </w:rPr>
      </w:pPr>
      <w:r w:rsidRPr="00D14CD7">
        <w:rPr>
          <w:color w:val="000000" w:themeColor="text1"/>
        </w:rPr>
        <w:t xml:space="preserve">Petersen, S., </w:t>
      </w:r>
      <w:proofErr w:type="spellStart"/>
      <w:r w:rsidRPr="00D14CD7">
        <w:rPr>
          <w:color w:val="000000" w:themeColor="text1"/>
        </w:rPr>
        <w:t>Zoffmann</w:t>
      </w:r>
      <w:proofErr w:type="spellEnd"/>
      <w:r w:rsidRPr="00D14CD7">
        <w:rPr>
          <w:color w:val="000000" w:themeColor="text1"/>
        </w:rPr>
        <w:t xml:space="preserve">, V., </w:t>
      </w:r>
      <w:proofErr w:type="spellStart"/>
      <w:r w:rsidRPr="00D14CD7">
        <w:rPr>
          <w:color w:val="000000" w:themeColor="text1"/>
        </w:rPr>
        <w:t>Kjærgaard</w:t>
      </w:r>
      <w:proofErr w:type="spellEnd"/>
      <w:r w:rsidRPr="00D14CD7">
        <w:rPr>
          <w:color w:val="000000" w:themeColor="text1"/>
        </w:rPr>
        <w:t xml:space="preserve">, J., Graff </w:t>
      </w:r>
      <w:proofErr w:type="spellStart"/>
      <w:r w:rsidRPr="00D14CD7">
        <w:rPr>
          <w:color w:val="000000" w:themeColor="text1"/>
        </w:rPr>
        <w:t>Steensballe</w:t>
      </w:r>
      <w:proofErr w:type="spellEnd"/>
      <w:r w:rsidRPr="00D14CD7">
        <w:rPr>
          <w:color w:val="000000" w:themeColor="text1"/>
        </w:rPr>
        <w:t xml:space="preserve">, L., and Greisen, G. (2014). Disappointment and adherence among parents of newborns allocated to the control group: A qualitative study of a randomized clinical trial. </w:t>
      </w:r>
      <w:r w:rsidRPr="00D14CD7">
        <w:rPr>
          <w:i/>
          <w:iCs/>
          <w:color w:val="000000" w:themeColor="text1"/>
        </w:rPr>
        <w:t>Trials</w:t>
      </w:r>
      <w:r w:rsidRPr="00D14CD7">
        <w:rPr>
          <w:color w:val="000000" w:themeColor="text1"/>
        </w:rPr>
        <w:t xml:space="preserve">, 15, </w:t>
      </w:r>
      <w:r w:rsidR="00970BC6">
        <w:rPr>
          <w:color w:val="000000" w:themeColor="text1"/>
        </w:rPr>
        <w:t>126</w:t>
      </w:r>
      <w:r w:rsidRPr="00D14CD7">
        <w:rPr>
          <w:color w:val="000000" w:themeColor="text1"/>
        </w:rPr>
        <w:t>.</w:t>
      </w:r>
    </w:p>
    <w:p w14:paraId="11C7D700" w14:textId="77777777" w:rsidR="00D2328A" w:rsidRPr="00D14CD7" w:rsidRDefault="00D2328A" w:rsidP="001B6746">
      <w:pPr>
        <w:spacing w:after="40" w:line="240" w:lineRule="auto"/>
        <w:ind w:left="540" w:hanging="540"/>
        <w:rPr>
          <w:color w:val="000000" w:themeColor="text1"/>
        </w:rPr>
      </w:pPr>
      <w:r w:rsidRPr="00D14CD7">
        <w:rPr>
          <w:color w:val="000000" w:themeColor="text1"/>
        </w:rPr>
        <w:t xml:space="preserve">Pop, L.-M., </w:t>
      </w:r>
      <w:proofErr w:type="spellStart"/>
      <w:r w:rsidRPr="00D14CD7">
        <w:rPr>
          <w:color w:val="000000" w:themeColor="text1"/>
        </w:rPr>
        <w:t>Iorga</w:t>
      </w:r>
      <w:proofErr w:type="spellEnd"/>
      <w:r w:rsidRPr="00D14CD7">
        <w:rPr>
          <w:color w:val="000000" w:themeColor="text1"/>
        </w:rPr>
        <w:t xml:space="preserve">, M., </w:t>
      </w:r>
      <w:proofErr w:type="spellStart"/>
      <w:r w:rsidRPr="00D14CD7">
        <w:rPr>
          <w:color w:val="000000" w:themeColor="text1"/>
        </w:rPr>
        <w:t>Șipoș</w:t>
      </w:r>
      <w:proofErr w:type="spellEnd"/>
      <w:r w:rsidRPr="00D14CD7">
        <w:rPr>
          <w:color w:val="000000" w:themeColor="text1"/>
        </w:rPr>
        <w:t xml:space="preserve">, L.-R., and </w:t>
      </w:r>
      <w:proofErr w:type="spellStart"/>
      <w:r w:rsidRPr="00D14CD7">
        <w:rPr>
          <w:color w:val="000000" w:themeColor="text1"/>
        </w:rPr>
        <w:t>Iurcov</w:t>
      </w:r>
      <w:proofErr w:type="spellEnd"/>
      <w:r w:rsidRPr="00D14CD7">
        <w:rPr>
          <w:color w:val="000000" w:themeColor="text1"/>
        </w:rPr>
        <w:t xml:space="preserve">, R. (2021). Gender differences in healthy lifestyle, body consciousness, and the use of social networks among medical students. </w:t>
      </w:r>
      <w:proofErr w:type="spellStart"/>
      <w:r w:rsidRPr="00D14CD7">
        <w:rPr>
          <w:i/>
          <w:iCs/>
          <w:color w:val="000000" w:themeColor="text1"/>
        </w:rPr>
        <w:t>Medicina</w:t>
      </w:r>
      <w:proofErr w:type="spellEnd"/>
      <w:r w:rsidRPr="00D14CD7">
        <w:rPr>
          <w:color w:val="000000" w:themeColor="text1"/>
        </w:rPr>
        <w:t>, 57(7), 648.</w:t>
      </w:r>
    </w:p>
    <w:p w14:paraId="3A8FD9CA" w14:textId="696E4742" w:rsidR="00D2328A" w:rsidRPr="00D14CD7" w:rsidRDefault="00D2328A" w:rsidP="001B6746">
      <w:pPr>
        <w:spacing w:after="40" w:line="240" w:lineRule="auto"/>
        <w:ind w:left="540" w:hanging="540"/>
        <w:rPr>
          <w:color w:val="000000" w:themeColor="text1"/>
        </w:rPr>
      </w:pPr>
      <w:r w:rsidRPr="00D14CD7">
        <w:rPr>
          <w:color w:val="000000" w:themeColor="text1"/>
        </w:rPr>
        <w:t xml:space="preserve">Rajput, A., and </w:t>
      </w:r>
      <w:proofErr w:type="spellStart"/>
      <w:r w:rsidRPr="00D14CD7">
        <w:rPr>
          <w:color w:val="000000" w:themeColor="text1"/>
        </w:rPr>
        <w:t>Gahfoor</w:t>
      </w:r>
      <w:proofErr w:type="spellEnd"/>
      <w:r w:rsidRPr="00D14CD7">
        <w:rPr>
          <w:color w:val="000000" w:themeColor="text1"/>
        </w:rPr>
        <w:t xml:space="preserve">, R. Z. (2020). Satisfaction and revisit intentions at fast food restaurants. </w:t>
      </w:r>
      <w:r w:rsidRPr="00D14CD7">
        <w:rPr>
          <w:i/>
          <w:iCs/>
          <w:color w:val="000000" w:themeColor="text1"/>
        </w:rPr>
        <w:t>Future Business Journal</w:t>
      </w:r>
      <w:r w:rsidRPr="00D14CD7">
        <w:rPr>
          <w:color w:val="000000" w:themeColor="text1"/>
        </w:rPr>
        <w:t xml:space="preserve">, 6, </w:t>
      </w:r>
      <w:r w:rsidR="00970BC6">
        <w:rPr>
          <w:color w:val="000000" w:themeColor="text1"/>
        </w:rPr>
        <w:t>13</w:t>
      </w:r>
      <w:r w:rsidRPr="00D14CD7">
        <w:rPr>
          <w:color w:val="000000" w:themeColor="text1"/>
        </w:rPr>
        <w:t>.</w:t>
      </w:r>
    </w:p>
    <w:p w14:paraId="4825E92B" w14:textId="2A0E7BB0" w:rsidR="005970AF" w:rsidRPr="00D14CD7" w:rsidRDefault="005970AF" w:rsidP="001B6746">
      <w:pPr>
        <w:spacing w:after="40" w:line="240" w:lineRule="auto"/>
        <w:ind w:left="540" w:hanging="540"/>
        <w:rPr>
          <w:color w:val="000000" w:themeColor="text1"/>
        </w:rPr>
      </w:pPr>
      <w:r w:rsidRPr="00D14CD7">
        <w:rPr>
          <w:color w:val="000000" w:themeColor="text1"/>
        </w:rPr>
        <w:t xml:space="preserve">Ramsey, K., </w:t>
      </w:r>
      <w:r w:rsidR="009D7783">
        <w:rPr>
          <w:color w:val="000000" w:themeColor="text1"/>
        </w:rPr>
        <w:t>and</w:t>
      </w:r>
      <w:r w:rsidRPr="00D14CD7">
        <w:rPr>
          <w:color w:val="000000" w:themeColor="text1"/>
        </w:rPr>
        <w:t xml:space="preserve"> Bell, A. (2014). Smart location database. Washington, DC.</w:t>
      </w:r>
    </w:p>
    <w:p w14:paraId="3BA2FC77" w14:textId="5B5623E7" w:rsidR="00D2328A" w:rsidRPr="00D14CD7" w:rsidRDefault="00D2328A" w:rsidP="001B6746">
      <w:pPr>
        <w:spacing w:after="40" w:line="240" w:lineRule="auto"/>
        <w:ind w:left="540" w:hanging="540"/>
        <w:rPr>
          <w:color w:val="000000" w:themeColor="text1"/>
        </w:rPr>
      </w:pPr>
      <w:proofErr w:type="spellStart"/>
      <w:r w:rsidRPr="00D14CD7">
        <w:rPr>
          <w:color w:val="000000" w:themeColor="text1"/>
        </w:rPr>
        <w:t>Rejeb</w:t>
      </w:r>
      <w:proofErr w:type="spellEnd"/>
      <w:r w:rsidRPr="00D14CD7">
        <w:rPr>
          <w:color w:val="000000" w:themeColor="text1"/>
        </w:rPr>
        <w:t xml:space="preserve">, A., </w:t>
      </w:r>
      <w:proofErr w:type="spellStart"/>
      <w:r w:rsidRPr="00D14CD7">
        <w:rPr>
          <w:color w:val="000000" w:themeColor="text1"/>
        </w:rPr>
        <w:t>Rejeb</w:t>
      </w:r>
      <w:proofErr w:type="spellEnd"/>
      <w:r w:rsidRPr="00D14CD7">
        <w:rPr>
          <w:color w:val="000000" w:themeColor="text1"/>
        </w:rPr>
        <w:t xml:space="preserve">, K., </w:t>
      </w:r>
      <w:proofErr w:type="spellStart"/>
      <w:r w:rsidRPr="00D14CD7">
        <w:rPr>
          <w:color w:val="000000" w:themeColor="text1"/>
        </w:rPr>
        <w:t>Abdollahi</w:t>
      </w:r>
      <w:proofErr w:type="spellEnd"/>
      <w:r w:rsidRPr="00D14CD7">
        <w:rPr>
          <w:color w:val="000000" w:themeColor="text1"/>
        </w:rPr>
        <w:t xml:space="preserve">, A., </w:t>
      </w:r>
      <w:proofErr w:type="spellStart"/>
      <w:r w:rsidRPr="00D14CD7">
        <w:rPr>
          <w:color w:val="000000" w:themeColor="text1"/>
        </w:rPr>
        <w:t>Kayikci</w:t>
      </w:r>
      <w:proofErr w:type="spellEnd"/>
      <w:r w:rsidRPr="00D14CD7">
        <w:rPr>
          <w:color w:val="000000" w:themeColor="text1"/>
        </w:rPr>
        <w:t xml:space="preserve">, Y., and </w:t>
      </w:r>
      <w:proofErr w:type="spellStart"/>
      <w:r w:rsidRPr="00D14CD7">
        <w:rPr>
          <w:color w:val="000000" w:themeColor="text1"/>
        </w:rPr>
        <w:t>Appolloni</w:t>
      </w:r>
      <w:proofErr w:type="spellEnd"/>
      <w:r w:rsidRPr="00D14CD7">
        <w:rPr>
          <w:color w:val="000000" w:themeColor="text1"/>
        </w:rPr>
        <w:t xml:space="preserve">, A. (2022). Mapping the scholarly research on restaurants: A bibliometric analysis. </w:t>
      </w:r>
      <w:r w:rsidRPr="00D14CD7">
        <w:rPr>
          <w:i/>
          <w:iCs/>
          <w:color w:val="000000" w:themeColor="text1"/>
        </w:rPr>
        <w:t>Journal of Foodservice Business Research</w:t>
      </w:r>
      <w:r w:rsidRPr="00D14CD7">
        <w:rPr>
          <w:color w:val="000000" w:themeColor="text1"/>
        </w:rPr>
        <w:t xml:space="preserve">, </w:t>
      </w:r>
      <w:r w:rsidR="00970BC6">
        <w:rPr>
          <w:color w:val="000000" w:themeColor="text1"/>
        </w:rPr>
        <w:t>27(5), 523-572</w:t>
      </w:r>
      <w:r w:rsidRPr="00D14CD7">
        <w:rPr>
          <w:color w:val="000000" w:themeColor="text1"/>
        </w:rPr>
        <w:t>.</w:t>
      </w:r>
    </w:p>
    <w:p w14:paraId="76BC3226" w14:textId="77777777" w:rsidR="00D2328A" w:rsidRPr="00D14CD7" w:rsidRDefault="00D2328A" w:rsidP="001B6746">
      <w:pPr>
        <w:spacing w:after="40" w:line="240" w:lineRule="auto"/>
        <w:ind w:left="540" w:hanging="540"/>
        <w:rPr>
          <w:color w:val="000000" w:themeColor="text1"/>
        </w:rPr>
      </w:pPr>
      <w:r w:rsidRPr="00D14CD7">
        <w:rPr>
          <w:color w:val="000000" w:themeColor="text1"/>
        </w:rPr>
        <w:t xml:space="preserve">Rodríguez-López, M. E., </w:t>
      </w:r>
      <w:proofErr w:type="spellStart"/>
      <w:r w:rsidRPr="00D14CD7">
        <w:rPr>
          <w:color w:val="000000" w:themeColor="text1"/>
        </w:rPr>
        <w:t>Alcántara</w:t>
      </w:r>
      <w:proofErr w:type="spellEnd"/>
      <w:r w:rsidRPr="00D14CD7">
        <w:rPr>
          <w:color w:val="000000" w:themeColor="text1"/>
        </w:rPr>
        <w:t>-Pilar, J. M., Del Barrio-García, S., and Muñoz-</w:t>
      </w:r>
      <w:proofErr w:type="spellStart"/>
      <w:r w:rsidRPr="00D14CD7">
        <w:rPr>
          <w:color w:val="000000" w:themeColor="text1"/>
        </w:rPr>
        <w:t>Leiva</w:t>
      </w:r>
      <w:proofErr w:type="spellEnd"/>
      <w:r w:rsidRPr="00D14CD7">
        <w:rPr>
          <w:color w:val="000000" w:themeColor="text1"/>
        </w:rPr>
        <w:t xml:space="preserve">, F. (2020). A review of restaurant research in the last two decades: A bibliometric analysis. </w:t>
      </w:r>
      <w:r w:rsidRPr="00D14CD7">
        <w:rPr>
          <w:i/>
          <w:iCs/>
          <w:color w:val="000000" w:themeColor="text1"/>
        </w:rPr>
        <w:t>International Journal of Hospitality Management</w:t>
      </w:r>
      <w:r w:rsidRPr="00D14CD7">
        <w:rPr>
          <w:color w:val="000000" w:themeColor="text1"/>
        </w:rPr>
        <w:t>, 87, 102387.</w:t>
      </w:r>
    </w:p>
    <w:p w14:paraId="2CDCE29A" w14:textId="77777777" w:rsidR="00D2328A" w:rsidRPr="00D14CD7" w:rsidRDefault="00D2328A" w:rsidP="001B6746">
      <w:pPr>
        <w:spacing w:after="40" w:line="240" w:lineRule="auto"/>
        <w:ind w:left="540" w:hanging="540"/>
        <w:rPr>
          <w:color w:val="000000" w:themeColor="text1"/>
        </w:rPr>
      </w:pPr>
      <w:r w:rsidRPr="00D14CD7">
        <w:rPr>
          <w:color w:val="000000" w:themeColor="text1"/>
        </w:rPr>
        <w:t xml:space="preserve">Ryu, K., and Han, H. (2010). Influence of the quality of food, service, and physical environment on customer satisfaction and behavioral intention in quick-casual restaurants: Moderating role of perceived price. </w:t>
      </w:r>
      <w:r w:rsidRPr="00D14CD7">
        <w:rPr>
          <w:i/>
          <w:iCs/>
          <w:color w:val="000000" w:themeColor="text1"/>
        </w:rPr>
        <w:t>Journal of Hospitality and Tourism Research</w:t>
      </w:r>
      <w:r w:rsidRPr="00D14CD7">
        <w:rPr>
          <w:color w:val="000000" w:themeColor="text1"/>
        </w:rPr>
        <w:t>, 34(3), 310–329.</w:t>
      </w:r>
    </w:p>
    <w:p w14:paraId="30EDFF18" w14:textId="4CAF9D9D" w:rsidR="00D2328A" w:rsidRPr="00D14CD7" w:rsidRDefault="00D2328A" w:rsidP="001B6746">
      <w:pPr>
        <w:spacing w:after="40" w:line="240" w:lineRule="auto"/>
        <w:ind w:left="540" w:hanging="540"/>
        <w:jc w:val="left"/>
        <w:rPr>
          <w:color w:val="000000" w:themeColor="text1"/>
        </w:rPr>
      </w:pPr>
      <w:r w:rsidRPr="00D14CD7">
        <w:rPr>
          <w:color w:val="000000" w:themeColor="text1"/>
        </w:rPr>
        <w:lastRenderedPageBreak/>
        <w:t xml:space="preserve">Shi, L., and Xu, Z. (2021). Dine in or Take out? Trends on </w:t>
      </w:r>
      <w:r w:rsidR="00352F13" w:rsidRPr="00D14CD7">
        <w:rPr>
          <w:color w:val="000000" w:themeColor="text1"/>
        </w:rPr>
        <w:t>r</w:t>
      </w:r>
      <w:r w:rsidRPr="00D14CD7">
        <w:rPr>
          <w:color w:val="000000" w:themeColor="text1"/>
        </w:rPr>
        <w:t xml:space="preserve">estaurant </w:t>
      </w:r>
      <w:r w:rsidR="00352F13" w:rsidRPr="00D14CD7">
        <w:rPr>
          <w:color w:val="000000" w:themeColor="text1"/>
        </w:rPr>
        <w:t>s</w:t>
      </w:r>
      <w:r w:rsidRPr="00D14CD7">
        <w:rPr>
          <w:color w:val="000000" w:themeColor="text1"/>
        </w:rPr>
        <w:t xml:space="preserve">ervice </w:t>
      </w:r>
      <w:r w:rsidR="00352F13" w:rsidRPr="00D14CD7">
        <w:rPr>
          <w:color w:val="000000" w:themeColor="text1"/>
        </w:rPr>
        <w:t>d</w:t>
      </w:r>
      <w:r w:rsidRPr="00D14CD7">
        <w:rPr>
          <w:color w:val="000000" w:themeColor="text1"/>
        </w:rPr>
        <w:t xml:space="preserve">emand amid the COVID-19 </w:t>
      </w:r>
      <w:r w:rsidR="00352F13" w:rsidRPr="00D14CD7">
        <w:rPr>
          <w:color w:val="000000" w:themeColor="text1"/>
        </w:rPr>
        <w:t>p</w:t>
      </w:r>
      <w:r w:rsidRPr="00D14CD7">
        <w:rPr>
          <w:color w:val="000000" w:themeColor="text1"/>
        </w:rPr>
        <w:t xml:space="preserve">andemic. </w:t>
      </w:r>
      <w:r w:rsidR="00352F13" w:rsidRPr="00D14CD7">
        <w:rPr>
          <w:color w:val="000000" w:themeColor="text1"/>
        </w:rPr>
        <w:t>Available at SSRN: </w:t>
      </w:r>
      <w:hyperlink r:id="rId238" w:tgtFrame="_blank" w:history="1">
        <w:r w:rsidR="00352F13" w:rsidRPr="00D14CD7">
          <w:rPr>
            <w:rStyle w:val="Hyperlink"/>
            <w:color w:val="000000" w:themeColor="text1"/>
          </w:rPr>
          <w:t>https://ssrn.com/abstract=3934589</w:t>
        </w:r>
      </w:hyperlink>
      <w:r w:rsidR="00352F13" w:rsidRPr="00D14CD7">
        <w:rPr>
          <w:color w:val="000000" w:themeColor="text1"/>
        </w:rPr>
        <w:t>.</w:t>
      </w:r>
    </w:p>
    <w:p w14:paraId="35600AB2" w14:textId="77777777" w:rsidR="00D2328A" w:rsidRPr="00D14CD7" w:rsidRDefault="00D2328A" w:rsidP="001B6746">
      <w:pPr>
        <w:spacing w:after="40" w:line="240" w:lineRule="auto"/>
        <w:ind w:left="540" w:hanging="540"/>
        <w:rPr>
          <w:color w:val="000000" w:themeColor="text1"/>
        </w:rPr>
      </w:pPr>
      <w:r w:rsidRPr="00D14CD7">
        <w:rPr>
          <w:color w:val="000000" w:themeColor="text1"/>
        </w:rPr>
        <w:t xml:space="preserve">Shin, Y. H., Kim, H., and </w:t>
      </w:r>
      <w:proofErr w:type="spellStart"/>
      <w:r w:rsidRPr="00D14CD7">
        <w:rPr>
          <w:color w:val="000000" w:themeColor="text1"/>
        </w:rPr>
        <w:t>Severt</w:t>
      </w:r>
      <w:proofErr w:type="spellEnd"/>
      <w:r w:rsidRPr="00D14CD7">
        <w:rPr>
          <w:color w:val="000000" w:themeColor="text1"/>
        </w:rPr>
        <w:t xml:space="preserve">, K. (2019). Consumer values and service quality perceptions of food truck experiences. </w:t>
      </w:r>
      <w:r w:rsidRPr="00D14CD7">
        <w:rPr>
          <w:i/>
          <w:iCs/>
          <w:color w:val="000000" w:themeColor="text1"/>
        </w:rPr>
        <w:t>International Journal of Hospitality Management</w:t>
      </w:r>
      <w:r w:rsidRPr="00D14CD7">
        <w:rPr>
          <w:color w:val="000000" w:themeColor="text1"/>
        </w:rPr>
        <w:t>, 79, 11–20.</w:t>
      </w:r>
    </w:p>
    <w:p w14:paraId="40871360" w14:textId="77777777" w:rsidR="00D2328A" w:rsidRPr="00D14CD7" w:rsidRDefault="00D2328A" w:rsidP="001B6746">
      <w:pPr>
        <w:spacing w:after="40" w:line="240" w:lineRule="auto"/>
        <w:ind w:left="540" w:hanging="540"/>
        <w:rPr>
          <w:color w:val="000000" w:themeColor="text1"/>
        </w:rPr>
      </w:pPr>
      <w:r w:rsidRPr="00D14CD7">
        <w:rPr>
          <w:color w:val="000000" w:themeColor="text1"/>
        </w:rPr>
        <w:t xml:space="preserve">Slack, N. J., Singh, G., Ali, J., Lata, R., </w:t>
      </w:r>
      <w:proofErr w:type="spellStart"/>
      <w:r w:rsidRPr="00D14CD7">
        <w:rPr>
          <w:color w:val="000000" w:themeColor="text1"/>
        </w:rPr>
        <w:t>Mudaliar</w:t>
      </w:r>
      <w:proofErr w:type="spellEnd"/>
      <w:r w:rsidRPr="00D14CD7">
        <w:rPr>
          <w:color w:val="000000" w:themeColor="text1"/>
        </w:rPr>
        <w:t xml:space="preserve">, K., and Swamy, Y. (2021). Influence of fast-food restaurant service quality and its dimensions on customer perceived value, satisfaction and </w:t>
      </w:r>
      <w:proofErr w:type="spellStart"/>
      <w:r w:rsidRPr="00D14CD7">
        <w:rPr>
          <w:color w:val="000000" w:themeColor="text1"/>
        </w:rPr>
        <w:t>behavioural</w:t>
      </w:r>
      <w:proofErr w:type="spellEnd"/>
      <w:r w:rsidRPr="00D14CD7">
        <w:rPr>
          <w:color w:val="000000" w:themeColor="text1"/>
        </w:rPr>
        <w:t xml:space="preserve"> intentions. </w:t>
      </w:r>
      <w:r w:rsidRPr="00D14CD7">
        <w:rPr>
          <w:i/>
          <w:iCs/>
          <w:color w:val="000000" w:themeColor="text1"/>
        </w:rPr>
        <w:t>British Food Journal</w:t>
      </w:r>
      <w:r w:rsidRPr="00D14CD7">
        <w:rPr>
          <w:color w:val="000000" w:themeColor="text1"/>
        </w:rPr>
        <w:t>, 123(4), 1324–1344.</w:t>
      </w:r>
    </w:p>
    <w:p w14:paraId="18FF1302" w14:textId="77777777" w:rsidR="00D2328A" w:rsidRPr="00D14CD7" w:rsidRDefault="00D2328A" w:rsidP="001B6746">
      <w:pPr>
        <w:spacing w:after="40" w:line="240" w:lineRule="auto"/>
        <w:ind w:left="540" w:hanging="540"/>
        <w:rPr>
          <w:color w:val="000000" w:themeColor="text1"/>
        </w:rPr>
      </w:pPr>
      <w:r w:rsidRPr="00D14CD7">
        <w:rPr>
          <w:color w:val="000000" w:themeColor="text1"/>
        </w:rPr>
        <w:t xml:space="preserve">Solon, G., Haider, S. J., and Wooldridge, J. M. (2015). What are we weighting for? </w:t>
      </w:r>
      <w:r w:rsidRPr="00D14CD7">
        <w:rPr>
          <w:i/>
          <w:iCs/>
          <w:color w:val="000000" w:themeColor="text1"/>
        </w:rPr>
        <w:t>Journal of Human Resources</w:t>
      </w:r>
      <w:r w:rsidRPr="00D14CD7">
        <w:rPr>
          <w:color w:val="000000" w:themeColor="text1"/>
        </w:rPr>
        <w:t>, 50(2), 301–316.</w:t>
      </w:r>
    </w:p>
    <w:p w14:paraId="0C88F1FF" w14:textId="77777777" w:rsidR="00D2328A" w:rsidRPr="00D14CD7" w:rsidRDefault="00D2328A" w:rsidP="001B6746">
      <w:pPr>
        <w:spacing w:after="40" w:line="240" w:lineRule="auto"/>
        <w:ind w:left="540" w:hanging="540"/>
        <w:rPr>
          <w:color w:val="000000" w:themeColor="text1"/>
        </w:rPr>
      </w:pPr>
      <w:r w:rsidRPr="00D14CD7">
        <w:rPr>
          <w:color w:val="000000" w:themeColor="text1"/>
        </w:rPr>
        <w:t>Spurlock, C. A., Todd-</w:t>
      </w:r>
      <w:proofErr w:type="spellStart"/>
      <w:r w:rsidRPr="00D14CD7">
        <w:rPr>
          <w:color w:val="000000" w:themeColor="text1"/>
        </w:rPr>
        <w:t>Blick</w:t>
      </w:r>
      <w:proofErr w:type="spellEnd"/>
      <w:r w:rsidRPr="00D14CD7">
        <w:rPr>
          <w:color w:val="000000" w:themeColor="text1"/>
        </w:rPr>
        <w:t>, A., Wong-</w:t>
      </w:r>
      <w:proofErr w:type="spellStart"/>
      <w:r w:rsidRPr="00D14CD7">
        <w:rPr>
          <w:color w:val="000000" w:themeColor="text1"/>
        </w:rPr>
        <w:t>Parodi</w:t>
      </w:r>
      <w:proofErr w:type="spellEnd"/>
      <w:r w:rsidRPr="00D14CD7">
        <w:rPr>
          <w:color w:val="000000" w:themeColor="text1"/>
        </w:rPr>
        <w:t xml:space="preserve">, G., and Walker, V. (2020). Children, income, and the impact of home delivery on household shopping trips. </w:t>
      </w:r>
      <w:r w:rsidRPr="00D14CD7">
        <w:rPr>
          <w:i/>
          <w:iCs/>
          <w:color w:val="000000" w:themeColor="text1"/>
        </w:rPr>
        <w:t>Transportation Research Record</w:t>
      </w:r>
      <w:r w:rsidRPr="00D14CD7">
        <w:rPr>
          <w:color w:val="000000" w:themeColor="text1"/>
        </w:rPr>
        <w:t>, 2674(10), 335–350.</w:t>
      </w:r>
    </w:p>
    <w:p w14:paraId="7CB874F0" w14:textId="6EA1C1B6" w:rsidR="00D2328A" w:rsidRPr="008C23FF" w:rsidRDefault="00D2328A" w:rsidP="001B6746">
      <w:pPr>
        <w:spacing w:after="40" w:line="240" w:lineRule="auto"/>
        <w:ind w:left="540" w:hanging="540"/>
      </w:pPr>
      <w:r w:rsidRPr="00D14CD7">
        <w:rPr>
          <w:color w:val="000000" w:themeColor="text1"/>
        </w:rPr>
        <w:t xml:space="preserve">Statista. (2016). Frequency of using food delivery services U.S. 2016, by gender. Statista. </w:t>
      </w:r>
      <w:hyperlink r:id="rId239" w:history="1">
        <w:r w:rsidR="008C23FF" w:rsidRPr="008C23FF">
          <w:rPr>
            <w:rStyle w:val="Hyperlink"/>
            <w:color w:val="auto"/>
          </w:rPr>
          <w:t>https://www.statista.com/statistics/259193/ordering-takeout-delivery-from-restaurants-in-the-us-by-gender/</w:t>
        </w:r>
      </w:hyperlink>
      <w:r w:rsidR="008C23FF" w:rsidRPr="008C23FF">
        <w:t xml:space="preserve"> </w:t>
      </w:r>
    </w:p>
    <w:p w14:paraId="4B6B08F5" w14:textId="77777777" w:rsidR="00D2328A" w:rsidRPr="00D14CD7" w:rsidRDefault="00D2328A" w:rsidP="001B6746">
      <w:pPr>
        <w:spacing w:after="40" w:line="240" w:lineRule="auto"/>
        <w:ind w:left="540" w:hanging="540"/>
        <w:rPr>
          <w:color w:val="000000" w:themeColor="text1"/>
        </w:rPr>
      </w:pPr>
      <w:r w:rsidRPr="00D14CD7">
        <w:rPr>
          <w:color w:val="000000" w:themeColor="text1"/>
        </w:rPr>
        <w:t xml:space="preserve">Stewart, H., and Yen, S. T. (2004). Changing household characteristics and the away-from-home food market: A censored equation system approach. </w:t>
      </w:r>
      <w:r w:rsidRPr="00D14CD7">
        <w:rPr>
          <w:i/>
          <w:iCs/>
          <w:color w:val="000000" w:themeColor="text1"/>
        </w:rPr>
        <w:t>Food Policy</w:t>
      </w:r>
      <w:r w:rsidRPr="00D14CD7">
        <w:rPr>
          <w:color w:val="000000" w:themeColor="text1"/>
        </w:rPr>
        <w:t>, 29(6), 643–658.</w:t>
      </w:r>
    </w:p>
    <w:p w14:paraId="64437CE3" w14:textId="77777777" w:rsidR="00D2328A" w:rsidRPr="00D14CD7" w:rsidRDefault="00D2328A" w:rsidP="001B6746">
      <w:pPr>
        <w:spacing w:after="40" w:line="240" w:lineRule="auto"/>
        <w:ind w:left="540" w:hanging="540"/>
        <w:rPr>
          <w:color w:val="000000" w:themeColor="text1"/>
        </w:rPr>
      </w:pPr>
      <w:r w:rsidRPr="00D14CD7">
        <w:rPr>
          <w:color w:val="000000" w:themeColor="text1"/>
        </w:rPr>
        <w:t xml:space="preserve">Sung, E., and Huddleston, P. (2018). Department vs discount retail store patronage: Effects of self-image congruence. </w:t>
      </w:r>
      <w:r w:rsidRPr="00D14CD7">
        <w:rPr>
          <w:i/>
          <w:iCs/>
          <w:color w:val="000000" w:themeColor="text1"/>
        </w:rPr>
        <w:t>Journal of Consumer Marketing</w:t>
      </w:r>
      <w:r w:rsidRPr="00D14CD7">
        <w:rPr>
          <w:color w:val="000000" w:themeColor="text1"/>
        </w:rPr>
        <w:t>, 35(1), 64–78.</w:t>
      </w:r>
    </w:p>
    <w:p w14:paraId="0C1B0129" w14:textId="43172912" w:rsidR="00D2328A" w:rsidRPr="00D14CD7" w:rsidRDefault="00D2328A" w:rsidP="001B6746">
      <w:pPr>
        <w:spacing w:after="40" w:line="240" w:lineRule="auto"/>
        <w:ind w:left="540" w:hanging="540"/>
        <w:rPr>
          <w:color w:val="000000" w:themeColor="text1"/>
        </w:rPr>
      </w:pPr>
      <w:r w:rsidRPr="00D14CD7">
        <w:rPr>
          <w:color w:val="000000" w:themeColor="text1"/>
        </w:rPr>
        <w:t xml:space="preserve">Thomas, L. (2018). How </w:t>
      </w:r>
      <w:r w:rsidR="008C23FF">
        <w:rPr>
          <w:color w:val="000000" w:themeColor="text1"/>
        </w:rPr>
        <w:t>f</w:t>
      </w:r>
      <w:r w:rsidRPr="00D14CD7">
        <w:rPr>
          <w:color w:val="000000" w:themeColor="text1"/>
        </w:rPr>
        <w:t xml:space="preserve">ast </w:t>
      </w:r>
      <w:r w:rsidR="008C23FF">
        <w:rPr>
          <w:color w:val="000000" w:themeColor="text1"/>
        </w:rPr>
        <w:t>f</w:t>
      </w:r>
      <w:r w:rsidRPr="00D14CD7">
        <w:rPr>
          <w:color w:val="000000" w:themeColor="text1"/>
        </w:rPr>
        <w:t xml:space="preserve">ood </w:t>
      </w:r>
      <w:r w:rsidR="008C23FF">
        <w:rPr>
          <w:color w:val="000000" w:themeColor="text1"/>
        </w:rPr>
        <w:t>a</w:t>
      </w:r>
      <w:r w:rsidRPr="00D14CD7">
        <w:rPr>
          <w:color w:val="000000" w:themeColor="text1"/>
        </w:rPr>
        <w:t xml:space="preserve">ffects </w:t>
      </w:r>
      <w:r w:rsidR="008C23FF">
        <w:rPr>
          <w:color w:val="000000" w:themeColor="text1"/>
        </w:rPr>
        <w:t>c</w:t>
      </w:r>
      <w:r w:rsidRPr="00D14CD7">
        <w:rPr>
          <w:color w:val="000000" w:themeColor="text1"/>
        </w:rPr>
        <w:t xml:space="preserve">hildren’s </w:t>
      </w:r>
      <w:r w:rsidR="008C23FF">
        <w:rPr>
          <w:color w:val="000000" w:themeColor="text1"/>
        </w:rPr>
        <w:t>h</w:t>
      </w:r>
      <w:r w:rsidRPr="00D14CD7">
        <w:rPr>
          <w:color w:val="000000" w:themeColor="text1"/>
        </w:rPr>
        <w:t xml:space="preserve">ealth. </w:t>
      </w:r>
      <w:hyperlink r:id="rId240" w:anchor=":~:text=However%2C%20fast%20food%20is%20extremely,it%20can%20be%20quite%20addictive" w:history="1">
        <w:r w:rsidR="00352F13" w:rsidRPr="00D14CD7">
          <w:rPr>
            <w:rStyle w:val="Hyperlink"/>
            <w:color w:val="000000" w:themeColor="text1"/>
          </w:rPr>
          <w:t>https://www.news-medical.net/health/How-Fast-Food-Affects-Childrens-Health.aspx#:~:text=However%2C%20fast%20food%20is%20extremely,it%20can%20be%20quite%20addictive</w:t>
        </w:r>
      </w:hyperlink>
      <w:r w:rsidRPr="00D14CD7">
        <w:rPr>
          <w:color w:val="000000" w:themeColor="text1"/>
        </w:rPr>
        <w:t>.</w:t>
      </w:r>
      <w:r w:rsidR="00352F13" w:rsidRPr="00D14CD7">
        <w:rPr>
          <w:color w:val="000000" w:themeColor="text1"/>
        </w:rPr>
        <w:t xml:space="preserve"> </w:t>
      </w:r>
    </w:p>
    <w:p w14:paraId="03083C91" w14:textId="16AF3234" w:rsidR="00D2328A" w:rsidRPr="00D14CD7" w:rsidRDefault="00D2328A" w:rsidP="001B6746">
      <w:pPr>
        <w:spacing w:after="40" w:line="240" w:lineRule="auto"/>
        <w:ind w:left="540" w:hanging="540"/>
        <w:rPr>
          <w:color w:val="000000" w:themeColor="text1"/>
        </w:rPr>
      </w:pPr>
      <w:r w:rsidRPr="00D14CD7">
        <w:rPr>
          <w:color w:val="000000" w:themeColor="text1"/>
        </w:rPr>
        <w:t xml:space="preserve">U.S. Department of Agriculture. (2021). 2021 U.S. food-away-from-home spending 10 percent higher than pre-pandemic levels. </w:t>
      </w:r>
      <w:hyperlink r:id="rId241" w:anchor=":~:text=Food%2Daway%2Dfrom%2Dhome%20spending%20accounted%20for%2055%20percent,COVID%2D19%20pandemic%20share%20levels" w:history="1">
        <w:r w:rsidR="00352F13" w:rsidRPr="00D14CD7">
          <w:rPr>
            <w:rStyle w:val="Hyperlink"/>
            <w:color w:val="000000" w:themeColor="text1"/>
          </w:rPr>
          <w:t>https://www.ers.usda.gov/data-products/chart-gallery/gallery/chart-detail/?chartId=58364#:~:text=Food%2Daway%2Dfrom%2Dhome%20spending%20accounted%20for%2055%20percent,COVID%2D19%20pandemic%20share%20levels</w:t>
        </w:r>
      </w:hyperlink>
      <w:r w:rsidRPr="00D14CD7">
        <w:rPr>
          <w:color w:val="000000" w:themeColor="text1"/>
        </w:rPr>
        <w:t>.</w:t>
      </w:r>
      <w:r w:rsidR="00352F13" w:rsidRPr="00D14CD7">
        <w:rPr>
          <w:color w:val="000000" w:themeColor="text1"/>
        </w:rPr>
        <w:t xml:space="preserve"> </w:t>
      </w:r>
    </w:p>
    <w:p w14:paraId="53D7A3F1" w14:textId="3C4D255B" w:rsidR="008C23FF" w:rsidRDefault="000F179B" w:rsidP="008C23FF">
      <w:pPr>
        <w:spacing w:after="40" w:line="240" w:lineRule="auto"/>
        <w:ind w:left="540" w:hanging="540"/>
      </w:pPr>
      <w:r w:rsidRPr="000F179B">
        <w:rPr>
          <w:color w:val="000000" w:themeColor="text1"/>
        </w:rPr>
        <w:t xml:space="preserve">USFOODS. (2023). The </w:t>
      </w:r>
      <w:r w:rsidR="008C23FF">
        <w:rPr>
          <w:color w:val="000000" w:themeColor="text1"/>
        </w:rPr>
        <w:t>d</w:t>
      </w:r>
      <w:r w:rsidRPr="000F179B">
        <w:rPr>
          <w:color w:val="000000" w:themeColor="text1"/>
        </w:rPr>
        <w:t xml:space="preserve">iner </w:t>
      </w:r>
      <w:r w:rsidR="008C23FF">
        <w:rPr>
          <w:color w:val="000000" w:themeColor="text1"/>
        </w:rPr>
        <w:t>d</w:t>
      </w:r>
      <w:r w:rsidRPr="000F179B">
        <w:rPr>
          <w:color w:val="000000" w:themeColor="text1"/>
        </w:rPr>
        <w:t xml:space="preserve">ispatch: 2023 American </w:t>
      </w:r>
      <w:r w:rsidR="008C23FF">
        <w:rPr>
          <w:color w:val="000000" w:themeColor="text1"/>
        </w:rPr>
        <w:t>d</w:t>
      </w:r>
      <w:r w:rsidRPr="000F179B">
        <w:rPr>
          <w:color w:val="000000" w:themeColor="text1"/>
        </w:rPr>
        <w:t xml:space="preserve">ining </w:t>
      </w:r>
      <w:r w:rsidR="008C23FF">
        <w:rPr>
          <w:color w:val="000000" w:themeColor="text1"/>
        </w:rPr>
        <w:t>h</w:t>
      </w:r>
      <w:r w:rsidRPr="000F179B">
        <w:rPr>
          <w:color w:val="000000" w:themeColor="text1"/>
        </w:rPr>
        <w:t xml:space="preserve">abits. </w:t>
      </w:r>
      <w:hyperlink r:id="rId242" w:anchor=":~:text=On%20average%2C%20Americans%20are%20deciding,rather%20than%20their%20own%20kitchens%3F" w:history="1">
        <w:r w:rsidR="00503602" w:rsidRPr="00503602">
          <w:rPr>
            <w:rStyle w:val="Hyperlink"/>
            <w:color w:val="auto"/>
          </w:rPr>
          <w:t>https://www.usfoods.com/our-services/business-trends/american-dining-out-habits-2023.html#:~:text=On%20average%2C%20Americans%20are%20deciding,rather%20than%20their%20own%20kitchens%3F</w:t>
        </w:r>
      </w:hyperlink>
      <w:r w:rsidR="00503602" w:rsidRPr="00503602">
        <w:t xml:space="preserve"> </w:t>
      </w:r>
    </w:p>
    <w:p w14:paraId="6E0842C4" w14:textId="63E89FA5" w:rsidR="00D2328A" w:rsidRPr="00D14CD7" w:rsidRDefault="00D2328A" w:rsidP="001B6746">
      <w:pPr>
        <w:spacing w:after="40" w:line="240" w:lineRule="auto"/>
        <w:ind w:left="540" w:hanging="540"/>
        <w:rPr>
          <w:color w:val="000000" w:themeColor="text1"/>
        </w:rPr>
      </w:pPr>
      <w:r w:rsidRPr="00D14CD7">
        <w:rPr>
          <w:color w:val="000000" w:themeColor="text1"/>
        </w:rPr>
        <w:t>Walker, J.</w:t>
      </w:r>
      <w:r w:rsidR="00352F13" w:rsidRPr="00D14CD7">
        <w:rPr>
          <w:color w:val="000000" w:themeColor="text1"/>
        </w:rPr>
        <w:t>R.</w:t>
      </w:r>
      <w:r w:rsidRPr="00D14CD7">
        <w:rPr>
          <w:color w:val="000000" w:themeColor="text1"/>
        </w:rPr>
        <w:t xml:space="preserve"> (2017). Restaurants. In </w:t>
      </w:r>
      <w:r w:rsidRPr="00D14CD7">
        <w:rPr>
          <w:i/>
          <w:iCs/>
          <w:color w:val="000000" w:themeColor="text1"/>
        </w:rPr>
        <w:t xml:space="preserve">Exploring the </w:t>
      </w:r>
      <w:r w:rsidR="00352F13" w:rsidRPr="00D14CD7">
        <w:rPr>
          <w:i/>
          <w:iCs/>
          <w:color w:val="000000" w:themeColor="text1"/>
        </w:rPr>
        <w:t>H</w:t>
      </w:r>
      <w:r w:rsidRPr="00D14CD7">
        <w:rPr>
          <w:i/>
          <w:iCs/>
          <w:color w:val="000000" w:themeColor="text1"/>
        </w:rPr>
        <w:t xml:space="preserve">ospitality </w:t>
      </w:r>
      <w:r w:rsidR="00352F13" w:rsidRPr="00D14CD7">
        <w:rPr>
          <w:i/>
          <w:iCs/>
          <w:color w:val="000000" w:themeColor="text1"/>
        </w:rPr>
        <w:t>I</w:t>
      </w:r>
      <w:r w:rsidRPr="00D14CD7">
        <w:rPr>
          <w:i/>
          <w:iCs/>
          <w:color w:val="000000" w:themeColor="text1"/>
        </w:rPr>
        <w:t>ndustry</w:t>
      </w:r>
      <w:r w:rsidRPr="00D14CD7">
        <w:rPr>
          <w:color w:val="000000" w:themeColor="text1"/>
        </w:rPr>
        <w:t xml:space="preserve"> (3rd ed.). Pearson.</w:t>
      </w:r>
    </w:p>
    <w:p w14:paraId="4DF64CF8" w14:textId="082C647D" w:rsidR="00D2328A" w:rsidRPr="00D14CD7" w:rsidRDefault="00D2328A" w:rsidP="001B6746">
      <w:pPr>
        <w:spacing w:after="40" w:line="240" w:lineRule="auto"/>
        <w:ind w:left="540" w:hanging="540"/>
        <w:rPr>
          <w:color w:val="000000" w:themeColor="text1"/>
        </w:rPr>
      </w:pPr>
      <w:r w:rsidRPr="00D14CD7">
        <w:rPr>
          <w:color w:val="000000" w:themeColor="text1"/>
        </w:rPr>
        <w:t xml:space="preserve">Wang, Z., and He, S. Y. (2021). Impacts of food accessibility and built environment on on-demand food delivery usage. </w:t>
      </w:r>
      <w:r w:rsidRPr="00D14CD7">
        <w:rPr>
          <w:i/>
          <w:iCs/>
          <w:color w:val="000000" w:themeColor="text1"/>
        </w:rPr>
        <w:t>Transportation Research Part D</w:t>
      </w:r>
      <w:r w:rsidRPr="00D14CD7">
        <w:rPr>
          <w:color w:val="000000" w:themeColor="text1"/>
        </w:rPr>
        <w:t>, 100, 103017.</w:t>
      </w:r>
    </w:p>
    <w:p w14:paraId="7CF3A8EC" w14:textId="77777777" w:rsidR="00D2328A" w:rsidRPr="00D14CD7" w:rsidRDefault="00D2328A" w:rsidP="001B6746">
      <w:pPr>
        <w:spacing w:after="40" w:line="240" w:lineRule="auto"/>
        <w:ind w:left="540" w:hanging="540"/>
        <w:rPr>
          <w:color w:val="000000" w:themeColor="text1"/>
        </w:rPr>
      </w:pPr>
      <w:proofErr w:type="spellStart"/>
      <w:r w:rsidRPr="00D14CD7">
        <w:rPr>
          <w:color w:val="000000" w:themeColor="text1"/>
        </w:rPr>
        <w:t>Wellard</w:t>
      </w:r>
      <w:proofErr w:type="spellEnd"/>
      <w:r w:rsidRPr="00D14CD7">
        <w:rPr>
          <w:color w:val="000000" w:themeColor="text1"/>
        </w:rPr>
        <w:t>-Cole, L., Davies, A., and Allman-</w:t>
      </w:r>
      <w:proofErr w:type="spellStart"/>
      <w:r w:rsidRPr="00D14CD7">
        <w:rPr>
          <w:color w:val="000000" w:themeColor="text1"/>
        </w:rPr>
        <w:t>Farinelli</w:t>
      </w:r>
      <w:proofErr w:type="spellEnd"/>
      <w:r w:rsidRPr="00D14CD7">
        <w:rPr>
          <w:color w:val="000000" w:themeColor="text1"/>
        </w:rPr>
        <w:t xml:space="preserve">, M. (2022). Contribution of foods prepared away from home to intakes of energy and nutrients of public health concern in adults: A systematic review. </w:t>
      </w:r>
      <w:r w:rsidRPr="00D14CD7">
        <w:rPr>
          <w:i/>
          <w:iCs/>
          <w:color w:val="000000" w:themeColor="text1"/>
        </w:rPr>
        <w:t>Critical Reviews in Food Science and Nutrition</w:t>
      </w:r>
      <w:r w:rsidRPr="00D14CD7">
        <w:rPr>
          <w:color w:val="000000" w:themeColor="text1"/>
        </w:rPr>
        <w:t>, 62(20), 5511–5522.</w:t>
      </w:r>
    </w:p>
    <w:p w14:paraId="2AA455FB" w14:textId="77777777" w:rsidR="00D2328A" w:rsidRPr="00D14CD7" w:rsidRDefault="00D2328A" w:rsidP="001B6746">
      <w:pPr>
        <w:spacing w:after="40" w:line="240" w:lineRule="auto"/>
        <w:ind w:left="540" w:hanging="540"/>
        <w:rPr>
          <w:color w:val="000000" w:themeColor="text1"/>
        </w:rPr>
      </w:pPr>
      <w:r w:rsidRPr="00D14CD7">
        <w:rPr>
          <w:color w:val="000000" w:themeColor="text1"/>
        </w:rPr>
        <w:t xml:space="preserve">Wolfson, J. A., and Bleich, S. N. (2015). Is cooking at home associated with better diet quality or weight-loss intention? </w:t>
      </w:r>
      <w:r w:rsidRPr="00D14CD7">
        <w:rPr>
          <w:i/>
          <w:iCs/>
          <w:color w:val="000000" w:themeColor="text1"/>
        </w:rPr>
        <w:t>Public Health Nutrition</w:t>
      </w:r>
      <w:r w:rsidRPr="00D14CD7">
        <w:rPr>
          <w:color w:val="000000" w:themeColor="text1"/>
        </w:rPr>
        <w:t>, 18(8), 1397–1406.</w:t>
      </w:r>
    </w:p>
    <w:p w14:paraId="7D83358D" w14:textId="77777777" w:rsidR="00D2328A" w:rsidRPr="00D14CD7" w:rsidRDefault="00D2328A" w:rsidP="001B6746">
      <w:pPr>
        <w:spacing w:after="40" w:line="240" w:lineRule="auto"/>
        <w:ind w:left="540" w:hanging="540"/>
        <w:rPr>
          <w:color w:val="000000" w:themeColor="text1"/>
        </w:rPr>
      </w:pPr>
      <w:r w:rsidRPr="00D14CD7">
        <w:rPr>
          <w:color w:val="000000" w:themeColor="text1"/>
        </w:rPr>
        <w:t xml:space="preserve">Wooldridge, J. M. (1995). Selection corrections for panel data models under conditional mean independence assumptions. </w:t>
      </w:r>
      <w:r w:rsidRPr="00D14CD7">
        <w:rPr>
          <w:i/>
          <w:iCs/>
          <w:color w:val="000000" w:themeColor="text1"/>
        </w:rPr>
        <w:t>Journal of Econometrics</w:t>
      </w:r>
      <w:r w:rsidRPr="00D14CD7">
        <w:rPr>
          <w:color w:val="000000" w:themeColor="text1"/>
        </w:rPr>
        <w:t>, 68(1), 115–132.</w:t>
      </w:r>
    </w:p>
    <w:p w14:paraId="2DAA6B58" w14:textId="0EE8E905" w:rsidR="00D2328A" w:rsidRPr="00D14CD7" w:rsidRDefault="00D2328A" w:rsidP="001B6746">
      <w:pPr>
        <w:spacing w:after="40" w:line="240" w:lineRule="auto"/>
        <w:ind w:left="540" w:hanging="540"/>
        <w:rPr>
          <w:color w:val="000000" w:themeColor="text1"/>
        </w:rPr>
      </w:pPr>
      <w:r w:rsidRPr="00D14CD7">
        <w:rPr>
          <w:color w:val="000000" w:themeColor="text1"/>
        </w:rPr>
        <w:lastRenderedPageBreak/>
        <w:t xml:space="preserve">Xiao, Y., </w:t>
      </w:r>
      <w:proofErr w:type="spellStart"/>
      <w:r w:rsidRPr="00D14CD7">
        <w:rPr>
          <w:color w:val="000000" w:themeColor="text1"/>
        </w:rPr>
        <w:t>Becerik</w:t>
      </w:r>
      <w:proofErr w:type="spellEnd"/>
      <w:r w:rsidRPr="00D14CD7">
        <w:rPr>
          <w:color w:val="000000" w:themeColor="text1"/>
        </w:rPr>
        <w:t xml:space="preserve">-Gerber, B., Lucas, G., and Roll, S. C. (2021). Impacts of working from home during COVID-19 pandemic on physical and mental well-being of office workstation users. </w:t>
      </w:r>
      <w:r w:rsidRPr="00D14CD7">
        <w:rPr>
          <w:i/>
          <w:iCs/>
          <w:color w:val="000000" w:themeColor="text1"/>
        </w:rPr>
        <w:t>Journal of Occupational and Environmental Medicine</w:t>
      </w:r>
      <w:r w:rsidRPr="00D14CD7">
        <w:rPr>
          <w:color w:val="000000" w:themeColor="text1"/>
        </w:rPr>
        <w:t>, 63(3), 181</w:t>
      </w:r>
      <w:r w:rsidR="00775943" w:rsidRPr="00D14CD7">
        <w:rPr>
          <w:color w:val="000000" w:themeColor="text1"/>
        </w:rPr>
        <w:t>–190</w:t>
      </w:r>
      <w:r w:rsidRPr="00D14CD7">
        <w:rPr>
          <w:color w:val="000000" w:themeColor="text1"/>
        </w:rPr>
        <w:t>.</w:t>
      </w:r>
    </w:p>
    <w:p w14:paraId="7DE4D207" w14:textId="55F6B844" w:rsidR="00D2328A" w:rsidRPr="00D14CD7" w:rsidRDefault="00D2328A" w:rsidP="001B6746">
      <w:pPr>
        <w:spacing w:after="40" w:line="240" w:lineRule="auto"/>
        <w:ind w:left="540" w:hanging="540"/>
        <w:rPr>
          <w:color w:val="000000" w:themeColor="text1"/>
        </w:rPr>
      </w:pPr>
      <w:r w:rsidRPr="00D14CD7">
        <w:rPr>
          <w:color w:val="000000" w:themeColor="text1"/>
        </w:rPr>
        <w:t xml:space="preserve">Yelp. (2022). Yelp </w:t>
      </w:r>
      <w:r w:rsidR="00DE0256">
        <w:rPr>
          <w:color w:val="000000" w:themeColor="text1"/>
        </w:rPr>
        <w:t>d</w:t>
      </w:r>
      <w:r w:rsidRPr="00D14CD7">
        <w:rPr>
          <w:color w:val="000000" w:themeColor="text1"/>
        </w:rPr>
        <w:t xml:space="preserve">ata </w:t>
      </w:r>
      <w:r w:rsidR="00DE0256">
        <w:rPr>
          <w:color w:val="000000" w:themeColor="text1"/>
        </w:rPr>
        <w:t>r</w:t>
      </w:r>
      <w:r w:rsidRPr="00D14CD7">
        <w:rPr>
          <w:color w:val="000000" w:themeColor="text1"/>
        </w:rPr>
        <w:t xml:space="preserve">eveals </w:t>
      </w:r>
      <w:r w:rsidR="00DE0256">
        <w:rPr>
          <w:color w:val="000000" w:themeColor="text1"/>
        </w:rPr>
        <w:t>h</w:t>
      </w:r>
      <w:r w:rsidRPr="00D14CD7">
        <w:rPr>
          <w:color w:val="000000" w:themeColor="text1"/>
        </w:rPr>
        <w:t xml:space="preserve">ow the </w:t>
      </w:r>
      <w:r w:rsidR="00DE0256">
        <w:rPr>
          <w:color w:val="000000" w:themeColor="text1"/>
        </w:rPr>
        <w:t>l</w:t>
      </w:r>
      <w:r w:rsidRPr="00D14CD7">
        <w:rPr>
          <w:color w:val="000000" w:themeColor="text1"/>
        </w:rPr>
        <w:t xml:space="preserve">abor </w:t>
      </w:r>
      <w:r w:rsidR="00DE0256">
        <w:rPr>
          <w:color w:val="000000" w:themeColor="text1"/>
        </w:rPr>
        <w:t>s</w:t>
      </w:r>
      <w:r w:rsidRPr="00D14CD7">
        <w:rPr>
          <w:color w:val="000000" w:themeColor="text1"/>
        </w:rPr>
        <w:t xml:space="preserve">hortage and </w:t>
      </w:r>
      <w:r w:rsidR="00DE0256">
        <w:rPr>
          <w:color w:val="000000" w:themeColor="text1"/>
        </w:rPr>
        <w:t>i</w:t>
      </w:r>
      <w:r w:rsidRPr="00D14CD7">
        <w:rPr>
          <w:color w:val="000000" w:themeColor="text1"/>
        </w:rPr>
        <w:t xml:space="preserve">nflation are </w:t>
      </w:r>
      <w:r w:rsidR="00DE0256">
        <w:rPr>
          <w:color w:val="000000" w:themeColor="text1"/>
        </w:rPr>
        <w:t>i</w:t>
      </w:r>
      <w:r w:rsidRPr="00D14CD7">
        <w:rPr>
          <w:color w:val="000000" w:themeColor="text1"/>
        </w:rPr>
        <w:t xml:space="preserve">mpacting the </w:t>
      </w:r>
      <w:r w:rsidR="00DE0256">
        <w:rPr>
          <w:color w:val="000000" w:themeColor="text1"/>
        </w:rPr>
        <w:t>r</w:t>
      </w:r>
      <w:r w:rsidRPr="00D14CD7">
        <w:rPr>
          <w:color w:val="000000" w:themeColor="text1"/>
        </w:rPr>
        <w:t xml:space="preserve">estaurant </w:t>
      </w:r>
      <w:r w:rsidR="00DE0256">
        <w:rPr>
          <w:color w:val="000000" w:themeColor="text1"/>
        </w:rPr>
        <w:t>i</w:t>
      </w:r>
      <w:r w:rsidRPr="00D14CD7">
        <w:rPr>
          <w:color w:val="000000" w:themeColor="text1"/>
        </w:rPr>
        <w:t xml:space="preserve">ndustry as </w:t>
      </w:r>
      <w:r w:rsidR="00DE0256">
        <w:rPr>
          <w:color w:val="000000" w:themeColor="text1"/>
        </w:rPr>
        <w:t>p</w:t>
      </w:r>
      <w:r w:rsidRPr="00D14CD7">
        <w:rPr>
          <w:color w:val="000000" w:themeColor="text1"/>
        </w:rPr>
        <w:t xml:space="preserve">eople </w:t>
      </w:r>
      <w:r w:rsidR="00DE0256">
        <w:rPr>
          <w:color w:val="000000" w:themeColor="text1"/>
        </w:rPr>
        <w:t>f</w:t>
      </w:r>
      <w:r w:rsidRPr="00D14CD7">
        <w:rPr>
          <w:color w:val="000000" w:themeColor="text1"/>
        </w:rPr>
        <w:t xml:space="preserve">lock </w:t>
      </w:r>
      <w:r w:rsidR="00DE0256">
        <w:rPr>
          <w:color w:val="000000" w:themeColor="text1"/>
        </w:rPr>
        <w:t>b</w:t>
      </w:r>
      <w:r w:rsidRPr="00D14CD7">
        <w:rPr>
          <w:color w:val="000000" w:themeColor="text1"/>
        </w:rPr>
        <w:t xml:space="preserve">ack to </w:t>
      </w:r>
      <w:r w:rsidR="00DE0256">
        <w:rPr>
          <w:color w:val="000000" w:themeColor="text1"/>
        </w:rPr>
        <w:t>o</w:t>
      </w:r>
      <w:r w:rsidRPr="00D14CD7">
        <w:rPr>
          <w:color w:val="000000" w:themeColor="text1"/>
        </w:rPr>
        <w:t>n-</w:t>
      </w:r>
      <w:r w:rsidR="00DE0256">
        <w:rPr>
          <w:color w:val="000000" w:themeColor="text1"/>
        </w:rPr>
        <w:t>p</w:t>
      </w:r>
      <w:r w:rsidRPr="00D14CD7">
        <w:rPr>
          <w:color w:val="000000" w:themeColor="text1"/>
        </w:rPr>
        <w:t xml:space="preserve">remise </w:t>
      </w:r>
      <w:r w:rsidR="00DE0256">
        <w:rPr>
          <w:color w:val="000000" w:themeColor="text1"/>
        </w:rPr>
        <w:t>d</w:t>
      </w:r>
      <w:r w:rsidRPr="00D14CD7">
        <w:rPr>
          <w:color w:val="000000" w:themeColor="text1"/>
        </w:rPr>
        <w:t xml:space="preserve">ining. </w:t>
      </w:r>
      <w:hyperlink r:id="rId243" w:history="1">
        <w:r w:rsidR="00BB6226" w:rsidRPr="00D14CD7">
          <w:rPr>
            <w:rStyle w:val="Hyperlink"/>
            <w:color w:val="000000" w:themeColor="text1"/>
          </w:rPr>
          <w:t>https://www.yelpeconomicaverage.com/state-of-the-restaurant-industry-2022.html</w:t>
        </w:r>
      </w:hyperlink>
      <w:r w:rsidR="00BB6226" w:rsidRPr="00D14CD7">
        <w:rPr>
          <w:color w:val="000000" w:themeColor="text1"/>
        </w:rPr>
        <w:t xml:space="preserve"> </w:t>
      </w:r>
    </w:p>
    <w:p w14:paraId="63C59E73" w14:textId="05421DE2" w:rsidR="002F5C17" w:rsidRPr="00D14CD7" w:rsidRDefault="002F5C17" w:rsidP="001B6746">
      <w:pPr>
        <w:spacing w:after="40" w:line="240" w:lineRule="auto"/>
        <w:ind w:left="540" w:hanging="540"/>
        <w:rPr>
          <w:color w:val="000000" w:themeColor="text1"/>
        </w:rPr>
      </w:pPr>
      <w:r w:rsidRPr="00D14CD7">
        <w:rPr>
          <w:color w:val="000000" w:themeColor="text1"/>
        </w:rPr>
        <w:t xml:space="preserve">Yelp. (2024). Getting </w:t>
      </w:r>
      <w:r w:rsidR="00DE0256">
        <w:rPr>
          <w:color w:val="000000" w:themeColor="text1"/>
        </w:rPr>
        <w:t>s</w:t>
      </w:r>
      <w:r w:rsidRPr="00D14CD7">
        <w:rPr>
          <w:color w:val="000000" w:themeColor="text1"/>
        </w:rPr>
        <w:t>tarted with the Yelp Fusion</w:t>
      </w:r>
      <w:r w:rsidR="00DE0256">
        <w:rPr>
          <w:color w:val="000000" w:themeColor="text1"/>
        </w:rPr>
        <w:t xml:space="preserve"> API</w:t>
      </w:r>
      <w:r w:rsidRPr="00D14CD7">
        <w:rPr>
          <w:color w:val="000000" w:themeColor="text1"/>
        </w:rPr>
        <w:t xml:space="preserve">. </w:t>
      </w:r>
      <w:hyperlink r:id="rId244" w:history="1">
        <w:r w:rsidRPr="00D14CD7">
          <w:rPr>
            <w:rStyle w:val="Hyperlink"/>
            <w:color w:val="000000" w:themeColor="text1"/>
          </w:rPr>
          <w:t>https://docs.developer.yelp.com/docs/fusion-intro</w:t>
        </w:r>
      </w:hyperlink>
      <w:r w:rsidRPr="00D14CD7">
        <w:rPr>
          <w:color w:val="000000" w:themeColor="text1"/>
        </w:rPr>
        <w:t xml:space="preserve"> </w:t>
      </w:r>
    </w:p>
    <w:p w14:paraId="789F2659" w14:textId="73A5F7CA" w:rsidR="00F74DB0" w:rsidRPr="00D14CD7" w:rsidRDefault="00F74DB0" w:rsidP="00503602">
      <w:pPr>
        <w:spacing w:after="40" w:line="240" w:lineRule="auto"/>
        <w:ind w:left="540" w:hanging="540"/>
        <w:rPr>
          <w:color w:val="000000" w:themeColor="text1"/>
        </w:rPr>
      </w:pPr>
      <w:r w:rsidRPr="00D14CD7">
        <w:rPr>
          <w:color w:val="000000" w:themeColor="text1"/>
          <w:shd w:val="clear" w:color="auto" w:fill="FFFFFF"/>
        </w:rPr>
        <w:t>Yoon, S., and Kim, H. C. (2018). Feeling economically stuck: The effect of perceived economic mobility and socioeconomic status on variety seeking. </w:t>
      </w:r>
      <w:r w:rsidRPr="00D14CD7">
        <w:rPr>
          <w:i/>
          <w:iCs/>
          <w:color w:val="000000" w:themeColor="text1"/>
          <w:shd w:val="clear" w:color="auto" w:fill="FFFFFF"/>
        </w:rPr>
        <w:t>Journal of Consumer</w:t>
      </w:r>
      <w:r w:rsidR="00503602">
        <w:rPr>
          <w:i/>
          <w:iCs/>
          <w:color w:val="000000" w:themeColor="text1"/>
          <w:shd w:val="clear" w:color="auto" w:fill="FFFFFF"/>
        </w:rPr>
        <w:t xml:space="preserve"> Research</w:t>
      </w:r>
      <w:r w:rsidR="00503602">
        <w:rPr>
          <w:color w:val="000000" w:themeColor="text1"/>
          <w:shd w:val="clear" w:color="auto" w:fill="FFFFFF"/>
        </w:rPr>
        <w:t xml:space="preserve">, </w:t>
      </w:r>
      <w:r w:rsidRPr="00D14CD7">
        <w:rPr>
          <w:i/>
          <w:iCs/>
          <w:color w:val="000000" w:themeColor="text1"/>
          <w:shd w:val="clear" w:color="auto" w:fill="FFFFFF"/>
        </w:rPr>
        <w:t xml:space="preserve"> </w:t>
      </w:r>
      <w:r w:rsidRPr="00503602">
        <w:rPr>
          <w:color w:val="000000" w:themeColor="text1"/>
          <w:shd w:val="clear" w:color="auto" w:fill="FFFFFF"/>
        </w:rPr>
        <w:t>44</w:t>
      </w:r>
      <w:r w:rsidRPr="00D14CD7">
        <w:rPr>
          <w:color w:val="000000" w:themeColor="text1"/>
          <w:shd w:val="clear" w:color="auto" w:fill="FFFFFF"/>
        </w:rPr>
        <w:t>(5), 1141</w:t>
      </w:r>
      <w:r w:rsidR="00503602" w:rsidRPr="00D14CD7">
        <w:rPr>
          <w:color w:val="000000" w:themeColor="text1"/>
        </w:rPr>
        <w:t>–</w:t>
      </w:r>
      <w:r w:rsidRPr="00D14CD7">
        <w:rPr>
          <w:color w:val="000000" w:themeColor="text1"/>
          <w:shd w:val="clear" w:color="auto" w:fill="FFFFFF"/>
        </w:rPr>
        <w:t>1156.</w:t>
      </w:r>
    </w:p>
    <w:p w14:paraId="2D1367E9" w14:textId="54BBD1A5" w:rsidR="000F179B" w:rsidRDefault="000F179B" w:rsidP="001B6746">
      <w:pPr>
        <w:spacing w:after="40" w:line="240" w:lineRule="auto"/>
        <w:ind w:left="540" w:hanging="540"/>
        <w:rPr>
          <w:color w:val="000000" w:themeColor="text1"/>
        </w:rPr>
      </w:pPr>
      <w:r w:rsidRPr="000F179B">
        <w:rPr>
          <w:color w:val="000000" w:themeColor="text1"/>
        </w:rPr>
        <w:t xml:space="preserve">YouGov. (2024). How often Americans buy food and drinks at: Restaurants [Graph]. </w:t>
      </w:r>
      <w:hyperlink r:id="rId245" w:history="1">
        <w:r w:rsidR="00DE0256" w:rsidRPr="00DE0256">
          <w:rPr>
            <w:rStyle w:val="Hyperlink"/>
            <w:color w:val="auto"/>
          </w:rPr>
          <w:t>https://today.yougov.com/topics/society/trackers/food-and-drink-frequency-restaurants</w:t>
        </w:r>
      </w:hyperlink>
      <w:r w:rsidR="00DE0256" w:rsidRPr="00DE0256">
        <w:t xml:space="preserve"> </w:t>
      </w:r>
    </w:p>
    <w:p w14:paraId="4E5A4630" w14:textId="34F81A3D" w:rsidR="00D2328A" w:rsidRPr="00D14CD7" w:rsidRDefault="00D2328A" w:rsidP="001B6746">
      <w:pPr>
        <w:spacing w:after="40" w:line="240" w:lineRule="auto"/>
        <w:ind w:left="540" w:hanging="540"/>
        <w:rPr>
          <w:color w:val="000000" w:themeColor="text1"/>
        </w:rPr>
      </w:pPr>
      <w:r w:rsidRPr="00D14CD7">
        <w:rPr>
          <w:color w:val="000000" w:themeColor="text1"/>
        </w:rPr>
        <w:t xml:space="preserve">Yue, Y., Zhuang, Y., Yeh, A. G., Xie, J.-Y., Ma, C.-L., and Li, Q.-Q. (2017). Measurements of POI-based mixed use and their relationships with </w:t>
      </w:r>
      <w:proofErr w:type="spellStart"/>
      <w:r w:rsidRPr="00D14CD7">
        <w:rPr>
          <w:color w:val="000000" w:themeColor="text1"/>
        </w:rPr>
        <w:t>neighbourhood</w:t>
      </w:r>
      <w:proofErr w:type="spellEnd"/>
      <w:r w:rsidRPr="00D14CD7">
        <w:rPr>
          <w:color w:val="000000" w:themeColor="text1"/>
        </w:rPr>
        <w:t xml:space="preserve"> vibrancy. </w:t>
      </w:r>
      <w:r w:rsidRPr="00D14CD7">
        <w:rPr>
          <w:i/>
          <w:iCs/>
          <w:color w:val="000000" w:themeColor="text1"/>
        </w:rPr>
        <w:t>International</w:t>
      </w:r>
      <w:r w:rsidRPr="00D14CD7">
        <w:rPr>
          <w:color w:val="000000" w:themeColor="text1"/>
        </w:rPr>
        <w:t xml:space="preserve"> </w:t>
      </w:r>
      <w:r w:rsidRPr="00D14CD7">
        <w:rPr>
          <w:i/>
          <w:iCs/>
          <w:color w:val="000000" w:themeColor="text1"/>
        </w:rPr>
        <w:t>Journal of Geographical Information Science</w:t>
      </w:r>
      <w:r w:rsidRPr="00D14CD7">
        <w:rPr>
          <w:color w:val="000000" w:themeColor="text1"/>
        </w:rPr>
        <w:t>, 31(4), 658–675.</w:t>
      </w:r>
    </w:p>
    <w:bookmarkEnd w:id="60"/>
    <w:p w14:paraId="566BBC22" w14:textId="3BE100D2" w:rsidR="00C46970" w:rsidRPr="00D14CD7" w:rsidRDefault="00C46970" w:rsidP="003F313A">
      <w:pPr>
        <w:rPr>
          <w:color w:val="000000" w:themeColor="text1"/>
        </w:rPr>
      </w:pPr>
    </w:p>
    <w:bookmarkEnd w:id="61"/>
    <w:p w14:paraId="70CEAD23" w14:textId="43D4FDFE" w:rsidR="00C46970" w:rsidRPr="00D14CD7" w:rsidRDefault="00C46970" w:rsidP="00C46970">
      <w:pPr>
        <w:rPr>
          <w:color w:val="000000" w:themeColor="text1"/>
        </w:rPr>
      </w:pPr>
    </w:p>
    <w:p w14:paraId="5D20D0DD" w14:textId="77777777" w:rsidR="00C46970" w:rsidRPr="00D14CD7" w:rsidRDefault="00C46970" w:rsidP="00C46970">
      <w:pPr>
        <w:rPr>
          <w:color w:val="000000" w:themeColor="text1"/>
        </w:rPr>
      </w:pPr>
    </w:p>
    <w:p w14:paraId="469964ED" w14:textId="77777777" w:rsidR="00C46970" w:rsidRPr="00D14CD7" w:rsidRDefault="00C46970" w:rsidP="005B6BB0">
      <w:pPr>
        <w:keepNext/>
        <w:rPr>
          <w:color w:val="000000" w:themeColor="text1"/>
        </w:rPr>
        <w:sectPr w:rsidR="00C46970" w:rsidRPr="00D14CD7">
          <w:pgSz w:w="12240" w:h="15840"/>
          <w:pgMar w:top="1440" w:right="1440" w:bottom="1440" w:left="1440" w:header="720" w:footer="720" w:gutter="0"/>
          <w:cols w:space="720"/>
          <w:docGrid w:linePitch="360"/>
        </w:sectPr>
      </w:pPr>
    </w:p>
    <w:p w14:paraId="555E59E7" w14:textId="57A5AB8E" w:rsidR="005B6BB0" w:rsidRPr="00D14CD7" w:rsidRDefault="005B6BB0" w:rsidP="005B6BB0">
      <w:pPr>
        <w:keepNext/>
        <w:rPr>
          <w:color w:val="000000" w:themeColor="text1"/>
        </w:rPr>
      </w:pPr>
      <w:r w:rsidRPr="00D14CD7">
        <w:rPr>
          <w:noProof/>
          <w:color w:val="000000" w:themeColor="text1"/>
        </w:rPr>
        <w:lastRenderedPageBreak/>
        <w:drawing>
          <wp:inline distT="0" distB="0" distL="0" distR="0" wp14:anchorId="1EF767D6" wp14:editId="14574EA4">
            <wp:extent cx="6120664" cy="3419016"/>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4"/>
                    <pic:cNvPicPr>
                      <a:picLocks noChangeAspect="1" noChangeArrowheads="1"/>
                    </pic:cNvPicPr>
                  </pic:nvPicPr>
                  <pic:blipFill>
                    <a:blip r:embed="rId246" cstate="print">
                      <a:extLst>
                        <a:ext uri="{28A0092B-C50C-407E-A947-70E740481C1C}">
                          <a14:useLocalDpi xmlns:a14="http://schemas.microsoft.com/office/drawing/2010/main" val="0"/>
                        </a:ext>
                      </a:extLst>
                    </a:blip>
                    <a:stretch>
                      <a:fillRect/>
                    </a:stretch>
                  </pic:blipFill>
                  <pic:spPr bwMode="auto">
                    <a:xfrm>
                      <a:off x="0" y="0"/>
                      <a:ext cx="6120664" cy="3419016"/>
                    </a:xfrm>
                    <a:prstGeom prst="rect">
                      <a:avLst/>
                    </a:prstGeom>
                    <a:noFill/>
                  </pic:spPr>
                </pic:pic>
              </a:graphicData>
            </a:graphic>
          </wp:inline>
        </w:drawing>
      </w:r>
    </w:p>
    <w:p w14:paraId="1FABDAD9" w14:textId="6909EF41" w:rsidR="005B6BB0" w:rsidRPr="00D14CD7" w:rsidRDefault="005B6BB0" w:rsidP="005B6BB0">
      <w:pPr>
        <w:pStyle w:val="Caption"/>
        <w:jc w:val="center"/>
        <w:rPr>
          <w:b/>
          <w:i w:val="0"/>
          <w:color w:val="000000" w:themeColor="text1"/>
          <w:sz w:val="24"/>
          <w:szCs w:val="24"/>
        </w:rPr>
      </w:pPr>
      <w:r w:rsidRPr="00D14CD7">
        <w:rPr>
          <w:b/>
          <w:i w:val="0"/>
          <w:color w:val="000000" w:themeColor="text1"/>
          <w:sz w:val="24"/>
          <w:szCs w:val="24"/>
        </w:rPr>
        <w:t>Figure 1. Illustration of analysis paths in restaurant selection literature</w:t>
      </w:r>
    </w:p>
    <w:p w14:paraId="13B81EBA" w14:textId="77777777" w:rsidR="005B6BB0" w:rsidRPr="00D14CD7" w:rsidRDefault="005B6BB0" w:rsidP="00DD2090">
      <w:pPr>
        <w:rPr>
          <w:color w:val="000000" w:themeColor="text1"/>
        </w:rPr>
        <w:sectPr w:rsidR="005B6BB0" w:rsidRPr="00D14CD7">
          <w:pgSz w:w="12240" w:h="15840"/>
          <w:pgMar w:top="1440" w:right="1440" w:bottom="1440" w:left="1440" w:header="720" w:footer="720" w:gutter="0"/>
          <w:cols w:space="720"/>
          <w:docGrid w:linePitch="360"/>
        </w:sectPr>
      </w:pPr>
    </w:p>
    <w:p w14:paraId="16E8ACDF" w14:textId="732D1D9E" w:rsidR="005B6BB0" w:rsidRPr="00D14CD7" w:rsidRDefault="005B6BB0" w:rsidP="00630A69">
      <w:pPr>
        <w:pStyle w:val="Caption"/>
        <w:keepNext/>
        <w:spacing w:after="120"/>
        <w:rPr>
          <w:b/>
          <w:i w:val="0"/>
          <w:color w:val="000000" w:themeColor="text1"/>
          <w:sz w:val="24"/>
          <w:szCs w:val="24"/>
        </w:rPr>
      </w:pPr>
      <w:r w:rsidRPr="00D14CD7">
        <w:rPr>
          <w:b/>
          <w:i w:val="0"/>
          <w:color w:val="000000" w:themeColor="text1"/>
          <w:sz w:val="24"/>
          <w:szCs w:val="24"/>
        </w:rPr>
        <w:lastRenderedPageBreak/>
        <w:t xml:space="preserve">Table </w:t>
      </w:r>
      <w:r w:rsidRPr="00D14CD7">
        <w:rPr>
          <w:b/>
          <w:i w:val="0"/>
          <w:color w:val="000000" w:themeColor="text1"/>
          <w:sz w:val="24"/>
          <w:szCs w:val="24"/>
        </w:rPr>
        <w:fldChar w:fldCharType="begin"/>
      </w:r>
      <w:r w:rsidRPr="00D14CD7">
        <w:rPr>
          <w:b/>
          <w:i w:val="0"/>
          <w:color w:val="000000" w:themeColor="text1"/>
          <w:sz w:val="24"/>
          <w:szCs w:val="24"/>
        </w:rPr>
        <w:instrText xml:space="preserve"> SEQ Table \* ARABIC </w:instrText>
      </w:r>
      <w:r w:rsidRPr="00D14CD7">
        <w:rPr>
          <w:b/>
          <w:i w:val="0"/>
          <w:color w:val="000000" w:themeColor="text1"/>
          <w:sz w:val="24"/>
          <w:szCs w:val="24"/>
        </w:rPr>
        <w:fldChar w:fldCharType="separate"/>
      </w:r>
      <w:r w:rsidR="00015031">
        <w:rPr>
          <w:b/>
          <w:i w:val="0"/>
          <w:noProof/>
          <w:color w:val="000000" w:themeColor="text1"/>
          <w:sz w:val="24"/>
          <w:szCs w:val="24"/>
        </w:rPr>
        <w:t>1</w:t>
      </w:r>
      <w:r w:rsidRPr="00D14CD7">
        <w:rPr>
          <w:b/>
          <w:i w:val="0"/>
          <w:noProof/>
          <w:color w:val="000000" w:themeColor="text1"/>
          <w:sz w:val="24"/>
          <w:szCs w:val="24"/>
        </w:rPr>
        <w:fldChar w:fldCharType="end"/>
      </w:r>
      <w:r w:rsidRPr="00D14CD7">
        <w:rPr>
          <w:b/>
          <w:i w:val="0"/>
          <w:color w:val="000000" w:themeColor="text1"/>
          <w:sz w:val="24"/>
          <w:szCs w:val="24"/>
        </w:rPr>
        <w:t xml:space="preserve">. Restaurant </w:t>
      </w:r>
      <w:r w:rsidR="007E2CED" w:rsidRPr="00D14CD7">
        <w:rPr>
          <w:b/>
          <w:i w:val="0"/>
          <w:color w:val="000000" w:themeColor="text1"/>
          <w:sz w:val="24"/>
          <w:szCs w:val="24"/>
        </w:rPr>
        <w:t>s</w:t>
      </w:r>
      <w:r w:rsidRPr="00D14CD7">
        <w:rPr>
          <w:b/>
          <w:i w:val="0"/>
          <w:color w:val="000000" w:themeColor="text1"/>
          <w:sz w:val="24"/>
          <w:szCs w:val="24"/>
        </w:rPr>
        <w:t xml:space="preserve">egments and their </w:t>
      </w:r>
      <w:r w:rsidR="007E2CED" w:rsidRPr="00D14CD7">
        <w:rPr>
          <w:b/>
          <w:i w:val="0"/>
          <w:color w:val="000000" w:themeColor="text1"/>
          <w:sz w:val="24"/>
          <w:szCs w:val="24"/>
        </w:rPr>
        <w:t>a</w:t>
      </w:r>
      <w:r w:rsidRPr="00D14CD7">
        <w:rPr>
          <w:b/>
          <w:i w:val="0"/>
          <w:color w:val="000000" w:themeColor="text1"/>
          <w:sz w:val="24"/>
          <w:szCs w:val="24"/>
        </w:rPr>
        <w:t xml:space="preserve">ttributes and the </w:t>
      </w:r>
      <w:r w:rsidR="007E2CED" w:rsidRPr="00D14CD7">
        <w:rPr>
          <w:b/>
          <w:i w:val="0"/>
          <w:color w:val="000000" w:themeColor="text1"/>
          <w:sz w:val="24"/>
          <w:szCs w:val="24"/>
        </w:rPr>
        <w:t>u</w:t>
      </w:r>
      <w:r w:rsidRPr="00D14CD7">
        <w:rPr>
          <w:b/>
          <w:i w:val="0"/>
          <w:color w:val="000000" w:themeColor="text1"/>
          <w:sz w:val="24"/>
          <w:szCs w:val="24"/>
        </w:rPr>
        <w:t>tilitarian/</w:t>
      </w:r>
      <w:r w:rsidR="007E2CED" w:rsidRPr="00D14CD7">
        <w:rPr>
          <w:b/>
          <w:i w:val="0"/>
          <w:color w:val="000000" w:themeColor="text1"/>
          <w:sz w:val="24"/>
          <w:szCs w:val="24"/>
        </w:rPr>
        <w:t>h</w:t>
      </w:r>
      <w:r w:rsidRPr="00D14CD7">
        <w:rPr>
          <w:b/>
          <w:i w:val="0"/>
          <w:color w:val="000000" w:themeColor="text1"/>
          <w:sz w:val="24"/>
          <w:szCs w:val="24"/>
        </w:rPr>
        <w:t xml:space="preserve">edonic </w:t>
      </w:r>
      <w:r w:rsidR="007E2CED" w:rsidRPr="00D14CD7">
        <w:rPr>
          <w:b/>
          <w:i w:val="0"/>
          <w:color w:val="000000" w:themeColor="text1"/>
          <w:sz w:val="24"/>
          <w:szCs w:val="24"/>
        </w:rPr>
        <w:t>m</w:t>
      </w:r>
      <w:r w:rsidRPr="00D14CD7">
        <w:rPr>
          <w:b/>
          <w:i w:val="0"/>
          <w:color w:val="000000" w:themeColor="text1"/>
          <w:sz w:val="24"/>
          <w:szCs w:val="24"/>
        </w:rPr>
        <w:t xml:space="preserve">otives they </w:t>
      </w:r>
      <w:r w:rsidR="007E2CED" w:rsidRPr="00D14CD7">
        <w:rPr>
          <w:b/>
          <w:i w:val="0"/>
          <w:color w:val="000000" w:themeColor="text1"/>
          <w:sz w:val="24"/>
          <w:szCs w:val="24"/>
        </w:rPr>
        <w:t>s</w:t>
      </w:r>
      <w:r w:rsidRPr="00D14CD7">
        <w:rPr>
          <w:b/>
          <w:i w:val="0"/>
          <w:color w:val="000000" w:themeColor="text1"/>
          <w:sz w:val="24"/>
          <w:szCs w:val="24"/>
        </w:rPr>
        <w:t xml:space="preserve">atisfy </w:t>
      </w:r>
    </w:p>
    <w:tbl>
      <w:tblPr>
        <w:tblStyle w:val="TableGrid"/>
        <w:tblW w:w="9216" w:type="dxa"/>
        <w:tblLook w:val="04A0" w:firstRow="1" w:lastRow="0" w:firstColumn="1" w:lastColumn="0" w:noHBand="0" w:noVBand="1"/>
      </w:tblPr>
      <w:tblGrid>
        <w:gridCol w:w="2880"/>
        <w:gridCol w:w="3168"/>
        <w:gridCol w:w="3168"/>
      </w:tblGrid>
      <w:tr w:rsidR="00D14CD7" w:rsidRPr="00D14CD7" w14:paraId="53324237" w14:textId="77777777" w:rsidTr="00970BC6">
        <w:trPr>
          <w:trHeight w:val="346"/>
          <w:tblHeader/>
        </w:trPr>
        <w:tc>
          <w:tcPr>
            <w:tcW w:w="2880" w:type="dxa"/>
            <w:tcBorders>
              <w:top w:val="double" w:sz="4" w:space="0" w:color="auto"/>
              <w:left w:val="double" w:sz="4" w:space="0" w:color="auto"/>
              <w:bottom w:val="double" w:sz="4" w:space="0" w:color="auto"/>
              <w:right w:val="double" w:sz="4" w:space="0" w:color="auto"/>
            </w:tcBorders>
            <w:vAlign w:val="center"/>
            <w:hideMark/>
          </w:tcPr>
          <w:p w14:paraId="773C9278" w14:textId="77777777" w:rsidR="005B6BB0" w:rsidRPr="00D14CD7" w:rsidRDefault="005B6BB0" w:rsidP="00970BC6">
            <w:pPr>
              <w:jc w:val="left"/>
              <w:rPr>
                <w:rFonts w:eastAsia="Times New Roman"/>
                <w:b/>
                <w:bCs/>
                <w:color w:val="000000" w:themeColor="text1"/>
              </w:rPr>
            </w:pPr>
            <w:r w:rsidRPr="00D14CD7">
              <w:rPr>
                <w:rFonts w:eastAsia="Times New Roman"/>
                <w:b/>
                <w:bCs/>
                <w:color w:val="000000" w:themeColor="text1"/>
              </w:rPr>
              <w:t>Restaurant Segment</w:t>
            </w:r>
          </w:p>
        </w:tc>
        <w:tc>
          <w:tcPr>
            <w:tcW w:w="3168" w:type="dxa"/>
            <w:tcBorders>
              <w:top w:val="double" w:sz="4" w:space="0" w:color="auto"/>
              <w:left w:val="double" w:sz="4" w:space="0" w:color="auto"/>
              <w:bottom w:val="double" w:sz="4" w:space="0" w:color="auto"/>
            </w:tcBorders>
            <w:vAlign w:val="center"/>
            <w:hideMark/>
          </w:tcPr>
          <w:p w14:paraId="69CBECEB" w14:textId="77777777" w:rsidR="005B6BB0" w:rsidRPr="00D14CD7" w:rsidRDefault="005B6BB0" w:rsidP="00286339">
            <w:pPr>
              <w:jc w:val="left"/>
              <w:rPr>
                <w:rFonts w:eastAsia="Times New Roman"/>
                <w:b/>
                <w:bCs/>
                <w:color w:val="000000" w:themeColor="text1"/>
              </w:rPr>
            </w:pPr>
            <w:r w:rsidRPr="00D14CD7">
              <w:rPr>
                <w:rFonts w:eastAsia="Times New Roman"/>
                <w:b/>
                <w:bCs/>
                <w:color w:val="000000" w:themeColor="text1"/>
              </w:rPr>
              <w:t>Restaurant Attributes</w:t>
            </w:r>
          </w:p>
        </w:tc>
        <w:tc>
          <w:tcPr>
            <w:tcW w:w="3168" w:type="dxa"/>
            <w:tcBorders>
              <w:top w:val="double" w:sz="4" w:space="0" w:color="auto"/>
              <w:bottom w:val="double" w:sz="4" w:space="0" w:color="auto"/>
              <w:right w:val="double" w:sz="4" w:space="0" w:color="auto"/>
            </w:tcBorders>
            <w:vAlign w:val="center"/>
            <w:hideMark/>
          </w:tcPr>
          <w:p w14:paraId="4F4CDFCB" w14:textId="77777777" w:rsidR="005B6BB0" w:rsidRPr="00D14CD7" w:rsidRDefault="005B6BB0" w:rsidP="00286339">
            <w:pPr>
              <w:jc w:val="left"/>
              <w:rPr>
                <w:rFonts w:eastAsia="Times New Roman"/>
                <w:b/>
                <w:bCs/>
                <w:color w:val="000000" w:themeColor="text1"/>
              </w:rPr>
            </w:pPr>
            <w:r w:rsidRPr="00D14CD7">
              <w:rPr>
                <w:rFonts w:eastAsia="Times New Roman"/>
                <w:b/>
                <w:bCs/>
                <w:color w:val="000000" w:themeColor="text1"/>
              </w:rPr>
              <w:t>Utilitarian/Hedonic Motives</w:t>
            </w:r>
          </w:p>
        </w:tc>
      </w:tr>
      <w:tr w:rsidR="00D14CD7" w:rsidRPr="00D14CD7" w14:paraId="01EE68CC" w14:textId="77777777" w:rsidTr="00970BC6">
        <w:trPr>
          <w:trHeight w:val="346"/>
        </w:trPr>
        <w:tc>
          <w:tcPr>
            <w:tcW w:w="2880" w:type="dxa"/>
            <w:vMerge w:val="restart"/>
            <w:tcBorders>
              <w:top w:val="double" w:sz="4" w:space="0" w:color="auto"/>
              <w:left w:val="double" w:sz="4" w:space="0" w:color="auto"/>
              <w:bottom w:val="double" w:sz="4" w:space="0" w:color="auto"/>
              <w:right w:val="double" w:sz="4" w:space="0" w:color="auto"/>
            </w:tcBorders>
            <w:vAlign w:val="center"/>
            <w:hideMark/>
          </w:tcPr>
          <w:p w14:paraId="4A231F28" w14:textId="77777777" w:rsidR="005B6BB0" w:rsidRPr="00D14CD7" w:rsidRDefault="005B6BB0" w:rsidP="00286339">
            <w:pPr>
              <w:jc w:val="left"/>
              <w:rPr>
                <w:rFonts w:eastAsia="Times New Roman"/>
                <w:color w:val="000000" w:themeColor="text1"/>
              </w:rPr>
            </w:pPr>
            <w:r w:rsidRPr="00D14CD7">
              <w:rPr>
                <w:rFonts w:eastAsia="Times New Roman"/>
                <w:color w:val="000000" w:themeColor="text1"/>
              </w:rPr>
              <w:t>Quick Service (QSR)</w:t>
            </w:r>
          </w:p>
        </w:tc>
        <w:tc>
          <w:tcPr>
            <w:tcW w:w="3168" w:type="dxa"/>
            <w:tcBorders>
              <w:top w:val="double" w:sz="4" w:space="0" w:color="auto"/>
              <w:left w:val="double" w:sz="4" w:space="0" w:color="auto"/>
            </w:tcBorders>
            <w:vAlign w:val="center"/>
            <w:hideMark/>
          </w:tcPr>
          <w:p w14:paraId="406F1FF1" w14:textId="77777777" w:rsidR="005B6BB0" w:rsidRPr="00D14CD7" w:rsidRDefault="005B6BB0" w:rsidP="00286339">
            <w:pPr>
              <w:jc w:val="left"/>
              <w:rPr>
                <w:rFonts w:eastAsia="Times New Roman"/>
                <w:color w:val="000000" w:themeColor="text1"/>
              </w:rPr>
            </w:pPr>
            <w:r w:rsidRPr="00D14CD7">
              <w:rPr>
                <w:rFonts w:eastAsia="Times New Roman"/>
                <w:color w:val="000000" w:themeColor="text1"/>
              </w:rPr>
              <w:t>Fast service</w:t>
            </w:r>
          </w:p>
        </w:tc>
        <w:tc>
          <w:tcPr>
            <w:tcW w:w="3168" w:type="dxa"/>
            <w:tcBorders>
              <w:top w:val="double" w:sz="4" w:space="0" w:color="auto"/>
              <w:right w:val="double" w:sz="4" w:space="0" w:color="auto"/>
            </w:tcBorders>
            <w:vAlign w:val="center"/>
            <w:hideMark/>
          </w:tcPr>
          <w:p w14:paraId="0229354C" w14:textId="77777777" w:rsidR="005B6BB0" w:rsidRPr="00D14CD7" w:rsidRDefault="005B6BB0" w:rsidP="00286339">
            <w:pPr>
              <w:jc w:val="left"/>
              <w:rPr>
                <w:rFonts w:eastAsia="Times New Roman"/>
                <w:color w:val="000000" w:themeColor="text1"/>
              </w:rPr>
            </w:pPr>
            <w:r w:rsidRPr="00D14CD7">
              <w:rPr>
                <w:rFonts w:eastAsia="Times New Roman"/>
                <w:color w:val="000000" w:themeColor="text1"/>
              </w:rPr>
              <w:t>Utilitarian</w:t>
            </w:r>
          </w:p>
        </w:tc>
      </w:tr>
      <w:tr w:rsidR="00D14CD7" w:rsidRPr="00D14CD7" w14:paraId="34C2B9C9" w14:textId="77777777" w:rsidTr="00970BC6">
        <w:trPr>
          <w:trHeight w:val="346"/>
        </w:trPr>
        <w:tc>
          <w:tcPr>
            <w:tcW w:w="2880" w:type="dxa"/>
            <w:vMerge/>
            <w:tcBorders>
              <w:left w:val="double" w:sz="4" w:space="0" w:color="auto"/>
              <w:bottom w:val="double" w:sz="4" w:space="0" w:color="auto"/>
              <w:right w:val="double" w:sz="4" w:space="0" w:color="auto"/>
            </w:tcBorders>
            <w:vAlign w:val="center"/>
            <w:hideMark/>
          </w:tcPr>
          <w:p w14:paraId="323718D4" w14:textId="77777777" w:rsidR="005B6BB0" w:rsidRPr="00D14CD7" w:rsidRDefault="005B6BB0" w:rsidP="00286339">
            <w:pPr>
              <w:jc w:val="left"/>
              <w:rPr>
                <w:rFonts w:eastAsia="Times New Roman"/>
                <w:color w:val="000000" w:themeColor="text1"/>
              </w:rPr>
            </w:pPr>
          </w:p>
        </w:tc>
        <w:tc>
          <w:tcPr>
            <w:tcW w:w="3168" w:type="dxa"/>
            <w:tcBorders>
              <w:left w:val="double" w:sz="4" w:space="0" w:color="auto"/>
            </w:tcBorders>
            <w:vAlign w:val="center"/>
            <w:hideMark/>
          </w:tcPr>
          <w:p w14:paraId="06C048C4" w14:textId="77777777" w:rsidR="005B6BB0" w:rsidRPr="00D14CD7" w:rsidRDefault="005B6BB0" w:rsidP="00286339">
            <w:pPr>
              <w:jc w:val="left"/>
              <w:rPr>
                <w:rFonts w:eastAsia="Times New Roman"/>
                <w:color w:val="000000" w:themeColor="text1"/>
              </w:rPr>
            </w:pPr>
            <w:r w:rsidRPr="00D14CD7">
              <w:rPr>
                <w:rFonts w:eastAsia="Times New Roman"/>
                <w:color w:val="000000" w:themeColor="text1"/>
              </w:rPr>
              <w:t>Low prices</w:t>
            </w:r>
          </w:p>
        </w:tc>
        <w:tc>
          <w:tcPr>
            <w:tcW w:w="3168" w:type="dxa"/>
            <w:tcBorders>
              <w:right w:val="double" w:sz="4" w:space="0" w:color="auto"/>
            </w:tcBorders>
            <w:vAlign w:val="center"/>
            <w:hideMark/>
          </w:tcPr>
          <w:p w14:paraId="19B44B8A" w14:textId="77777777" w:rsidR="005B6BB0" w:rsidRPr="00D14CD7" w:rsidRDefault="005B6BB0" w:rsidP="00286339">
            <w:pPr>
              <w:jc w:val="left"/>
              <w:rPr>
                <w:rFonts w:eastAsia="Times New Roman"/>
                <w:color w:val="000000" w:themeColor="text1"/>
              </w:rPr>
            </w:pPr>
            <w:r w:rsidRPr="00D14CD7">
              <w:rPr>
                <w:rFonts w:eastAsia="Times New Roman"/>
                <w:color w:val="000000" w:themeColor="text1"/>
              </w:rPr>
              <w:t>Utilitarian</w:t>
            </w:r>
          </w:p>
        </w:tc>
      </w:tr>
      <w:tr w:rsidR="00D14CD7" w:rsidRPr="00D14CD7" w14:paraId="3672DE0A" w14:textId="77777777" w:rsidTr="00970BC6">
        <w:trPr>
          <w:trHeight w:val="346"/>
        </w:trPr>
        <w:tc>
          <w:tcPr>
            <w:tcW w:w="2880" w:type="dxa"/>
            <w:vMerge/>
            <w:tcBorders>
              <w:left w:val="double" w:sz="4" w:space="0" w:color="auto"/>
              <w:bottom w:val="double" w:sz="4" w:space="0" w:color="auto"/>
              <w:right w:val="double" w:sz="4" w:space="0" w:color="auto"/>
            </w:tcBorders>
            <w:vAlign w:val="center"/>
            <w:hideMark/>
          </w:tcPr>
          <w:p w14:paraId="2D5E26E4" w14:textId="77777777" w:rsidR="005B6BB0" w:rsidRPr="00D14CD7" w:rsidRDefault="005B6BB0" w:rsidP="00286339">
            <w:pPr>
              <w:jc w:val="left"/>
              <w:rPr>
                <w:rFonts w:eastAsia="Times New Roman"/>
                <w:color w:val="000000" w:themeColor="text1"/>
              </w:rPr>
            </w:pPr>
          </w:p>
        </w:tc>
        <w:tc>
          <w:tcPr>
            <w:tcW w:w="3168" w:type="dxa"/>
            <w:tcBorders>
              <w:left w:val="double" w:sz="4" w:space="0" w:color="auto"/>
            </w:tcBorders>
            <w:vAlign w:val="center"/>
            <w:hideMark/>
          </w:tcPr>
          <w:p w14:paraId="1006CEA0" w14:textId="77777777" w:rsidR="005B6BB0" w:rsidRPr="00D14CD7" w:rsidRDefault="005B6BB0" w:rsidP="00286339">
            <w:pPr>
              <w:jc w:val="left"/>
              <w:rPr>
                <w:rFonts w:eastAsia="Times New Roman"/>
                <w:color w:val="000000" w:themeColor="text1"/>
              </w:rPr>
            </w:pPr>
            <w:r w:rsidRPr="00D14CD7">
              <w:rPr>
                <w:rFonts w:eastAsia="Times New Roman"/>
                <w:color w:val="000000" w:themeColor="text1"/>
              </w:rPr>
              <w:t>Convenience</w:t>
            </w:r>
          </w:p>
        </w:tc>
        <w:tc>
          <w:tcPr>
            <w:tcW w:w="3168" w:type="dxa"/>
            <w:tcBorders>
              <w:right w:val="double" w:sz="4" w:space="0" w:color="auto"/>
            </w:tcBorders>
            <w:vAlign w:val="center"/>
            <w:hideMark/>
          </w:tcPr>
          <w:p w14:paraId="703182C6" w14:textId="77777777" w:rsidR="005B6BB0" w:rsidRPr="00D14CD7" w:rsidRDefault="005B6BB0" w:rsidP="00286339">
            <w:pPr>
              <w:jc w:val="left"/>
              <w:rPr>
                <w:rFonts w:eastAsia="Times New Roman"/>
                <w:color w:val="000000" w:themeColor="text1"/>
              </w:rPr>
            </w:pPr>
            <w:r w:rsidRPr="00D14CD7">
              <w:rPr>
                <w:rFonts w:eastAsia="Times New Roman"/>
                <w:color w:val="000000" w:themeColor="text1"/>
              </w:rPr>
              <w:t>Utilitarian</w:t>
            </w:r>
          </w:p>
        </w:tc>
      </w:tr>
      <w:tr w:rsidR="00D14CD7" w:rsidRPr="00D14CD7" w14:paraId="0B71128D" w14:textId="77777777" w:rsidTr="00970BC6">
        <w:trPr>
          <w:trHeight w:val="346"/>
        </w:trPr>
        <w:tc>
          <w:tcPr>
            <w:tcW w:w="2880" w:type="dxa"/>
            <w:vMerge/>
            <w:tcBorders>
              <w:left w:val="double" w:sz="4" w:space="0" w:color="auto"/>
              <w:bottom w:val="single" w:sz="12" w:space="0" w:color="auto"/>
              <w:right w:val="double" w:sz="4" w:space="0" w:color="auto"/>
            </w:tcBorders>
            <w:vAlign w:val="center"/>
            <w:hideMark/>
          </w:tcPr>
          <w:p w14:paraId="6FBD0610" w14:textId="77777777" w:rsidR="005B6BB0" w:rsidRPr="00D14CD7" w:rsidRDefault="005B6BB0" w:rsidP="00286339">
            <w:pPr>
              <w:jc w:val="left"/>
              <w:rPr>
                <w:rFonts w:eastAsia="Times New Roman"/>
                <w:color w:val="000000" w:themeColor="text1"/>
              </w:rPr>
            </w:pPr>
          </w:p>
        </w:tc>
        <w:tc>
          <w:tcPr>
            <w:tcW w:w="3168" w:type="dxa"/>
            <w:tcBorders>
              <w:left w:val="double" w:sz="4" w:space="0" w:color="auto"/>
              <w:bottom w:val="single" w:sz="12" w:space="0" w:color="auto"/>
            </w:tcBorders>
            <w:vAlign w:val="center"/>
            <w:hideMark/>
          </w:tcPr>
          <w:p w14:paraId="419E8B40" w14:textId="77777777" w:rsidR="005B6BB0" w:rsidRPr="00D14CD7" w:rsidRDefault="005B6BB0" w:rsidP="00286339">
            <w:pPr>
              <w:jc w:val="left"/>
              <w:rPr>
                <w:rFonts w:eastAsia="Times New Roman"/>
                <w:color w:val="000000" w:themeColor="text1"/>
              </w:rPr>
            </w:pPr>
            <w:r w:rsidRPr="00D14CD7">
              <w:rPr>
                <w:rFonts w:eastAsia="Times New Roman"/>
                <w:color w:val="000000" w:themeColor="text1"/>
              </w:rPr>
              <w:t>Limited menu options</w:t>
            </w:r>
          </w:p>
        </w:tc>
        <w:tc>
          <w:tcPr>
            <w:tcW w:w="3168" w:type="dxa"/>
            <w:tcBorders>
              <w:bottom w:val="single" w:sz="12" w:space="0" w:color="auto"/>
              <w:right w:val="double" w:sz="4" w:space="0" w:color="auto"/>
            </w:tcBorders>
            <w:vAlign w:val="center"/>
            <w:hideMark/>
          </w:tcPr>
          <w:p w14:paraId="7A50DE67" w14:textId="77777777" w:rsidR="005B6BB0" w:rsidRPr="00D14CD7" w:rsidRDefault="005B6BB0" w:rsidP="00286339">
            <w:pPr>
              <w:jc w:val="left"/>
              <w:rPr>
                <w:rFonts w:eastAsia="Times New Roman"/>
                <w:color w:val="000000" w:themeColor="text1"/>
              </w:rPr>
            </w:pPr>
            <w:r w:rsidRPr="00D14CD7">
              <w:rPr>
                <w:rFonts w:eastAsia="Times New Roman"/>
                <w:color w:val="000000" w:themeColor="text1"/>
              </w:rPr>
              <w:t>Utilitarian</w:t>
            </w:r>
          </w:p>
        </w:tc>
      </w:tr>
      <w:tr w:rsidR="00D14CD7" w:rsidRPr="00D14CD7" w14:paraId="599010C8" w14:textId="77777777" w:rsidTr="00970BC6">
        <w:trPr>
          <w:trHeight w:val="346"/>
        </w:trPr>
        <w:tc>
          <w:tcPr>
            <w:tcW w:w="2880" w:type="dxa"/>
            <w:vMerge w:val="restart"/>
            <w:tcBorders>
              <w:top w:val="single" w:sz="12" w:space="0" w:color="auto"/>
              <w:left w:val="double" w:sz="4" w:space="0" w:color="auto"/>
              <w:right w:val="double" w:sz="4" w:space="0" w:color="auto"/>
            </w:tcBorders>
            <w:vAlign w:val="center"/>
            <w:hideMark/>
          </w:tcPr>
          <w:p w14:paraId="0BE16BE4" w14:textId="77777777" w:rsidR="005B6BB0" w:rsidRPr="00D14CD7" w:rsidRDefault="005B6BB0" w:rsidP="00286339">
            <w:pPr>
              <w:jc w:val="left"/>
              <w:rPr>
                <w:rFonts w:eastAsia="Times New Roman"/>
                <w:color w:val="000000" w:themeColor="text1"/>
              </w:rPr>
            </w:pPr>
            <w:r w:rsidRPr="00D14CD7">
              <w:rPr>
                <w:rFonts w:eastAsia="Times New Roman"/>
                <w:color w:val="000000" w:themeColor="text1"/>
              </w:rPr>
              <w:t>Casual Service (CSR)</w:t>
            </w:r>
          </w:p>
        </w:tc>
        <w:tc>
          <w:tcPr>
            <w:tcW w:w="3168" w:type="dxa"/>
            <w:tcBorders>
              <w:top w:val="single" w:sz="12" w:space="0" w:color="auto"/>
              <w:left w:val="double" w:sz="4" w:space="0" w:color="auto"/>
            </w:tcBorders>
            <w:vAlign w:val="center"/>
            <w:hideMark/>
          </w:tcPr>
          <w:p w14:paraId="61F4B3F0" w14:textId="77777777" w:rsidR="005B6BB0" w:rsidRPr="00D14CD7" w:rsidRDefault="005B6BB0" w:rsidP="00286339">
            <w:pPr>
              <w:jc w:val="left"/>
              <w:rPr>
                <w:rFonts w:eastAsia="Times New Roman"/>
                <w:color w:val="000000" w:themeColor="text1"/>
              </w:rPr>
            </w:pPr>
            <w:r w:rsidRPr="00D14CD7">
              <w:rPr>
                <w:rFonts w:eastAsia="Times New Roman"/>
                <w:color w:val="000000" w:themeColor="text1"/>
              </w:rPr>
              <w:t>Good value</w:t>
            </w:r>
          </w:p>
        </w:tc>
        <w:tc>
          <w:tcPr>
            <w:tcW w:w="3168" w:type="dxa"/>
            <w:tcBorders>
              <w:top w:val="single" w:sz="12" w:space="0" w:color="auto"/>
              <w:right w:val="double" w:sz="4" w:space="0" w:color="auto"/>
            </w:tcBorders>
            <w:vAlign w:val="center"/>
            <w:hideMark/>
          </w:tcPr>
          <w:p w14:paraId="03A7DB2D" w14:textId="77777777" w:rsidR="005B6BB0" w:rsidRPr="00D14CD7" w:rsidRDefault="005B6BB0" w:rsidP="00286339">
            <w:pPr>
              <w:jc w:val="left"/>
              <w:rPr>
                <w:rFonts w:eastAsia="Times New Roman"/>
                <w:color w:val="000000" w:themeColor="text1"/>
              </w:rPr>
            </w:pPr>
            <w:r w:rsidRPr="00D14CD7">
              <w:rPr>
                <w:rFonts w:eastAsia="Times New Roman"/>
                <w:color w:val="000000" w:themeColor="text1"/>
              </w:rPr>
              <w:t>Utilitarian/Hedonic</w:t>
            </w:r>
          </w:p>
        </w:tc>
      </w:tr>
      <w:tr w:rsidR="00D14CD7" w:rsidRPr="00D14CD7" w14:paraId="7EED11A1" w14:textId="77777777" w:rsidTr="00970BC6">
        <w:trPr>
          <w:trHeight w:val="346"/>
        </w:trPr>
        <w:tc>
          <w:tcPr>
            <w:tcW w:w="2880" w:type="dxa"/>
            <w:vMerge/>
            <w:tcBorders>
              <w:left w:val="double" w:sz="4" w:space="0" w:color="auto"/>
              <w:right w:val="double" w:sz="4" w:space="0" w:color="auto"/>
            </w:tcBorders>
            <w:vAlign w:val="center"/>
            <w:hideMark/>
          </w:tcPr>
          <w:p w14:paraId="06E0B4C8" w14:textId="77777777" w:rsidR="005B6BB0" w:rsidRPr="00D14CD7" w:rsidRDefault="005B6BB0" w:rsidP="00286339">
            <w:pPr>
              <w:jc w:val="left"/>
              <w:rPr>
                <w:rFonts w:eastAsia="Times New Roman"/>
                <w:color w:val="000000" w:themeColor="text1"/>
              </w:rPr>
            </w:pPr>
          </w:p>
        </w:tc>
        <w:tc>
          <w:tcPr>
            <w:tcW w:w="3168" w:type="dxa"/>
            <w:tcBorders>
              <w:left w:val="double" w:sz="4" w:space="0" w:color="auto"/>
            </w:tcBorders>
            <w:vAlign w:val="center"/>
            <w:hideMark/>
          </w:tcPr>
          <w:p w14:paraId="75841440" w14:textId="77777777" w:rsidR="005B6BB0" w:rsidRPr="00D14CD7" w:rsidRDefault="005B6BB0" w:rsidP="00286339">
            <w:pPr>
              <w:jc w:val="left"/>
              <w:rPr>
                <w:rFonts w:eastAsia="Times New Roman"/>
                <w:color w:val="000000" w:themeColor="text1"/>
              </w:rPr>
            </w:pPr>
            <w:r w:rsidRPr="00D14CD7">
              <w:rPr>
                <w:rFonts w:eastAsia="Times New Roman"/>
                <w:color w:val="000000" w:themeColor="text1"/>
              </w:rPr>
              <w:t>Variety of menu items</w:t>
            </w:r>
          </w:p>
        </w:tc>
        <w:tc>
          <w:tcPr>
            <w:tcW w:w="3168" w:type="dxa"/>
            <w:tcBorders>
              <w:right w:val="double" w:sz="4" w:space="0" w:color="auto"/>
            </w:tcBorders>
            <w:vAlign w:val="center"/>
            <w:hideMark/>
          </w:tcPr>
          <w:p w14:paraId="6709D2E9" w14:textId="77777777" w:rsidR="005B6BB0" w:rsidRPr="00D14CD7" w:rsidRDefault="005B6BB0" w:rsidP="00286339">
            <w:pPr>
              <w:jc w:val="left"/>
              <w:rPr>
                <w:rFonts w:eastAsia="Times New Roman"/>
                <w:color w:val="000000" w:themeColor="text1"/>
              </w:rPr>
            </w:pPr>
            <w:r w:rsidRPr="00D14CD7">
              <w:rPr>
                <w:rFonts w:eastAsia="Times New Roman"/>
                <w:color w:val="000000" w:themeColor="text1"/>
              </w:rPr>
              <w:t>Utilitarian/Hedonic</w:t>
            </w:r>
          </w:p>
        </w:tc>
      </w:tr>
      <w:tr w:rsidR="00D14CD7" w:rsidRPr="00D14CD7" w14:paraId="64945B6E" w14:textId="77777777" w:rsidTr="00970BC6">
        <w:trPr>
          <w:trHeight w:val="346"/>
        </w:trPr>
        <w:tc>
          <w:tcPr>
            <w:tcW w:w="2880" w:type="dxa"/>
            <w:vMerge/>
            <w:tcBorders>
              <w:left w:val="double" w:sz="4" w:space="0" w:color="auto"/>
              <w:right w:val="double" w:sz="4" w:space="0" w:color="auto"/>
            </w:tcBorders>
            <w:vAlign w:val="center"/>
            <w:hideMark/>
          </w:tcPr>
          <w:p w14:paraId="67CA3749" w14:textId="77777777" w:rsidR="005B6BB0" w:rsidRPr="00D14CD7" w:rsidRDefault="005B6BB0" w:rsidP="00286339">
            <w:pPr>
              <w:jc w:val="left"/>
              <w:rPr>
                <w:rFonts w:eastAsia="Times New Roman"/>
                <w:color w:val="000000" w:themeColor="text1"/>
              </w:rPr>
            </w:pPr>
          </w:p>
        </w:tc>
        <w:tc>
          <w:tcPr>
            <w:tcW w:w="3168" w:type="dxa"/>
            <w:tcBorders>
              <w:left w:val="double" w:sz="4" w:space="0" w:color="auto"/>
            </w:tcBorders>
            <w:vAlign w:val="center"/>
            <w:hideMark/>
          </w:tcPr>
          <w:p w14:paraId="53B7D7A4" w14:textId="77777777" w:rsidR="005B6BB0" w:rsidRPr="00D14CD7" w:rsidRDefault="005B6BB0" w:rsidP="00286339">
            <w:pPr>
              <w:jc w:val="left"/>
              <w:rPr>
                <w:rFonts w:eastAsia="Times New Roman"/>
                <w:color w:val="000000" w:themeColor="text1"/>
              </w:rPr>
            </w:pPr>
            <w:r w:rsidRPr="00D14CD7">
              <w:rPr>
                <w:rFonts w:eastAsia="Times New Roman"/>
                <w:color w:val="000000" w:themeColor="text1"/>
              </w:rPr>
              <w:t>Relaxed atmosphere</w:t>
            </w:r>
          </w:p>
        </w:tc>
        <w:tc>
          <w:tcPr>
            <w:tcW w:w="3168" w:type="dxa"/>
            <w:tcBorders>
              <w:right w:val="double" w:sz="4" w:space="0" w:color="auto"/>
            </w:tcBorders>
            <w:vAlign w:val="center"/>
            <w:hideMark/>
          </w:tcPr>
          <w:p w14:paraId="4ED88C8A" w14:textId="77777777" w:rsidR="005B6BB0" w:rsidRPr="00D14CD7" w:rsidRDefault="005B6BB0" w:rsidP="00286339">
            <w:pPr>
              <w:jc w:val="left"/>
              <w:rPr>
                <w:rFonts w:eastAsia="Times New Roman"/>
                <w:color w:val="000000" w:themeColor="text1"/>
              </w:rPr>
            </w:pPr>
            <w:r w:rsidRPr="00D14CD7">
              <w:rPr>
                <w:rFonts w:eastAsia="Times New Roman"/>
                <w:color w:val="000000" w:themeColor="text1"/>
              </w:rPr>
              <w:t>Hedonic</w:t>
            </w:r>
          </w:p>
        </w:tc>
      </w:tr>
      <w:tr w:rsidR="00D14CD7" w:rsidRPr="00D14CD7" w14:paraId="51B333EB" w14:textId="77777777" w:rsidTr="00970BC6">
        <w:trPr>
          <w:trHeight w:val="346"/>
        </w:trPr>
        <w:tc>
          <w:tcPr>
            <w:tcW w:w="2880" w:type="dxa"/>
            <w:vMerge/>
            <w:tcBorders>
              <w:left w:val="double" w:sz="4" w:space="0" w:color="auto"/>
              <w:right w:val="double" w:sz="4" w:space="0" w:color="auto"/>
            </w:tcBorders>
            <w:vAlign w:val="center"/>
            <w:hideMark/>
          </w:tcPr>
          <w:p w14:paraId="2A8467E0" w14:textId="77777777" w:rsidR="005B6BB0" w:rsidRPr="00D14CD7" w:rsidRDefault="005B6BB0" w:rsidP="00286339">
            <w:pPr>
              <w:jc w:val="left"/>
              <w:rPr>
                <w:rFonts w:eastAsia="Times New Roman"/>
                <w:color w:val="000000" w:themeColor="text1"/>
              </w:rPr>
            </w:pPr>
          </w:p>
        </w:tc>
        <w:tc>
          <w:tcPr>
            <w:tcW w:w="3168" w:type="dxa"/>
            <w:tcBorders>
              <w:left w:val="double" w:sz="4" w:space="0" w:color="auto"/>
              <w:bottom w:val="single" w:sz="12" w:space="0" w:color="auto"/>
            </w:tcBorders>
            <w:vAlign w:val="center"/>
            <w:hideMark/>
          </w:tcPr>
          <w:p w14:paraId="3491B8D8" w14:textId="77777777" w:rsidR="005B6BB0" w:rsidRPr="00D14CD7" w:rsidRDefault="005B6BB0" w:rsidP="00286339">
            <w:pPr>
              <w:jc w:val="left"/>
              <w:rPr>
                <w:rFonts w:eastAsia="Times New Roman"/>
                <w:color w:val="000000" w:themeColor="text1"/>
              </w:rPr>
            </w:pPr>
            <w:r w:rsidRPr="00D14CD7">
              <w:rPr>
                <w:rFonts w:eastAsia="Times New Roman"/>
                <w:color w:val="000000" w:themeColor="text1"/>
              </w:rPr>
              <w:t>Good service</w:t>
            </w:r>
          </w:p>
        </w:tc>
        <w:tc>
          <w:tcPr>
            <w:tcW w:w="3168" w:type="dxa"/>
            <w:tcBorders>
              <w:bottom w:val="single" w:sz="12" w:space="0" w:color="auto"/>
              <w:right w:val="double" w:sz="4" w:space="0" w:color="auto"/>
            </w:tcBorders>
            <w:vAlign w:val="center"/>
            <w:hideMark/>
          </w:tcPr>
          <w:p w14:paraId="556D0059" w14:textId="77777777" w:rsidR="005B6BB0" w:rsidRPr="00D14CD7" w:rsidRDefault="005B6BB0" w:rsidP="00286339">
            <w:pPr>
              <w:jc w:val="left"/>
              <w:rPr>
                <w:rFonts w:eastAsia="Times New Roman"/>
                <w:color w:val="000000" w:themeColor="text1"/>
              </w:rPr>
            </w:pPr>
            <w:r w:rsidRPr="00D14CD7">
              <w:rPr>
                <w:rFonts w:eastAsia="Times New Roman"/>
                <w:color w:val="000000" w:themeColor="text1"/>
              </w:rPr>
              <w:t>Utilitarian/Hedonic</w:t>
            </w:r>
          </w:p>
        </w:tc>
      </w:tr>
      <w:tr w:rsidR="00D14CD7" w:rsidRPr="00D14CD7" w14:paraId="72EA6711" w14:textId="77777777" w:rsidTr="00970BC6">
        <w:trPr>
          <w:trHeight w:val="346"/>
        </w:trPr>
        <w:tc>
          <w:tcPr>
            <w:tcW w:w="2880" w:type="dxa"/>
            <w:vMerge w:val="restart"/>
            <w:tcBorders>
              <w:top w:val="single" w:sz="12" w:space="0" w:color="auto"/>
              <w:left w:val="double" w:sz="4" w:space="0" w:color="auto"/>
              <w:right w:val="double" w:sz="4" w:space="0" w:color="auto"/>
            </w:tcBorders>
            <w:vAlign w:val="center"/>
            <w:hideMark/>
          </w:tcPr>
          <w:p w14:paraId="62DB9330" w14:textId="77777777" w:rsidR="005B6BB0" w:rsidRPr="00D14CD7" w:rsidRDefault="005B6BB0" w:rsidP="00286339">
            <w:pPr>
              <w:jc w:val="left"/>
              <w:rPr>
                <w:rFonts w:eastAsia="Times New Roman"/>
                <w:color w:val="000000" w:themeColor="text1"/>
              </w:rPr>
            </w:pPr>
            <w:r w:rsidRPr="00D14CD7">
              <w:rPr>
                <w:rFonts w:eastAsia="Times New Roman"/>
                <w:color w:val="000000" w:themeColor="text1"/>
              </w:rPr>
              <w:t>Full Service (FSR)</w:t>
            </w:r>
          </w:p>
        </w:tc>
        <w:tc>
          <w:tcPr>
            <w:tcW w:w="3168" w:type="dxa"/>
            <w:tcBorders>
              <w:top w:val="single" w:sz="12" w:space="0" w:color="auto"/>
              <w:left w:val="double" w:sz="4" w:space="0" w:color="auto"/>
            </w:tcBorders>
            <w:vAlign w:val="center"/>
            <w:hideMark/>
          </w:tcPr>
          <w:p w14:paraId="1CAA89F5" w14:textId="77777777" w:rsidR="005B6BB0" w:rsidRPr="00D14CD7" w:rsidRDefault="005B6BB0" w:rsidP="00286339">
            <w:pPr>
              <w:jc w:val="left"/>
              <w:rPr>
                <w:rFonts w:eastAsia="Times New Roman"/>
                <w:color w:val="000000" w:themeColor="text1"/>
              </w:rPr>
            </w:pPr>
            <w:r w:rsidRPr="00D14CD7">
              <w:rPr>
                <w:rFonts w:eastAsia="Times New Roman"/>
                <w:color w:val="000000" w:themeColor="text1"/>
              </w:rPr>
              <w:t>High-end cuisine</w:t>
            </w:r>
          </w:p>
        </w:tc>
        <w:tc>
          <w:tcPr>
            <w:tcW w:w="3168" w:type="dxa"/>
            <w:tcBorders>
              <w:top w:val="single" w:sz="12" w:space="0" w:color="auto"/>
              <w:right w:val="double" w:sz="4" w:space="0" w:color="auto"/>
            </w:tcBorders>
            <w:vAlign w:val="center"/>
            <w:hideMark/>
          </w:tcPr>
          <w:p w14:paraId="557B3699" w14:textId="77777777" w:rsidR="005B6BB0" w:rsidRPr="00D14CD7" w:rsidRDefault="005B6BB0" w:rsidP="00286339">
            <w:pPr>
              <w:jc w:val="left"/>
              <w:rPr>
                <w:rFonts w:eastAsia="Times New Roman"/>
                <w:color w:val="000000" w:themeColor="text1"/>
              </w:rPr>
            </w:pPr>
            <w:r w:rsidRPr="00D14CD7">
              <w:rPr>
                <w:rFonts w:eastAsia="Times New Roman"/>
                <w:color w:val="000000" w:themeColor="text1"/>
              </w:rPr>
              <w:t>Hedonic</w:t>
            </w:r>
          </w:p>
        </w:tc>
      </w:tr>
      <w:tr w:rsidR="00D14CD7" w:rsidRPr="00D14CD7" w14:paraId="55D211FD" w14:textId="77777777" w:rsidTr="00970BC6">
        <w:trPr>
          <w:trHeight w:val="346"/>
        </w:trPr>
        <w:tc>
          <w:tcPr>
            <w:tcW w:w="2880" w:type="dxa"/>
            <w:vMerge/>
            <w:tcBorders>
              <w:left w:val="double" w:sz="4" w:space="0" w:color="auto"/>
              <w:right w:val="double" w:sz="4" w:space="0" w:color="auto"/>
            </w:tcBorders>
            <w:hideMark/>
          </w:tcPr>
          <w:p w14:paraId="2580EF10" w14:textId="77777777" w:rsidR="005B6BB0" w:rsidRPr="00D14CD7" w:rsidRDefault="005B6BB0" w:rsidP="00286339">
            <w:pPr>
              <w:jc w:val="left"/>
              <w:rPr>
                <w:rFonts w:eastAsia="Times New Roman"/>
                <w:color w:val="000000" w:themeColor="text1"/>
              </w:rPr>
            </w:pPr>
          </w:p>
        </w:tc>
        <w:tc>
          <w:tcPr>
            <w:tcW w:w="3168" w:type="dxa"/>
            <w:tcBorders>
              <w:left w:val="double" w:sz="4" w:space="0" w:color="auto"/>
            </w:tcBorders>
            <w:vAlign w:val="center"/>
            <w:hideMark/>
          </w:tcPr>
          <w:p w14:paraId="5E600444" w14:textId="77777777" w:rsidR="005B6BB0" w:rsidRPr="00D14CD7" w:rsidRDefault="005B6BB0" w:rsidP="00286339">
            <w:pPr>
              <w:jc w:val="left"/>
              <w:rPr>
                <w:rFonts w:eastAsia="Times New Roman"/>
                <w:color w:val="000000" w:themeColor="text1"/>
              </w:rPr>
            </w:pPr>
            <w:r w:rsidRPr="00D14CD7">
              <w:rPr>
                <w:rFonts w:eastAsia="Times New Roman"/>
                <w:color w:val="000000" w:themeColor="text1"/>
              </w:rPr>
              <w:t>Luxurious atmosphere</w:t>
            </w:r>
          </w:p>
        </w:tc>
        <w:tc>
          <w:tcPr>
            <w:tcW w:w="3168" w:type="dxa"/>
            <w:tcBorders>
              <w:right w:val="double" w:sz="4" w:space="0" w:color="auto"/>
            </w:tcBorders>
            <w:vAlign w:val="center"/>
            <w:hideMark/>
          </w:tcPr>
          <w:p w14:paraId="24907B2C" w14:textId="77777777" w:rsidR="005B6BB0" w:rsidRPr="00D14CD7" w:rsidRDefault="005B6BB0" w:rsidP="00286339">
            <w:pPr>
              <w:jc w:val="left"/>
              <w:rPr>
                <w:rFonts w:eastAsia="Times New Roman"/>
                <w:color w:val="000000" w:themeColor="text1"/>
              </w:rPr>
            </w:pPr>
            <w:r w:rsidRPr="00D14CD7">
              <w:rPr>
                <w:rFonts w:eastAsia="Times New Roman"/>
                <w:color w:val="000000" w:themeColor="text1"/>
              </w:rPr>
              <w:t>Hedonic</w:t>
            </w:r>
          </w:p>
        </w:tc>
      </w:tr>
      <w:tr w:rsidR="00D14CD7" w:rsidRPr="00D14CD7" w14:paraId="67924CC4" w14:textId="77777777" w:rsidTr="00970BC6">
        <w:trPr>
          <w:trHeight w:val="346"/>
        </w:trPr>
        <w:tc>
          <w:tcPr>
            <w:tcW w:w="2880" w:type="dxa"/>
            <w:vMerge/>
            <w:tcBorders>
              <w:left w:val="double" w:sz="4" w:space="0" w:color="auto"/>
              <w:right w:val="double" w:sz="4" w:space="0" w:color="auto"/>
            </w:tcBorders>
            <w:hideMark/>
          </w:tcPr>
          <w:p w14:paraId="7708E9ED" w14:textId="77777777" w:rsidR="005B6BB0" w:rsidRPr="00D14CD7" w:rsidRDefault="005B6BB0" w:rsidP="00286339">
            <w:pPr>
              <w:jc w:val="left"/>
              <w:rPr>
                <w:rFonts w:eastAsia="Times New Roman"/>
                <w:color w:val="000000" w:themeColor="text1"/>
              </w:rPr>
            </w:pPr>
          </w:p>
        </w:tc>
        <w:tc>
          <w:tcPr>
            <w:tcW w:w="3168" w:type="dxa"/>
            <w:tcBorders>
              <w:left w:val="double" w:sz="4" w:space="0" w:color="auto"/>
            </w:tcBorders>
            <w:vAlign w:val="center"/>
            <w:hideMark/>
          </w:tcPr>
          <w:p w14:paraId="2C033331" w14:textId="77777777" w:rsidR="005B6BB0" w:rsidRPr="00D14CD7" w:rsidRDefault="005B6BB0" w:rsidP="00286339">
            <w:pPr>
              <w:jc w:val="left"/>
              <w:rPr>
                <w:rFonts w:eastAsia="Times New Roman"/>
                <w:color w:val="000000" w:themeColor="text1"/>
              </w:rPr>
            </w:pPr>
            <w:r w:rsidRPr="00D14CD7">
              <w:rPr>
                <w:rFonts w:eastAsia="Times New Roman"/>
                <w:color w:val="000000" w:themeColor="text1"/>
              </w:rPr>
              <w:t>High-quality service</w:t>
            </w:r>
          </w:p>
        </w:tc>
        <w:tc>
          <w:tcPr>
            <w:tcW w:w="3168" w:type="dxa"/>
            <w:tcBorders>
              <w:right w:val="double" w:sz="4" w:space="0" w:color="auto"/>
            </w:tcBorders>
            <w:vAlign w:val="center"/>
            <w:hideMark/>
          </w:tcPr>
          <w:p w14:paraId="11CFAFA7" w14:textId="77777777" w:rsidR="005B6BB0" w:rsidRPr="00D14CD7" w:rsidRDefault="005B6BB0" w:rsidP="00286339">
            <w:pPr>
              <w:jc w:val="left"/>
              <w:rPr>
                <w:rFonts w:eastAsia="Times New Roman"/>
                <w:color w:val="000000" w:themeColor="text1"/>
              </w:rPr>
            </w:pPr>
            <w:r w:rsidRPr="00D14CD7">
              <w:rPr>
                <w:rFonts w:eastAsia="Times New Roman"/>
                <w:color w:val="000000" w:themeColor="text1"/>
              </w:rPr>
              <w:t>Hedonic/Utilitarian</w:t>
            </w:r>
          </w:p>
        </w:tc>
      </w:tr>
      <w:tr w:rsidR="005B6BB0" w:rsidRPr="00D14CD7" w14:paraId="19CAF810" w14:textId="77777777" w:rsidTr="00970BC6">
        <w:trPr>
          <w:trHeight w:val="346"/>
        </w:trPr>
        <w:tc>
          <w:tcPr>
            <w:tcW w:w="2880" w:type="dxa"/>
            <w:vMerge/>
            <w:tcBorders>
              <w:left w:val="double" w:sz="4" w:space="0" w:color="auto"/>
              <w:bottom w:val="double" w:sz="4" w:space="0" w:color="auto"/>
              <w:right w:val="double" w:sz="4" w:space="0" w:color="auto"/>
            </w:tcBorders>
            <w:hideMark/>
          </w:tcPr>
          <w:p w14:paraId="7297F6C2" w14:textId="77777777" w:rsidR="005B6BB0" w:rsidRPr="00D14CD7" w:rsidRDefault="005B6BB0" w:rsidP="00286339">
            <w:pPr>
              <w:jc w:val="left"/>
              <w:rPr>
                <w:rFonts w:eastAsia="Times New Roman"/>
                <w:color w:val="000000" w:themeColor="text1"/>
              </w:rPr>
            </w:pPr>
          </w:p>
        </w:tc>
        <w:tc>
          <w:tcPr>
            <w:tcW w:w="3168" w:type="dxa"/>
            <w:tcBorders>
              <w:left w:val="double" w:sz="4" w:space="0" w:color="auto"/>
              <w:bottom w:val="double" w:sz="4" w:space="0" w:color="auto"/>
            </w:tcBorders>
            <w:vAlign w:val="center"/>
            <w:hideMark/>
          </w:tcPr>
          <w:p w14:paraId="4AE25E79" w14:textId="77777777" w:rsidR="005B6BB0" w:rsidRPr="00D14CD7" w:rsidRDefault="005B6BB0" w:rsidP="00286339">
            <w:pPr>
              <w:jc w:val="left"/>
              <w:rPr>
                <w:rFonts w:eastAsia="Times New Roman"/>
                <w:color w:val="000000" w:themeColor="text1"/>
              </w:rPr>
            </w:pPr>
            <w:r w:rsidRPr="00D14CD7">
              <w:rPr>
                <w:rFonts w:eastAsia="Times New Roman"/>
                <w:color w:val="000000" w:themeColor="text1"/>
              </w:rPr>
              <w:t>Extensive wine list</w:t>
            </w:r>
          </w:p>
        </w:tc>
        <w:tc>
          <w:tcPr>
            <w:tcW w:w="3168" w:type="dxa"/>
            <w:tcBorders>
              <w:bottom w:val="double" w:sz="4" w:space="0" w:color="auto"/>
              <w:right w:val="double" w:sz="4" w:space="0" w:color="auto"/>
            </w:tcBorders>
            <w:vAlign w:val="center"/>
            <w:hideMark/>
          </w:tcPr>
          <w:p w14:paraId="694F144F" w14:textId="77777777" w:rsidR="005B6BB0" w:rsidRPr="00D14CD7" w:rsidRDefault="005B6BB0" w:rsidP="00286339">
            <w:pPr>
              <w:jc w:val="left"/>
              <w:rPr>
                <w:rFonts w:eastAsia="Times New Roman"/>
                <w:color w:val="000000" w:themeColor="text1"/>
              </w:rPr>
            </w:pPr>
            <w:r w:rsidRPr="00D14CD7">
              <w:rPr>
                <w:rFonts w:eastAsia="Times New Roman"/>
                <w:color w:val="000000" w:themeColor="text1"/>
              </w:rPr>
              <w:t>Hedonic</w:t>
            </w:r>
          </w:p>
        </w:tc>
      </w:tr>
    </w:tbl>
    <w:p w14:paraId="1A9B3DBB" w14:textId="1224C9CE" w:rsidR="005B6BB0" w:rsidRDefault="005B6BB0" w:rsidP="005B6BB0">
      <w:pPr>
        <w:rPr>
          <w:color w:val="000000" w:themeColor="text1"/>
        </w:rPr>
      </w:pPr>
    </w:p>
    <w:p w14:paraId="08A65810" w14:textId="77777777" w:rsidR="00970BC6" w:rsidRPr="00D14CD7" w:rsidRDefault="00970BC6" w:rsidP="005B6BB0">
      <w:pPr>
        <w:rPr>
          <w:color w:val="000000" w:themeColor="text1"/>
        </w:rPr>
      </w:pPr>
    </w:p>
    <w:p w14:paraId="13B7027E" w14:textId="7211519C" w:rsidR="00F030EF" w:rsidRPr="00D14CD7" w:rsidRDefault="009B10A8" w:rsidP="00630A69">
      <w:pPr>
        <w:spacing w:after="120"/>
        <w:rPr>
          <w:b/>
          <w:bCs/>
          <w:color w:val="000000" w:themeColor="text1"/>
        </w:rPr>
      </w:pPr>
      <w:bookmarkStart w:id="62" w:name="_Hlk171343444"/>
      <w:r w:rsidRPr="00D14CD7">
        <w:rPr>
          <w:b/>
          <w:bCs/>
          <w:color w:val="000000" w:themeColor="text1"/>
        </w:rPr>
        <w:t>Table 2. The relationship between the frequency of monthly weekday dinner eat-outs and the distribution to different restaurant segments</w:t>
      </w:r>
    </w:p>
    <w:tbl>
      <w:tblPr>
        <w:tblW w:w="7890" w:type="dxa"/>
        <w:tblBorders>
          <w:top w:val="double" w:sz="4" w:space="0" w:color="auto"/>
          <w:left w:val="double" w:sz="4" w:space="0" w:color="auto"/>
          <w:bottom w:val="double" w:sz="4" w:space="0" w:color="auto"/>
          <w:right w:val="double" w:sz="4" w:space="0" w:color="auto"/>
        </w:tblBorders>
        <w:tblLayout w:type="fixed"/>
        <w:tblLook w:val="04A0" w:firstRow="1" w:lastRow="0" w:firstColumn="1" w:lastColumn="0" w:noHBand="0" w:noVBand="1"/>
      </w:tblPr>
      <w:tblGrid>
        <w:gridCol w:w="1728"/>
        <w:gridCol w:w="1440"/>
        <w:gridCol w:w="1180"/>
        <w:gridCol w:w="1181"/>
        <w:gridCol w:w="1180"/>
        <w:gridCol w:w="1181"/>
      </w:tblGrid>
      <w:tr w:rsidR="00D14CD7" w:rsidRPr="00D14CD7" w14:paraId="00B972E8" w14:textId="77777777" w:rsidTr="00A74F7E">
        <w:trPr>
          <w:trHeight w:val="366"/>
        </w:trPr>
        <w:tc>
          <w:tcPr>
            <w:tcW w:w="1728" w:type="dxa"/>
            <w:vMerge w:val="restart"/>
            <w:tcBorders>
              <w:top w:val="double" w:sz="4" w:space="0" w:color="auto"/>
              <w:right w:val="double" w:sz="4" w:space="0" w:color="auto"/>
            </w:tcBorders>
            <w:shd w:val="clear" w:color="auto" w:fill="auto"/>
            <w:noWrap/>
            <w:vAlign w:val="center"/>
            <w:hideMark/>
          </w:tcPr>
          <w:p w14:paraId="117EC149" w14:textId="439FC232" w:rsidR="00F030EF" w:rsidRPr="00D14CD7" w:rsidRDefault="00F030EF" w:rsidP="00F030EF">
            <w:pPr>
              <w:spacing w:after="0" w:line="240" w:lineRule="auto"/>
              <w:jc w:val="left"/>
              <w:rPr>
                <w:rFonts w:eastAsia="Times New Roman"/>
                <w:b/>
                <w:bCs/>
                <w:color w:val="000000" w:themeColor="text1"/>
                <w:sz w:val="20"/>
                <w:szCs w:val="20"/>
              </w:rPr>
            </w:pPr>
            <w:r w:rsidRPr="00D14CD7">
              <w:rPr>
                <w:rFonts w:eastAsia="Times New Roman"/>
                <w:b/>
                <w:bCs/>
                <w:color w:val="000000" w:themeColor="text1"/>
              </w:rPr>
              <w:t>Number of Eat-</w:t>
            </w:r>
            <w:r w:rsidR="00745193" w:rsidRPr="00D14CD7">
              <w:rPr>
                <w:rFonts w:eastAsia="Times New Roman"/>
                <w:b/>
                <w:bCs/>
                <w:color w:val="000000" w:themeColor="text1"/>
              </w:rPr>
              <w:t>o</w:t>
            </w:r>
            <w:r w:rsidRPr="00D14CD7">
              <w:rPr>
                <w:rFonts w:eastAsia="Times New Roman"/>
                <w:b/>
                <w:bCs/>
                <w:color w:val="000000" w:themeColor="text1"/>
              </w:rPr>
              <w:t>uts</w:t>
            </w:r>
          </w:p>
        </w:tc>
        <w:tc>
          <w:tcPr>
            <w:tcW w:w="1440" w:type="dxa"/>
            <w:vMerge w:val="restart"/>
            <w:tcBorders>
              <w:top w:val="double" w:sz="4" w:space="0" w:color="auto"/>
              <w:left w:val="double" w:sz="4" w:space="0" w:color="auto"/>
              <w:right w:val="double" w:sz="4" w:space="0" w:color="auto"/>
            </w:tcBorders>
            <w:shd w:val="clear" w:color="auto" w:fill="auto"/>
            <w:noWrap/>
            <w:vAlign w:val="bottom"/>
            <w:hideMark/>
          </w:tcPr>
          <w:p w14:paraId="46C9BEE6" w14:textId="3BF535E4" w:rsidR="00F030EF" w:rsidRPr="00D14CD7" w:rsidRDefault="00F030EF" w:rsidP="00F030EF">
            <w:pPr>
              <w:spacing w:after="0" w:line="240" w:lineRule="auto"/>
              <w:jc w:val="left"/>
              <w:rPr>
                <w:rFonts w:eastAsia="Times New Roman"/>
                <w:b/>
                <w:bCs/>
                <w:color w:val="000000" w:themeColor="text1"/>
                <w:sz w:val="20"/>
                <w:szCs w:val="20"/>
              </w:rPr>
            </w:pPr>
            <w:r w:rsidRPr="00D14CD7">
              <w:rPr>
                <w:rFonts w:eastAsia="Times New Roman"/>
                <w:b/>
                <w:bCs/>
                <w:color w:val="000000" w:themeColor="text1"/>
              </w:rPr>
              <w:t xml:space="preserve">Observed Number of </w:t>
            </w:r>
            <w:r w:rsidR="009B10A8" w:rsidRPr="00D14CD7">
              <w:rPr>
                <w:rFonts w:eastAsia="Times New Roman"/>
                <w:b/>
                <w:bCs/>
                <w:color w:val="000000" w:themeColor="text1"/>
              </w:rPr>
              <w:t>I</w:t>
            </w:r>
            <w:r w:rsidRPr="00D14CD7">
              <w:rPr>
                <w:rFonts w:eastAsia="Times New Roman"/>
                <w:b/>
                <w:bCs/>
                <w:color w:val="000000" w:themeColor="text1"/>
              </w:rPr>
              <w:t>ndividuals</w:t>
            </w:r>
          </w:p>
        </w:tc>
        <w:tc>
          <w:tcPr>
            <w:tcW w:w="4722" w:type="dxa"/>
            <w:gridSpan w:val="4"/>
            <w:tcBorders>
              <w:top w:val="double" w:sz="4" w:space="0" w:color="auto"/>
              <w:left w:val="double" w:sz="4" w:space="0" w:color="auto"/>
              <w:bottom w:val="double" w:sz="4" w:space="0" w:color="auto"/>
            </w:tcBorders>
            <w:shd w:val="clear" w:color="auto" w:fill="auto"/>
            <w:noWrap/>
            <w:vAlign w:val="center"/>
            <w:hideMark/>
          </w:tcPr>
          <w:p w14:paraId="4746C326" w14:textId="157E2D53" w:rsidR="00F030EF" w:rsidRPr="00D14CD7" w:rsidRDefault="00F030EF" w:rsidP="00A74F7E">
            <w:pPr>
              <w:spacing w:after="0" w:line="240" w:lineRule="auto"/>
              <w:jc w:val="center"/>
              <w:rPr>
                <w:rFonts w:eastAsia="Times New Roman"/>
                <w:b/>
                <w:bCs/>
                <w:color w:val="000000" w:themeColor="text1"/>
              </w:rPr>
            </w:pPr>
            <w:r w:rsidRPr="00D14CD7">
              <w:rPr>
                <w:rFonts w:eastAsia="Times New Roman"/>
                <w:b/>
                <w:bCs/>
                <w:color w:val="000000" w:themeColor="text1"/>
              </w:rPr>
              <w:t>Distribution Across Segments</w:t>
            </w:r>
          </w:p>
        </w:tc>
      </w:tr>
      <w:tr w:rsidR="00D14CD7" w:rsidRPr="00D14CD7" w14:paraId="74807BB5" w14:textId="77777777" w:rsidTr="00630A69">
        <w:trPr>
          <w:trHeight w:val="144"/>
        </w:trPr>
        <w:tc>
          <w:tcPr>
            <w:tcW w:w="1728" w:type="dxa"/>
            <w:vMerge/>
            <w:tcBorders>
              <w:bottom w:val="double" w:sz="4" w:space="0" w:color="auto"/>
              <w:right w:val="double" w:sz="4" w:space="0" w:color="auto"/>
            </w:tcBorders>
            <w:shd w:val="clear" w:color="auto" w:fill="auto"/>
            <w:noWrap/>
            <w:vAlign w:val="bottom"/>
            <w:hideMark/>
          </w:tcPr>
          <w:p w14:paraId="6579E98C" w14:textId="131E167C" w:rsidR="00F030EF" w:rsidRPr="00D14CD7" w:rsidRDefault="00F030EF" w:rsidP="00F030EF">
            <w:pPr>
              <w:spacing w:after="0" w:line="240" w:lineRule="auto"/>
              <w:jc w:val="left"/>
              <w:rPr>
                <w:rFonts w:eastAsia="Times New Roman"/>
                <w:b/>
                <w:bCs/>
                <w:color w:val="000000" w:themeColor="text1"/>
              </w:rPr>
            </w:pPr>
          </w:p>
        </w:tc>
        <w:tc>
          <w:tcPr>
            <w:tcW w:w="1440" w:type="dxa"/>
            <w:vMerge/>
            <w:tcBorders>
              <w:left w:val="double" w:sz="4" w:space="0" w:color="auto"/>
              <w:bottom w:val="double" w:sz="4" w:space="0" w:color="auto"/>
              <w:right w:val="double" w:sz="4" w:space="0" w:color="auto"/>
            </w:tcBorders>
            <w:shd w:val="clear" w:color="auto" w:fill="auto"/>
            <w:noWrap/>
            <w:vAlign w:val="bottom"/>
            <w:hideMark/>
          </w:tcPr>
          <w:p w14:paraId="110193B4" w14:textId="4D09C467" w:rsidR="00F030EF" w:rsidRPr="00D14CD7" w:rsidRDefault="00F030EF" w:rsidP="00F030EF">
            <w:pPr>
              <w:spacing w:after="0" w:line="240" w:lineRule="auto"/>
              <w:jc w:val="left"/>
              <w:rPr>
                <w:rFonts w:eastAsia="Times New Roman"/>
                <w:b/>
                <w:bCs/>
                <w:color w:val="000000" w:themeColor="text1"/>
              </w:rPr>
            </w:pPr>
          </w:p>
        </w:tc>
        <w:tc>
          <w:tcPr>
            <w:tcW w:w="1180" w:type="dxa"/>
            <w:tcBorders>
              <w:top w:val="double" w:sz="4" w:space="0" w:color="auto"/>
              <w:left w:val="double" w:sz="4" w:space="0" w:color="auto"/>
              <w:bottom w:val="double" w:sz="4" w:space="0" w:color="auto"/>
            </w:tcBorders>
            <w:shd w:val="clear" w:color="auto" w:fill="auto"/>
            <w:noWrap/>
            <w:vAlign w:val="center"/>
            <w:hideMark/>
          </w:tcPr>
          <w:p w14:paraId="048C184B" w14:textId="77777777" w:rsidR="00F030EF" w:rsidRPr="00D14CD7" w:rsidRDefault="00F030EF" w:rsidP="00F030EF">
            <w:pPr>
              <w:spacing w:after="0" w:line="240" w:lineRule="auto"/>
              <w:jc w:val="center"/>
              <w:rPr>
                <w:rFonts w:eastAsia="Times New Roman"/>
                <w:b/>
                <w:bCs/>
                <w:color w:val="000000" w:themeColor="text1"/>
              </w:rPr>
            </w:pPr>
            <w:r w:rsidRPr="00D14CD7">
              <w:rPr>
                <w:rFonts w:eastAsia="Times New Roman"/>
                <w:b/>
                <w:bCs/>
                <w:color w:val="000000" w:themeColor="text1"/>
              </w:rPr>
              <w:t>QSR</w:t>
            </w:r>
          </w:p>
        </w:tc>
        <w:tc>
          <w:tcPr>
            <w:tcW w:w="1181" w:type="dxa"/>
            <w:tcBorders>
              <w:top w:val="double" w:sz="4" w:space="0" w:color="auto"/>
              <w:bottom w:val="double" w:sz="4" w:space="0" w:color="auto"/>
            </w:tcBorders>
            <w:shd w:val="clear" w:color="auto" w:fill="auto"/>
            <w:noWrap/>
            <w:vAlign w:val="center"/>
            <w:hideMark/>
          </w:tcPr>
          <w:p w14:paraId="0D8C95B2" w14:textId="77777777" w:rsidR="00F030EF" w:rsidRPr="00D14CD7" w:rsidRDefault="00F030EF" w:rsidP="00F030EF">
            <w:pPr>
              <w:spacing w:after="0" w:line="240" w:lineRule="auto"/>
              <w:jc w:val="center"/>
              <w:rPr>
                <w:rFonts w:eastAsia="Times New Roman"/>
                <w:b/>
                <w:bCs/>
                <w:color w:val="000000" w:themeColor="text1"/>
              </w:rPr>
            </w:pPr>
            <w:r w:rsidRPr="00D14CD7">
              <w:rPr>
                <w:rFonts w:eastAsia="Times New Roman"/>
                <w:b/>
                <w:bCs/>
                <w:color w:val="000000" w:themeColor="text1"/>
              </w:rPr>
              <w:t>CH</w:t>
            </w:r>
          </w:p>
        </w:tc>
        <w:tc>
          <w:tcPr>
            <w:tcW w:w="1180" w:type="dxa"/>
            <w:tcBorders>
              <w:top w:val="double" w:sz="4" w:space="0" w:color="auto"/>
              <w:bottom w:val="double" w:sz="4" w:space="0" w:color="auto"/>
            </w:tcBorders>
            <w:shd w:val="clear" w:color="auto" w:fill="auto"/>
            <w:noWrap/>
            <w:vAlign w:val="center"/>
            <w:hideMark/>
          </w:tcPr>
          <w:p w14:paraId="655773BA" w14:textId="77777777" w:rsidR="00F030EF" w:rsidRPr="00D14CD7" w:rsidRDefault="00F030EF" w:rsidP="00F030EF">
            <w:pPr>
              <w:spacing w:after="0" w:line="240" w:lineRule="auto"/>
              <w:jc w:val="center"/>
              <w:rPr>
                <w:rFonts w:eastAsia="Times New Roman"/>
                <w:b/>
                <w:bCs/>
                <w:color w:val="000000" w:themeColor="text1"/>
              </w:rPr>
            </w:pPr>
            <w:r w:rsidRPr="00D14CD7">
              <w:rPr>
                <w:rFonts w:eastAsia="Times New Roman"/>
                <w:b/>
                <w:bCs/>
                <w:color w:val="000000" w:themeColor="text1"/>
              </w:rPr>
              <w:t>CSR</w:t>
            </w:r>
          </w:p>
        </w:tc>
        <w:tc>
          <w:tcPr>
            <w:tcW w:w="1181" w:type="dxa"/>
            <w:tcBorders>
              <w:top w:val="double" w:sz="4" w:space="0" w:color="auto"/>
              <w:bottom w:val="double" w:sz="4" w:space="0" w:color="auto"/>
            </w:tcBorders>
            <w:shd w:val="clear" w:color="auto" w:fill="auto"/>
            <w:noWrap/>
            <w:vAlign w:val="center"/>
            <w:hideMark/>
          </w:tcPr>
          <w:p w14:paraId="66FF8AE6" w14:textId="77777777" w:rsidR="00F030EF" w:rsidRPr="00D14CD7" w:rsidRDefault="00F030EF" w:rsidP="00F030EF">
            <w:pPr>
              <w:spacing w:after="0" w:line="240" w:lineRule="auto"/>
              <w:jc w:val="center"/>
              <w:rPr>
                <w:rFonts w:eastAsia="Times New Roman"/>
                <w:b/>
                <w:bCs/>
                <w:color w:val="000000" w:themeColor="text1"/>
              </w:rPr>
            </w:pPr>
            <w:r w:rsidRPr="00D14CD7">
              <w:rPr>
                <w:rFonts w:eastAsia="Times New Roman"/>
                <w:b/>
                <w:bCs/>
                <w:color w:val="000000" w:themeColor="text1"/>
              </w:rPr>
              <w:t>FSR</w:t>
            </w:r>
          </w:p>
        </w:tc>
      </w:tr>
      <w:tr w:rsidR="00D14CD7" w:rsidRPr="00D14CD7" w14:paraId="1D4A8B8C" w14:textId="77777777" w:rsidTr="00630A69">
        <w:trPr>
          <w:trHeight w:val="315"/>
        </w:trPr>
        <w:tc>
          <w:tcPr>
            <w:tcW w:w="1728" w:type="dxa"/>
            <w:tcBorders>
              <w:top w:val="double" w:sz="4" w:space="0" w:color="auto"/>
              <w:right w:val="double" w:sz="4" w:space="0" w:color="auto"/>
            </w:tcBorders>
            <w:shd w:val="clear" w:color="auto" w:fill="auto"/>
            <w:noWrap/>
            <w:vAlign w:val="bottom"/>
            <w:hideMark/>
          </w:tcPr>
          <w:p w14:paraId="0016CD03" w14:textId="77777777" w:rsidR="00F030EF" w:rsidRPr="00D14CD7" w:rsidRDefault="00F030EF" w:rsidP="00F030EF">
            <w:pPr>
              <w:spacing w:after="0" w:line="240" w:lineRule="auto"/>
              <w:jc w:val="left"/>
              <w:rPr>
                <w:rFonts w:eastAsia="Times New Roman"/>
                <w:color w:val="000000" w:themeColor="text1"/>
              </w:rPr>
            </w:pPr>
            <w:r w:rsidRPr="00D14CD7">
              <w:rPr>
                <w:rFonts w:eastAsia="Times New Roman"/>
                <w:color w:val="000000" w:themeColor="text1"/>
              </w:rPr>
              <w:t>0</w:t>
            </w:r>
          </w:p>
        </w:tc>
        <w:tc>
          <w:tcPr>
            <w:tcW w:w="1440" w:type="dxa"/>
            <w:tcBorders>
              <w:top w:val="double" w:sz="4" w:space="0" w:color="auto"/>
              <w:left w:val="double" w:sz="4" w:space="0" w:color="auto"/>
              <w:right w:val="double" w:sz="4" w:space="0" w:color="auto"/>
            </w:tcBorders>
            <w:shd w:val="clear" w:color="auto" w:fill="auto"/>
            <w:noWrap/>
            <w:vAlign w:val="bottom"/>
            <w:hideMark/>
          </w:tcPr>
          <w:p w14:paraId="05C3A21E" w14:textId="77777777" w:rsidR="00F030EF" w:rsidRPr="00D14CD7" w:rsidRDefault="00F030EF" w:rsidP="00F030EF">
            <w:pPr>
              <w:spacing w:after="0" w:line="240" w:lineRule="auto"/>
              <w:jc w:val="right"/>
              <w:rPr>
                <w:rFonts w:eastAsia="Times New Roman"/>
                <w:color w:val="000000" w:themeColor="text1"/>
              </w:rPr>
            </w:pPr>
            <w:r w:rsidRPr="00D14CD7">
              <w:rPr>
                <w:rFonts w:eastAsia="Times New Roman"/>
                <w:color w:val="000000" w:themeColor="text1"/>
              </w:rPr>
              <w:t>284</w:t>
            </w:r>
          </w:p>
        </w:tc>
        <w:tc>
          <w:tcPr>
            <w:tcW w:w="1180" w:type="dxa"/>
            <w:tcBorders>
              <w:top w:val="double" w:sz="4" w:space="0" w:color="auto"/>
              <w:left w:val="double" w:sz="4" w:space="0" w:color="auto"/>
            </w:tcBorders>
            <w:shd w:val="clear" w:color="auto" w:fill="auto"/>
            <w:noWrap/>
            <w:vAlign w:val="bottom"/>
            <w:hideMark/>
          </w:tcPr>
          <w:p w14:paraId="3D2F0AF4" w14:textId="77777777" w:rsidR="00F030EF" w:rsidRPr="00D14CD7" w:rsidRDefault="00F030EF" w:rsidP="00F030EF">
            <w:pPr>
              <w:spacing w:after="0" w:line="240" w:lineRule="auto"/>
              <w:jc w:val="right"/>
              <w:rPr>
                <w:rFonts w:eastAsia="Times New Roman"/>
                <w:color w:val="000000" w:themeColor="text1"/>
              </w:rPr>
            </w:pPr>
            <w:r w:rsidRPr="00D14CD7">
              <w:rPr>
                <w:rFonts w:eastAsia="Times New Roman"/>
                <w:color w:val="000000" w:themeColor="text1"/>
              </w:rPr>
              <w:t>0.0%</w:t>
            </w:r>
          </w:p>
        </w:tc>
        <w:tc>
          <w:tcPr>
            <w:tcW w:w="1181" w:type="dxa"/>
            <w:tcBorders>
              <w:top w:val="double" w:sz="4" w:space="0" w:color="auto"/>
            </w:tcBorders>
            <w:shd w:val="clear" w:color="auto" w:fill="auto"/>
            <w:noWrap/>
            <w:vAlign w:val="bottom"/>
            <w:hideMark/>
          </w:tcPr>
          <w:p w14:paraId="50C400A9" w14:textId="77777777" w:rsidR="00F030EF" w:rsidRPr="00D14CD7" w:rsidRDefault="00F030EF" w:rsidP="00F030EF">
            <w:pPr>
              <w:spacing w:after="0" w:line="240" w:lineRule="auto"/>
              <w:jc w:val="right"/>
              <w:rPr>
                <w:rFonts w:eastAsia="Times New Roman"/>
                <w:color w:val="000000" w:themeColor="text1"/>
              </w:rPr>
            </w:pPr>
            <w:r w:rsidRPr="00D14CD7">
              <w:rPr>
                <w:rFonts w:eastAsia="Times New Roman"/>
                <w:color w:val="000000" w:themeColor="text1"/>
              </w:rPr>
              <w:t>0.0%</w:t>
            </w:r>
          </w:p>
        </w:tc>
        <w:tc>
          <w:tcPr>
            <w:tcW w:w="1180" w:type="dxa"/>
            <w:tcBorders>
              <w:top w:val="double" w:sz="4" w:space="0" w:color="auto"/>
            </w:tcBorders>
            <w:shd w:val="clear" w:color="auto" w:fill="auto"/>
            <w:noWrap/>
            <w:vAlign w:val="bottom"/>
            <w:hideMark/>
          </w:tcPr>
          <w:p w14:paraId="0A5A28BE" w14:textId="77777777" w:rsidR="00F030EF" w:rsidRPr="00D14CD7" w:rsidRDefault="00F030EF" w:rsidP="00F030EF">
            <w:pPr>
              <w:spacing w:after="0" w:line="240" w:lineRule="auto"/>
              <w:jc w:val="right"/>
              <w:rPr>
                <w:rFonts w:eastAsia="Times New Roman"/>
                <w:color w:val="000000" w:themeColor="text1"/>
              </w:rPr>
            </w:pPr>
            <w:r w:rsidRPr="00D14CD7">
              <w:rPr>
                <w:rFonts w:eastAsia="Times New Roman"/>
                <w:color w:val="000000" w:themeColor="text1"/>
              </w:rPr>
              <w:t>0.0%</w:t>
            </w:r>
          </w:p>
        </w:tc>
        <w:tc>
          <w:tcPr>
            <w:tcW w:w="1181" w:type="dxa"/>
            <w:tcBorders>
              <w:top w:val="double" w:sz="4" w:space="0" w:color="auto"/>
            </w:tcBorders>
            <w:shd w:val="clear" w:color="auto" w:fill="auto"/>
            <w:noWrap/>
            <w:vAlign w:val="bottom"/>
            <w:hideMark/>
          </w:tcPr>
          <w:p w14:paraId="3FD9B03B" w14:textId="77777777" w:rsidR="00F030EF" w:rsidRPr="00D14CD7" w:rsidRDefault="00F030EF" w:rsidP="00F030EF">
            <w:pPr>
              <w:spacing w:after="0" w:line="240" w:lineRule="auto"/>
              <w:jc w:val="right"/>
              <w:rPr>
                <w:rFonts w:eastAsia="Times New Roman"/>
                <w:color w:val="000000" w:themeColor="text1"/>
              </w:rPr>
            </w:pPr>
            <w:r w:rsidRPr="00D14CD7">
              <w:rPr>
                <w:rFonts w:eastAsia="Times New Roman"/>
                <w:color w:val="000000" w:themeColor="text1"/>
              </w:rPr>
              <w:t>0.0%</w:t>
            </w:r>
          </w:p>
        </w:tc>
      </w:tr>
      <w:tr w:rsidR="00D14CD7" w:rsidRPr="00D14CD7" w14:paraId="1A121E73" w14:textId="77777777" w:rsidTr="00630A69">
        <w:trPr>
          <w:trHeight w:val="315"/>
        </w:trPr>
        <w:tc>
          <w:tcPr>
            <w:tcW w:w="1728" w:type="dxa"/>
            <w:tcBorders>
              <w:right w:val="double" w:sz="4" w:space="0" w:color="auto"/>
            </w:tcBorders>
            <w:shd w:val="clear" w:color="auto" w:fill="auto"/>
            <w:noWrap/>
            <w:vAlign w:val="bottom"/>
            <w:hideMark/>
          </w:tcPr>
          <w:p w14:paraId="4FD8319B" w14:textId="77777777" w:rsidR="00F030EF" w:rsidRPr="00D14CD7" w:rsidRDefault="00F030EF" w:rsidP="00F030EF">
            <w:pPr>
              <w:spacing w:after="0" w:line="240" w:lineRule="auto"/>
              <w:jc w:val="left"/>
              <w:rPr>
                <w:rFonts w:eastAsia="Times New Roman"/>
                <w:color w:val="000000" w:themeColor="text1"/>
              </w:rPr>
            </w:pPr>
            <w:r w:rsidRPr="00D14CD7">
              <w:rPr>
                <w:rFonts w:eastAsia="Times New Roman"/>
                <w:color w:val="000000" w:themeColor="text1"/>
              </w:rPr>
              <w:t>1</w:t>
            </w:r>
          </w:p>
        </w:tc>
        <w:tc>
          <w:tcPr>
            <w:tcW w:w="1440" w:type="dxa"/>
            <w:tcBorders>
              <w:left w:val="double" w:sz="4" w:space="0" w:color="auto"/>
              <w:right w:val="double" w:sz="4" w:space="0" w:color="auto"/>
            </w:tcBorders>
            <w:shd w:val="clear" w:color="auto" w:fill="auto"/>
            <w:noWrap/>
            <w:vAlign w:val="bottom"/>
            <w:hideMark/>
          </w:tcPr>
          <w:p w14:paraId="33F3E68B" w14:textId="77777777" w:rsidR="00F030EF" w:rsidRPr="00D14CD7" w:rsidRDefault="00F030EF" w:rsidP="00F030EF">
            <w:pPr>
              <w:spacing w:after="0" w:line="240" w:lineRule="auto"/>
              <w:jc w:val="right"/>
              <w:rPr>
                <w:rFonts w:eastAsia="Times New Roman"/>
                <w:color w:val="000000" w:themeColor="text1"/>
              </w:rPr>
            </w:pPr>
            <w:r w:rsidRPr="00D14CD7">
              <w:rPr>
                <w:rFonts w:eastAsia="Times New Roman"/>
                <w:color w:val="000000" w:themeColor="text1"/>
              </w:rPr>
              <w:t>140</w:t>
            </w:r>
          </w:p>
        </w:tc>
        <w:tc>
          <w:tcPr>
            <w:tcW w:w="1180" w:type="dxa"/>
            <w:tcBorders>
              <w:left w:val="double" w:sz="4" w:space="0" w:color="auto"/>
            </w:tcBorders>
            <w:shd w:val="clear" w:color="auto" w:fill="auto"/>
            <w:noWrap/>
            <w:vAlign w:val="bottom"/>
            <w:hideMark/>
          </w:tcPr>
          <w:p w14:paraId="2EE0372B" w14:textId="77777777" w:rsidR="00F030EF" w:rsidRPr="00D14CD7" w:rsidRDefault="00F030EF" w:rsidP="00F030EF">
            <w:pPr>
              <w:spacing w:after="0" w:line="240" w:lineRule="auto"/>
              <w:jc w:val="right"/>
              <w:rPr>
                <w:rFonts w:eastAsia="Times New Roman"/>
                <w:color w:val="000000" w:themeColor="text1"/>
              </w:rPr>
            </w:pPr>
            <w:r w:rsidRPr="00D14CD7">
              <w:rPr>
                <w:rFonts w:eastAsia="Times New Roman"/>
                <w:color w:val="000000" w:themeColor="text1"/>
              </w:rPr>
              <w:t>13.6%</w:t>
            </w:r>
          </w:p>
        </w:tc>
        <w:tc>
          <w:tcPr>
            <w:tcW w:w="1181" w:type="dxa"/>
            <w:shd w:val="clear" w:color="auto" w:fill="auto"/>
            <w:noWrap/>
            <w:vAlign w:val="bottom"/>
            <w:hideMark/>
          </w:tcPr>
          <w:p w14:paraId="6AB129D6" w14:textId="77777777" w:rsidR="00F030EF" w:rsidRPr="00D14CD7" w:rsidRDefault="00F030EF" w:rsidP="00F030EF">
            <w:pPr>
              <w:spacing w:after="0" w:line="240" w:lineRule="auto"/>
              <w:jc w:val="right"/>
              <w:rPr>
                <w:rFonts w:eastAsia="Times New Roman"/>
                <w:color w:val="000000" w:themeColor="text1"/>
              </w:rPr>
            </w:pPr>
            <w:r w:rsidRPr="00D14CD7">
              <w:rPr>
                <w:rFonts w:eastAsia="Times New Roman"/>
                <w:color w:val="000000" w:themeColor="text1"/>
              </w:rPr>
              <w:t>4.3%</w:t>
            </w:r>
          </w:p>
        </w:tc>
        <w:tc>
          <w:tcPr>
            <w:tcW w:w="1180" w:type="dxa"/>
            <w:shd w:val="clear" w:color="auto" w:fill="auto"/>
            <w:noWrap/>
            <w:vAlign w:val="bottom"/>
            <w:hideMark/>
          </w:tcPr>
          <w:p w14:paraId="299EDFF1" w14:textId="77777777" w:rsidR="00F030EF" w:rsidRPr="00D14CD7" w:rsidRDefault="00F030EF" w:rsidP="00F030EF">
            <w:pPr>
              <w:spacing w:after="0" w:line="240" w:lineRule="auto"/>
              <w:jc w:val="right"/>
              <w:rPr>
                <w:rFonts w:eastAsia="Times New Roman"/>
                <w:color w:val="000000" w:themeColor="text1"/>
              </w:rPr>
            </w:pPr>
            <w:r w:rsidRPr="00D14CD7">
              <w:rPr>
                <w:rFonts w:eastAsia="Times New Roman"/>
                <w:color w:val="000000" w:themeColor="text1"/>
              </w:rPr>
              <w:t>70.0%</w:t>
            </w:r>
          </w:p>
        </w:tc>
        <w:tc>
          <w:tcPr>
            <w:tcW w:w="1181" w:type="dxa"/>
            <w:shd w:val="clear" w:color="auto" w:fill="auto"/>
            <w:noWrap/>
            <w:vAlign w:val="bottom"/>
            <w:hideMark/>
          </w:tcPr>
          <w:p w14:paraId="4F01FB4A" w14:textId="77777777" w:rsidR="00F030EF" w:rsidRPr="00D14CD7" w:rsidRDefault="00F030EF" w:rsidP="00F030EF">
            <w:pPr>
              <w:spacing w:after="0" w:line="240" w:lineRule="auto"/>
              <w:jc w:val="right"/>
              <w:rPr>
                <w:rFonts w:eastAsia="Times New Roman"/>
                <w:color w:val="000000" w:themeColor="text1"/>
              </w:rPr>
            </w:pPr>
            <w:r w:rsidRPr="00D14CD7">
              <w:rPr>
                <w:rFonts w:eastAsia="Times New Roman"/>
                <w:color w:val="000000" w:themeColor="text1"/>
              </w:rPr>
              <w:t>12.1%</w:t>
            </w:r>
          </w:p>
        </w:tc>
      </w:tr>
      <w:tr w:rsidR="00D14CD7" w:rsidRPr="00D14CD7" w14:paraId="16AF42C3" w14:textId="77777777" w:rsidTr="00630A69">
        <w:trPr>
          <w:trHeight w:val="315"/>
        </w:trPr>
        <w:tc>
          <w:tcPr>
            <w:tcW w:w="1728" w:type="dxa"/>
            <w:tcBorders>
              <w:right w:val="double" w:sz="4" w:space="0" w:color="auto"/>
            </w:tcBorders>
            <w:shd w:val="clear" w:color="auto" w:fill="auto"/>
            <w:noWrap/>
            <w:vAlign w:val="bottom"/>
            <w:hideMark/>
          </w:tcPr>
          <w:p w14:paraId="4426F014" w14:textId="77777777" w:rsidR="00F030EF" w:rsidRPr="00D14CD7" w:rsidRDefault="00F030EF" w:rsidP="00F030EF">
            <w:pPr>
              <w:spacing w:after="0" w:line="240" w:lineRule="auto"/>
              <w:jc w:val="left"/>
              <w:rPr>
                <w:rFonts w:eastAsia="Times New Roman"/>
                <w:color w:val="000000" w:themeColor="text1"/>
              </w:rPr>
            </w:pPr>
            <w:r w:rsidRPr="00D14CD7">
              <w:rPr>
                <w:rFonts w:eastAsia="Times New Roman"/>
                <w:color w:val="000000" w:themeColor="text1"/>
              </w:rPr>
              <w:t>2</w:t>
            </w:r>
          </w:p>
        </w:tc>
        <w:tc>
          <w:tcPr>
            <w:tcW w:w="1440" w:type="dxa"/>
            <w:tcBorders>
              <w:left w:val="double" w:sz="4" w:space="0" w:color="auto"/>
              <w:right w:val="double" w:sz="4" w:space="0" w:color="auto"/>
            </w:tcBorders>
            <w:shd w:val="clear" w:color="auto" w:fill="auto"/>
            <w:noWrap/>
            <w:vAlign w:val="bottom"/>
            <w:hideMark/>
          </w:tcPr>
          <w:p w14:paraId="24D501FD" w14:textId="77777777" w:rsidR="00F030EF" w:rsidRPr="00D14CD7" w:rsidRDefault="00F030EF" w:rsidP="00F030EF">
            <w:pPr>
              <w:spacing w:after="0" w:line="240" w:lineRule="auto"/>
              <w:jc w:val="right"/>
              <w:rPr>
                <w:rFonts w:eastAsia="Times New Roman"/>
                <w:color w:val="000000" w:themeColor="text1"/>
              </w:rPr>
            </w:pPr>
            <w:r w:rsidRPr="00D14CD7">
              <w:rPr>
                <w:rFonts w:eastAsia="Times New Roman"/>
                <w:color w:val="000000" w:themeColor="text1"/>
              </w:rPr>
              <w:t>160</w:t>
            </w:r>
          </w:p>
        </w:tc>
        <w:tc>
          <w:tcPr>
            <w:tcW w:w="1180" w:type="dxa"/>
            <w:tcBorders>
              <w:left w:val="double" w:sz="4" w:space="0" w:color="auto"/>
            </w:tcBorders>
            <w:shd w:val="clear" w:color="auto" w:fill="auto"/>
            <w:noWrap/>
            <w:vAlign w:val="bottom"/>
            <w:hideMark/>
          </w:tcPr>
          <w:p w14:paraId="1ABA0EC5" w14:textId="77777777" w:rsidR="00F030EF" w:rsidRPr="00D14CD7" w:rsidRDefault="00F030EF" w:rsidP="00F030EF">
            <w:pPr>
              <w:spacing w:after="0" w:line="240" w:lineRule="auto"/>
              <w:jc w:val="right"/>
              <w:rPr>
                <w:rFonts w:eastAsia="Times New Roman"/>
                <w:color w:val="000000" w:themeColor="text1"/>
              </w:rPr>
            </w:pPr>
            <w:r w:rsidRPr="00D14CD7">
              <w:rPr>
                <w:rFonts w:eastAsia="Times New Roman"/>
                <w:color w:val="000000" w:themeColor="text1"/>
              </w:rPr>
              <w:t>16.6%</w:t>
            </w:r>
          </w:p>
        </w:tc>
        <w:tc>
          <w:tcPr>
            <w:tcW w:w="1181" w:type="dxa"/>
            <w:shd w:val="clear" w:color="auto" w:fill="auto"/>
            <w:noWrap/>
            <w:vAlign w:val="bottom"/>
            <w:hideMark/>
          </w:tcPr>
          <w:p w14:paraId="6ED55675" w14:textId="77777777" w:rsidR="00F030EF" w:rsidRPr="00D14CD7" w:rsidRDefault="00F030EF" w:rsidP="00F030EF">
            <w:pPr>
              <w:spacing w:after="0" w:line="240" w:lineRule="auto"/>
              <w:jc w:val="right"/>
              <w:rPr>
                <w:rFonts w:eastAsia="Times New Roman"/>
                <w:color w:val="000000" w:themeColor="text1"/>
              </w:rPr>
            </w:pPr>
            <w:r w:rsidRPr="00D14CD7">
              <w:rPr>
                <w:rFonts w:eastAsia="Times New Roman"/>
                <w:color w:val="000000" w:themeColor="text1"/>
              </w:rPr>
              <w:t>5.3%</w:t>
            </w:r>
          </w:p>
        </w:tc>
        <w:tc>
          <w:tcPr>
            <w:tcW w:w="1180" w:type="dxa"/>
            <w:shd w:val="clear" w:color="auto" w:fill="auto"/>
            <w:noWrap/>
            <w:vAlign w:val="bottom"/>
            <w:hideMark/>
          </w:tcPr>
          <w:p w14:paraId="0962BDDE" w14:textId="77777777" w:rsidR="00F030EF" w:rsidRPr="00D14CD7" w:rsidRDefault="00F030EF" w:rsidP="00F030EF">
            <w:pPr>
              <w:spacing w:after="0" w:line="240" w:lineRule="auto"/>
              <w:jc w:val="right"/>
              <w:rPr>
                <w:rFonts w:eastAsia="Times New Roman"/>
                <w:color w:val="000000" w:themeColor="text1"/>
              </w:rPr>
            </w:pPr>
            <w:r w:rsidRPr="00D14CD7">
              <w:rPr>
                <w:rFonts w:eastAsia="Times New Roman"/>
                <w:color w:val="000000" w:themeColor="text1"/>
              </w:rPr>
              <w:t>66.9%</w:t>
            </w:r>
          </w:p>
        </w:tc>
        <w:tc>
          <w:tcPr>
            <w:tcW w:w="1181" w:type="dxa"/>
            <w:shd w:val="clear" w:color="auto" w:fill="auto"/>
            <w:noWrap/>
            <w:vAlign w:val="bottom"/>
            <w:hideMark/>
          </w:tcPr>
          <w:p w14:paraId="2C1AAEC3" w14:textId="77777777" w:rsidR="00F030EF" w:rsidRPr="00D14CD7" w:rsidRDefault="00F030EF" w:rsidP="00F030EF">
            <w:pPr>
              <w:spacing w:after="0" w:line="240" w:lineRule="auto"/>
              <w:jc w:val="right"/>
              <w:rPr>
                <w:rFonts w:eastAsia="Times New Roman"/>
                <w:color w:val="000000" w:themeColor="text1"/>
              </w:rPr>
            </w:pPr>
            <w:r w:rsidRPr="00D14CD7">
              <w:rPr>
                <w:rFonts w:eastAsia="Times New Roman"/>
                <w:color w:val="000000" w:themeColor="text1"/>
              </w:rPr>
              <w:t>11.3%</w:t>
            </w:r>
          </w:p>
        </w:tc>
      </w:tr>
      <w:tr w:rsidR="00D14CD7" w:rsidRPr="00D14CD7" w14:paraId="58E878C1" w14:textId="77777777" w:rsidTr="00630A69">
        <w:trPr>
          <w:trHeight w:val="315"/>
        </w:trPr>
        <w:tc>
          <w:tcPr>
            <w:tcW w:w="1728" w:type="dxa"/>
            <w:tcBorders>
              <w:right w:val="double" w:sz="4" w:space="0" w:color="auto"/>
            </w:tcBorders>
            <w:shd w:val="clear" w:color="auto" w:fill="auto"/>
            <w:noWrap/>
            <w:vAlign w:val="bottom"/>
            <w:hideMark/>
          </w:tcPr>
          <w:p w14:paraId="5CA0F719" w14:textId="77777777" w:rsidR="00F030EF" w:rsidRPr="00D14CD7" w:rsidRDefault="00F030EF" w:rsidP="00F030EF">
            <w:pPr>
              <w:spacing w:after="0" w:line="240" w:lineRule="auto"/>
              <w:jc w:val="left"/>
              <w:rPr>
                <w:rFonts w:eastAsia="Times New Roman"/>
                <w:color w:val="000000" w:themeColor="text1"/>
              </w:rPr>
            </w:pPr>
            <w:r w:rsidRPr="00D14CD7">
              <w:rPr>
                <w:rFonts w:eastAsia="Times New Roman"/>
                <w:color w:val="000000" w:themeColor="text1"/>
              </w:rPr>
              <w:t>3</w:t>
            </w:r>
          </w:p>
        </w:tc>
        <w:tc>
          <w:tcPr>
            <w:tcW w:w="1440" w:type="dxa"/>
            <w:tcBorders>
              <w:left w:val="double" w:sz="4" w:space="0" w:color="auto"/>
              <w:right w:val="double" w:sz="4" w:space="0" w:color="auto"/>
            </w:tcBorders>
            <w:shd w:val="clear" w:color="auto" w:fill="auto"/>
            <w:noWrap/>
            <w:vAlign w:val="bottom"/>
            <w:hideMark/>
          </w:tcPr>
          <w:p w14:paraId="26346621" w14:textId="77777777" w:rsidR="00F030EF" w:rsidRPr="00D14CD7" w:rsidRDefault="00F030EF" w:rsidP="00F030EF">
            <w:pPr>
              <w:spacing w:after="0" w:line="240" w:lineRule="auto"/>
              <w:jc w:val="right"/>
              <w:rPr>
                <w:rFonts w:eastAsia="Times New Roman"/>
                <w:color w:val="000000" w:themeColor="text1"/>
              </w:rPr>
            </w:pPr>
            <w:r w:rsidRPr="00D14CD7">
              <w:rPr>
                <w:rFonts w:eastAsia="Times New Roman"/>
                <w:color w:val="000000" w:themeColor="text1"/>
              </w:rPr>
              <w:t>79</w:t>
            </w:r>
          </w:p>
        </w:tc>
        <w:tc>
          <w:tcPr>
            <w:tcW w:w="1180" w:type="dxa"/>
            <w:tcBorders>
              <w:left w:val="double" w:sz="4" w:space="0" w:color="auto"/>
            </w:tcBorders>
            <w:shd w:val="clear" w:color="auto" w:fill="auto"/>
            <w:noWrap/>
            <w:vAlign w:val="bottom"/>
            <w:hideMark/>
          </w:tcPr>
          <w:p w14:paraId="433ED6FB" w14:textId="77777777" w:rsidR="00F030EF" w:rsidRPr="00D14CD7" w:rsidRDefault="00F030EF" w:rsidP="00F030EF">
            <w:pPr>
              <w:spacing w:after="0" w:line="240" w:lineRule="auto"/>
              <w:jc w:val="right"/>
              <w:rPr>
                <w:rFonts w:eastAsia="Times New Roman"/>
                <w:color w:val="000000" w:themeColor="text1"/>
              </w:rPr>
            </w:pPr>
            <w:r w:rsidRPr="00D14CD7">
              <w:rPr>
                <w:rFonts w:eastAsia="Times New Roman"/>
                <w:color w:val="000000" w:themeColor="text1"/>
              </w:rPr>
              <w:t>19.4%</w:t>
            </w:r>
          </w:p>
        </w:tc>
        <w:tc>
          <w:tcPr>
            <w:tcW w:w="1181" w:type="dxa"/>
            <w:shd w:val="clear" w:color="auto" w:fill="auto"/>
            <w:noWrap/>
            <w:vAlign w:val="bottom"/>
            <w:hideMark/>
          </w:tcPr>
          <w:p w14:paraId="5CCA309A" w14:textId="77777777" w:rsidR="00F030EF" w:rsidRPr="00D14CD7" w:rsidRDefault="00F030EF" w:rsidP="00F030EF">
            <w:pPr>
              <w:spacing w:after="0" w:line="240" w:lineRule="auto"/>
              <w:jc w:val="right"/>
              <w:rPr>
                <w:rFonts w:eastAsia="Times New Roman"/>
                <w:color w:val="000000" w:themeColor="text1"/>
              </w:rPr>
            </w:pPr>
            <w:r w:rsidRPr="00D14CD7">
              <w:rPr>
                <w:rFonts w:eastAsia="Times New Roman"/>
                <w:color w:val="000000" w:themeColor="text1"/>
              </w:rPr>
              <w:t>9.7%</w:t>
            </w:r>
          </w:p>
        </w:tc>
        <w:tc>
          <w:tcPr>
            <w:tcW w:w="1180" w:type="dxa"/>
            <w:shd w:val="clear" w:color="auto" w:fill="auto"/>
            <w:noWrap/>
            <w:vAlign w:val="bottom"/>
            <w:hideMark/>
          </w:tcPr>
          <w:p w14:paraId="53B7607B" w14:textId="77777777" w:rsidR="00F030EF" w:rsidRPr="00D14CD7" w:rsidRDefault="00F030EF" w:rsidP="00F030EF">
            <w:pPr>
              <w:spacing w:after="0" w:line="240" w:lineRule="auto"/>
              <w:jc w:val="right"/>
              <w:rPr>
                <w:rFonts w:eastAsia="Times New Roman"/>
                <w:color w:val="000000" w:themeColor="text1"/>
              </w:rPr>
            </w:pPr>
            <w:r w:rsidRPr="00D14CD7">
              <w:rPr>
                <w:rFonts w:eastAsia="Times New Roman"/>
                <w:color w:val="000000" w:themeColor="text1"/>
              </w:rPr>
              <w:t>63.3%</w:t>
            </w:r>
          </w:p>
        </w:tc>
        <w:tc>
          <w:tcPr>
            <w:tcW w:w="1181" w:type="dxa"/>
            <w:shd w:val="clear" w:color="auto" w:fill="auto"/>
            <w:noWrap/>
            <w:vAlign w:val="bottom"/>
            <w:hideMark/>
          </w:tcPr>
          <w:p w14:paraId="3CFD3509" w14:textId="77777777" w:rsidR="00F030EF" w:rsidRPr="00D14CD7" w:rsidRDefault="00F030EF" w:rsidP="00F030EF">
            <w:pPr>
              <w:spacing w:after="0" w:line="240" w:lineRule="auto"/>
              <w:jc w:val="right"/>
              <w:rPr>
                <w:rFonts w:eastAsia="Times New Roman"/>
                <w:color w:val="000000" w:themeColor="text1"/>
              </w:rPr>
            </w:pPr>
            <w:r w:rsidRPr="00D14CD7">
              <w:rPr>
                <w:rFonts w:eastAsia="Times New Roman"/>
                <w:color w:val="000000" w:themeColor="text1"/>
              </w:rPr>
              <w:t>7.6%</w:t>
            </w:r>
          </w:p>
        </w:tc>
      </w:tr>
      <w:tr w:rsidR="00D14CD7" w:rsidRPr="00D14CD7" w14:paraId="06E8A2D4" w14:textId="77777777" w:rsidTr="00630A69">
        <w:trPr>
          <w:trHeight w:val="315"/>
        </w:trPr>
        <w:tc>
          <w:tcPr>
            <w:tcW w:w="1728" w:type="dxa"/>
            <w:tcBorders>
              <w:right w:val="double" w:sz="4" w:space="0" w:color="auto"/>
            </w:tcBorders>
            <w:shd w:val="clear" w:color="auto" w:fill="auto"/>
            <w:noWrap/>
            <w:vAlign w:val="bottom"/>
            <w:hideMark/>
          </w:tcPr>
          <w:p w14:paraId="696D5FD3" w14:textId="77777777" w:rsidR="00F030EF" w:rsidRPr="00D14CD7" w:rsidRDefault="00F030EF" w:rsidP="00F030EF">
            <w:pPr>
              <w:spacing w:after="0" w:line="240" w:lineRule="auto"/>
              <w:jc w:val="left"/>
              <w:rPr>
                <w:rFonts w:eastAsia="Times New Roman"/>
                <w:color w:val="000000" w:themeColor="text1"/>
              </w:rPr>
            </w:pPr>
            <w:r w:rsidRPr="00D14CD7">
              <w:rPr>
                <w:rFonts w:eastAsia="Times New Roman"/>
                <w:color w:val="000000" w:themeColor="text1"/>
              </w:rPr>
              <w:t>4</w:t>
            </w:r>
          </w:p>
        </w:tc>
        <w:tc>
          <w:tcPr>
            <w:tcW w:w="1440" w:type="dxa"/>
            <w:tcBorders>
              <w:left w:val="double" w:sz="4" w:space="0" w:color="auto"/>
              <w:right w:val="double" w:sz="4" w:space="0" w:color="auto"/>
            </w:tcBorders>
            <w:shd w:val="clear" w:color="auto" w:fill="auto"/>
            <w:noWrap/>
            <w:vAlign w:val="bottom"/>
            <w:hideMark/>
          </w:tcPr>
          <w:p w14:paraId="24020815" w14:textId="77777777" w:rsidR="00F030EF" w:rsidRPr="00D14CD7" w:rsidRDefault="00F030EF" w:rsidP="00F030EF">
            <w:pPr>
              <w:spacing w:after="0" w:line="240" w:lineRule="auto"/>
              <w:jc w:val="right"/>
              <w:rPr>
                <w:rFonts w:eastAsia="Times New Roman"/>
                <w:color w:val="000000" w:themeColor="text1"/>
              </w:rPr>
            </w:pPr>
            <w:r w:rsidRPr="00D14CD7">
              <w:rPr>
                <w:rFonts w:eastAsia="Times New Roman"/>
                <w:color w:val="000000" w:themeColor="text1"/>
              </w:rPr>
              <w:t>117</w:t>
            </w:r>
          </w:p>
        </w:tc>
        <w:tc>
          <w:tcPr>
            <w:tcW w:w="1180" w:type="dxa"/>
            <w:tcBorders>
              <w:left w:val="double" w:sz="4" w:space="0" w:color="auto"/>
            </w:tcBorders>
            <w:shd w:val="clear" w:color="auto" w:fill="auto"/>
            <w:noWrap/>
            <w:vAlign w:val="bottom"/>
            <w:hideMark/>
          </w:tcPr>
          <w:p w14:paraId="7CFCCCB7" w14:textId="77777777" w:rsidR="00F030EF" w:rsidRPr="00D14CD7" w:rsidRDefault="00F030EF" w:rsidP="00F030EF">
            <w:pPr>
              <w:spacing w:after="0" w:line="240" w:lineRule="auto"/>
              <w:jc w:val="right"/>
              <w:rPr>
                <w:rFonts w:eastAsia="Times New Roman"/>
                <w:color w:val="000000" w:themeColor="text1"/>
              </w:rPr>
            </w:pPr>
            <w:r w:rsidRPr="00D14CD7">
              <w:rPr>
                <w:rFonts w:eastAsia="Times New Roman"/>
                <w:color w:val="000000" w:themeColor="text1"/>
              </w:rPr>
              <w:t>15.8%</w:t>
            </w:r>
          </w:p>
        </w:tc>
        <w:tc>
          <w:tcPr>
            <w:tcW w:w="1181" w:type="dxa"/>
            <w:shd w:val="clear" w:color="auto" w:fill="auto"/>
            <w:noWrap/>
            <w:vAlign w:val="bottom"/>
            <w:hideMark/>
          </w:tcPr>
          <w:p w14:paraId="09468670" w14:textId="77777777" w:rsidR="00F030EF" w:rsidRPr="00D14CD7" w:rsidRDefault="00F030EF" w:rsidP="00F030EF">
            <w:pPr>
              <w:spacing w:after="0" w:line="240" w:lineRule="auto"/>
              <w:jc w:val="right"/>
              <w:rPr>
                <w:rFonts w:eastAsia="Times New Roman"/>
                <w:color w:val="000000" w:themeColor="text1"/>
              </w:rPr>
            </w:pPr>
            <w:r w:rsidRPr="00D14CD7">
              <w:rPr>
                <w:rFonts w:eastAsia="Times New Roman"/>
                <w:color w:val="000000" w:themeColor="text1"/>
              </w:rPr>
              <w:t>7.3%</w:t>
            </w:r>
          </w:p>
        </w:tc>
        <w:tc>
          <w:tcPr>
            <w:tcW w:w="1180" w:type="dxa"/>
            <w:shd w:val="clear" w:color="auto" w:fill="auto"/>
            <w:noWrap/>
            <w:vAlign w:val="bottom"/>
            <w:hideMark/>
          </w:tcPr>
          <w:p w14:paraId="71A03733" w14:textId="77777777" w:rsidR="00F030EF" w:rsidRPr="00D14CD7" w:rsidRDefault="00F030EF" w:rsidP="00F030EF">
            <w:pPr>
              <w:spacing w:after="0" w:line="240" w:lineRule="auto"/>
              <w:jc w:val="right"/>
              <w:rPr>
                <w:rFonts w:eastAsia="Times New Roman"/>
                <w:color w:val="000000" w:themeColor="text1"/>
              </w:rPr>
            </w:pPr>
            <w:r w:rsidRPr="00D14CD7">
              <w:rPr>
                <w:rFonts w:eastAsia="Times New Roman"/>
                <w:color w:val="000000" w:themeColor="text1"/>
              </w:rPr>
              <w:t>66.9%</w:t>
            </w:r>
          </w:p>
        </w:tc>
        <w:tc>
          <w:tcPr>
            <w:tcW w:w="1181" w:type="dxa"/>
            <w:shd w:val="clear" w:color="auto" w:fill="auto"/>
            <w:noWrap/>
            <w:vAlign w:val="bottom"/>
            <w:hideMark/>
          </w:tcPr>
          <w:p w14:paraId="2A72886E" w14:textId="77777777" w:rsidR="00F030EF" w:rsidRPr="00D14CD7" w:rsidRDefault="00F030EF" w:rsidP="00F030EF">
            <w:pPr>
              <w:spacing w:after="0" w:line="240" w:lineRule="auto"/>
              <w:jc w:val="right"/>
              <w:rPr>
                <w:rFonts w:eastAsia="Times New Roman"/>
                <w:color w:val="000000" w:themeColor="text1"/>
              </w:rPr>
            </w:pPr>
            <w:r w:rsidRPr="00D14CD7">
              <w:rPr>
                <w:rFonts w:eastAsia="Times New Roman"/>
                <w:color w:val="000000" w:themeColor="text1"/>
              </w:rPr>
              <w:t>10.0%</w:t>
            </w:r>
          </w:p>
        </w:tc>
      </w:tr>
      <w:tr w:rsidR="00D14CD7" w:rsidRPr="00D14CD7" w14:paraId="6B1495B8" w14:textId="77777777" w:rsidTr="00630A69">
        <w:trPr>
          <w:trHeight w:val="315"/>
        </w:trPr>
        <w:tc>
          <w:tcPr>
            <w:tcW w:w="1728" w:type="dxa"/>
            <w:tcBorders>
              <w:right w:val="double" w:sz="4" w:space="0" w:color="auto"/>
            </w:tcBorders>
            <w:shd w:val="clear" w:color="auto" w:fill="auto"/>
            <w:noWrap/>
            <w:vAlign w:val="bottom"/>
            <w:hideMark/>
          </w:tcPr>
          <w:p w14:paraId="25BB61B4" w14:textId="77777777" w:rsidR="00F030EF" w:rsidRPr="00D14CD7" w:rsidRDefault="00F030EF" w:rsidP="00F030EF">
            <w:pPr>
              <w:spacing w:after="0" w:line="240" w:lineRule="auto"/>
              <w:jc w:val="left"/>
              <w:rPr>
                <w:rFonts w:eastAsia="Times New Roman"/>
                <w:color w:val="000000" w:themeColor="text1"/>
              </w:rPr>
            </w:pPr>
            <w:r w:rsidRPr="00D14CD7">
              <w:rPr>
                <w:rFonts w:eastAsia="Times New Roman"/>
                <w:color w:val="000000" w:themeColor="text1"/>
              </w:rPr>
              <w:t>5</w:t>
            </w:r>
          </w:p>
        </w:tc>
        <w:tc>
          <w:tcPr>
            <w:tcW w:w="1440" w:type="dxa"/>
            <w:tcBorders>
              <w:left w:val="double" w:sz="4" w:space="0" w:color="auto"/>
              <w:right w:val="double" w:sz="4" w:space="0" w:color="auto"/>
            </w:tcBorders>
            <w:shd w:val="clear" w:color="auto" w:fill="auto"/>
            <w:noWrap/>
            <w:vAlign w:val="bottom"/>
            <w:hideMark/>
          </w:tcPr>
          <w:p w14:paraId="20A00332" w14:textId="77777777" w:rsidR="00F030EF" w:rsidRPr="00D14CD7" w:rsidRDefault="00F030EF" w:rsidP="00F030EF">
            <w:pPr>
              <w:spacing w:after="0" w:line="240" w:lineRule="auto"/>
              <w:jc w:val="right"/>
              <w:rPr>
                <w:rFonts w:eastAsia="Times New Roman"/>
                <w:color w:val="000000" w:themeColor="text1"/>
              </w:rPr>
            </w:pPr>
            <w:r w:rsidRPr="00D14CD7">
              <w:rPr>
                <w:rFonts w:eastAsia="Times New Roman"/>
                <w:color w:val="000000" w:themeColor="text1"/>
              </w:rPr>
              <w:t>96</w:t>
            </w:r>
          </w:p>
        </w:tc>
        <w:tc>
          <w:tcPr>
            <w:tcW w:w="1180" w:type="dxa"/>
            <w:tcBorders>
              <w:left w:val="double" w:sz="4" w:space="0" w:color="auto"/>
            </w:tcBorders>
            <w:shd w:val="clear" w:color="auto" w:fill="auto"/>
            <w:noWrap/>
            <w:vAlign w:val="bottom"/>
            <w:hideMark/>
          </w:tcPr>
          <w:p w14:paraId="35A74F9C" w14:textId="77777777" w:rsidR="00F030EF" w:rsidRPr="00D14CD7" w:rsidRDefault="00F030EF" w:rsidP="00F030EF">
            <w:pPr>
              <w:spacing w:after="0" w:line="240" w:lineRule="auto"/>
              <w:jc w:val="right"/>
              <w:rPr>
                <w:rFonts w:eastAsia="Times New Roman"/>
                <w:color w:val="000000" w:themeColor="text1"/>
              </w:rPr>
            </w:pPr>
            <w:r w:rsidRPr="00D14CD7">
              <w:rPr>
                <w:rFonts w:eastAsia="Times New Roman"/>
                <w:color w:val="000000" w:themeColor="text1"/>
              </w:rPr>
              <w:t>16.3%</w:t>
            </w:r>
          </w:p>
        </w:tc>
        <w:tc>
          <w:tcPr>
            <w:tcW w:w="1181" w:type="dxa"/>
            <w:shd w:val="clear" w:color="auto" w:fill="auto"/>
            <w:noWrap/>
            <w:vAlign w:val="bottom"/>
            <w:hideMark/>
          </w:tcPr>
          <w:p w14:paraId="6EA5E138" w14:textId="77777777" w:rsidR="00F030EF" w:rsidRPr="00D14CD7" w:rsidRDefault="00F030EF" w:rsidP="00F030EF">
            <w:pPr>
              <w:spacing w:after="0" w:line="240" w:lineRule="auto"/>
              <w:jc w:val="right"/>
              <w:rPr>
                <w:rFonts w:eastAsia="Times New Roman"/>
                <w:color w:val="000000" w:themeColor="text1"/>
              </w:rPr>
            </w:pPr>
            <w:r w:rsidRPr="00D14CD7">
              <w:rPr>
                <w:rFonts w:eastAsia="Times New Roman"/>
                <w:color w:val="000000" w:themeColor="text1"/>
              </w:rPr>
              <w:t>6.0%</w:t>
            </w:r>
          </w:p>
        </w:tc>
        <w:tc>
          <w:tcPr>
            <w:tcW w:w="1180" w:type="dxa"/>
            <w:shd w:val="clear" w:color="auto" w:fill="auto"/>
            <w:noWrap/>
            <w:vAlign w:val="bottom"/>
            <w:hideMark/>
          </w:tcPr>
          <w:p w14:paraId="6CBE2178" w14:textId="77777777" w:rsidR="00F030EF" w:rsidRPr="00D14CD7" w:rsidRDefault="00F030EF" w:rsidP="00F030EF">
            <w:pPr>
              <w:spacing w:after="0" w:line="240" w:lineRule="auto"/>
              <w:jc w:val="right"/>
              <w:rPr>
                <w:rFonts w:eastAsia="Times New Roman"/>
                <w:color w:val="000000" w:themeColor="text1"/>
              </w:rPr>
            </w:pPr>
            <w:r w:rsidRPr="00D14CD7">
              <w:rPr>
                <w:rFonts w:eastAsia="Times New Roman"/>
                <w:color w:val="000000" w:themeColor="text1"/>
              </w:rPr>
              <w:t>64.4%</w:t>
            </w:r>
          </w:p>
        </w:tc>
        <w:tc>
          <w:tcPr>
            <w:tcW w:w="1181" w:type="dxa"/>
            <w:shd w:val="clear" w:color="auto" w:fill="auto"/>
            <w:noWrap/>
            <w:vAlign w:val="bottom"/>
            <w:hideMark/>
          </w:tcPr>
          <w:p w14:paraId="5516E9CF" w14:textId="77777777" w:rsidR="00F030EF" w:rsidRPr="00D14CD7" w:rsidRDefault="00F030EF" w:rsidP="00F030EF">
            <w:pPr>
              <w:spacing w:after="0" w:line="240" w:lineRule="auto"/>
              <w:jc w:val="right"/>
              <w:rPr>
                <w:rFonts w:eastAsia="Times New Roman"/>
                <w:color w:val="000000" w:themeColor="text1"/>
              </w:rPr>
            </w:pPr>
            <w:r w:rsidRPr="00D14CD7">
              <w:rPr>
                <w:rFonts w:eastAsia="Times New Roman"/>
                <w:color w:val="000000" w:themeColor="text1"/>
              </w:rPr>
              <w:t>13.3%</w:t>
            </w:r>
          </w:p>
        </w:tc>
      </w:tr>
      <w:tr w:rsidR="00D14CD7" w:rsidRPr="00D14CD7" w14:paraId="6036A84C" w14:textId="77777777" w:rsidTr="00630A69">
        <w:trPr>
          <w:trHeight w:val="315"/>
        </w:trPr>
        <w:tc>
          <w:tcPr>
            <w:tcW w:w="1728" w:type="dxa"/>
            <w:tcBorders>
              <w:right w:val="double" w:sz="4" w:space="0" w:color="auto"/>
            </w:tcBorders>
            <w:shd w:val="clear" w:color="auto" w:fill="auto"/>
            <w:noWrap/>
            <w:vAlign w:val="bottom"/>
            <w:hideMark/>
          </w:tcPr>
          <w:p w14:paraId="0FC0A6C9" w14:textId="77777777" w:rsidR="00F030EF" w:rsidRPr="00D14CD7" w:rsidRDefault="00F030EF" w:rsidP="00F030EF">
            <w:pPr>
              <w:spacing w:after="0" w:line="240" w:lineRule="auto"/>
              <w:jc w:val="left"/>
              <w:rPr>
                <w:rFonts w:eastAsia="Times New Roman"/>
                <w:color w:val="000000" w:themeColor="text1"/>
              </w:rPr>
            </w:pPr>
            <w:r w:rsidRPr="00D14CD7">
              <w:rPr>
                <w:rFonts w:eastAsia="Times New Roman"/>
                <w:color w:val="000000" w:themeColor="text1"/>
              </w:rPr>
              <w:t>6</w:t>
            </w:r>
          </w:p>
        </w:tc>
        <w:tc>
          <w:tcPr>
            <w:tcW w:w="1440" w:type="dxa"/>
            <w:tcBorders>
              <w:left w:val="double" w:sz="4" w:space="0" w:color="auto"/>
              <w:right w:val="double" w:sz="4" w:space="0" w:color="auto"/>
            </w:tcBorders>
            <w:shd w:val="clear" w:color="auto" w:fill="auto"/>
            <w:noWrap/>
            <w:vAlign w:val="bottom"/>
            <w:hideMark/>
          </w:tcPr>
          <w:p w14:paraId="6CCB3912" w14:textId="77777777" w:rsidR="00F030EF" w:rsidRPr="00D14CD7" w:rsidRDefault="00F030EF" w:rsidP="00F030EF">
            <w:pPr>
              <w:spacing w:after="0" w:line="240" w:lineRule="auto"/>
              <w:jc w:val="right"/>
              <w:rPr>
                <w:rFonts w:eastAsia="Times New Roman"/>
                <w:color w:val="000000" w:themeColor="text1"/>
              </w:rPr>
            </w:pPr>
            <w:r w:rsidRPr="00D14CD7">
              <w:rPr>
                <w:rFonts w:eastAsia="Times New Roman"/>
                <w:color w:val="000000" w:themeColor="text1"/>
              </w:rPr>
              <w:t>39</w:t>
            </w:r>
          </w:p>
        </w:tc>
        <w:tc>
          <w:tcPr>
            <w:tcW w:w="1180" w:type="dxa"/>
            <w:tcBorders>
              <w:left w:val="double" w:sz="4" w:space="0" w:color="auto"/>
            </w:tcBorders>
            <w:shd w:val="clear" w:color="auto" w:fill="auto"/>
            <w:noWrap/>
            <w:vAlign w:val="bottom"/>
            <w:hideMark/>
          </w:tcPr>
          <w:p w14:paraId="4B594F64" w14:textId="77777777" w:rsidR="00F030EF" w:rsidRPr="00D14CD7" w:rsidRDefault="00F030EF" w:rsidP="00F030EF">
            <w:pPr>
              <w:spacing w:after="0" w:line="240" w:lineRule="auto"/>
              <w:jc w:val="right"/>
              <w:rPr>
                <w:rFonts w:eastAsia="Times New Roman"/>
                <w:color w:val="000000" w:themeColor="text1"/>
              </w:rPr>
            </w:pPr>
            <w:r w:rsidRPr="00D14CD7">
              <w:rPr>
                <w:rFonts w:eastAsia="Times New Roman"/>
                <w:color w:val="000000" w:themeColor="text1"/>
              </w:rPr>
              <w:t>15.4%</w:t>
            </w:r>
          </w:p>
        </w:tc>
        <w:tc>
          <w:tcPr>
            <w:tcW w:w="1181" w:type="dxa"/>
            <w:shd w:val="clear" w:color="auto" w:fill="auto"/>
            <w:noWrap/>
            <w:vAlign w:val="bottom"/>
            <w:hideMark/>
          </w:tcPr>
          <w:p w14:paraId="3C477FE0" w14:textId="77777777" w:rsidR="00F030EF" w:rsidRPr="00D14CD7" w:rsidRDefault="00F030EF" w:rsidP="00F030EF">
            <w:pPr>
              <w:spacing w:after="0" w:line="240" w:lineRule="auto"/>
              <w:jc w:val="right"/>
              <w:rPr>
                <w:rFonts w:eastAsia="Times New Roman"/>
                <w:color w:val="000000" w:themeColor="text1"/>
              </w:rPr>
            </w:pPr>
            <w:r w:rsidRPr="00D14CD7">
              <w:rPr>
                <w:rFonts w:eastAsia="Times New Roman"/>
                <w:color w:val="000000" w:themeColor="text1"/>
              </w:rPr>
              <w:t>8.1%</w:t>
            </w:r>
          </w:p>
        </w:tc>
        <w:tc>
          <w:tcPr>
            <w:tcW w:w="1180" w:type="dxa"/>
            <w:shd w:val="clear" w:color="auto" w:fill="auto"/>
            <w:noWrap/>
            <w:vAlign w:val="bottom"/>
            <w:hideMark/>
          </w:tcPr>
          <w:p w14:paraId="1E019855" w14:textId="77777777" w:rsidR="00F030EF" w:rsidRPr="00D14CD7" w:rsidRDefault="00F030EF" w:rsidP="00F030EF">
            <w:pPr>
              <w:spacing w:after="0" w:line="240" w:lineRule="auto"/>
              <w:jc w:val="right"/>
              <w:rPr>
                <w:rFonts w:eastAsia="Times New Roman"/>
                <w:color w:val="000000" w:themeColor="text1"/>
              </w:rPr>
            </w:pPr>
            <w:r w:rsidRPr="00D14CD7">
              <w:rPr>
                <w:rFonts w:eastAsia="Times New Roman"/>
                <w:color w:val="000000" w:themeColor="text1"/>
              </w:rPr>
              <w:t>68.8%</w:t>
            </w:r>
          </w:p>
        </w:tc>
        <w:tc>
          <w:tcPr>
            <w:tcW w:w="1181" w:type="dxa"/>
            <w:shd w:val="clear" w:color="auto" w:fill="auto"/>
            <w:noWrap/>
            <w:vAlign w:val="bottom"/>
            <w:hideMark/>
          </w:tcPr>
          <w:p w14:paraId="3E3DB432" w14:textId="77777777" w:rsidR="00F030EF" w:rsidRPr="00D14CD7" w:rsidRDefault="00F030EF" w:rsidP="00F030EF">
            <w:pPr>
              <w:spacing w:after="0" w:line="240" w:lineRule="auto"/>
              <w:jc w:val="right"/>
              <w:rPr>
                <w:rFonts w:eastAsia="Times New Roman"/>
                <w:color w:val="000000" w:themeColor="text1"/>
              </w:rPr>
            </w:pPr>
            <w:r w:rsidRPr="00D14CD7">
              <w:rPr>
                <w:rFonts w:eastAsia="Times New Roman"/>
                <w:color w:val="000000" w:themeColor="text1"/>
              </w:rPr>
              <w:t>7.7%</w:t>
            </w:r>
          </w:p>
        </w:tc>
      </w:tr>
      <w:tr w:rsidR="00D14CD7" w:rsidRPr="00D14CD7" w14:paraId="2EDA2195" w14:textId="77777777" w:rsidTr="00630A69">
        <w:trPr>
          <w:trHeight w:val="315"/>
        </w:trPr>
        <w:tc>
          <w:tcPr>
            <w:tcW w:w="1728" w:type="dxa"/>
            <w:tcBorders>
              <w:right w:val="double" w:sz="4" w:space="0" w:color="auto"/>
            </w:tcBorders>
            <w:shd w:val="clear" w:color="auto" w:fill="auto"/>
            <w:noWrap/>
            <w:vAlign w:val="bottom"/>
            <w:hideMark/>
          </w:tcPr>
          <w:p w14:paraId="2BE3460D" w14:textId="77777777" w:rsidR="00F030EF" w:rsidRPr="00D14CD7" w:rsidRDefault="00F030EF" w:rsidP="00F030EF">
            <w:pPr>
              <w:spacing w:after="0" w:line="240" w:lineRule="auto"/>
              <w:jc w:val="left"/>
              <w:rPr>
                <w:rFonts w:eastAsia="Times New Roman"/>
                <w:color w:val="000000" w:themeColor="text1"/>
              </w:rPr>
            </w:pPr>
            <w:r w:rsidRPr="00D14CD7">
              <w:rPr>
                <w:rFonts w:eastAsia="Times New Roman"/>
                <w:color w:val="000000" w:themeColor="text1"/>
              </w:rPr>
              <w:t>7</w:t>
            </w:r>
          </w:p>
        </w:tc>
        <w:tc>
          <w:tcPr>
            <w:tcW w:w="1440" w:type="dxa"/>
            <w:tcBorders>
              <w:left w:val="double" w:sz="4" w:space="0" w:color="auto"/>
              <w:right w:val="double" w:sz="4" w:space="0" w:color="auto"/>
            </w:tcBorders>
            <w:shd w:val="clear" w:color="auto" w:fill="auto"/>
            <w:noWrap/>
            <w:vAlign w:val="bottom"/>
            <w:hideMark/>
          </w:tcPr>
          <w:p w14:paraId="49031D6A" w14:textId="77777777" w:rsidR="00F030EF" w:rsidRPr="00D14CD7" w:rsidRDefault="00F030EF" w:rsidP="00F030EF">
            <w:pPr>
              <w:spacing w:after="0" w:line="240" w:lineRule="auto"/>
              <w:jc w:val="right"/>
              <w:rPr>
                <w:rFonts w:eastAsia="Times New Roman"/>
                <w:color w:val="000000" w:themeColor="text1"/>
              </w:rPr>
            </w:pPr>
            <w:r w:rsidRPr="00D14CD7">
              <w:rPr>
                <w:rFonts w:eastAsia="Times New Roman"/>
                <w:color w:val="000000" w:themeColor="text1"/>
              </w:rPr>
              <w:t>12</w:t>
            </w:r>
          </w:p>
        </w:tc>
        <w:tc>
          <w:tcPr>
            <w:tcW w:w="1180" w:type="dxa"/>
            <w:tcBorders>
              <w:left w:val="double" w:sz="4" w:space="0" w:color="auto"/>
            </w:tcBorders>
            <w:shd w:val="clear" w:color="auto" w:fill="auto"/>
            <w:noWrap/>
            <w:vAlign w:val="bottom"/>
            <w:hideMark/>
          </w:tcPr>
          <w:p w14:paraId="178C4A4B" w14:textId="77777777" w:rsidR="00F030EF" w:rsidRPr="00D14CD7" w:rsidRDefault="00F030EF" w:rsidP="00F030EF">
            <w:pPr>
              <w:spacing w:after="0" w:line="240" w:lineRule="auto"/>
              <w:jc w:val="right"/>
              <w:rPr>
                <w:rFonts w:eastAsia="Times New Roman"/>
                <w:color w:val="000000" w:themeColor="text1"/>
              </w:rPr>
            </w:pPr>
            <w:r w:rsidRPr="00D14CD7">
              <w:rPr>
                <w:rFonts w:eastAsia="Times New Roman"/>
                <w:color w:val="000000" w:themeColor="text1"/>
              </w:rPr>
              <w:t>26.2%</w:t>
            </w:r>
          </w:p>
        </w:tc>
        <w:tc>
          <w:tcPr>
            <w:tcW w:w="1181" w:type="dxa"/>
            <w:shd w:val="clear" w:color="auto" w:fill="auto"/>
            <w:noWrap/>
            <w:vAlign w:val="bottom"/>
            <w:hideMark/>
          </w:tcPr>
          <w:p w14:paraId="7C0AF077" w14:textId="77777777" w:rsidR="00F030EF" w:rsidRPr="00D14CD7" w:rsidRDefault="00F030EF" w:rsidP="00F030EF">
            <w:pPr>
              <w:spacing w:after="0" w:line="240" w:lineRule="auto"/>
              <w:jc w:val="right"/>
              <w:rPr>
                <w:rFonts w:eastAsia="Times New Roman"/>
                <w:color w:val="000000" w:themeColor="text1"/>
              </w:rPr>
            </w:pPr>
            <w:r w:rsidRPr="00D14CD7">
              <w:rPr>
                <w:rFonts w:eastAsia="Times New Roman"/>
                <w:color w:val="000000" w:themeColor="text1"/>
              </w:rPr>
              <w:t>4.8%</w:t>
            </w:r>
          </w:p>
        </w:tc>
        <w:tc>
          <w:tcPr>
            <w:tcW w:w="1180" w:type="dxa"/>
            <w:shd w:val="clear" w:color="auto" w:fill="auto"/>
            <w:noWrap/>
            <w:vAlign w:val="bottom"/>
            <w:hideMark/>
          </w:tcPr>
          <w:p w14:paraId="4AB80189" w14:textId="77777777" w:rsidR="00F030EF" w:rsidRPr="00D14CD7" w:rsidRDefault="00F030EF" w:rsidP="00F030EF">
            <w:pPr>
              <w:spacing w:after="0" w:line="240" w:lineRule="auto"/>
              <w:jc w:val="right"/>
              <w:rPr>
                <w:rFonts w:eastAsia="Times New Roman"/>
                <w:color w:val="000000" w:themeColor="text1"/>
              </w:rPr>
            </w:pPr>
            <w:r w:rsidRPr="00D14CD7">
              <w:rPr>
                <w:rFonts w:eastAsia="Times New Roman"/>
                <w:color w:val="000000" w:themeColor="text1"/>
              </w:rPr>
              <w:t>60.7%</w:t>
            </w:r>
          </w:p>
        </w:tc>
        <w:tc>
          <w:tcPr>
            <w:tcW w:w="1181" w:type="dxa"/>
            <w:shd w:val="clear" w:color="auto" w:fill="auto"/>
            <w:noWrap/>
            <w:vAlign w:val="bottom"/>
            <w:hideMark/>
          </w:tcPr>
          <w:p w14:paraId="101FCBCD" w14:textId="77777777" w:rsidR="00F030EF" w:rsidRPr="00D14CD7" w:rsidRDefault="00F030EF" w:rsidP="00F030EF">
            <w:pPr>
              <w:spacing w:after="0" w:line="240" w:lineRule="auto"/>
              <w:jc w:val="right"/>
              <w:rPr>
                <w:rFonts w:eastAsia="Times New Roman"/>
                <w:color w:val="000000" w:themeColor="text1"/>
              </w:rPr>
            </w:pPr>
            <w:r w:rsidRPr="00D14CD7">
              <w:rPr>
                <w:rFonts w:eastAsia="Times New Roman"/>
                <w:color w:val="000000" w:themeColor="text1"/>
              </w:rPr>
              <w:t>8.3%</w:t>
            </w:r>
          </w:p>
        </w:tc>
      </w:tr>
      <w:tr w:rsidR="00D14CD7" w:rsidRPr="00D14CD7" w14:paraId="460E2322" w14:textId="77777777" w:rsidTr="00630A69">
        <w:trPr>
          <w:trHeight w:val="315"/>
        </w:trPr>
        <w:tc>
          <w:tcPr>
            <w:tcW w:w="1728" w:type="dxa"/>
            <w:tcBorders>
              <w:right w:val="double" w:sz="4" w:space="0" w:color="auto"/>
            </w:tcBorders>
            <w:shd w:val="clear" w:color="auto" w:fill="auto"/>
            <w:noWrap/>
            <w:vAlign w:val="bottom"/>
            <w:hideMark/>
          </w:tcPr>
          <w:p w14:paraId="01472E1E" w14:textId="77777777" w:rsidR="00F030EF" w:rsidRPr="00D14CD7" w:rsidRDefault="00F030EF" w:rsidP="00F030EF">
            <w:pPr>
              <w:spacing w:after="0" w:line="240" w:lineRule="auto"/>
              <w:jc w:val="left"/>
              <w:rPr>
                <w:rFonts w:eastAsia="Times New Roman"/>
                <w:color w:val="000000" w:themeColor="text1"/>
              </w:rPr>
            </w:pPr>
            <w:r w:rsidRPr="00D14CD7">
              <w:rPr>
                <w:rFonts w:eastAsia="Times New Roman"/>
                <w:color w:val="000000" w:themeColor="text1"/>
              </w:rPr>
              <w:t>8 to 9</w:t>
            </w:r>
          </w:p>
        </w:tc>
        <w:tc>
          <w:tcPr>
            <w:tcW w:w="1440" w:type="dxa"/>
            <w:tcBorders>
              <w:left w:val="double" w:sz="4" w:space="0" w:color="auto"/>
              <w:right w:val="double" w:sz="4" w:space="0" w:color="auto"/>
            </w:tcBorders>
            <w:shd w:val="clear" w:color="auto" w:fill="auto"/>
            <w:noWrap/>
            <w:vAlign w:val="bottom"/>
            <w:hideMark/>
          </w:tcPr>
          <w:p w14:paraId="22C0F856" w14:textId="77777777" w:rsidR="00F030EF" w:rsidRPr="00D14CD7" w:rsidRDefault="00F030EF" w:rsidP="00F030EF">
            <w:pPr>
              <w:spacing w:after="0" w:line="240" w:lineRule="auto"/>
              <w:jc w:val="right"/>
              <w:rPr>
                <w:rFonts w:eastAsia="Times New Roman"/>
                <w:color w:val="000000" w:themeColor="text1"/>
              </w:rPr>
            </w:pPr>
            <w:r w:rsidRPr="00D14CD7">
              <w:rPr>
                <w:rFonts w:eastAsia="Times New Roman"/>
                <w:color w:val="000000" w:themeColor="text1"/>
              </w:rPr>
              <w:t>46</w:t>
            </w:r>
          </w:p>
        </w:tc>
        <w:tc>
          <w:tcPr>
            <w:tcW w:w="1180" w:type="dxa"/>
            <w:tcBorders>
              <w:left w:val="double" w:sz="4" w:space="0" w:color="auto"/>
            </w:tcBorders>
            <w:shd w:val="clear" w:color="auto" w:fill="auto"/>
            <w:noWrap/>
            <w:vAlign w:val="bottom"/>
            <w:hideMark/>
          </w:tcPr>
          <w:p w14:paraId="6003C100" w14:textId="77777777" w:rsidR="00F030EF" w:rsidRPr="00D14CD7" w:rsidRDefault="00F030EF" w:rsidP="00F030EF">
            <w:pPr>
              <w:spacing w:after="0" w:line="240" w:lineRule="auto"/>
              <w:jc w:val="right"/>
              <w:rPr>
                <w:rFonts w:eastAsia="Times New Roman"/>
                <w:color w:val="000000" w:themeColor="text1"/>
              </w:rPr>
            </w:pPr>
            <w:r w:rsidRPr="00D14CD7">
              <w:rPr>
                <w:rFonts w:eastAsia="Times New Roman"/>
                <w:color w:val="000000" w:themeColor="text1"/>
              </w:rPr>
              <w:t>20.4%</w:t>
            </w:r>
          </w:p>
        </w:tc>
        <w:tc>
          <w:tcPr>
            <w:tcW w:w="1181" w:type="dxa"/>
            <w:shd w:val="clear" w:color="auto" w:fill="auto"/>
            <w:noWrap/>
            <w:vAlign w:val="bottom"/>
            <w:hideMark/>
          </w:tcPr>
          <w:p w14:paraId="0B100677" w14:textId="77777777" w:rsidR="00F030EF" w:rsidRPr="00D14CD7" w:rsidRDefault="00F030EF" w:rsidP="00F030EF">
            <w:pPr>
              <w:spacing w:after="0" w:line="240" w:lineRule="auto"/>
              <w:jc w:val="right"/>
              <w:rPr>
                <w:rFonts w:eastAsia="Times New Roman"/>
                <w:color w:val="000000" w:themeColor="text1"/>
              </w:rPr>
            </w:pPr>
            <w:r w:rsidRPr="00D14CD7">
              <w:rPr>
                <w:rFonts w:eastAsia="Times New Roman"/>
                <w:color w:val="000000" w:themeColor="text1"/>
              </w:rPr>
              <w:t>8.0%</w:t>
            </w:r>
          </w:p>
        </w:tc>
        <w:tc>
          <w:tcPr>
            <w:tcW w:w="1180" w:type="dxa"/>
            <w:shd w:val="clear" w:color="auto" w:fill="auto"/>
            <w:noWrap/>
            <w:vAlign w:val="bottom"/>
            <w:hideMark/>
          </w:tcPr>
          <w:p w14:paraId="00D4BCC8" w14:textId="77777777" w:rsidR="00F030EF" w:rsidRPr="00D14CD7" w:rsidRDefault="00F030EF" w:rsidP="00F030EF">
            <w:pPr>
              <w:spacing w:after="0" w:line="240" w:lineRule="auto"/>
              <w:jc w:val="right"/>
              <w:rPr>
                <w:rFonts w:eastAsia="Times New Roman"/>
                <w:color w:val="000000" w:themeColor="text1"/>
              </w:rPr>
            </w:pPr>
            <w:r w:rsidRPr="00D14CD7">
              <w:rPr>
                <w:rFonts w:eastAsia="Times New Roman"/>
                <w:color w:val="000000" w:themeColor="text1"/>
              </w:rPr>
              <w:t>60.6%</w:t>
            </w:r>
          </w:p>
        </w:tc>
        <w:tc>
          <w:tcPr>
            <w:tcW w:w="1181" w:type="dxa"/>
            <w:shd w:val="clear" w:color="auto" w:fill="auto"/>
            <w:noWrap/>
            <w:vAlign w:val="bottom"/>
            <w:hideMark/>
          </w:tcPr>
          <w:p w14:paraId="7C5AE4F2" w14:textId="77777777" w:rsidR="00F030EF" w:rsidRPr="00D14CD7" w:rsidRDefault="00F030EF" w:rsidP="00F030EF">
            <w:pPr>
              <w:spacing w:after="0" w:line="240" w:lineRule="auto"/>
              <w:jc w:val="right"/>
              <w:rPr>
                <w:rFonts w:eastAsia="Times New Roman"/>
                <w:color w:val="000000" w:themeColor="text1"/>
              </w:rPr>
            </w:pPr>
            <w:r w:rsidRPr="00D14CD7">
              <w:rPr>
                <w:rFonts w:eastAsia="Times New Roman"/>
                <w:color w:val="000000" w:themeColor="text1"/>
              </w:rPr>
              <w:t>11.0%</w:t>
            </w:r>
          </w:p>
        </w:tc>
      </w:tr>
      <w:tr w:rsidR="00D14CD7" w:rsidRPr="00D14CD7" w14:paraId="74054D59" w14:textId="77777777" w:rsidTr="00630A69">
        <w:trPr>
          <w:trHeight w:val="315"/>
        </w:trPr>
        <w:tc>
          <w:tcPr>
            <w:tcW w:w="1728" w:type="dxa"/>
            <w:tcBorders>
              <w:right w:val="double" w:sz="4" w:space="0" w:color="auto"/>
            </w:tcBorders>
            <w:shd w:val="clear" w:color="auto" w:fill="auto"/>
            <w:noWrap/>
            <w:vAlign w:val="bottom"/>
            <w:hideMark/>
          </w:tcPr>
          <w:p w14:paraId="2766A11A" w14:textId="77777777" w:rsidR="00F030EF" w:rsidRPr="00D14CD7" w:rsidRDefault="00F030EF" w:rsidP="00F030EF">
            <w:pPr>
              <w:spacing w:after="0" w:line="240" w:lineRule="auto"/>
              <w:jc w:val="left"/>
              <w:rPr>
                <w:rFonts w:eastAsia="Times New Roman"/>
                <w:color w:val="000000" w:themeColor="text1"/>
              </w:rPr>
            </w:pPr>
            <w:r w:rsidRPr="00D14CD7">
              <w:rPr>
                <w:rFonts w:eastAsia="Times New Roman"/>
                <w:color w:val="000000" w:themeColor="text1"/>
              </w:rPr>
              <w:t>10</w:t>
            </w:r>
          </w:p>
        </w:tc>
        <w:tc>
          <w:tcPr>
            <w:tcW w:w="1440" w:type="dxa"/>
            <w:tcBorders>
              <w:left w:val="double" w:sz="4" w:space="0" w:color="auto"/>
              <w:right w:val="double" w:sz="4" w:space="0" w:color="auto"/>
            </w:tcBorders>
            <w:shd w:val="clear" w:color="auto" w:fill="auto"/>
            <w:noWrap/>
            <w:vAlign w:val="bottom"/>
            <w:hideMark/>
          </w:tcPr>
          <w:p w14:paraId="273F1C71" w14:textId="77777777" w:rsidR="00F030EF" w:rsidRPr="00D14CD7" w:rsidRDefault="00F030EF" w:rsidP="00F030EF">
            <w:pPr>
              <w:spacing w:after="0" w:line="240" w:lineRule="auto"/>
              <w:jc w:val="right"/>
              <w:rPr>
                <w:rFonts w:eastAsia="Times New Roman"/>
                <w:color w:val="000000" w:themeColor="text1"/>
              </w:rPr>
            </w:pPr>
            <w:r w:rsidRPr="00D14CD7">
              <w:rPr>
                <w:rFonts w:eastAsia="Times New Roman"/>
                <w:color w:val="000000" w:themeColor="text1"/>
              </w:rPr>
              <w:t>67</w:t>
            </w:r>
          </w:p>
        </w:tc>
        <w:tc>
          <w:tcPr>
            <w:tcW w:w="1180" w:type="dxa"/>
            <w:tcBorders>
              <w:left w:val="double" w:sz="4" w:space="0" w:color="auto"/>
            </w:tcBorders>
            <w:shd w:val="clear" w:color="auto" w:fill="auto"/>
            <w:noWrap/>
            <w:vAlign w:val="bottom"/>
            <w:hideMark/>
          </w:tcPr>
          <w:p w14:paraId="3B32E528" w14:textId="77777777" w:rsidR="00F030EF" w:rsidRPr="00D14CD7" w:rsidRDefault="00F030EF" w:rsidP="00F030EF">
            <w:pPr>
              <w:spacing w:after="0" w:line="240" w:lineRule="auto"/>
              <w:jc w:val="right"/>
              <w:rPr>
                <w:rFonts w:eastAsia="Times New Roman"/>
                <w:color w:val="000000" w:themeColor="text1"/>
              </w:rPr>
            </w:pPr>
            <w:r w:rsidRPr="00D14CD7">
              <w:rPr>
                <w:rFonts w:eastAsia="Times New Roman"/>
                <w:color w:val="000000" w:themeColor="text1"/>
              </w:rPr>
              <w:t>26.0%</w:t>
            </w:r>
          </w:p>
        </w:tc>
        <w:tc>
          <w:tcPr>
            <w:tcW w:w="1181" w:type="dxa"/>
            <w:shd w:val="clear" w:color="auto" w:fill="auto"/>
            <w:noWrap/>
            <w:vAlign w:val="bottom"/>
            <w:hideMark/>
          </w:tcPr>
          <w:p w14:paraId="2A8DFBA9" w14:textId="77777777" w:rsidR="00F030EF" w:rsidRPr="00D14CD7" w:rsidRDefault="00F030EF" w:rsidP="00F030EF">
            <w:pPr>
              <w:spacing w:after="0" w:line="240" w:lineRule="auto"/>
              <w:jc w:val="right"/>
              <w:rPr>
                <w:rFonts w:eastAsia="Times New Roman"/>
                <w:color w:val="000000" w:themeColor="text1"/>
              </w:rPr>
            </w:pPr>
            <w:r w:rsidRPr="00D14CD7">
              <w:rPr>
                <w:rFonts w:eastAsia="Times New Roman"/>
                <w:color w:val="000000" w:themeColor="text1"/>
              </w:rPr>
              <w:t>9.6%</w:t>
            </w:r>
          </w:p>
        </w:tc>
        <w:tc>
          <w:tcPr>
            <w:tcW w:w="1180" w:type="dxa"/>
            <w:shd w:val="clear" w:color="auto" w:fill="auto"/>
            <w:noWrap/>
            <w:vAlign w:val="bottom"/>
            <w:hideMark/>
          </w:tcPr>
          <w:p w14:paraId="23FC4ADA" w14:textId="77777777" w:rsidR="00F030EF" w:rsidRPr="00D14CD7" w:rsidRDefault="00F030EF" w:rsidP="00F030EF">
            <w:pPr>
              <w:spacing w:after="0" w:line="240" w:lineRule="auto"/>
              <w:jc w:val="right"/>
              <w:rPr>
                <w:rFonts w:eastAsia="Times New Roman"/>
                <w:color w:val="000000" w:themeColor="text1"/>
              </w:rPr>
            </w:pPr>
            <w:r w:rsidRPr="00D14CD7">
              <w:rPr>
                <w:rFonts w:eastAsia="Times New Roman"/>
                <w:color w:val="000000" w:themeColor="text1"/>
              </w:rPr>
              <w:t>55.5%</w:t>
            </w:r>
          </w:p>
        </w:tc>
        <w:tc>
          <w:tcPr>
            <w:tcW w:w="1181" w:type="dxa"/>
            <w:shd w:val="clear" w:color="auto" w:fill="auto"/>
            <w:noWrap/>
            <w:vAlign w:val="bottom"/>
            <w:hideMark/>
          </w:tcPr>
          <w:p w14:paraId="20D05979" w14:textId="77777777" w:rsidR="00F030EF" w:rsidRPr="00D14CD7" w:rsidRDefault="00F030EF" w:rsidP="00F030EF">
            <w:pPr>
              <w:spacing w:after="0" w:line="240" w:lineRule="auto"/>
              <w:jc w:val="right"/>
              <w:rPr>
                <w:rFonts w:eastAsia="Times New Roman"/>
                <w:color w:val="000000" w:themeColor="text1"/>
              </w:rPr>
            </w:pPr>
            <w:r w:rsidRPr="00D14CD7">
              <w:rPr>
                <w:rFonts w:eastAsia="Times New Roman"/>
                <w:color w:val="000000" w:themeColor="text1"/>
              </w:rPr>
              <w:t>9.0%</w:t>
            </w:r>
          </w:p>
        </w:tc>
      </w:tr>
      <w:tr w:rsidR="00D14CD7" w:rsidRPr="00D14CD7" w14:paraId="177DAFAE" w14:textId="77777777" w:rsidTr="00630A69">
        <w:trPr>
          <w:trHeight w:val="315"/>
        </w:trPr>
        <w:tc>
          <w:tcPr>
            <w:tcW w:w="1728" w:type="dxa"/>
            <w:tcBorders>
              <w:right w:val="double" w:sz="4" w:space="0" w:color="auto"/>
            </w:tcBorders>
            <w:shd w:val="clear" w:color="auto" w:fill="auto"/>
            <w:noWrap/>
            <w:vAlign w:val="bottom"/>
            <w:hideMark/>
          </w:tcPr>
          <w:p w14:paraId="0A7539BC" w14:textId="77777777" w:rsidR="00F030EF" w:rsidRPr="00D14CD7" w:rsidRDefault="00F030EF" w:rsidP="00F030EF">
            <w:pPr>
              <w:spacing w:after="0" w:line="240" w:lineRule="auto"/>
              <w:jc w:val="left"/>
              <w:rPr>
                <w:rFonts w:eastAsia="Times New Roman"/>
                <w:color w:val="000000" w:themeColor="text1"/>
              </w:rPr>
            </w:pPr>
            <w:r w:rsidRPr="00D14CD7">
              <w:rPr>
                <w:rFonts w:eastAsia="Times New Roman"/>
                <w:color w:val="000000" w:themeColor="text1"/>
              </w:rPr>
              <w:t>11 to 15</w:t>
            </w:r>
          </w:p>
        </w:tc>
        <w:tc>
          <w:tcPr>
            <w:tcW w:w="1440" w:type="dxa"/>
            <w:tcBorders>
              <w:left w:val="double" w:sz="4" w:space="0" w:color="auto"/>
              <w:right w:val="double" w:sz="4" w:space="0" w:color="auto"/>
            </w:tcBorders>
            <w:shd w:val="clear" w:color="auto" w:fill="auto"/>
            <w:noWrap/>
            <w:vAlign w:val="bottom"/>
            <w:hideMark/>
          </w:tcPr>
          <w:p w14:paraId="4E349213" w14:textId="77777777" w:rsidR="00F030EF" w:rsidRPr="00D14CD7" w:rsidRDefault="00F030EF" w:rsidP="00F030EF">
            <w:pPr>
              <w:spacing w:after="0" w:line="240" w:lineRule="auto"/>
              <w:jc w:val="right"/>
              <w:rPr>
                <w:rFonts w:eastAsia="Times New Roman"/>
                <w:color w:val="000000" w:themeColor="text1"/>
              </w:rPr>
            </w:pPr>
            <w:r w:rsidRPr="00D14CD7">
              <w:rPr>
                <w:rFonts w:eastAsia="Times New Roman"/>
                <w:color w:val="000000" w:themeColor="text1"/>
              </w:rPr>
              <w:t>29</w:t>
            </w:r>
          </w:p>
        </w:tc>
        <w:tc>
          <w:tcPr>
            <w:tcW w:w="1180" w:type="dxa"/>
            <w:tcBorders>
              <w:left w:val="double" w:sz="4" w:space="0" w:color="auto"/>
            </w:tcBorders>
            <w:shd w:val="clear" w:color="auto" w:fill="auto"/>
            <w:noWrap/>
            <w:vAlign w:val="bottom"/>
            <w:hideMark/>
          </w:tcPr>
          <w:p w14:paraId="51D4C642" w14:textId="77777777" w:rsidR="00F030EF" w:rsidRPr="00D14CD7" w:rsidRDefault="00F030EF" w:rsidP="00F030EF">
            <w:pPr>
              <w:spacing w:after="0" w:line="240" w:lineRule="auto"/>
              <w:jc w:val="right"/>
              <w:rPr>
                <w:rFonts w:eastAsia="Times New Roman"/>
                <w:color w:val="000000" w:themeColor="text1"/>
              </w:rPr>
            </w:pPr>
            <w:r w:rsidRPr="00D14CD7">
              <w:rPr>
                <w:rFonts w:eastAsia="Times New Roman"/>
                <w:color w:val="000000" w:themeColor="text1"/>
              </w:rPr>
              <w:t>28.6%</w:t>
            </w:r>
          </w:p>
        </w:tc>
        <w:tc>
          <w:tcPr>
            <w:tcW w:w="1181" w:type="dxa"/>
            <w:shd w:val="clear" w:color="auto" w:fill="auto"/>
            <w:noWrap/>
            <w:vAlign w:val="bottom"/>
            <w:hideMark/>
          </w:tcPr>
          <w:p w14:paraId="6AC6A645" w14:textId="77777777" w:rsidR="00F030EF" w:rsidRPr="00D14CD7" w:rsidRDefault="00F030EF" w:rsidP="00F030EF">
            <w:pPr>
              <w:spacing w:after="0" w:line="240" w:lineRule="auto"/>
              <w:jc w:val="right"/>
              <w:rPr>
                <w:rFonts w:eastAsia="Times New Roman"/>
                <w:color w:val="000000" w:themeColor="text1"/>
              </w:rPr>
            </w:pPr>
            <w:r w:rsidRPr="00D14CD7">
              <w:rPr>
                <w:rFonts w:eastAsia="Times New Roman"/>
                <w:color w:val="000000" w:themeColor="text1"/>
              </w:rPr>
              <w:t>4.2%</w:t>
            </w:r>
          </w:p>
        </w:tc>
        <w:tc>
          <w:tcPr>
            <w:tcW w:w="1180" w:type="dxa"/>
            <w:shd w:val="clear" w:color="auto" w:fill="auto"/>
            <w:noWrap/>
            <w:vAlign w:val="bottom"/>
            <w:hideMark/>
          </w:tcPr>
          <w:p w14:paraId="61E58C2A" w14:textId="77777777" w:rsidR="00F030EF" w:rsidRPr="00D14CD7" w:rsidRDefault="00F030EF" w:rsidP="00F030EF">
            <w:pPr>
              <w:spacing w:after="0" w:line="240" w:lineRule="auto"/>
              <w:jc w:val="right"/>
              <w:rPr>
                <w:rFonts w:eastAsia="Times New Roman"/>
                <w:color w:val="000000" w:themeColor="text1"/>
              </w:rPr>
            </w:pPr>
            <w:r w:rsidRPr="00D14CD7">
              <w:rPr>
                <w:rFonts w:eastAsia="Times New Roman"/>
                <w:color w:val="000000" w:themeColor="text1"/>
              </w:rPr>
              <w:t>63.1%</w:t>
            </w:r>
          </w:p>
        </w:tc>
        <w:tc>
          <w:tcPr>
            <w:tcW w:w="1181" w:type="dxa"/>
            <w:shd w:val="clear" w:color="auto" w:fill="auto"/>
            <w:noWrap/>
            <w:vAlign w:val="bottom"/>
            <w:hideMark/>
          </w:tcPr>
          <w:p w14:paraId="3E3F2510" w14:textId="77777777" w:rsidR="00F030EF" w:rsidRPr="00D14CD7" w:rsidRDefault="00F030EF" w:rsidP="00F030EF">
            <w:pPr>
              <w:spacing w:after="0" w:line="240" w:lineRule="auto"/>
              <w:jc w:val="right"/>
              <w:rPr>
                <w:rFonts w:eastAsia="Times New Roman"/>
                <w:color w:val="000000" w:themeColor="text1"/>
              </w:rPr>
            </w:pPr>
            <w:r w:rsidRPr="00D14CD7">
              <w:rPr>
                <w:rFonts w:eastAsia="Times New Roman"/>
                <w:color w:val="000000" w:themeColor="text1"/>
              </w:rPr>
              <w:t>4.2%</w:t>
            </w:r>
          </w:p>
        </w:tc>
      </w:tr>
      <w:tr w:rsidR="00F030EF" w:rsidRPr="00D14CD7" w14:paraId="53776C1B" w14:textId="77777777" w:rsidTr="00630A69">
        <w:trPr>
          <w:trHeight w:val="315"/>
        </w:trPr>
        <w:tc>
          <w:tcPr>
            <w:tcW w:w="1728" w:type="dxa"/>
            <w:tcBorders>
              <w:bottom w:val="double" w:sz="4" w:space="0" w:color="auto"/>
              <w:right w:val="double" w:sz="4" w:space="0" w:color="auto"/>
            </w:tcBorders>
            <w:shd w:val="clear" w:color="auto" w:fill="auto"/>
            <w:noWrap/>
            <w:vAlign w:val="bottom"/>
            <w:hideMark/>
          </w:tcPr>
          <w:p w14:paraId="4BC96A05" w14:textId="77777777" w:rsidR="00F030EF" w:rsidRPr="00D14CD7" w:rsidRDefault="00F030EF" w:rsidP="00F030EF">
            <w:pPr>
              <w:spacing w:after="0" w:line="240" w:lineRule="auto"/>
              <w:jc w:val="left"/>
              <w:rPr>
                <w:rFonts w:eastAsia="Times New Roman"/>
                <w:color w:val="000000" w:themeColor="text1"/>
              </w:rPr>
            </w:pPr>
            <w:r w:rsidRPr="00D14CD7">
              <w:rPr>
                <w:rFonts w:eastAsia="Times New Roman"/>
                <w:color w:val="000000" w:themeColor="text1"/>
              </w:rPr>
              <w:t>16+</w:t>
            </w:r>
          </w:p>
        </w:tc>
        <w:tc>
          <w:tcPr>
            <w:tcW w:w="1440" w:type="dxa"/>
            <w:tcBorders>
              <w:left w:val="double" w:sz="4" w:space="0" w:color="auto"/>
              <w:bottom w:val="double" w:sz="4" w:space="0" w:color="auto"/>
              <w:right w:val="double" w:sz="4" w:space="0" w:color="auto"/>
            </w:tcBorders>
            <w:shd w:val="clear" w:color="auto" w:fill="auto"/>
            <w:noWrap/>
            <w:vAlign w:val="bottom"/>
            <w:hideMark/>
          </w:tcPr>
          <w:p w14:paraId="08F52A6C" w14:textId="77777777" w:rsidR="00F030EF" w:rsidRPr="00D14CD7" w:rsidRDefault="00F030EF" w:rsidP="00F030EF">
            <w:pPr>
              <w:spacing w:after="0" w:line="240" w:lineRule="auto"/>
              <w:jc w:val="right"/>
              <w:rPr>
                <w:rFonts w:eastAsia="Times New Roman"/>
                <w:color w:val="000000" w:themeColor="text1"/>
              </w:rPr>
            </w:pPr>
            <w:r w:rsidRPr="00D14CD7">
              <w:rPr>
                <w:rFonts w:eastAsia="Times New Roman"/>
                <w:color w:val="000000" w:themeColor="text1"/>
              </w:rPr>
              <w:t>23</w:t>
            </w:r>
          </w:p>
        </w:tc>
        <w:tc>
          <w:tcPr>
            <w:tcW w:w="1180" w:type="dxa"/>
            <w:tcBorders>
              <w:left w:val="double" w:sz="4" w:space="0" w:color="auto"/>
            </w:tcBorders>
            <w:shd w:val="clear" w:color="auto" w:fill="auto"/>
            <w:noWrap/>
            <w:vAlign w:val="bottom"/>
            <w:hideMark/>
          </w:tcPr>
          <w:p w14:paraId="4069143A" w14:textId="77777777" w:rsidR="00F030EF" w:rsidRPr="00D14CD7" w:rsidRDefault="00F030EF" w:rsidP="00F030EF">
            <w:pPr>
              <w:spacing w:after="0" w:line="240" w:lineRule="auto"/>
              <w:jc w:val="right"/>
              <w:rPr>
                <w:rFonts w:eastAsia="Times New Roman"/>
                <w:color w:val="000000" w:themeColor="text1"/>
              </w:rPr>
            </w:pPr>
            <w:r w:rsidRPr="00D14CD7">
              <w:rPr>
                <w:rFonts w:eastAsia="Times New Roman"/>
                <w:color w:val="000000" w:themeColor="text1"/>
              </w:rPr>
              <w:t>12.5%</w:t>
            </w:r>
          </w:p>
        </w:tc>
        <w:tc>
          <w:tcPr>
            <w:tcW w:w="1181" w:type="dxa"/>
            <w:shd w:val="clear" w:color="auto" w:fill="auto"/>
            <w:noWrap/>
            <w:vAlign w:val="bottom"/>
            <w:hideMark/>
          </w:tcPr>
          <w:p w14:paraId="1A39C83E" w14:textId="77777777" w:rsidR="00F030EF" w:rsidRPr="00D14CD7" w:rsidRDefault="00F030EF" w:rsidP="00F030EF">
            <w:pPr>
              <w:spacing w:after="0" w:line="240" w:lineRule="auto"/>
              <w:jc w:val="right"/>
              <w:rPr>
                <w:rFonts w:eastAsia="Times New Roman"/>
                <w:color w:val="000000" w:themeColor="text1"/>
              </w:rPr>
            </w:pPr>
            <w:r w:rsidRPr="00D14CD7">
              <w:rPr>
                <w:rFonts w:eastAsia="Times New Roman"/>
                <w:color w:val="000000" w:themeColor="text1"/>
              </w:rPr>
              <w:t>6.7%</w:t>
            </w:r>
          </w:p>
        </w:tc>
        <w:tc>
          <w:tcPr>
            <w:tcW w:w="1180" w:type="dxa"/>
            <w:shd w:val="clear" w:color="auto" w:fill="auto"/>
            <w:noWrap/>
            <w:vAlign w:val="bottom"/>
            <w:hideMark/>
          </w:tcPr>
          <w:p w14:paraId="35C3BDD4" w14:textId="77777777" w:rsidR="00F030EF" w:rsidRPr="00D14CD7" w:rsidRDefault="00F030EF" w:rsidP="00F030EF">
            <w:pPr>
              <w:spacing w:after="0" w:line="240" w:lineRule="auto"/>
              <w:jc w:val="right"/>
              <w:rPr>
                <w:rFonts w:eastAsia="Times New Roman"/>
                <w:color w:val="000000" w:themeColor="text1"/>
              </w:rPr>
            </w:pPr>
            <w:r w:rsidRPr="00D14CD7">
              <w:rPr>
                <w:rFonts w:eastAsia="Times New Roman"/>
                <w:color w:val="000000" w:themeColor="text1"/>
              </w:rPr>
              <w:t>70.6%</w:t>
            </w:r>
          </w:p>
        </w:tc>
        <w:tc>
          <w:tcPr>
            <w:tcW w:w="1181" w:type="dxa"/>
            <w:shd w:val="clear" w:color="auto" w:fill="auto"/>
            <w:noWrap/>
            <w:vAlign w:val="bottom"/>
            <w:hideMark/>
          </w:tcPr>
          <w:p w14:paraId="3156368C" w14:textId="77777777" w:rsidR="00F030EF" w:rsidRPr="00D14CD7" w:rsidRDefault="00F030EF" w:rsidP="00F030EF">
            <w:pPr>
              <w:spacing w:after="0" w:line="240" w:lineRule="auto"/>
              <w:jc w:val="right"/>
              <w:rPr>
                <w:rFonts w:eastAsia="Times New Roman"/>
                <w:color w:val="000000" w:themeColor="text1"/>
              </w:rPr>
            </w:pPr>
            <w:r w:rsidRPr="00D14CD7">
              <w:rPr>
                <w:rFonts w:eastAsia="Times New Roman"/>
                <w:color w:val="000000" w:themeColor="text1"/>
              </w:rPr>
              <w:t>10.2%</w:t>
            </w:r>
          </w:p>
        </w:tc>
      </w:tr>
      <w:bookmarkEnd w:id="62"/>
    </w:tbl>
    <w:p w14:paraId="55D9B2F4" w14:textId="77777777" w:rsidR="00F030EF" w:rsidRPr="00D14CD7" w:rsidRDefault="00F030EF" w:rsidP="005B6BB0">
      <w:pPr>
        <w:rPr>
          <w:color w:val="000000" w:themeColor="text1"/>
        </w:rPr>
      </w:pPr>
    </w:p>
    <w:p w14:paraId="24CA1BC2" w14:textId="77777777" w:rsidR="00D14CD7" w:rsidRDefault="00D14CD7">
      <w:pPr>
        <w:jc w:val="left"/>
        <w:rPr>
          <w:b/>
          <w:iCs/>
          <w:color w:val="000000" w:themeColor="text1"/>
        </w:rPr>
      </w:pPr>
      <w:r>
        <w:rPr>
          <w:b/>
          <w:i/>
          <w:color w:val="000000" w:themeColor="text1"/>
        </w:rPr>
        <w:br w:type="page"/>
      </w:r>
    </w:p>
    <w:p w14:paraId="1E26F7C9" w14:textId="0053AABF" w:rsidR="005B6BB0" w:rsidRPr="00D14CD7" w:rsidRDefault="005B6BB0" w:rsidP="00630A69">
      <w:pPr>
        <w:pStyle w:val="Caption"/>
        <w:keepNext/>
        <w:spacing w:after="120"/>
        <w:rPr>
          <w:b/>
          <w:i w:val="0"/>
          <w:color w:val="000000" w:themeColor="text1"/>
          <w:sz w:val="24"/>
          <w:szCs w:val="24"/>
        </w:rPr>
      </w:pPr>
      <w:r w:rsidRPr="00D14CD7">
        <w:rPr>
          <w:b/>
          <w:i w:val="0"/>
          <w:color w:val="000000" w:themeColor="text1"/>
          <w:sz w:val="24"/>
          <w:szCs w:val="24"/>
        </w:rPr>
        <w:lastRenderedPageBreak/>
        <w:t xml:space="preserve">Table </w:t>
      </w:r>
      <w:r w:rsidR="00F030EF" w:rsidRPr="00D14CD7">
        <w:rPr>
          <w:b/>
          <w:i w:val="0"/>
          <w:color w:val="000000" w:themeColor="text1"/>
          <w:sz w:val="24"/>
          <w:szCs w:val="24"/>
        </w:rPr>
        <w:t>3</w:t>
      </w:r>
      <w:r w:rsidRPr="00D14CD7">
        <w:rPr>
          <w:b/>
          <w:i w:val="0"/>
          <w:color w:val="000000" w:themeColor="text1"/>
          <w:sz w:val="24"/>
          <w:szCs w:val="24"/>
        </w:rPr>
        <w:t xml:space="preserve">. Distribution of </w:t>
      </w:r>
      <w:r w:rsidR="007E2CED" w:rsidRPr="00D14CD7">
        <w:rPr>
          <w:b/>
          <w:i w:val="0"/>
          <w:color w:val="000000" w:themeColor="text1"/>
          <w:sz w:val="24"/>
          <w:szCs w:val="24"/>
        </w:rPr>
        <w:t>e</w:t>
      </w:r>
      <w:r w:rsidRPr="00D14CD7">
        <w:rPr>
          <w:b/>
          <w:i w:val="0"/>
          <w:color w:val="000000" w:themeColor="text1"/>
          <w:sz w:val="24"/>
          <w:szCs w:val="24"/>
        </w:rPr>
        <w:t>at-</w:t>
      </w:r>
      <w:r w:rsidR="007E2CED" w:rsidRPr="00D14CD7">
        <w:rPr>
          <w:b/>
          <w:i w:val="0"/>
          <w:color w:val="000000" w:themeColor="text1"/>
          <w:sz w:val="24"/>
          <w:szCs w:val="24"/>
        </w:rPr>
        <w:t>o</w:t>
      </w:r>
      <w:r w:rsidRPr="00D14CD7">
        <w:rPr>
          <w:b/>
          <w:i w:val="0"/>
          <w:color w:val="000000" w:themeColor="text1"/>
          <w:sz w:val="24"/>
          <w:szCs w:val="24"/>
        </w:rPr>
        <w:t xml:space="preserve">ut </w:t>
      </w:r>
      <w:r w:rsidR="007E2CED" w:rsidRPr="00D14CD7">
        <w:rPr>
          <w:b/>
          <w:i w:val="0"/>
          <w:color w:val="000000" w:themeColor="text1"/>
          <w:sz w:val="24"/>
          <w:szCs w:val="24"/>
        </w:rPr>
        <w:t>t</w:t>
      </w:r>
      <w:r w:rsidRPr="00D14CD7">
        <w:rPr>
          <w:b/>
          <w:i w:val="0"/>
          <w:color w:val="000000" w:themeColor="text1"/>
          <w:sz w:val="24"/>
          <w:szCs w:val="24"/>
        </w:rPr>
        <w:t xml:space="preserve">rips </w:t>
      </w:r>
      <w:r w:rsidR="007E2CED" w:rsidRPr="00D14CD7">
        <w:rPr>
          <w:b/>
          <w:i w:val="0"/>
          <w:color w:val="000000" w:themeColor="text1"/>
          <w:sz w:val="24"/>
          <w:szCs w:val="24"/>
        </w:rPr>
        <w:t>a</w:t>
      </w:r>
      <w:r w:rsidRPr="00D14CD7">
        <w:rPr>
          <w:b/>
          <w:i w:val="0"/>
          <w:color w:val="000000" w:themeColor="text1"/>
          <w:sz w:val="24"/>
          <w:szCs w:val="24"/>
        </w:rPr>
        <w:t xml:space="preserve">cross </w:t>
      </w:r>
      <w:r w:rsidR="007E2CED" w:rsidRPr="00D14CD7">
        <w:rPr>
          <w:b/>
          <w:i w:val="0"/>
          <w:color w:val="000000" w:themeColor="text1"/>
          <w:sz w:val="24"/>
          <w:szCs w:val="24"/>
        </w:rPr>
        <w:t>m</w:t>
      </w:r>
      <w:r w:rsidRPr="00D14CD7">
        <w:rPr>
          <w:b/>
          <w:i w:val="0"/>
          <w:color w:val="000000" w:themeColor="text1"/>
          <w:sz w:val="24"/>
          <w:szCs w:val="24"/>
        </w:rPr>
        <w:t xml:space="preserve">ultiple </w:t>
      </w:r>
      <w:r w:rsidR="007E2CED" w:rsidRPr="00D14CD7">
        <w:rPr>
          <w:b/>
          <w:i w:val="0"/>
          <w:color w:val="000000" w:themeColor="text1"/>
          <w:sz w:val="24"/>
          <w:szCs w:val="24"/>
        </w:rPr>
        <w:t>r</w:t>
      </w:r>
      <w:r w:rsidRPr="00D14CD7">
        <w:rPr>
          <w:b/>
          <w:i w:val="0"/>
          <w:color w:val="000000" w:themeColor="text1"/>
          <w:sz w:val="24"/>
          <w:szCs w:val="24"/>
        </w:rPr>
        <w:t xml:space="preserve">estaurant </w:t>
      </w:r>
      <w:r w:rsidR="007E2CED" w:rsidRPr="00D14CD7">
        <w:rPr>
          <w:b/>
          <w:i w:val="0"/>
          <w:color w:val="000000" w:themeColor="text1"/>
          <w:sz w:val="24"/>
          <w:szCs w:val="24"/>
        </w:rPr>
        <w:t>s</w:t>
      </w:r>
      <w:r w:rsidRPr="00D14CD7">
        <w:rPr>
          <w:b/>
          <w:i w:val="0"/>
          <w:color w:val="000000" w:themeColor="text1"/>
          <w:sz w:val="24"/>
          <w:szCs w:val="24"/>
        </w:rPr>
        <w:t>egments</w:t>
      </w:r>
    </w:p>
    <w:tbl>
      <w:tblPr>
        <w:tblStyle w:val="TableGrid"/>
        <w:tblW w:w="8208" w:type="dxa"/>
        <w:tblBorders>
          <w:top w:val="double" w:sz="4" w:space="0" w:color="auto"/>
          <w:left w:val="double" w:sz="4" w:space="0" w:color="auto"/>
          <w:bottom w:val="double" w:sz="4" w:space="0" w:color="auto"/>
          <w:right w:val="double" w:sz="4" w:space="0" w:color="auto"/>
        </w:tblBorders>
        <w:tblLayout w:type="fixed"/>
        <w:tblLook w:val="04A0" w:firstRow="1" w:lastRow="0" w:firstColumn="1" w:lastColumn="0" w:noHBand="0" w:noVBand="1"/>
      </w:tblPr>
      <w:tblGrid>
        <w:gridCol w:w="1728"/>
        <w:gridCol w:w="1440"/>
        <w:gridCol w:w="1260"/>
        <w:gridCol w:w="1260"/>
        <w:gridCol w:w="1260"/>
        <w:gridCol w:w="1260"/>
      </w:tblGrid>
      <w:tr w:rsidR="00D14CD7" w:rsidRPr="00D14CD7" w14:paraId="5E80FA29" w14:textId="77777777" w:rsidTr="00630A69">
        <w:trPr>
          <w:trHeight w:val="317"/>
        </w:trPr>
        <w:tc>
          <w:tcPr>
            <w:tcW w:w="1728" w:type="dxa"/>
            <w:vMerge w:val="restart"/>
            <w:tcBorders>
              <w:top w:val="double" w:sz="4" w:space="0" w:color="auto"/>
              <w:left w:val="double" w:sz="4" w:space="0" w:color="auto"/>
              <w:bottom w:val="single" w:sz="4" w:space="0" w:color="auto"/>
            </w:tcBorders>
            <w:noWrap/>
            <w:vAlign w:val="center"/>
          </w:tcPr>
          <w:p w14:paraId="57FC8B9F" w14:textId="77777777" w:rsidR="005B6BB0" w:rsidRPr="00D14CD7" w:rsidRDefault="005B6BB0" w:rsidP="00286339">
            <w:pPr>
              <w:jc w:val="left"/>
              <w:rPr>
                <w:rFonts w:eastAsia="Times New Roman"/>
                <w:b/>
                <w:color w:val="000000" w:themeColor="text1"/>
              </w:rPr>
            </w:pPr>
            <w:r w:rsidRPr="00D14CD7">
              <w:rPr>
                <w:rFonts w:eastAsia="Times New Roman"/>
                <w:b/>
                <w:color w:val="000000" w:themeColor="text1"/>
              </w:rPr>
              <w:t>Number of</w:t>
            </w:r>
          </w:p>
          <w:p w14:paraId="0E85418C" w14:textId="77777777" w:rsidR="005B6BB0" w:rsidRPr="00D14CD7" w:rsidRDefault="005B6BB0" w:rsidP="00286339">
            <w:pPr>
              <w:jc w:val="left"/>
              <w:rPr>
                <w:rFonts w:eastAsia="Times New Roman"/>
                <w:b/>
                <w:color w:val="000000" w:themeColor="text1"/>
              </w:rPr>
            </w:pPr>
            <w:r w:rsidRPr="00D14CD7">
              <w:rPr>
                <w:rFonts w:eastAsia="Times New Roman"/>
                <w:b/>
                <w:color w:val="000000" w:themeColor="text1"/>
              </w:rPr>
              <w:t>Eat-outs</w:t>
            </w:r>
          </w:p>
        </w:tc>
        <w:tc>
          <w:tcPr>
            <w:tcW w:w="1440" w:type="dxa"/>
            <w:vMerge w:val="restart"/>
            <w:tcBorders>
              <w:top w:val="double" w:sz="4" w:space="0" w:color="auto"/>
              <w:bottom w:val="single" w:sz="4" w:space="0" w:color="auto"/>
              <w:right w:val="double" w:sz="4" w:space="0" w:color="auto"/>
            </w:tcBorders>
            <w:vAlign w:val="center"/>
          </w:tcPr>
          <w:p w14:paraId="29304D82" w14:textId="77777777" w:rsidR="005B6BB0" w:rsidRPr="00D14CD7" w:rsidRDefault="005B6BB0" w:rsidP="00286339">
            <w:pPr>
              <w:jc w:val="left"/>
              <w:rPr>
                <w:rFonts w:eastAsia="Times New Roman"/>
                <w:b/>
                <w:color w:val="000000" w:themeColor="text1"/>
              </w:rPr>
            </w:pPr>
            <w:r w:rsidRPr="00D14CD7">
              <w:rPr>
                <w:rFonts w:eastAsia="Times New Roman"/>
                <w:b/>
                <w:color w:val="000000" w:themeColor="text1"/>
              </w:rPr>
              <w:t>Number of</w:t>
            </w:r>
          </w:p>
          <w:p w14:paraId="3D1A502A" w14:textId="4AFC46B7" w:rsidR="005B6BB0" w:rsidRPr="00D14CD7" w:rsidRDefault="00A74F7E" w:rsidP="00286339">
            <w:pPr>
              <w:jc w:val="left"/>
              <w:rPr>
                <w:rFonts w:eastAsia="Times New Roman"/>
                <w:b/>
                <w:color w:val="000000" w:themeColor="text1"/>
              </w:rPr>
            </w:pPr>
            <w:r>
              <w:rPr>
                <w:rFonts w:eastAsia="Times New Roman"/>
                <w:b/>
                <w:color w:val="000000" w:themeColor="text1"/>
              </w:rPr>
              <w:t>I</w:t>
            </w:r>
            <w:r w:rsidR="005B6BB0" w:rsidRPr="00D14CD7">
              <w:rPr>
                <w:rFonts w:eastAsia="Times New Roman"/>
                <w:b/>
                <w:color w:val="000000" w:themeColor="text1"/>
              </w:rPr>
              <w:t>ndividuals</w:t>
            </w:r>
          </w:p>
        </w:tc>
        <w:tc>
          <w:tcPr>
            <w:tcW w:w="5040" w:type="dxa"/>
            <w:gridSpan w:val="4"/>
            <w:tcBorders>
              <w:top w:val="double" w:sz="4" w:space="0" w:color="auto"/>
              <w:left w:val="double" w:sz="4" w:space="0" w:color="auto"/>
              <w:bottom w:val="single" w:sz="4" w:space="0" w:color="auto"/>
              <w:right w:val="double" w:sz="4" w:space="0" w:color="auto"/>
            </w:tcBorders>
            <w:noWrap/>
            <w:vAlign w:val="center"/>
          </w:tcPr>
          <w:p w14:paraId="3582303A" w14:textId="1C17B769" w:rsidR="005B6BB0" w:rsidRPr="00D14CD7" w:rsidRDefault="005B6BB0" w:rsidP="00286339">
            <w:pPr>
              <w:jc w:val="center"/>
              <w:rPr>
                <w:rFonts w:eastAsia="Times New Roman"/>
                <w:b/>
                <w:color w:val="000000" w:themeColor="text1"/>
              </w:rPr>
            </w:pPr>
            <w:r w:rsidRPr="00D14CD7">
              <w:rPr>
                <w:rFonts w:eastAsia="Times New Roman"/>
                <w:b/>
                <w:color w:val="000000" w:themeColor="text1"/>
              </w:rPr>
              <w:t xml:space="preserve">Percentage of </w:t>
            </w:r>
            <w:r w:rsidR="00A74F7E">
              <w:rPr>
                <w:rFonts w:eastAsia="Times New Roman"/>
                <w:b/>
                <w:color w:val="000000" w:themeColor="text1"/>
              </w:rPr>
              <w:t>I</w:t>
            </w:r>
            <w:r w:rsidRPr="00D14CD7">
              <w:rPr>
                <w:rFonts w:eastAsia="Times New Roman"/>
                <w:b/>
                <w:color w:val="000000" w:themeColor="text1"/>
              </w:rPr>
              <w:t xml:space="preserve">ndividuals </w:t>
            </w:r>
            <w:r w:rsidR="00A74F7E">
              <w:rPr>
                <w:rFonts w:eastAsia="Times New Roman"/>
                <w:b/>
                <w:color w:val="000000" w:themeColor="text1"/>
              </w:rPr>
              <w:t>V</w:t>
            </w:r>
            <w:r w:rsidRPr="00D14CD7">
              <w:rPr>
                <w:rFonts w:eastAsia="Times New Roman"/>
                <w:b/>
                <w:color w:val="000000" w:themeColor="text1"/>
              </w:rPr>
              <w:t xml:space="preserve">isiting (X) </w:t>
            </w:r>
            <w:r w:rsidR="00A74F7E">
              <w:rPr>
                <w:rFonts w:eastAsia="Times New Roman"/>
                <w:b/>
                <w:color w:val="000000" w:themeColor="text1"/>
              </w:rPr>
              <w:t>R</w:t>
            </w:r>
            <w:r w:rsidRPr="00D14CD7">
              <w:rPr>
                <w:rFonts w:eastAsia="Times New Roman"/>
                <w:b/>
                <w:color w:val="000000" w:themeColor="text1"/>
              </w:rPr>
              <w:t xml:space="preserve">estaurant </w:t>
            </w:r>
            <w:r w:rsidR="00A74F7E">
              <w:rPr>
                <w:rFonts w:eastAsia="Times New Roman"/>
                <w:b/>
                <w:color w:val="000000" w:themeColor="text1"/>
              </w:rPr>
              <w:t>S</w:t>
            </w:r>
            <w:r w:rsidRPr="00D14CD7">
              <w:rPr>
                <w:rFonts w:eastAsia="Times New Roman"/>
                <w:b/>
                <w:color w:val="000000" w:themeColor="text1"/>
              </w:rPr>
              <w:t>egments</w:t>
            </w:r>
          </w:p>
        </w:tc>
      </w:tr>
      <w:tr w:rsidR="00D14CD7" w:rsidRPr="00D14CD7" w14:paraId="3ED5E85D" w14:textId="77777777" w:rsidTr="00630A69">
        <w:trPr>
          <w:trHeight w:val="317"/>
        </w:trPr>
        <w:tc>
          <w:tcPr>
            <w:tcW w:w="1728" w:type="dxa"/>
            <w:vMerge/>
            <w:tcBorders>
              <w:top w:val="single" w:sz="4" w:space="0" w:color="auto"/>
              <w:left w:val="double" w:sz="4" w:space="0" w:color="auto"/>
              <w:bottom w:val="double" w:sz="4" w:space="0" w:color="auto"/>
            </w:tcBorders>
            <w:noWrap/>
            <w:hideMark/>
          </w:tcPr>
          <w:p w14:paraId="1509CF9D" w14:textId="77777777" w:rsidR="005B6BB0" w:rsidRPr="00D14CD7" w:rsidRDefault="005B6BB0" w:rsidP="00286339">
            <w:pPr>
              <w:jc w:val="left"/>
              <w:rPr>
                <w:rFonts w:eastAsia="Times New Roman"/>
                <w:color w:val="000000" w:themeColor="text1"/>
              </w:rPr>
            </w:pPr>
          </w:p>
        </w:tc>
        <w:tc>
          <w:tcPr>
            <w:tcW w:w="1440" w:type="dxa"/>
            <w:vMerge/>
            <w:tcBorders>
              <w:top w:val="single" w:sz="4" w:space="0" w:color="auto"/>
              <w:bottom w:val="double" w:sz="4" w:space="0" w:color="auto"/>
              <w:right w:val="double" w:sz="4" w:space="0" w:color="auto"/>
            </w:tcBorders>
          </w:tcPr>
          <w:p w14:paraId="346E6FE9" w14:textId="77777777" w:rsidR="005B6BB0" w:rsidRPr="00D14CD7" w:rsidRDefault="005B6BB0" w:rsidP="00286339">
            <w:pPr>
              <w:jc w:val="right"/>
              <w:rPr>
                <w:rFonts w:eastAsia="Times New Roman"/>
                <w:color w:val="000000" w:themeColor="text1"/>
              </w:rPr>
            </w:pPr>
          </w:p>
        </w:tc>
        <w:tc>
          <w:tcPr>
            <w:tcW w:w="1260" w:type="dxa"/>
            <w:tcBorders>
              <w:top w:val="single" w:sz="4" w:space="0" w:color="auto"/>
              <w:left w:val="double" w:sz="4" w:space="0" w:color="auto"/>
              <w:bottom w:val="double" w:sz="4" w:space="0" w:color="auto"/>
            </w:tcBorders>
            <w:noWrap/>
            <w:vAlign w:val="center"/>
            <w:hideMark/>
          </w:tcPr>
          <w:p w14:paraId="0BC80820" w14:textId="77777777" w:rsidR="005B6BB0" w:rsidRPr="00D14CD7" w:rsidRDefault="005B6BB0" w:rsidP="00286339">
            <w:pPr>
              <w:jc w:val="center"/>
              <w:rPr>
                <w:rFonts w:eastAsia="Times New Roman"/>
                <w:b/>
                <w:color w:val="000000" w:themeColor="text1"/>
              </w:rPr>
            </w:pPr>
            <w:r w:rsidRPr="00D14CD7">
              <w:rPr>
                <w:rFonts w:eastAsia="Times New Roman"/>
                <w:b/>
                <w:color w:val="000000" w:themeColor="text1"/>
              </w:rPr>
              <w:t>(1)</w:t>
            </w:r>
          </w:p>
        </w:tc>
        <w:tc>
          <w:tcPr>
            <w:tcW w:w="1260" w:type="dxa"/>
            <w:tcBorders>
              <w:top w:val="single" w:sz="4" w:space="0" w:color="auto"/>
              <w:bottom w:val="double" w:sz="4" w:space="0" w:color="auto"/>
            </w:tcBorders>
            <w:noWrap/>
            <w:vAlign w:val="center"/>
            <w:hideMark/>
          </w:tcPr>
          <w:p w14:paraId="13EC7C3C" w14:textId="77777777" w:rsidR="005B6BB0" w:rsidRPr="00D14CD7" w:rsidRDefault="005B6BB0" w:rsidP="00286339">
            <w:pPr>
              <w:jc w:val="center"/>
              <w:rPr>
                <w:rFonts w:eastAsia="Times New Roman"/>
                <w:b/>
                <w:color w:val="000000" w:themeColor="text1"/>
              </w:rPr>
            </w:pPr>
            <w:r w:rsidRPr="00D14CD7">
              <w:rPr>
                <w:rFonts w:eastAsia="Times New Roman"/>
                <w:b/>
                <w:color w:val="000000" w:themeColor="text1"/>
              </w:rPr>
              <w:t>(2)</w:t>
            </w:r>
          </w:p>
        </w:tc>
        <w:tc>
          <w:tcPr>
            <w:tcW w:w="1260" w:type="dxa"/>
            <w:tcBorders>
              <w:top w:val="single" w:sz="4" w:space="0" w:color="auto"/>
              <w:bottom w:val="double" w:sz="4" w:space="0" w:color="auto"/>
            </w:tcBorders>
            <w:noWrap/>
            <w:vAlign w:val="center"/>
            <w:hideMark/>
          </w:tcPr>
          <w:p w14:paraId="7266BDA5" w14:textId="77777777" w:rsidR="005B6BB0" w:rsidRPr="00D14CD7" w:rsidRDefault="005B6BB0" w:rsidP="00286339">
            <w:pPr>
              <w:jc w:val="center"/>
              <w:rPr>
                <w:rFonts w:eastAsia="Times New Roman"/>
                <w:b/>
                <w:color w:val="000000" w:themeColor="text1"/>
              </w:rPr>
            </w:pPr>
            <w:r w:rsidRPr="00D14CD7">
              <w:rPr>
                <w:rFonts w:eastAsia="Times New Roman"/>
                <w:b/>
                <w:color w:val="000000" w:themeColor="text1"/>
              </w:rPr>
              <w:t>(3)</w:t>
            </w:r>
          </w:p>
        </w:tc>
        <w:tc>
          <w:tcPr>
            <w:tcW w:w="1260" w:type="dxa"/>
            <w:tcBorders>
              <w:top w:val="single" w:sz="4" w:space="0" w:color="auto"/>
              <w:bottom w:val="double" w:sz="4" w:space="0" w:color="auto"/>
              <w:right w:val="double" w:sz="4" w:space="0" w:color="auto"/>
            </w:tcBorders>
            <w:noWrap/>
            <w:vAlign w:val="center"/>
            <w:hideMark/>
          </w:tcPr>
          <w:p w14:paraId="6A865774" w14:textId="77777777" w:rsidR="005B6BB0" w:rsidRPr="00D14CD7" w:rsidRDefault="005B6BB0" w:rsidP="00286339">
            <w:pPr>
              <w:jc w:val="center"/>
              <w:rPr>
                <w:rFonts w:eastAsia="Times New Roman"/>
                <w:b/>
                <w:color w:val="000000" w:themeColor="text1"/>
              </w:rPr>
            </w:pPr>
            <w:r w:rsidRPr="00D14CD7">
              <w:rPr>
                <w:rFonts w:eastAsia="Times New Roman"/>
                <w:b/>
                <w:color w:val="000000" w:themeColor="text1"/>
              </w:rPr>
              <w:t>(4)</w:t>
            </w:r>
          </w:p>
        </w:tc>
      </w:tr>
      <w:tr w:rsidR="00D14CD7" w:rsidRPr="00D14CD7" w14:paraId="3586FB28" w14:textId="77777777" w:rsidTr="00630A69">
        <w:trPr>
          <w:trHeight w:val="317"/>
        </w:trPr>
        <w:tc>
          <w:tcPr>
            <w:tcW w:w="1728" w:type="dxa"/>
            <w:tcBorders>
              <w:top w:val="double" w:sz="4" w:space="0" w:color="auto"/>
              <w:left w:val="double" w:sz="4" w:space="0" w:color="auto"/>
              <w:bottom w:val="single" w:sz="4" w:space="0" w:color="auto"/>
            </w:tcBorders>
            <w:noWrap/>
            <w:hideMark/>
          </w:tcPr>
          <w:p w14:paraId="2F400EDA" w14:textId="77777777" w:rsidR="005B6BB0" w:rsidRPr="00D14CD7" w:rsidRDefault="005B6BB0" w:rsidP="00286339">
            <w:pPr>
              <w:jc w:val="left"/>
              <w:rPr>
                <w:rFonts w:eastAsia="Times New Roman"/>
                <w:color w:val="000000" w:themeColor="text1"/>
              </w:rPr>
            </w:pPr>
            <w:r w:rsidRPr="00D14CD7">
              <w:rPr>
                <w:rFonts w:eastAsia="Times New Roman"/>
                <w:color w:val="000000" w:themeColor="text1"/>
              </w:rPr>
              <w:t>1</w:t>
            </w:r>
          </w:p>
        </w:tc>
        <w:tc>
          <w:tcPr>
            <w:tcW w:w="1440" w:type="dxa"/>
            <w:tcBorders>
              <w:top w:val="double" w:sz="4" w:space="0" w:color="auto"/>
              <w:bottom w:val="single" w:sz="4" w:space="0" w:color="auto"/>
              <w:right w:val="double" w:sz="4" w:space="0" w:color="auto"/>
            </w:tcBorders>
          </w:tcPr>
          <w:p w14:paraId="47869D95" w14:textId="77777777" w:rsidR="005B6BB0" w:rsidRPr="00D14CD7" w:rsidRDefault="005B6BB0" w:rsidP="00286339">
            <w:pPr>
              <w:jc w:val="right"/>
              <w:rPr>
                <w:rFonts w:eastAsia="Times New Roman"/>
                <w:color w:val="000000" w:themeColor="text1"/>
              </w:rPr>
            </w:pPr>
            <w:r w:rsidRPr="00D14CD7">
              <w:rPr>
                <w:color w:val="000000" w:themeColor="text1"/>
              </w:rPr>
              <w:t>140</w:t>
            </w:r>
          </w:p>
        </w:tc>
        <w:tc>
          <w:tcPr>
            <w:tcW w:w="1260" w:type="dxa"/>
            <w:tcBorders>
              <w:top w:val="double" w:sz="4" w:space="0" w:color="auto"/>
              <w:left w:val="double" w:sz="4" w:space="0" w:color="auto"/>
            </w:tcBorders>
            <w:noWrap/>
            <w:hideMark/>
          </w:tcPr>
          <w:p w14:paraId="1258358C" w14:textId="77777777" w:rsidR="005B6BB0" w:rsidRPr="00D14CD7" w:rsidRDefault="005B6BB0" w:rsidP="00286339">
            <w:pPr>
              <w:jc w:val="right"/>
              <w:rPr>
                <w:rFonts w:eastAsia="Times New Roman"/>
                <w:color w:val="000000" w:themeColor="text1"/>
              </w:rPr>
            </w:pPr>
            <w:r w:rsidRPr="00D14CD7">
              <w:rPr>
                <w:rFonts w:eastAsia="Times New Roman"/>
                <w:color w:val="000000" w:themeColor="text1"/>
              </w:rPr>
              <w:t>100.00%</w:t>
            </w:r>
          </w:p>
        </w:tc>
        <w:tc>
          <w:tcPr>
            <w:tcW w:w="1260" w:type="dxa"/>
            <w:tcBorders>
              <w:top w:val="double" w:sz="4" w:space="0" w:color="auto"/>
            </w:tcBorders>
            <w:noWrap/>
            <w:hideMark/>
          </w:tcPr>
          <w:p w14:paraId="5D0AFC39" w14:textId="77777777" w:rsidR="005B6BB0" w:rsidRPr="00D14CD7" w:rsidRDefault="005B6BB0" w:rsidP="00286339">
            <w:pPr>
              <w:jc w:val="right"/>
              <w:rPr>
                <w:rFonts w:eastAsia="Times New Roman"/>
                <w:color w:val="000000" w:themeColor="text1"/>
              </w:rPr>
            </w:pPr>
            <w:r w:rsidRPr="00D14CD7">
              <w:rPr>
                <w:rFonts w:eastAsia="Times New Roman"/>
                <w:color w:val="000000" w:themeColor="text1"/>
              </w:rPr>
              <w:t>0.00%</w:t>
            </w:r>
          </w:p>
        </w:tc>
        <w:tc>
          <w:tcPr>
            <w:tcW w:w="1260" w:type="dxa"/>
            <w:tcBorders>
              <w:top w:val="double" w:sz="4" w:space="0" w:color="auto"/>
            </w:tcBorders>
            <w:noWrap/>
            <w:hideMark/>
          </w:tcPr>
          <w:p w14:paraId="097AF1AC" w14:textId="77777777" w:rsidR="005B6BB0" w:rsidRPr="00D14CD7" w:rsidRDefault="005B6BB0" w:rsidP="00286339">
            <w:pPr>
              <w:jc w:val="right"/>
              <w:rPr>
                <w:rFonts w:eastAsia="Times New Roman"/>
                <w:color w:val="000000" w:themeColor="text1"/>
              </w:rPr>
            </w:pPr>
            <w:r w:rsidRPr="00D14CD7">
              <w:rPr>
                <w:rFonts w:eastAsia="Times New Roman"/>
                <w:color w:val="000000" w:themeColor="text1"/>
              </w:rPr>
              <w:t>0.00%</w:t>
            </w:r>
          </w:p>
        </w:tc>
        <w:tc>
          <w:tcPr>
            <w:tcW w:w="1260" w:type="dxa"/>
            <w:tcBorders>
              <w:top w:val="double" w:sz="4" w:space="0" w:color="auto"/>
              <w:right w:val="double" w:sz="4" w:space="0" w:color="auto"/>
            </w:tcBorders>
            <w:noWrap/>
            <w:hideMark/>
          </w:tcPr>
          <w:p w14:paraId="4C961A97" w14:textId="77777777" w:rsidR="005B6BB0" w:rsidRPr="00D14CD7" w:rsidRDefault="005B6BB0" w:rsidP="00286339">
            <w:pPr>
              <w:jc w:val="right"/>
              <w:rPr>
                <w:rFonts w:eastAsia="Times New Roman"/>
                <w:color w:val="000000" w:themeColor="text1"/>
              </w:rPr>
            </w:pPr>
            <w:r w:rsidRPr="00D14CD7">
              <w:rPr>
                <w:rFonts w:eastAsia="Times New Roman"/>
                <w:color w:val="000000" w:themeColor="text1"/>
              </w:rPr>
              <w:t>0.00%</w:t>
            </w:r>
          </w:p>
        </w:tc>
      </w:tr>
      <w:tr w:rsidR="00D14CD7" w:rsidRPr="00D14CD7" w14:paraId="52DDE42A" w14:textId="77777777" w:rsidTr="00630A69">
        <w:trPr>
          <w:trHeight w:val="317"/>
        </w:trPr>
        <w:tc>
          <w:tcPr>
            <w:tcW w:w="1728" w:type="dxa"/>
            <w:tcBorders>
              <w:top w:val="single" w:sz="4" w:space="0" w:color="auto"/>
              <w:left w:val="double" w:sz="4" w:space="0" w:color="auto"/>
              <w:bottom w:val="single" w:sz="4" w:space="0" w:color="auto"/>
            </w:tcBorders>
            <w:noWrap/>
            <w:hideMark/>
          </w:tcPr>
          <w:p w14:paraId="165E0161" w14:textId="77777777" w:rsidR="005B6BB0" w:rsidRPr="00D14CD7" w:rsidRDefault="005B6BB0" w:rsidP="00286339">
            <w:pPr>
              <w:jc w:val="left"/>
              <w:rPr>
                <w:rFonts w:eastAsia="Times New Roman"/>
                <w:color w:val="000000" w:themeColor="text1"/>
              </w:rPr>
            </w:pPr>
            <w:r w:rsidRPr="00D14CD7">
              <w:rPr>
                <w:rFonts w:eastAsia="Times New Roman"/>
                <w:color w:val="000000" w:themeColor="text1"/>
              </w:rPr>
              <w:t>2</w:t>
            </w:r>
          </w:p>
        </w:tc>
        <w:tc>
          <w:tcPr>
            <w:tcW w:w="1440" w:type="dxa"/>
            <w:tcBorders>
              <w:top w:val="single" w:sz="4" w:space="0" w:color="auto"/>
              <w:bottom w:val="single" w:sz="4" w:space="0" w:color="auto"/>
              <w:right w:val="double" w:sz="4" w:space="0" w:color="auto"/>
            </w:tcBorders>
          </w:tcPr>
          <w:p w14:paraId="2F67A388" w14:textId="77777777" w:rsidR="005B6BB0" w:rsidRPr="00D14CD7" w:rsidRDefault="005B6BB0" w:rsidP="00286339">
            <w:pPr>
              <w:jc w:val="right"/>
              <w:rPr>
                <w:rFonts w:eastAsia="Times New Roman"/>
                <w:color w:val="000000" w:themeColor="text1"/>
              </w:rPr>
            </w:pPr>
            <w:r w:rsidRPr="00D14CD7">
              <w:rPr>
                <w:color w:val="000000" w:themeColor="text1"/>
              </w:rPr>
              <w:t>160</w:t>
            </w:r>
          </w:p>
        </w:tc>
        <w:tc>
          <w:tcPr>
            <w:tcW w:w="1260" w:type="dxa"/>
            <w:tcBorders>
              <w:left w:val="double" w:sz="4" w:space="0" w:color="auto"/>
            </w:tcBorders>
            <w:noWrap/>
            <w:hideMark/>
          </w:tcPr>
          <w:p w14:paraId="35F96236" w14:textId="77777777" w:rsidR="005B6BB0" w:rsidRPr="00D14CD7" w:rsidRDefault="005B6BB0" w:rsidP="00286339">
            <w:pPr>
              <w:jc w:val="right"/>
              <w:rPr>
                <w:rFonts w:eastAsia="Times New Roman"/>
                <w:color w:val="000000" w:themeColor="text1"/>
              </w:rPr>
            </w:pPr>
            <w:r w:rsidRPr="00D14CD7">
              <w:rPr>
                <w:rFonts w:eastAsia="Times New Roman"/>
                <w:color w:val="000000" w:themeColor="text1"/>
              </w:rPr>
              <w:t>58.13%</w:t>
            </w:r>
          </w:p>
        </w:tc>
        <w:tc>
          <w:tcPr>
            <w:tcW w:w="1260" w:type="dxa"/>
            <w:noWrap/>
            <w:hideMark/>
          </w:tcPr>
          <w:p w14:paraId="3B39883C" w14:textId="77777777" w:rsidR="005B6BB0" w:rsidRPr="00D14CD7" w:rsidRDefault="005B6BB0" w:rsidP="00286339">
            <w:pPr>
              <w:jc w:val="right"/>
              <w:rPr>
                <w:rFonts w:eastAsia="Times New Roman"/>
                <w:color w:val="000000" w:themeColor="text1"/>
              </w:rPr>
            </w:pPr>
            <w:r w:rsidRPr="00D14CD7">
              <w:rPr>
                <w:rFonts w:eastAsia="Times New Roman"/>
                <w:color w:val="000000" w:themeColor="text1"/>
              </w:rPr>
              <w:t>41.88%</w:t>
            </w:r>
          </w:p>
        </w:tc>
        <w:tc>
          <w:tcPr>
            <w:tcW w:w="1260" w:type="dxa"/>
            <w:noWrap/>
            <w:hideMark/>
          </w:tcPr>
          <w:p w14:paraId="292C3EBD" w14:textId="77777777" w:rsidR="005B6BB0" w:rsidRPr="00D14CD7" w:rsidRDefault="005B6BB0" w:rsidP="00286339">
            <w:pPr>
              <w:jc w:val="right"/>
              <w:rPr>
                <w:rFonts w:eastAsia="Times New Roman"/>
                <w:color w:val="000000" w:themeColor="text1"/>
              </w:rPr>
            </w:pPr>
            <w:r w:rsidRPr="00D14CD7">
              <w:rPr>
                <w:rFonts w:eastAsia="Times New Roman"/>
                <w:color w:val="000000" w:themeColor="text1"/>
              </w:rPr>
              <w:t>0.00%</w:t>
            </w:r>
          </w:p>
        </w:tc>
        <w:tc>
          <w:tcPr>
            <w:tcW w:w="1260" w:type="dxa"/>
            <w:tcBorders>
              <w:right w:val="double" w:sz="4" w:space="0" w:color="auto"/>
            </w:tcBorders>
            <w:noWrap/>
            <w:hideMark/>
          </w:tcPr>
          <w:p w14:paraId="216FA371" w14:textId="77777777" w:rsidR="005B6BB0" w:rsidRPr="00D14CD7" w:rsidRDefault="005B6BB0" w:rsidP="00286339">
            <w:pPr>
              <w:jc w:val="right"/>
              <w:rPr>
                <w:rFonts w:eastAsia="Times New Roman"/>
                <w:color w:val="000000" w:themeColor="text1"/>
              </w:rPr>
            </w:pPr>
            <w:r w:rsidRPr="00D14CD7">
              <w:rPr>
                <w:rFonts w:eastAsia="Times New Roman"/>
                <w:color w:val="000000" w:themeColor="text1"/>
              </w:rPr>
              <w:t>0.00%</w:t>
            </w:r>
          </w:p>
        </w:tc>
      </w:tr>
      <w:tr w:rsidR="00D14CD7" w:rsidRPr="00D14CD7" w14:paraId="21759990" w14:textId="77777777" w:rsidTr="00630A69">
        <w:trPr>
          <w:trHeight w:val="317"/>
        </w:trPr>
        <w:tc>
          <w:tcPr>
            <w:tcW w:w="1728" w:type="dxa"/>
            <w:tcBorders>
              <w:top w:val="single" w:sz="4" w:space="0" w:color="auto"/>
              <w:left w:val="double" w:sz="4" w:space="0" w:color="auto"/>
              <w:bottom w:val="single" w:sz="4" w:space="0" w:color="auto"/>
            </w:tcBorders>
            <w:noWrap/>
            <w:hideMark/>
          </w:tcPr>
          <w:p w14:paraId="25870F5A" w14:textId="77777777" w:rsidR="005B6BB0" w:rsidRPr="00D14CD7" w:rsidRDefault="005B6BB0" w:rsidP="00286339">
            <w:pPr>
              <w:jc w:val="left"/>
              <w:rPr>
                <w:rFonts w:eastAsia="Times New Roman"/>
                <w:color w:val="000000" w:themeColor="text1"/>
              </w:rPr>
            </w:pPr>
            <w:r w:rsidRPr="00D14CD7">
              <w:rPr>
                <w:rFonts w:eastAsia="Times New Roman"/>
                <w:color w:val="000000" w:themeColor="text1"/>
              </w:rPr>
              <w:t>3</w:t>
            </w:r>
          </w:p>
        </w:tc>
        <w:tc>
          <w:tcPr>
            <w:tcW w:w="1440" w:type="dxa"/>
            <w:tcBorders>
              <w:top w:val="single" w:sz="4" w:space="0" w:color="auto"/>
              <w:bottom w:val="single" w:sz="4" w:space="0" w:color="auto"/>
              <w:right w:val="double" w:sz="4" w:space="0" w:color="auto"/>
            </w:tcBorders>
          </w:tcPr>
          <w:p w14:paraId="4964BF58" w14:textId="77777777" w:rsidR="005B6BB0" w:rsidRPr="00D14CD7" w:rsidRDefault="005B6BB0" w:rsidP="00286339">
            <w:pPr>
              <w:jc w:val="right"/>
              <w:rPr>
                <w:rFonts w:eastAsia="Times New Roman"/>
                <w:color w:val="000000" w:themeColor="text1"/>
              </w:rPr>
            </w:pPr>
            <w:r w:rsidRPr="00D14CD7">
              <w:rPr>
                <w:color w:val="000000" w:themeColor="text1"/>
              </w:rPr>
              <w:t>79</w:t>
            </w:r>
          </w:p>
        </w:tc>
        <w:tc>
          <w:tcPr>
            <w:tcW w:w="1260" w:type="dxa"/>
            <w:tcBorders>
              <w:left w:val="double" w:sz="4" w:space="0" w:color="auto"/>
            </w:tcBorders>
            <w:noWrap/>
            <w:hideMark/>
          </w:tcPr>
          <w:p w14:paraId="390D7008" w14:textId="77777777" w:rsidR="005B6BB0" w:rsidRPr="00D14CD7" w:rsidRDefault="005B6BB0" w:rsidP="00286339">
            <w:pPr>
              <w:jc w:val="right"/>
              <w:rPr>
                <w:rFonts w:eastAsia="Times New Roman"/>
                <w:color w:val="000000" w:themeColor="text1"/>
              </w:rPr>
            </w:pPr>
            <w:r w:rsidRPr="00D14CD7">
              <w:rPr>
                <w:rFonts w:eastAsia="Times New Roman"/>
                <w:color w:val="000000" w:themeColor="text1"/>
              </w:rPr>
              <w:t>37.97%</w:t>
            </w:r>
          </w:p>
        </w:tc>
        <w:tc>
          <w:tcPr>
            <w:tcW w:w="1260" w:type="dxa"/>
            <w:noWrap/>
            <w:hideMark/>
          </w:tcPr>
          <w:p w14:paraId="538FAD4F" w14:textId="77777777" w:rsidR="005B6BB0" w:rsidRPr="00D14CD7" w:rsidRDefault="005B6BB0" w:rsidP="00286339">
            <w:pPr>
              <w:jc w:val="right"/>
              <w:rPr>
                <w:rFonts w:eastAsia="Times New Roman"/>
                <w:color w:val="000000" w:themeColor="text1"/>
              </w:rPr>
            </w:pPr>
            <w:r w:rsidRPr="00D14CD7">
              <w:rPr>
                <w:rFonts w:eastAsia="Times New Roman"/>
                <w:color w:val="000000" w:themeColor="text1"/>
              </w:rPr>
              <w:t>45.57%</w:t>
            </w:r>
          </w:p>
        </w:tc>
        <w:tc>
          <w:tcPr>
            <w:tcW w:w="1260" w:type="dxa"/>
            <w:noWrap/>
            <w:hideMark/>
          </w:tcPr>
          <w:p w14:paraId="49F897B3" w14:textId="77777777" w:rsidR="005B6BB0" w:rsidRPr="00D14CD7" w:rsidRDefault="005B6BB0" w:rsidP="00286339">
            <w:pPr>
              <w:jc w:val="right"/>
              <w:rPr>
                <w:rFonts w:eastAsia="Times New Roman"/>
                <w:color w:val="000000" w:themeColor="text1"/>
              </w:rPr>
            </w:pPr>
            <w:r w:rsidRPr="00D14CD7">
              <w:rPr>
                <w:rFonts w:eastAsia="Times New Roman"/>
                <w:color w:val="000000" w:themeColor="text1"/>
              </w:rPr>
              <w:t>16.46%</w:t>
            </w:r>
          </w:p>
        </w:tc>
        <w:tc>
          <w:tcPr>
            <w:tcW w:w="1260" w:type="dxa"/>
            <w:tcBorders>
              <w:right w:val="double" w:sz="4" w:space="0" w:color="auto"/>
            </w:tcBorders>
            <w:noWrap/>
            <w:hideMark/>
          </w:tcPr>
          <w:p w14:paraId="60E08C5C" w14:textId="77777777" w:rsidR="005B6BB0" w:rsidRPr="00D14CD7" w:rsidRDefault="005B6BB0" w:rsidP="00286339">
            <w:pPr>
              <w:jc w:val="right"/>
              <w:rPr>
                <w:rFonts w:eastAsia="Times New Roman"/>
                <w:color w:val="000000" w:themeColor="text1"/>
              </w:rPr>
            </w:pPr>
            <w:r w:rsidRPr="00D14CD7">
              <w:rPr>
                <w:rFonts w:eastAsia="Times New Roman"/>
                <w:color w:val="000000" w:themeColor="text1"/>
              </w:rPr>
              <w:t>0.00%</w:t>
            </w:r>
          </w:p>
        </w:tc>
      </w:tr>
      <w:tr w:rsidR="00D14CD7" w:rsidRPr="00D14CD7" w14:paraId="21D762EA" w14:textId="77777777" w:rsidTr="00630A69">
        <w:trPr>
          <w:trHeight w:val="317"/>
        </w:trPr>
        <w:tc>
          <w:tcPr>
            <w:tcW w:w="1728" w:type="dxa"/>
            <w:tcBorders>
              <w:top w:val="single" w:sz="4" w:space="0" w:color="auto"/>
              <w:left w:val="double" w:sz="4" w:space="0" w:color="auto"/>
              <w:bottom w:val="single" w:sz="4" w:space="0" w:color="auto"/>
            </w:tcBorders>
            <w:noWrap/>
            <w:hideMark/>
          </w:tcPr>
          <w:p w14:paraId="3790F19F" w14:textId="77777777" w:rsidR="005B6BB0" w:rsidRPr="00D14CD7" w:rsidRDefault="005B6BB0" w:rsidP="00286339">
            <w:pPr>
              <w:jc w:val="left"/>
              <w:rPr>
                <w:rFonts w:eastAsia="Times New Roman"/>
                <w:color w:val="000000" w:themeColor="text1"/>
              </w:rPr>
            </w:pPr>
            <w:r w:rsidRPr="00D14CD7">
              <w:rPr>
                <w:rFonts w:eastAsia="Times New Roman"/>
                <w:color w:val="000000" w:themeColor="text1"/>
              </w:rPr>
              <w:t>4</w:t>
            </w:r>
          </w:p>
        </w:tc>
        <w:tc>
          <w:tcPr>
            <w:tcW w:w="1440" w:type="dxa"/>
            <w:tcBorders>
              <w:top w:val="single" w:sz="4" w:space="0" w:color="auto"/>
              <w:bottom w:val="single" w:sz="4" w:space="0" w:color="auto"/>
              <w:right w:val="double" w:sz="4" w:space="0" w:color="auto"/>
            </w:tcBorders>
          </w:tcPr>
          <w:p w14:paraId="4E921F1A" w14:textId="77777777" w:rsidR="005B6BB0" w:rsidRPr="00D14CD7" w:rsidRDefault="005B6BB0" w:rsidP="00286339">
            <w:pPr>
              <w:jc w:val="right"/>
              <w:rPr>
                <w:rFonts w:eastAsia="Times New Roman"/>
                <w:color w:val="000000" w:themeColor="text1"/>
              </w:rPr>
            </w:pPr>
            <w:r w:rsidRPr="00D14CD7">
              <w:rPr>
                <w:color w:val="000000" w:themeColor="text1"/>
              </w:rPr>
              <w:t>117</w:t>
            </w:r>
          </w:p>
        </w:tc>
        <w:tc>
          <w:tcPr>
            <w:tcW w:w="1260" w:type="dxa"/>
            <w:tcBorders>
              <w:left w:val="double" w:sz="4" w:space="0" w:color="auto"/>
            </w:tcBorders>
            <w:noWrap/>
            <w:hideMark/>
          </w:tcPr>
          <w:p w14:paraId="56C00714" w14:textId="77777777" w:rsidR="005B6BB0" w:rsidRPr="00D14CD7" w:rsidRDefault="005B6BB0" w:rsidP="00286339">
            <w:pPr>
              <w:jc w:val="right"/>
              <w:rPr>
                <w:rFonts w:eastAsia="Times New Roman"/>
                <w:color w:val="000000" w:themeColor="text1"/>
              </w:rPr>
            </w:pPr>
            <w:r w:rsidRPr="00D14CD7">
              <w:rPr>
                <w:rFonts w:eastAsia="Times New Roman"/>
                <w:color w:val="000000" w:themeColor="text1"/>
              </w:rPr>
              <w:t>41.03%</w:t>
            </w:r>
          </w:p>
        </w:tc>
        <w:tc>
          <w:tcPr>
            <w:tcW w:w="1260" w:type="dxa"/>
            <w:noWrap/>
            <w:hideMark/>
          </w:tcPr>
          <w:p w14:paraId="1FDC73EB" w14:textId="77777777" w:rsidR="005B6BB0" w:rsidRPr="00D14CD7" w:rsidRDefault="005B6BB0" w:rsidP="00286339">
            <w:pPr>
              <w:jc w:val="right"/>
              <w:rPr>
                <w:rFonts w:eastAsia="Times New Roman"/>
                <w:color w:val="000000" w:themeColor="text1"/>
              </w:rPr>
            </w:pPr>
            <w:r w:rsidRPr="00D14CD7">
              <w:rPr>
                <w:rFonts w:eastAsia="Times New Roman"/>
                <w:color w:val="000000" w:themeColor="text1"/>
              </w:rPr>
              <w:t>40.17%</w:t>
            </w:r>
          </w:p>
        </w:tc>
        <w:tc>
          <w:tcPr>
            <w:tcW w:w="1260" w:type="dxa"/>
            <w:noWrap/>
            <w:hideMark/>
          </w:tcPr>
          <w:p w14:paraId="6757B631" w14:textId="77777777" w:rsidR="005B6BB0" w:rsidRPr="00D14CD7" w:rsidRDefault="005B6BB0" w:rsidP="00286339">
            <w:pPr>
              <w:jc w:val="right"/>
              <w:rPr>
                <w:rFonts w:eastAsia="Times New Roman"/>
                <w:color w:val="000000" w:themeColor="text1"/>
              </w:rPr>
            </w:pPr>
            <w:r w:rsidRPr="00D14CD7">
              <w:rPr>
                <w:rFonts w:eastAsia="Times New Roman"/>
                <w:color w:val="000000" w:themeColor="text1"/>
              </w:rPr>
              <w:t>17.09%</w:t>
            </w:r>
          </w:p>
        </w:tc>
        <w:tc>
          <w:tcPr>
            <w:tcW w:w="1260" w:type="dxa"/>
            <w:tcBorders>
              <w:right w:val="double" w:sz="4" w:space="0" w:color="auto"/>
            </w:tcBorders>
            <w:noWrap/>
            <w:hideMark/>
          </w:tcPr>
          <w:p w14:paraId="2AF55C01" w14:textId="77777777" w:rsidR="005B6BB0" w:rsidRPr="00D14CD7" w:rsidRDefault="005B6BB0" w:rsidP="00286339">
            <w:pPr>
              <w:jc w:val="right"/>
              <w:rPr>
                <w:rFonts w:eastAsia="Times New Roman"/>
                <w:color w:val="000000" w:themeColor="text1"/>
              </w:rPr>
            </w:pPr>
            <w:r w:rsidRPr="00D14CD7">
              <w:rPr>
                <w:rFonts w:eastAsia="Times New Roman"/>
                <w:color w:val="000000" w:themeColor="text1"/>
              </w:rPr>
              <w:t>1.71%</w:t>
            </w:r>
          </w:p>
        </w:tc>
      </w:tr>
      <w:tr w:rsidR="00D14CD7" w:rsidRPr="00D14CD7" w14:paraId="2D685735" w14:textId="77777777" w:rsidTr="00630A69">
        <w:trPr>
          <w:trHeight w:val="317"/>
        </w:trPr>
        <w:tc>
          <w:tcPr>
            <w:tcW w:w="1728" w:type="dxa"/>
            <w:tcBorders>
              <w:top w:val="single" w:sz="4" w:space="0" w:color="auto"/>
              <w:left w:val="double" w:sz="4" w:space="0" w:color="auto"/>
              <w:bottom w:val="single" w:sz="4" w:space="0" w:color="auto"/>
            </w:tcBorders>
            <w:noWrap/>
            <w:hideMark/>
          </w:tcPr>
          <w:p w14:paraId="5EFA6899" w14:textId="77777777" w:rsidR="005B6BB0" w:rsidRPr="00D14CD7" w:rsidRDefault="005B6BB0" w:rsidP="00286339">
            <w:pPr>
              <w:jc w:val="left"/>
              <w:rPr>
                <w:rFonts w:eastAsia="Times New Roman"/>
                <w:color w:val="000000" w:themeColor="text1"/>
              </w:rPr>
            </w:pPr>
            <w:r w:rsidRPr="00D14CD7">
              <w:rPr>
                <w:rFonts w:eastAsia="Times New Roman"/>
                <w:color w:val="000000" w:themeColor="text1"/>
              </w:rPr>
              <w:t>5</w:t>
            </w:r>
          </w:p>
        </w:tc>
        <w:tc>
          <w:tcPr>
            <w:tcW w:w="1440" w:type="dxa"/>
            <w:tcBorders>
              <w:top w:val="single" w:sz="4" w:space="0" w:color="auto"/>
              <w:bottom w:val="single" w:sz="4" w:space="0" w:color="auto"/>
              <w:right w:val="double" w:sz="4" w:space="0" w:color="auto"/>
            </w:tcBorders>
          </w:tcPr>
          <w:p w14:paraId="478B9B42" w14:textId="77777777" w:rsidR="005B6BB0" w:rsidRPr="00D14CD7" w:rsidRDefault="005B6BB0" w:rsidP="00286339">
            <w:pPr>
              <w:jc w:val="right"/>
              <w:rPr>
                <w:rFonts w:eastAsia="Times New Roman"/>
                <w:color w:val="000000" w:themeColor="text1"/>
              </w:rPr>
            </w:pPr>
            <w:r w:rsidRPr="00D14CD7">
              <w:rPr>
                <w:color w:val="000000" w:themeColor="text1"/>
              </w:rPr>
              <w:t>96</w:t>
            </w:r>
          </w:p>
        </w:tc>
        <w:tc>
          <w:tcPr>
            <w:tcW w:w="1260" w:type="dxa"/>
            <w:tcBorders>
              <w:left w:val="double" w:sz="4" w:space="0" w:color="auto"/>
            </w:tcBorders>
            <w:noWrap/>
            <w:hideMark/>
          </w:tcPr>
          <w:p w14:paraId="51D01F79" w14:textId="77777777" w:rsidR="005B6BB0" w:rsidRPr="00D14CD7" w:rsidRDefault="005B6BB0" w:rsidP="00286339">
            <w:pPr>
              <w:jc w:val="right"/>
              <w:rPr>
                <w:rFonts w:eastAsia="Times New Roman"/>
                <w:color w:val="000000" w:themeColor="text1"/>
              </w:rPr>
            </w:pPr>
            <w:r w:rsidRPr="00D14CD7">
              <w:rPr>
                <w:rFonts w:eastAsia="Times New Roman"/>
                <w:color w:val="000000" w:themeColor="text1"/>
              </w:rPr>
              <w:t>39.58%</w:t>
            </w:r>
          </w:p>
        </w:tc>
        <w:tc>
          <w:tcPr>
            <w:tcW w:w="1260" w:type="dxa"/>
            <w:noWrap/>
            <w:hideMark/>
          </w:tcPr>
          <w:p w14:paraId="38543F65" w14:textId="77777777" w:rsidR="005B6BB0" w:rsidRPr="00D14CD7" w:rsidRDefault="005B6BB0" w:rsidP="00286339">
            <w:pPr>
              <w:jc w:val="right"/>
              <w:rPr>
                <w:rFonts w:eastAsia="Times New Roman"/>
                <w:color w:val="000000" w:themeColor="text1"/>
              </w:rPr>
            </w:pPr>
            <w:r w:rsidRPr="00D14CD7">
              <w:rPr>
                <w:rFonts w:eastAsia="Times New Roman"/>
                <w:color w:val="000000" w:themeColor="text1"/>
              </w:rPr>
              <w:t>40.63%</w:t>
            </w:r>
          </w:p>
        </w:tc>
        <w:tc>
          <w:tcPr>
            <w:tcW w:w="1260" w:type="dxa"/>
            <w:noWrap/>
            <w:hideMark/>
          </w:tcPr>
          <w:p w14:paraId="1310E8C0" w14:textId="77777777" w:rsidR="005B6BB0" w:rsidRPr="00D14CD7" w:rsidRDefault="005B6BB0" w:rsidP="00286339">
            <w:pPr>
              <w:jc w:val="right"/>
              <w:rPr>
                <w:rFonts w:eastAsia="Times New Roman"/>
                <w:color w:val="000000" w:themeColor="text1"/>
              </w:rPr>
            </w:pPr>
            <w:r w:rsidRPr="00D14CD7">
              <w:rPr>
                <w:rFonts w:eastAsia="Times New Roman"/>
                <w:color w:val="000000" w:themeColor="text1"/>
              </w:rPr>
              <w:t>14.58%</w:t>
            </w:r>
          </w:p>
        </w:tc>
        <w:tc>
          <w:tcPr>
            <w:tcW w:w="1260" w:type="dxa"/>
            <w:tcBorders>
              <w:right w:val="double" w:sz="4" w:space="0" w:color="auto"/>
            </w:tcBorders>
            <w:noWrap/>
            <w:hideMark/>
          </w:tcPr>
          <w:p w14:paraId="0ABDC62D" w14:textId="77777777" w:rsidR="005B6BB0" w:rsidRPr="00D14CD7" w:rsidRDefault="005B6BB0" w:rsidP="00286339">
            <w:pPr>
              <w:jc w:val="right"/>
              <w:rPr>
                <w:rFonts w:eastAsia="Times New Roman"/>
                <w:color w:val="000000" w:themeColor="text1"/>
              </w:rPr>
            </w:pPr>
            <w:r w:rsidRPr="00D14CD7">
              <w:rPr>
                <w:rFonts w:eastAsia="Times New Roman"/>
                <w:color w:val="000000" w:themeColor="text1"/>
              </w:rPr>
              <w:t>5.21%</w:t>
            </w:r>
          </w:p>
        </w:tc>
      </w:tr>
      <w:tr w:rsidR="00D14CD7" w:rsidRPr="00D14CD7" w14:paraId="4587788F" w14:textId="77777777" w:rsidTr="00630A69">
        <w:trPr>
          <w:trHeight w:val="317"/>
        </w:trPr>
        <w:tc>
          <w:tcPr>
            <w:tcW w:w="1728" w:type="dxa"/>
            <w:tcBorders>
              <w:top w:val="single" w:sz="4" w:space="0" w:color="auto"/>
              <w:left w:val="double" w:sz="4" w:space="0" w:color="auto"/>
              <w:bottom w:val="single" w:sz="4" w:space="0" w:color="auto"/>
            </w:tcBorders>
            <w:noWrap/>
            <w:hideMark/>
          </w:tcPr>
          <w:p w14:paraId="16E66233" w14:textId="77777777" w:rsidR="005B6BB0" w:rsidRPr="00D14CD7" w:rsidRDefault="005B6BB0" w:rsidP="00286339">
            <w:pPr>
              <w:jc w:val="left"/>
              <w:rPr>
                <w:rFonts w:eastAsia="Times New Roman"/>
                <w:color w:val="000000" w:themeColor="text1"/>
              </w:rPr>
            </w:pPr>
            <w:r w:rsidRPr="00D14CD7">
              <w:rPr>
                <w:rFonts w:eastAsia="Times New Roman"/>
                <w:color w:val="000000" w:themeColor="text1"/>
              </w:rPr>
              <w:t>6</w:t>
            </w:r>
          </w:p>
        </w:tc>
        <w:tc>
          <w:tcPr>
            <w:tcW w:w="1440" w:type="dxa"/>
            <w:tcBorders>
              <w:top w:val="single" w:sz="4" w:space="0" w:color="auto"/>
              <w:bottom w:val="single" w:sz="4" w:space="0" w:color="auto"/>
              <w:right w:val="double" w:sz="4" w:space="0" w:color="auto"/>
            </w:tcBorders>
          </w:tcPr>
          <w:p w14:paraId="1F51FF1E" w14:textId="77777777" w:rsidR="005B6BB0" w:rsidRPr="00D14CD7" w:rsidRDefault="005B6BB0" w:rsidP="00286339">
            <w:pPr>
              <w:jc w:val="right"/>
              <w:rPr>
                <w:rFonts w:eastAsia="Times New Roman"/>
                <w:color w:val="000000" w:themeColor="text1"/>
              </w:rPr>
            </w:pPr>
            <w:r w:rsidRPr="00D14CD7">
              <w:rPr>
                <w:color w:val="000000" w:themeColor="text1"/>
              </w:rPr>
              <w:t>39</w:t>
            </w:r>
          </w:p>
        </w:tc>
        <w:tc>
          <w:tcPr>
            <w:tcW w:w="1260" w:type="dxa"/>
            <w:tcBorders>
              <w:left w:val="double" w:sz="4" w:space="0" w:color="auto"/>
            </w:tcBorders>
            <w:noWrap/>
            <w:hideMark/>
          </w:tcPr>
          <w:p w14:paraId="27B4EB68" w14:textId="77777777" w:rsidR="005B6BB0" w:rsidRPr="00D14CD7" w:rsidRDefault="005B6BB0" w:rsidP="00286339">
            <w:pPr>
              <w:jc w:val="right"/>
              <w:rPr>
                <w:rFonts w:eastAsia="Times New Roman"/>
                <w:color w:val="000000" w:themeColor="text1"/>
              </w:rPr>
            </w:pPr>
            <w:r w:rsidRPr="00D14CD7">
              <w:rPr>
                <w:rFonts w:eastAsia="Times New Roman"/>
                <w:color w:val="000000" w:themeColor="text1"/>
              </w:rPr>
              <w:t>35.90%</w:t>
            </w:r>
          </w:p>
        </w:tc>
        <w:tc>
          <w:tcPr>
            <w:tcW w:w="1260" w:type="dxa"/>
            <w:noWrap/>
            <w:hideMark/>
          </w:tcPr>
          <w:p w14:paraId="62B7AF86" w14:textId="77777777" w:rsidR="005B6BB0" w:rsidRPr="00D14CD7" w:rsidRDefault="005B6BB0" w:rsidP="00286339">
            <w:pPr>
              <w:jc w:val="right"/>
              <w:rPr>
                <w:rFonts w:eastAsia="Times New Roman"/>
                <w:color w:val="000000" w:themeColor="text1"/>
              </w:rPr>
            </w:pPr>
            <w:r w:rsidRPr="00D14CD7">
              <w:rPr>
                <w:rFonts w:eastAsia="Times New Roman"/>
                <w:color w:val="000000" w:themeColor="text1"/>
              </w:rPr>
              <w:t>35.90%</w:t>
            </w:r>
          </w:p>
        </w:tc>
        <w:tc>
          <w:tcPr>
            <w:tcW w:w="1260" w:type="dxa"/>
            <w:noWrap/>
            <w:hideMark/>
          </w:tcPr>
          <w:p w14:paraId="3BD5911B" w14:textId="77777777" w:rsidR="005B6BB0" w:rsidRPr="00D14CD7" w:rsidRDefault="005B6BB0" w:rsidP="00286339">
            <w:pPr>
              <w:jc w:val="right"/>
              <w:rPr>
                <w:rFonts w:eastAsia="Times New Roman"/>
                <w:color w:val="000000" w:themeColor="text1"/>
              </w:rPr>
            </w:pPr>
            <w:r w:rsidRPr="00D14CD7">
              <w:rPr>
                <w:rFonts w:eastAsia="Times New Roman"/>
                <w:color w:val="000000" w:themeColor="text1"/>
              </w:rPr>
              <w:t>17.95%</w:t>
            </w:r>
          </w:p>
        </w:tc>
        <w:tc>
          <w:tcPr>
            <w:tcW w:w="1260" w:type="dxa"/>
            <w:tcBorders>
              <w:right w:val="double" w:sz="4" w:space="0" w:color="auto"/>
            </w:tcBorders>
            <w:noWrap/>
            <w:hideMark/>
          </w:tcPr>
          <w:p w14:paraId="0B2C8218" w14:textId="77777777" w:rsidR="005B6BB0" w:rsidRPr="00D14CD7" w:rsidRDefault="005B6BB0" w:rsidP="00286339">
            <w:pPr>
              <w:jc w:val="right"/>
              <w:rPr>
                <w:rFonts w:eastAsia="Times New Roman"/>
                <w:color w:val="000000" w:themeColor="text1"/>
              </w:rPr>
            </w:pPr>
            <w:r w:rsidRPr="00D14CD7">
              <w:rPr>
                <w:rFonts w:eastAsia="Times New Roman"/>
                <w:color w:val="000000" w:themeColor="text1"/>
              </w:rPr>
              <w:t>10.26%</w:t>
            </w:r>
          </w:p>
        </w:tc>
      </w:tr>
      <w:tr w:rsidR="00D14CD7" w:rsidRPr="00D14CD7" w14:paraId="24F384E0" w14:textId="77777777" w:rsidTr="00630A69">
        <w:trPr>
          <w:trHeight w:val="317"/>
        </w:trPr>
        <w:tc>
          <w:tcPr>
            <w:tcW w:w="1728" w:type="dxa"/>
            <w:tcBorders>
              <w:top w:val="single" w:sz="4" w:space="0" w:color="auto"/>
              <w:left w:val="double" w:sz="4" w:space="0" w:color="auto"/>
              <w:bottom w:val="single" w:sz="4" w:space="0" w:color="auto"/>
            </w:tcBorders>
            <w:noWrap/>
            <w:hideMark/>
          </w:tcPr>
          <w:p w14:paraId="7928D55F" w14:textId="77777777" w:rsidR="005B6BB0" w:rsidRPr="00D14CD7" w:rsidRDefault="005B6BB0" w:rsidP="00286339">
            <w:pPr>
              <w:jc w:val="left"/>
              <w:rPr>
                <w:rFonts w:eastAsia="Times New Roman"/>
                <w:color w:val="000000" w:themeColor="text1"/>
              </w:rPr>
            </w:pPr>
            <w:r w:rsidRPr="00D14CD7">
              <w:rPr>
                <w:rFonts w:eastAsia="Times New Roman"/>
                <w:color w:val="000000" w:themeColor="text1"/>
              </w:rPr>
              <w:t>7</w:t>
            </w:r>
          </w:p>
        </w:tc>
        <w:tc>
          <w:tcPr>
            <w:tcW w:w="1440" w:type="dxa"/>
            <w:tcBorders>
              <w:top w:val="single" w:sz="4" w:space="0" w:color="auto"/>
              <w:bottom w:val="single" w:sz="4" w:space="0" w:color="auto"/>
              <w:right w:val="double" w:sz="4" w:space="0" w:color="auto"/>
            </w:tcBorders>
          </w:tcPr>
          <w:p w14:paraId="2E8E8C08" w14:textId="77777777" w:rsidR="005B6BB0" w:rsidRPr="00D14CD7" w:rsidRDefault="005B6BB0" w:rsidP="00286339">
            <w:pPr>
              <w:jc w:val="right"/>
              <w:rPr>
                <w:rFonts w:eastAsia="Times New Roman"/>
                <w:color w:val="000000" w:themeColor="text1"/>
              </w:rPr>
            </w:pPr>
            <w:r w:rsidRPr="00D14CD7">
              <w:rPr>
                <w:color w:val="000000" w:themeColor="text1"/>
              </w:rPr>
              <w:t>12</w:t>
            </w:r>
          </w:p>
        </w:tc>
        <w:tc>
          <w:tcPr>
            <w:tcW w:w="1260" w:type="dxa"/>
            <w:tcBorders>
              <w:left w:val="double" w:sz="4" w:space="0" w:color="auto"/>
            </w:tcBorders>
            <w:noWrap/>
            <w:hideMark/>
          </w:tcPr>
          <w:p w14:paraId="2D9EE5C0" w14:textId="77777777" w:rsidR="005B6BB0" w:rsidRPr="00D14CD7" w:rsidRDefault="005B6BB0" w:rsidP="00286339">
            <w:pPr>
              <w:jc w:val="right"/>
              <w:rPr>
                <w:rFonts w:eastAsia="Times New Roman"/>
                <w:color w:val="000000" w:themeColor="text1"/>
              </w:rPr>
            </w:pPr>
            <w:r w:rsidRPr="00D14CD7">
              <w:rPr>
                <w:rFonts w:eastAsia="Times New Roman"/>
                <w:color w:val="000000" w:themeColor="text1"/>
              </w:rPr>
              <w:t>41.67%</w:t>
            </w:r>
          </w:p>
        </w:tc>
        <w:tc>
          <w:tcPr>
            <w:tcW w:w="1260" w:type="dxa"/>
            <w:noWrap/>
            <w:hideMark/>
          </w:tcPr>
          <w:p w14:paraId="43E0BE3B" w14:textId="77777777" w:rsidR="005B6BB0" w:rsidRPr="00D14CD7" w:rsidRDefault="005B6BB0" w:rsidP="00286339">
            <w:pPr>
              <w:jc w:val="right"/>
              <w:rPr>
                <w:rFonts w:eastAsia="Times New Roman"/>
                <w:color w:val="000000" w:themeColor="text1"/>
              </w:rPr>
            </w:pPr>
            <w:r w:rsidRPr="00D14CD7">
              <w:rPr>
                <w:rFonts w:eastAsia="Times New Roman"/>
                <w:color w:val="000000" w:themeColor="text1"/>
              </w:rPr>
              <w:t>25.00%</w:t>
            </w:r>
          </w:p>
        </w:tc>
        <w:tc>
          <w:tcPr>
            <w:tcW w:w="1260" w:type="dxa"/>
            <w:noWrap/>
            <w:hideMark/>
          </w:tcPr>
          <w:p w14:paraId="1FEEC237" w14:textId="77777777" w:rsidR="005B6BB0" w:rsidRPr="00D14CD7" w:rsidRDefault="005B6BB0" w:rsidP="00286339">
            <w:pPr>
              <w:jc w:val="right"/>
              <w:rPr>
                <w:rFonts w:eastAsia="Times New Roman"/>
                <w:color w:val="000000" w:themeColor="text1"/>
              </w:rPr>
            </w:pPr>
            <w:r w:rsidRPr="00D14CD7">
              <w:rPr>
                <w:rFonts w:eastAsia="Times New Roman"/>
                <w:color w:val="000000" w:themeColor="text1"/>
              </w:rPr>
              <w:t>33.33%</w:t>
            </w:r>
          </w:p>
        </w:tc>
        <w:tc>
          <w:tcPr>
            <w:tcW w:w="1260" w:type="dxa"/>
            <w:tcBorders>
              <w:right w:val="double" w:sz="4" w:space="0" w:color="auto"/>
            </w:tcBorders>
            <w:noWrap/>
            <w:hideMark/>
          </w:tcPr>
          <w:p w14:paraId="259D7739" w14:textId="77777777" w:rsidR="005B6BB0" w:rsidRPr="00D14CD7" w:rsidRDefault="005B6BB0" w:rsidP="00286339">
            <w:pPr>
              <w:jc w:val="right"/>
              <w:rPr>
                <w:rFonts w:eastAsia="Times New Roman"/>
                <w:color w:val="000000" w:themeColor="text1"/>
              </w:rPr>
            </w:pPr>
            <w:r w:rsidRPr="00D14CD7">
              <w:rPr>
                <w:rFonts w:eastAsia="Times New Roman"/>
                <w:color w:val="000000" w:themeColor="text1"/>
              </w:rPr>
              <w:t>0.00%</w:t>
            </w:r>
          </w:p>
        </w:tc>
      </w:tr>
      <w:tr w:rsidR="00D14CD7" w:rsidRPr="00D14CD7" w14:paraId="6061BF01" w14:textId="77777777" w:rsidTr="00630A69">
        <w:trPr>
          <w:trHeight w:val="317"/>
        </w:trPr>
        <w:tc>
          <w:tcPr>
            <w:tcW w:w="1728" w:type="dxa"/>
            <w:tcBorders>
              <w:top w:val="single" w:sz="4" w:space="0" w:color="auto"/>
              <w:left w:val="double" w:sz="4" w:space="0" w:color="auto"/>
              <w:bottom w:val="single" w:sz="4" w:space="0" w:color="auto"/>
            </w:tcBorders>
            <w:noWrap/>
            <w:hideMark/>
          </w:tcPr>
          <w:p w14:paraId="2D3D3D93" w14:textId="77777777" w:rsidR="005B6BB0" w:rsidRPr="00D14CD7" w:rsidRDefault="005B6BB0" w:rsidP="00286339">
            <w:pPr>
              <w:jc w:val="left"/>
              <w:rPr>
                <w:rFonts w:eastAsia="Times New Roman"/>
                <w:color w:val="000000" w:themeColor="text1"/>
              </w:rPr>
            </w:pPr>
            <w:r w:rsidRPr="00D14CD7">
              <w:rPr>
                <w:rFonts w:eastAsia="Times New Roman"/>
                <w:color w:val="000000" w:themeColor="text1"/>
              </w:rPr>
              <w:t>8 to 9</w:t>
            </w:r>
          </w:p>
        </w:tc>
        <w:tc>
          <w:tcPr>
            <w:tcW w:w="1440" w:type="dxa"/>
            <w:tcBorders>
              <w:top w:val="single" w:sz="4" w:space="0" w:color="auto"/>
              <w:bottom w:val="single" w:sz="4" w:space="0" w:color="auto"/>
              <w:right w:val="double" w:sz="4" w:space="0" w:color="auto"/>
            </w:tcBorders>
          </w:tcPr>
          <w:p w14:paraId="216FECB9" w14:textId="77777777" w:rsidR="005B6BB0" w:rsidRPr="00D14CD7" w:rsidRDefault="005B6BB0" w:rsidP="00286339">
            <w:pPr>
              <w:jc w:val="right"/>
              <w:rPr>
                <w:rFonts w:eastAsia="Times New Roman"/>
                <w:color w:val="000000" w:themeColor="text1"/>
              </w:rPr>
            </w:pPr>
            <w:r w:rsidRPr="00D14CD7">
              <w:rPr>
                <w:color w:val="000000" w:themeColor="text1"/>
              </w:rPr>
              <w:t>46</w:t>
            </w:r>
          </w:p>
        </w:tc>
        <w:tc>
          <w:tcPr>
            <w:tcW w:w="1260" w:type="dxa"/>
            <w:tcBorders>
              <w:left w:val="double" w:sz="4" w:space="0" w:color="auto"/>
            </w:tcBorders>
            <w:noWrap/>
            <w:hideMark/>
          </w:tcPr>
          <w:p w14:paraId="5DD93126" w14:textId="77777777" w:rsidR="005B6BB0" w:rsidRPr="00D14CD7" w:rsidRDefault="005B6BB0" w:rsidP="00286339">
            <w:pPr>
              <w:jc w:val="right"/>
              <w:rPr>
                <w:rFonts w:eastAsia="Times New Roman"/>
                <w:color w:val="000000" w:themeColor="text1"/>
              </w:rPr>
            </w:pPr>
            <w:r w:rsidRPr="00D14CD7">
              <w:rPr>
                <w:rFonts w:eastAsia="Times New Roman"/>
                <w:color w:val="000000" w:themeColor="text1"/>
              </w:rPr>
              <w:t>25.85%</w:t>
            </w:r>
          </w:p>
        </w:tc>
        <w:tc>
          <w:tcPr>
            <w:tcW w:w="1260" w:type="dxa"/>
            <w:noWrap/>
            <w:hideMark/>
          </w:tcPr>
          <w:p w14:paraId="703F64A1" w14:textId="77777777" w:rsidR="005B6BB0" w:rsidRPr="00D14CD7" w:rsidRDefault="005B6BB0" w:rsidP="00286339">
            <w:pPr>
              <w:jc w:val="right"/>
              <w:rPr>
                <w:rFonts w:eastAsia="Times New Roman"/>
                <w:color w:val="000000" w:themeColor="text1"/>
              </w:rPr>
            </w:pPr>
            <w:r w:rsidRPr="00D14CD7">
              <w:rPr>
                <w:rFonts w:eastAsia="Times New Roman"/>
                <w:color w:val="000000" w:themeColor="text1"/>
              </w:rPr>
              <w:t>41.95%</w:t>
            </w:r>
          </w:p>
        </w:tc>
        <w:tc>
          <w:tcPr>
            <w:tcW w:w="1260" w:type="dxa"/>
            <w:noWrap/>
            <w:hideMark/>
          </w:tcPr>
          <w:p w14:paraId="4B046EEC" w14:textId="77777777" w:rsidR="005B6BB0" w:rsidRPr="00D14CD7" w:rsidRDefault="005B6BB0" w:rsidP="00286339">
            <w:pPr>
              <w:jc w:val="right"/>
              <w:rPr>
                <w:rFonts w:eastAsia="Times New Roman"/>
                <w:color w:val="000000" w:themeColor="text1"/>
              </w:rPr>
            </w:pPr>
            <w:r w:rsidRPr="00D14CD7">
              <w:rPr>
                <w:rFonts w:eastAsia="Times New Roman"/>
                <w:color w:val="000000" w:themeColor="text1"/>
              </w:rPr>
              <w:t>30.98%</w:t>
            </w:r>
          </w:p>
        </w:tc>
        <w:tc>
          <w:tcPr>
            <w:tcW w:w="1260" w:type="dxa"/>
            <w:tcBorders>
              <w:right w:val="double" w:sz="4" w:space="0" w:color="auto"/>
            </w:tcBorders>
            <w:noWrap/>
            <w:hideMark/>
          </w:tcPr>
          <w:p w14:paraId="04202616" w14:textId="77777777" w:rsidR="005B6BB0" w:rsidRPr="00D14CD7" w:rsidRDefault="005B6BB0" w:rsidP="00286339">
            <w:pPr>
              <w:jc w:val="right"/>
              <w:rPr>
                <w:rFonts w:eastAsia="Times New Roman"/>
                <w:color w:val="000000" w:themeColor="text1"/>
              </w:rPr>
            </w:pPr>
            <w:r w:rsidRPr="00D14CD7">
              <w:rPr>
                <w:rFonts w:eastAsia="Times New Roman"/>
                <w:color w:val="000000" w:themeColor="text1"/>
              </w:rPr>
              <w:t>1.22%</w:t>
            </w:r>
          </w:p>
        </w:tc>
      </w:tr>
      <w:tr w:rsidR="00D14CD7" w:rsidRPr="00D14CD7" w14:paraId="4D8CB217" w14:textId="77777777" w:rsidTr="00630A69">
        <w:trPr>
          <w:trHeight w:val="317"/>
        </w:trPr>
        <w:tc>
          <w:tcPr>
            <w:tcW w:w="1728" w:type="dxa"/>
            <w:tcBorders>
              <w:top w:val="single" w:sz="4" w:space="0" w:color="auto"/>
              <w:left w:val="double" w:sz="4" w:space="0" w:color="auto"/>
              <w:bottom w:val="single" w:sz="4" w:space="0" w:color="auto"/>
            </w:tcBorders>
            <w:noWrap/>
            <w:hideMark/>
          </w:tcPr>
          <w:p w14:paraId="20E97F3A" w14:textId="77777777" w:rsidR="005B6BB0" w:rsidRPr="00D14CD7" w:rsidRDefault="005B6BB0" w:rsidP="00286339">
            <w:pPr>
              <w:jc w:val="left"/>
              <w:rPr>
                <w:rFonts w:eastAsia="Times New Roman"/>
                <w:color w:val="000000" w:themeColor="text1"/>
              </w:rPr>
            </w:pPr>
            <w:r w:rsidRPr="00D14CD7">
              <w:rPr>
                <w:rFonts w:eastAsia="Times New Roman"/>
                <w:color w:val="000000" w:themeColor="text1"/>
              </w:rPr>
              <w:t>10</w:t>
            </w:r>
          </w:p>
        </w:tc>
        <w:tc>
          <w:tcPr>
            <w:tcW w:w="1440" w:type="dxa"/>
            <w:tcBorders>
              <w:top w:val="single" w:sz="4" w:space="0" w:color="auto"/>
              <w:bottom w:val="single" w:sz="4" w:space="0" w:color="auto"/>
              <w:right w:val="double" w:sz="4" w:space="0" w:color="auto"/>
            </w:tcBorders>
          </w:tcPr>
          <w:p w14:paraId="38C2A332" w14:textId="77777777" w:rsidR="005B6BB0" w:rsidRPr="00D14CD7" w:rsidRDefault="005B6BB0" w:rsidP="00286339">
            <w:pPr>
              <w:jc w:val="right"/>
              <w:rPr>
                <w:rFonts w:eastAsia="Times New Roman"/>
                <w:color w:val="000000" w:themeColor="text1"/>
              </w:rPr>
            </w:pPr>
            <w:r w:rsidRPr="00D14CD7">
              <w:rPr>
                <w:color w:val="000000" w:themeColor="text1"/>
              </w:rPr>
              <w:t>67</w:t>
            </w:r>
          </w:p>
        </w:tc>
        <w:tc>
          <w:tcPr>
            <w:tcW w:w="1260" w:type="dxa"/>
            <w:tcBorders>
              <w:left w:val="double" w:sz="4" w:space="0" w:color="auto"/>
            </w:tcBorders>
            <w:noWrap/>
            <w:hideMark/>
          </w:tcPr>
          <w:p w14:paraId="1DFB87D0" w14:textId="77777777" w:rsidR="005B6BB0" w:rsidRPr="00D14CD7" w:rsidRDefault="005B6BB0" w:rsidP="00286339">
            <w:pPr>
              <w:jc w:val="right"/>
              <w:rPr>
                <w:rFonts w:eastAsia="Times New Roman"/>
                <w:color w:val="000000" w:themeColor="text1"/>
              </w:rPr>
            </w:pPr>
            <w:r w:rsidRPr="00D14CD7">
              <w:rPr>
                <w:rFonts w:eastAsia="Times New Roman"/>
                <w:color w:val="000000" w:themeColor="text1"/>
              </w:rPr>
              <w:t>14.93%</w:t>
            </w:r>
          </w:p>
        </w:tc>
        <w:tc>
          <w:tcPr>
            <w:tcW w:w="1260" w:type="dxa"/>
            <w:noWrap/>
            <w:hideMark/>
          </w:tcPr>
          <w:p w14:paraId="5595F773" w14:textId="77777777" w:rsidR="005B6BB0" w:rsidRPr="00D14CD7" w:rsidRDefault="005B6BB0" w:rsidP="00286339">
            <w:pPr>
              <w:jc w:val="right"/>
              <w:rPr>
                <w:rFonts w:eastAsia="Times New Roman"/>
                <w:color w:val="000000" w:themeColor="text1"/>
              </w:rPr>
            </w:pPr>
            <w:r w:rsidRPr="00D14CD7">
              <w:rPr>
                <w:rFonts w:eastAsia="Times New Roman"/>
                <w:color w:val="000000" w:themeColor="text1"/>
              </w:rPr>
              <w:t>52.24%</w:t>
            </w:r>
          </w:p>
        </w:tc>
        <w:tc>
          <w:tcPr>
            <w:tcW w:w="1260" w:type="dxa"/>
            <w:noWrap/>
            <w:hideMark/>
          </w:tcPr>
          <w:p w14:paraId="7542DC27" w14:textId="77777777" w:rsidR="005B6BB0" w:rsidRPr="00D14CD7" w:rsidRDefault="005B6BB0" w:rsidP="00286339">
            <w:pPr>
              <w:jc w:val="right"/>
              <w:rPr>
                <w:rFonts w:eastAsia="Times New Roman"/>
                <w:color w:val="000000" w:themeColor="text1"/>
              </w:rPr>
            </w:pPr>
            <w:r w:rsidRPr="00D14CD7">
              <w:rPr>
                <w:rFonts w:eastAsia="Times New Roman"/>
                <w:color w:val="000000" w:themeColor="text1"/>
              </w:rPr>
              <w:t>25.37%</w:t>
            </w:r>
          </w:p>
        </w:tc>
        <w:tc>
          <w:tcPr>
            <w:tcW w:w="1260" w:type="dxa"/>
            <w:tcBorders>
              <w:right w:val="double" w:sz="4" w:space="0" w:color="auto"/>
            </w:tcBorders>
            <w:noWrap/>
            <w:hideMark/>
          </w:tcPr>
          <w:p w14:paraId="2104BB28" w14:textId="77777777" w:rsidR="005B6BB0" w:rsidRPr="00D14CD7" w:rsidRDefault="005B6BB0" w:rsidP="00286339">
            <w:pPr>
              <w:jc w:val="right"/>
              <w:rPr>
                <w:rFonts w:eastAsia="Times New Roman"/>
                <w:color w:val="000000" w:themeColor="text1"/>
              </w:rPr>
            </w:pPr>
            <w:r w:rsidRPr="00D14CD7">
              <w:rPr>
                <w:rFonts w:eastAsia="Times New Roman"/>
                <w:color w:val="000000" w:themeColor="text1"/>
              </w:rPr>
              <w:t>7.46%</w:t>
            </w:r>
          </w:p>
        </w:tc>
      </w:tr>
      <w:tr w:rsidR="00D14CD7" w:rsidRPr="00D14CD7" w14:paraId="37656CEE" w14:textId="77777777" w:rsidTr="00630A69">
        <w:trPr>
          <w:trHeight w:val="317"/>
        </w:trPr>
        <w:tc>
          <w:tcPr>
            <w:tcW w:w="1728" w:type="dxa"/>
            <w:tcBorders>
              <w:top w:val="single" w:sz="4" w:space="0" w:color="auto"/>
              <w:left w:val="double" w:sz="4" w:space="0" w:color="auto"/>
              <w:bottom w:val="single" w:sz="4" w:space="0" w:color="auto"/>
            </w:tcBorders>
            <w:noWrap/>
            <w:hideMark/>
          </w:tcPr>
          <w:p w14:paraId="2998FDEA" w14:textId="77777777" w:rsidR="005B6BB0" w:rsidRPr="00D14CD7" w:rsidRDefault="005B6BB0" w:rsidP="00286339">
            <w:pPr>
              <w:jc w:val="left"/>
              <w:rPr>
                <w:rFonts w:eastAsia="Times New Roman"/>
                <w:color w:val="000000" w:themeColor="text1"/>
              </w:rPr>
            </w:pPr>
            <w:r w:rsidRPr="00D14CD7">
              <w:rPr>
                <w:rFonts w:eastAsia="Times New Roman"/>
                <w:color w:val="000000" w:themeColor="text1"/>
              </w:rPr>
              <w:t>11 to 15</w:t>
            </w:r>
          </w:p>
        </w:tc>
        <w:tc>
          <w:tcPr>
            <w:tcW w:w="1440" w:type="dxa"/>
            <w:tcBorders>
              <w:top w:val="single" w:sz="4" w:space="0" w:color="auto"/>
              <w:bottom w:val="single" w:sz="4" w:space="0" w:color="auto"/>
              <w:right w:val="double" w:sz="4" w:space="0" w:color="auto"/>
            </w:tcBorders>
          </w:tcPr>
          <w:p w14:paraId="6D51C083" w14:textId="77777777" w:rsidR="005B6BB0" w:rsidRPr="00D14CD7" w:rsidRDefault="005B6BB0" w:rsidP="00286339">
            <w:pPr>
              <w:jc w:val="right"/>
              <w:rPr>
                <w:rFonts w:eastAsia="Times New Roman"/>
                <w:color w:val="000000" w:themeColor="text1"/>
              </w:rPr>
            </w:pPr>
            <w:r w:rsidRPr="00D14CD7">
              <w:rPr>
                <w:color w:val="000000" w:themeColor="text1"/>
              </w:rPr>
              <w:t>29</w:t>
            </w:r>
          </w:p>
        </w:tc>
        <w:tc>
          <w:tcPr>
            <w:tcW w:w="1260" w:type="dxa"/>
            <w:tcBorders>
              <w:left w:val="double" w:sz="4" w:space="0" w:color="auto"/>
              <w:bottom w:val="single" w:sz="4" w:space="0" w:color="auto"/>
            </w:tcBorders>
            <w:noWrap/>
            <w:hideMark/>
          </w:tcPr>
          <w:p w14:paraId="74535EDE" w14:textId="77777777" w:rsidR="005B6BB0" w:rsidRPr="00D14CD7" w:rsidRDefault="005B6BB0" w:rsidP="00286339">
            <w:pPr>
              <w:jc w:val="right"/>
              <w:rPr>
                <w:rFonts w:eastAsia="Times New Roman"/>
                <w:color w:val="000000" w:themeColor="text1"/>
              </w:rPr>
            </w:pPr>
            <w:r w:rsidRPr="00D14CD7">
              <w:rPr>
                <w:rFonts w:eastAsia="Times New Roman"/>
                <w:color w:val="000000" w:themeColor="text1"/>
              </w:rPr>
              <w:t>16.67%</w:t>
            </w:r>
          </w:p>
        </w:tc>
        <w:tc>
          <w:tcPr>
            <w:tcW w:w="1260" w:type="dxa"/>
            <w:tcBorders>
              <w:bottom w:val="single" w:sz="4" w:space="0" w:color="auto"/>
            </w:tcBorders>
            <w:noWrap/>
            <w:hideMark/>
          </w:tcPr>
          <w:p w14:paraId="3D6B5F76" w14:textId="77777777" w:rsidR="005B6BB0" w:rsidRPr="00D14CD7" w:rsidRDefault="005B6BB0" w:rsidP="00286339">
            <w:pPr>
              <w:jc w:val="right"/>
              <w:rPr>
                <w:rFonts w:eastAsia="Times New Roman"/>
                <w:color w:val="000000" w:themeColor="text1"/>
              </w:rPr>
            </w:pPr>
            <w:r w:rsidRPr="00D14CD7">
              <w:rPr>
                <w:rFonts w:eastAsia="Times New Roman"/>
                <w:color w:val="000000" w:themeColor="text1"/>
              </w:rPr>
              <w:t>25.69%</w:t>
            </w:r>
          </w:p>
        </w:tc>
        <w:tc>
          <w:tcPr>
            <w:tcW w:w="1260" w:type="dxa"/>
            <w:tcBorders>
              <w:bottom w:val="single" w:sz="4" w:space="0" w:color="auto"/>
            </w:tcBorders>
            <w:noWrap/>
            <w:hideMark/>
          </w:tcPr>
          <w:p w14:paraId="5B3A1299" w14:textId="77777777" w:rsidR="005B6BB0" w:rsidRPr="00D14CD7" w:rsidRDefault="005B6BB0" w:rsidP="00286339">
            <w:pPr>
              <w:jc w:val="right"/>
              <w:rPr>
                <w:rFonts w:eastAsia="Times New Roman"/>
                <w:color w:val="000000" w:themeColor="text1"/>
              </w:rPr>
            </w:pPr>
            <w:r w:rsidRPr="00D14CD7">
              <w:rPr>
                <w:rFonts w:eastAsia="Times New Roman"/>
                <w:color w:val="000000" w:themeColor="text1"/>
              </w:rPr>
              <w:t>54.86%</w:t>
            </w:r>
          </w:p>
        </w:tc>
        <w:tc>
          <w:tcPr>
            <w:tcW w:w="1260" w:type="dxa"/>
            <w:tcBorders>
              <w:bottom w:val="single" w:sz="4" w:space="0" w:color="auto"/>
              <w:right w:val="double" w:sz="4" w:space="0" w:color="auto"/>
            </w:tcBorders>
            <w:noWrap/>
            <w:hideMark/>
          </w:tcPr>
          <w:p w14:paraId="5DE86487" w14:textId="77777777" w:rsidR="005B6BB0" w:rsidRPr="00D14CD7" w:rsidRDefault="005B6BB0" w:rsidP="00286339">
            <w:pPr>
              <w:jc w:val="right"/>
              <w:rPr>
                <w:rFonts w:eastAsia="Times New Roman"/>
                <w:color w:val="000000" w:themeColor="text1"/>
              </w:rPr>
            </w:pPr>
            <w:r w:rsidRPr="00D14CD7">
              <w:rPr>
                <w:rFonts w:eastAsia="Times New Roman"/>
                <w:color w:val="000000" w:themeColor="text1"/>
              </w:rPr>
              <w:t>2.78%</w:t>
            </w:r>
          </w:p>
        </w:tc>
      </w:tr>
      <w:tr w:rsidR="005B6BB0" w:rsidRPr="00D14CD7" w14:paraId="28EDFFCB" w14:textId="77777777" w:rsidTr="00630A69">
        <w:trPr>
          <w:trHeight w:val="317"/>
        </w:trPr>
        <w:tc>
          <w:tcPr>
            <w:tcW w:w="1728" w:type="dxa"/>
            <w:tcBorders>
              <w:top w:val="single" w:sz="4" w:space="0" w:color="auto"/>
              <w:left w:val="double" w:sz="4" w:space="0" w:color="auto"/>
              <w:bottom w:val="double" w:sz="4" w:space="0" w:color="auto"/>
            </w:tcBorders>
            <w:noWrap/>
            <w:hideMark/>
          </w:tcPr>
          <w:p w14:paraId="4910B0CA" w14:textId="77777777" w:rsidR="005B6BB0" w:rsidRPr="00D14CD7" w:rsidRDefault="005B6BB0" w:rsidP="00286339">
            <w:pPr>
              <w:jc w:val="left"/>
              <w:rPr>
                <w:rFonts w:eastAsia="Times New Roman"/>
                <w:color w:val="000000" w:themeColor="text1"/>
              </w:rPr>
            </w:pPr>
            <w:r w:rsidRPr="00D14CD7">
              <w:rPr>
                <w:rFonts w:eastAsia="Times New Roman"/>
                <w:color w:val="000000" w:themeColor="text1"/>
              </w:rPr>
              <w:t>16+</w:t>
            </w:r>
          </w:p>
        </w:tc>
        <w:tc>
          <w:tcPr>
            <w:tcW w:w="1440" w:type="dxa"/>
            <w:tcBorders>
              <w:top w:val="single" w:sz="4" w:space="0" w:color="auto"/>
              <w:bottom w:val="double" w:sz="4" w:space="0" w:color="auto"/>
              <w:right w:val="double" w:sz="4" w:space="0" w:color="auto"/>
            </w:tcBorders>
          </w:tcPr>
          <w:p w14:paraId="205B166B" w14:textId="77777777" w:rsidR="005B6BB0" w:rsidRPr="00D14CD7" w:rsidRDefault="005B6BB0" w:rsidP="00286339">
            <w:pPr>
              <w:jc w:val="right"/>
              <w:rPr>
                <w:rFonts w:eastAsia="Times New Roman"/>
                <w:color w:val="000000" w:themeColor="text1"/>
              </w:rPr>
            </w:pPr>
            <w:r w:rsidRPr="00D14CD7">
              <w:rPr>
                <w:color w:val="000000" w:themeColor="text1"/>
              </w:rPr>
              <w:t>23</w:t>
            </w:r>
          </w:p>
        </w:tc>
        <w:tc>
          <w:tcPr>
            <w:tcW w:w="1260" w:type="dxa"/>
            <w:tcBorders>
              <w:top w:val="single" w:sz="4" w:space="0" w:color="auto"/>
              <w:left w:val="double" w:sz="4" w:space="0" w:color="auto"/>
              <w:bottom w:val="double" w:sz="4" w:space="0" w:color="auto"/>
            </w:tcBorders>
            <w:noWrap/>
            <w:hideMark/>
          </w:tcPr>
          <w:p w14:paraId="6177C2F6" w14:textId="77777777" w:rsidR="005B6BB0" w:rsidRPr="00D14CD7" w:rsidRDefault="005B6BB0" w:rsidP="00286339">
            <w:pPr>
              <w:jc w:val="right"/>
              <w:rPr>
                <w:rFonts w:eastAsia="Times New Roman"/>
                <w:color w:val="000000" w:themeColor="text1"/>
              </w:rPr>
            </w:pPr>
            <w:r w:rsidRPr="00D14CD7">
              <w:rPr>
                <w:rFonts w:eastAsia="Times New Roman"/>
                <w:color w:val="000000" w:themeColor="text1"/>
              </w:rPr>
              <w:t>15.61%</w:t>
            </w:r>
          </w:p>
        </w:tc>
        <w:tc>
          <w:tcPr>
            <w:tcW w:w="1260" w:type="dxa"/>
            <w:tcBorders>
              <w:top w:val="single" w:sz="4" w:space="0" w:color="auto"/>
              <w:bottom w:val="double" w:sz="4" w:space="0" w:color="auto"/>
            </w:tcBorders>
            <w:noWrap/>
            <w:hideMark/>
          </w:tcPr>
          <w:p w14:paraId="4A7F4B22" w14:textId="77777777" w:rsidR="005B6BB0" w:rsidRPr="00D14CD7" w:rsidRDefault="005B6BB0" w:rsidP="00286339">
            <w:pPr>
              <w:jc w:val="right"/>
              <w:rPr>
                <w:rFonts w:eastAsia="Times New Roman"/>
                <w:color w:val="000000" w:themeColor="text1"/>
              </w:rPr>
            </w:pPr>
            <w:r w:rsidRPr="00D14CD7">
              <w:rPr>
                <w:rFonts w:eastAsia="Times New Roman"/>
                <w:color w:val="000000" w:themeColor="text1"/>
              </w:rPr>
              <w:t>28.18%</w:t>
            </w:r>
          </w:p>
        </w:tc>
        <w:tc>
          <w:tcPr>
            <w:tcW w:w="1260" w:type="dxa"/>
            <w:tcBorders>
              <w:top w:val="single" w:sz="4" w:space="0" w:color="auto"/>
              <w:bottom w:val="double" w:sz="4" w:space="0" w:color="auto"/>
            </w:tcBorders>
            <w:noWrap/>
            <w:hideMark/>
          </w:tcPr>
          <w:p w14:paraId="1072232F" w14:textId="77777777" w:rsidR="005B6BB0" w:rsidRPr="00D14CD7" w:rsidRDefault="005B6BB0" w:rsidP="00286339">
            <w:pPr>
              <w:jc w:val="right"/>
              <w:rPr>
                <w:rFonts w:eastAsia="Times New Roman"/>
                <w:color w:val="000000" w:themeColor="text1"/>
              </w:rPr>
            </w:pPr>
            <w:r w:rsidRPr="00D14CD7">
              <w:rPr>
                <w:rFonts w:eastAsia="Times New Roman"/>
                <w:color w:val="000000" w:themeColor="text1"/>
              </w:rPr>
              <w:t>44.77%</w:t>
            </w:r>
          </w:p>
        </w:tc>
        <w:tc>
          <w:tcPr>
            <w:tcW w:w="1260" w:type="dxa"/>
            <w:tcBorders>
              <w:top w:val="single" w:sz="4" w:space="0" w:color="auto"/>
              <w:bottom w:val="double" w:sz="4" w:space="0" w:color="auto"/>
              <w:right w:val="double" w:sz="4" w:space="0" w:color="auto"/>
            </w:tcBorders>
            <w:noWrap/>
            <w:hideMark/>
          </w:tcPr>
          <w:p w14:paraId="05BC6EA9" w14:textId="77777777" w:rsidR="005B6BB0" w:rsidRPr="00D14CD7" w:rsidRDefault="005B6BB0" w:rsidP="00286339">
            <w:pPr>
              <w:jc w:val="right"/>
              <w:rPr>
                <w:rFonts w:eastAsia="Times New Roman"/>
                <w:color w:val="000000" w:themeColor="text1"/>
              </w:rPr>
            </w:pPr>
            <w:r w:rsidRPr="00D14CD7">
              <w:rPr>
                <w:rFonts w:eastAsia="Times New Roman"/>
                <w:color w:val="000000" w:themeColor="text1"/>
              </w:rPr>
              <w:t>11.44%</w:t>
            </w:r>
          </w:p>
        </w:tc>
      </w:tr>
    </w:tbl>
    <w:p w14:paraId="5308E291" w14:textId="77777777" w:rsidR="005B6BB0" w:rsidRPr="00D14CD7" w:rsidRDefault="005B6BB0" w:rsidP="00DD2090">
      <w:pPr>
        <w:rPr>
          <w:color w:val="000000" w:themeColor="text1"/>
        </w:rPr>
      </w:pPr>
    </w:p>
    <w:p w14:paraId="2A62060E" w14:textId="77777777" w:rsidR="00DD2090" w:rsidRPr="00D14CD7" w:rsidRDefault="00DD2090" w:rsidP="00DD2090">
      <w:pPr>
        <w:rPr>
          <w:color w:val="000000" w:themeColor="text1"/>
        </w:rPr>
      </w:pPr>
    </w:p>
    <w:p w14:paraId="48598A48" w14:textId="68C85840" w:rsidR="00670778" w:rsidRPr="00D14CD7" w:rsidRDefault="00670778" w:rsidP="008A4696">
      <w:pPr>
        <w:rPr>
          <w:color w:val="000000" w:themeColor="text1"/>
        </w:rPr>
      </w:pPr>
    </w:p>
    <w:p w14:paraId="3D49534C" w14:textId="0A79169C" w:rsidR="00670778" w:rsidRPr="00D14CD7" w:rsidRDefault="004E4033" w:rsidP="008A4696">
      <w:pPr>
        <w:rPr>
          <w:color w:val="000000" w:themeColor="text1"/>
        </w:rPr>
      </w:pPr>
      <w:r w:rsidRPr="00D14CD7">
        <w:rPr>
          <w:color w:val="000000" w:themeColor="text1"/>
        </w:rPr>
        <w:t xml:space="preserve"> </w:t>
      </w:r>
    </w:p>
    <w:p w14:paraId="12941241" w14:textId="77777777" w:rsidR="00670778" w:rsidRPr="00D14CD7" w:rsidRDefault="00670778" w:rsidP="008A4696">
      <w:pPr>
        <w:rPr>
          <w:color w:val="000000" w:themeColor="text1"/>
        </w:rPr>
      </w:pPr>
    </w:p>
    <w:p w14:paraId="2764CF4A" w14:textId="77777777" w:rsidR="00A4347B" w:rsidRPr="00D14CD7" w:rsidRDefault="00A4347B" w:rsidP="00851E94">
      <w:pPr>
        <w:rPr>
          <w:color w:val="000000" w:themeColor="text1"/>
        </w:rPr>
        <w:sectPr w:rsidR="00A4347B" w:rsidRPr="00D14CD7">
          <w:pgSz w:w="12240" w:h="15840"/>
          <w:pgMar w:top="1440" w:right="1440" w:bottom="1440" w:left="1440" w:header="720" w:footer="720" w:gutter="0"/>
          <w:cols w:space="720"/>
          <w:docGrid w:linePitch="360"/>
        </w:sectPr>
      </w:pPr>
    </w:p>
    <w:p w14:paraId="4FDA1C49" w14:textId="2C5A1D25" w:rsidR="005B6BB0" w:rsidRPr="00D14CD7" w:rsidRDefault="005B6BB0" w:rsidP="005B6BB0">
      <w:pPr>
        <w:pStyle w:val="Caption"/>
        <w:spacing w:after="120"/>
        <w:rPr>
          <w:b/>
          <w:i w:val="0"/>
          <w:color w:val="000000" w:themeColor="text1"/>
        </w:rPr>
      </w:pPr>
      <w:r w:rsidRPr="00D14CD7">
        <w:rPr>
          <w:b/>
          <w:i w:val="0"/>
          <w:color w:val="000000" w:themeColor="text1"/>
          <w:sz w:val="24"/>
          <w:szCs w:val="24"/>
        </w:rPr>
        <w:lastRenderedPageBreak/>
        <w:t>Table</w:t>
      </w:r>
      <w:r w:rsidR="00CC6E9C" w:rsidRPr="00D14CD7">
        <w:rPr>
          <w:b/>
          <w:i w:val="0"/>
          <w:color w:val="000000" w:themeColor="text1"/>
          <w:sz w:val="24"/>
          <w:szCs w:val="24"/>
        </w:rPr>
        <w:t xml:space="preserve"> 4.</w:t>
      </w:r>
      <w:r w:rsidRPr="00D14CD7">
        <w:rPr>
          <w:b/>
          <w:i w:val="0"/>
          <w:color w:val="000000" w:themeColor="text1"/>
          <w:sz w:val="24"/>
          <w:szCs w:val="24"/>
        </w:rPr>
        <w:t xml:space="preserve"> Descriptive statistics for individual/household-level and employment status/job variables</w:t>
      </w:r>
      <w:r w:rsidRPr="00D14CD7">
        <w:rPr>
          <w:b/>
          <w:i w:val="0"/>
          <w:color w:val="000000" w:themeColor="text1"/>
        </w:rPr>
        <w:t xml:space="preserve"> </w:t>
      </w:r>
    </w:p>
    <w:tbl>
      <w:tblPr>
        <w:tblW w:w="5000" w:type="pct"/>
        <w:tblLook w:val="04A0" w:firstRow="1" w:lastRow="0" w:firstColumn="1" w:lastColumn="0" w:noHBand="0" w:noVBand="1"/>
      </w:tblPr>
      <w:tblGrid>
        <w:gridCol w:w="3189"/>
        <w:gridCol w:w="1139"/>
        <w:gridCol w:w="602"/>
        <w:gridCol w:w="767"/>
        <w:gridCol w:w="5016"/>
        <w:gridCol w:w="832"/>
        <w:gridCol w:w="602"/>
        <w:gridCol w:w="767"/>
      </w:tblGrid>
      <w:tr w:rsidR="00D14CD7" w:rsidRPr="00D14CD7" w14:paraId="43DAE04F" w14:textId="77777777" w:rsidTr="006C0A51">
        <w:trPr>
          <w:trHeight w:val="300"/>
        </w:trPr>
        <w:tc>
          <w:tcPr>
            <w:tcW w:w="1235" w:type="pct"/>
            <w:vMerge w:val="restart"/>
            <w:tcBorders>
              <w:top w:val="double" w:sz="6" w:space="0" w:color="auto"/>
              <w:left w:val="double" w:sz="6" w:space="0" w:color="auto"/>
              <w:bottom w:val="double" w:sz="6" w:space="0" w:color="000000"/>
              <w:right w:val="double" w:sz="4" w:space="0" w:color="auto"/>
            </w:tcBorders>
            <w:shd w:val="clear" w:color="000000" w:fill="FFFFFF"/>
            <w:noWrap/>
            <w:vAlign w:val="center"/>
            <w:hideMark/>
          </w:tcPr>
          <w:p w14:paraId="7D7BFEF9" w14:textId="77777777" w:rsidR="005B6BB0" w:rsidRPr="00D14CD7" w:rsidRDefault="005B6BB0" w:rsidP="00286339">
            <w:pPr>
              <w:spacing w:after="0" w:line="240" w:lineRule="auto"/>
              <w:jc w:val="center"/>
              <w:rPr>
                <w:rFonts w:eastAsia="Times New Roman"/>
                <w:b/>
                <w:bCs/>
                <w:color w:val="000000" w:themeColor="text1"/>
                <w:sz w:val="22"/>
                <w:szCs w:val="22"/>
              </w:rPr>
            </w:pPr>
            <w:r w:rsidRPr="00D14CD7">
              <w:rPr>
                <w:rFonts w:eastAsia="Times New Roman"/>
                <w:b/>
                <w:bCs/>
                <w:color w:val="000000" w:themeColor="text1"/>
                <w:sz w:val="22"/>
                <w:szCs w:val="22"/>
              </w:rPr>
              <w:t>Variable</w:t>
            </w:r>
          </w:p>
        </w:tc>
        <w:tc>
          <w:tcPr>
            <w:tcW w:w="674" w:type="pct"/>
            <w:gridSpan w:val="2"/>
            <w:tcBorders>
              <w:top w:val="double" w:sz="6" w:space="0" w:color="auto"/>
              <w:left w:val="double" w:sz="4" w:space="0" w:color="auto"/>
              <w:bottom w:val="single" w:sz="4" w:space="0" w:color="auto"/>
              <w:right w:val="single" w:sz="4" w:space="0" w:color="auto"/>
            </w:tcBorders>
            <w:shd w:val="clear" w:color="000000" w:fill="FFFFFF"/>
            <w:noWrap/>
            <w:vAlign w:val="center"/>
            <w:hideMark/>
          </w:tcPr>
          <w:p w14:paraId="18F18A39" w14:textId="77777777" w:rsidR="005B6BB0" w:rsidRPr="00D14CD7" w:rsidRDefault="005B6BB0" w:rsidP="00286339">
            <w:pPr>
              <w:spacing w:after="0" w:line="240" w:lineRule="auto"/>
              <w:jc w:val="center"/>
              <w:rPr>
                <w:rFonts w:eastAsia="Times New Roman"/>
                <w:b/>
                <w:bCs/>
                <w:color w:val="000000" w:themeColor="text1"/>
                <w:sz w:val="22"/>
                <w:szCs w:val="22"/>
              </w:rPr>
            </w:pPr>
            <w:r w:rsidRPr="00D14CD7">
              <w:rPr>
                <w:rFonts w:eastAsia="Times New Roman"/>
                <w:b/>
                <w:bCs/>
                <w:color w:val="000000" w:themeColor="text1"/>
                <w:sz w:val="22"/>
                <w:szCs w:val="22"/>
              </w:rPr>
              <w:t>Sample</w:t>
            </w:r>
          </w:p>
        </w:tc>
        <w:tc>
          <w:tcPr>
            <w:tcW w:w="297" w:type="pct"/>
            <w:tcBorders>
              <w:top w:val="double" w:sz="6" w:space="0" w:color="auto"/>
              <w:left w:val="nil"/>
              <w:bottom w:val="single" w:sz="4" w:space="0" w:color="auto"/>
              <w:right w:val="double" w:sz="6" w:space="0" w:color="auto"/>
            </w:tcBorders>
            <w:shd w:val="clear" w:color="000000" w:fill="FFFFFF"/>
            <w:noWrap/>
            <w:vAlign w:val="center"/>
            <w:hideMark/>
          </w:tcPr>
          <w:p w14:paraId="0550789D" w14:textId="77777777" w:rsidR="005B6BB0" w:rsidRPr="00D14CD7" w:rsidRDefault="005B6BB0" w:rsidP="00286339">
            <w:pPr>
              <w:spacing w:after="0" w:line="240" w:lineRule="auto"/>
              <w:jc w:val="center"/>
              <w:rPr>
                <w:rFonts w:eastAsia="Times New Roman"/>
                <w:b/>
                <w:bCs/>
                <w:color w:val="000000" w:themeColor="text1"/>
                <w:sz w:val="22"/>
                <w:szCs w:val="22"/>
              </w:rPr>
            </w:pPr>
            <w:r w:rsidRPr="00D14CD7">
              <w:rPr>
                <w:rFonts w:eastAsia="Times New Roman"/>
                <w:b/>
                <w:bCs/>
                <w:color w:val="000000" w:themeColor="text1"/>
                <w:sz w:val="22"/>
                <w:szCs w:val="22"/>
              </w:rPr>
              <w:t>Texas</w:t>
            </w:r>
          </w:p>
        </w:tc>
        <w:tc>
          <w:tcPr>
            <w:tcW w:w="1942" w:type="pct"/>
            <w:vMerge w:val="restart"/>
            <w:tcBorders>
              <w:top w:val="double" w:sz="6" w:space="0" w:color="auto"/>
              <w:left w:val="double" w:sz="6" w:space="0" w:color="auto"/>
              <w:bottom w:val="double" w:sz="6" w:space="0" w:color="000000"/>
              <w:right w:val="double" w:sz="4" w:space="0" w:color="auto"/>
            </w:tcBorders>
            <w:shd w:val="clear" w:color="000000" w:fill="FFFFFF"/>
            <w:noWrap/>
            <w:vAlign w:val="center"/>
            <w:hideMark/>
          </w:tcPr>
          <w:p w14:paraId="7B2FD295" w14:textId="77777777" w:rsidR="005B6BB0" w:rsidRPr="00D14CD7" w:rsidRDefault="005B6BB0" w:rsidP="00286339">
            <w:pPr>
              <w:spacing w:after="0" w:line="240" w:lineRule="auto"/>
              <w:jc w:val="left"/>
              <w:rPr>
                <w:rFonts w:eastAsia="Times New Roman"/>
                <w:b/>
                <w:bCs/>
                <w:color w:val="000000" w:themeColor="text1"/>
                <w:sz w:val="22"/>
                <w:szCs w:val="22"/>
              </w:rPr>
            </w:pPr>
            <w:r w:rsidRPr="00D14CD7">
              <w:rPr>
                <w:rFonts w:eastAsia="Times New Roman"/>
                <w:b/>
                <w:bCs/>
                <w:color w:val="000000" w:themeColor="text1"/>
                <w:sz w:val="22"/>
                <w:szCs w:val="22"/>
              </w:rPr>
              <w:t>Variable</w:t>
            </w:r>
          </w:p>
        </w:tc>
        <w:tc>
          <w:tcPr>
            <w:tcW w:w="555" w:type="pct"/>
            <w:gridSpan w:val="2"/>
            <w:tcBorders>
              <w:top w:val="double" w:sz="6" w:space="0" w:color="auto"/>
              <w:left w:val="double" w:sz="4" w:space="0" w:color="auto"/>
              <w:bottom w:val="single" w:sz="4" w:space="0" w:color="auto"/>
              <w:right w:val="single" w:sz="4" w:space="0" w:color="auto"/>
            </w:tcBorders>
            <w:shd w:val="clear" w:color="000000" w:fill="FFFFFF"/>
            <w:noWrap/>
            <w:vAlign w:val="center"/>
            <w:hideMark/>
          </w:tcPr>
          <w:p w14:paraId="74AE9D21" w14:textId="77777777" w:rsidR="005B6BB0" w:rsidRPr="00D14CD7" w:rsidRDefault="005B6BB0" w:rsidP="00286339">
            <w:pPr>
              <w:spacing w:after="0" w:line="240" w:lineRule="auto"/>
              <w:jc w:val="center"/>
              <w:rPr>
                <w:rFonts w:eastAsia="Times New Roman"/>
                <w:b/>
                <w:bCs/>
                <w:color w:val="000000" w:themeColor="text1"/>
                <w:sz w:val="22"/>
                <w:szCs w:val="22"/>
              </w:rPr>
            </w:pPr>
            <w:r w:rsidRPr="00D14CD7">
              <w:rPr>
                <w:rFonts w:eastAsia="Times New Roman"/>
                <w:b/>
                <w:bCs/>
                <w:color w:val="000000" w:themeColor="text1"/>
                <w:sz w:val="22"/>
                <w:szCs w:val="22"/>
              </w:rPr>
              <w:t>Sample</w:t>
            </w:r>
          </w:p>
        </w:tc>
        <w:tc>
          <w:tcPr>
            <w:tcW w:w="297" w:type="pct"/>
            <w:tcBorders>
              <w:top w:val="double" w:sz="6" w:space="0" w:color="auto"/>
              <w:left w:val="nil"/>
              <w:bottom w:val="single" w:sz="4" w:space="0" w:color="auto"/>
              <w:right w:val="double" w:sz="6" w:space="0" w:color="auto"/>
            </w:tcBorders>
            <w:shd w:val="clear" w:color="000000" w:fill="FFFFFF"/>
            <w:noWrap/>
            <w:vAlign w:val="center"/>
            <w:hideMark/>
          </w:tcPr>
          <w:p w14:paraId="69CEF6B1" w14:textId="77777777" w:rsidR="005B6BB0" w:rsidRPr="00D14CD7" w:rsidRDefault="005B6BB0" w:rsidP="00286339">
            <w:pPr>
              <w:spacing w:after="0" w:line="240" w:lineRule="auto"/>
              <w:jc w:val="center"/>
              <w:rPr>
                <w:rFonts w:eastAsia="Times New Roman"/>
                <w:b/>
                <w:bCs/>
                <w:color w:val="000000" w:themeColor="text1"/>
                <w:sz w:val="22"/>
                <w:szCs w:val="22"/>
              </w:rPr>
            </w:pPr>
            <w:r w:rsidRPr="00D14CD7">
              <w:rPr>
                <w:rFonts w:eastAsia="Times New Roman"/>
                <w:b/>
                <w:bCs/>
                <w:color w:val="000000" w:themeColor="text1"/>
                <w:sz w:val="22"/>
                <w:szCs w:val="22"/>
              </w:rPr>
              <w:t>Texas</w:t>
            </w:r>
          </w:p>
        </w:tc>
      </w:tr>
      <w:tr w:rsidR="00D14CD7" w:rsidRPr="00D14CD7" w14:paraId="5AE2C51D" w14:textId="77777777" w:rsidTr="006C0A51">
        <w:trPr>
          <w:trHeight w:val="300"/>
        </w:trPr>
        <w:tc>
          <w:tcPr>
            <w:tcW w:w="1235" w:type="pct"/>
            <w:vMerge/>
            <w:tcBorders>
              <w:top w:val="double" w:sz="6" w:space="0" w:color="auto"/>
              <w:left w:val="double" w:sz="6" w:space="0" w:color="auto"/>
              <w:bottom w:val="double" w:sz="6" w:space="0" w:color="000000"/>
              <w:right w:val="double" w:sz="4" w:space="0" w:color="auto"/>
            </w:tcBorders>
            <w:vAlign w:val="center"/>
            <w:hideMark/>
          </w:tcPr>
          <w:p w14:paraId="3EDC01C7" w14:textId="77777777" w:rsidR="005B6BB0" w:rsidRPr="00D14CD7" w:rsidRDefault="005B6BB0" w:rsidP="00286339">
            <w:pPr>
              <w:spacing w:after="0" w:line="240" w:lineRule="auto"/>
              <w:jc w:val="left"/>
              <w:rPr>
                <w:rFonts w:eastAsia="Times New Roman"/>
                <w:b/>
                <w:bCs/>
                <w:color w:val="000000" w:themeColor="text1"/>
                <w:sz w:val="22"/>
                <w:szCs w:val="22"/>
              </w:rPr>
            </w:pPr>
          </w:p>
        </w:tc>
        <w:tc>
          <w:tcPr>
            <w:tcW w:w="441" w:type="pct"/>
            <w:tcBorders>
              <w:top w:val="nil"/>
              <w:left w:val="double" w:sz="4" w:space="0" w:color="auto"/>
              <w:bottom w:val="double" w:sz="6" w:space="0" w:color="auto"/>
              <w:right w:val="single" w:sz="4" w:space="0" w:color="auto"/>
            </w:tcBorders>
            <w:shd w:val="clear" w:color="000000" w:fill="FFFFFF"/>
            <w:noWrap/>
            <w:vAlign w:val="center"/>
            <w:hideMark/>
          </w:tcPr>
          <w:p w14:paraId="193D0949" w14:textId="77777777" w:rsidR="005B6BB0" w:rsidRPr="00D14CD7" w:rsidRDefault="005B6BB0" w:rsidP="00286339">
            <w:pPr>
              <w:spacing w:after="0" w:line="240" w:lineRule="auto"/>
              <w:jc w:val="center"/>
              <w:rPr>
                <w:rFonts w:eastAsia="Times New Roman"/>
                <w:b/>
                <w:bCs/>
                <w:color w:val="000000" w:themeColor="text1"/>
                <w:sz w:val="22"/>
                <w:szCs w:val="22"/>
              </w:rPr>
            </w:pPr>
            <w:r w:rsidRPr="00D14CD7">
              <w:rPr>
                <w:rFonts w:eastAsia="Times New Roman"/>
                <w:b/>
                <w:bCs/>
                <w:color w:val="000000" w:themeColor="text1"/>
                <w:sz w:val="22"/>
                <w:szCs w:val="22"/>
              </w:rPr>
              <w:t>Count</w:t>
            </w:r>
          </w:p>
        </w:tc>
        <w:tc>
          <w:tcPr>
            <w:tcW w:w="233" w:type="pct"/>
            <w:tcBorders>
              <w:top w:val="nil"/>
              <w:left w:val="nil"/>
              <w:bottom w:val="double" w:sz="6" w:space="0" w:color="auto"/>
              <w:right w:val="single" w:sz="4" w:space="0" w:color="auto"/>
            </w:tcBorders>
            <w:shd w:val="clear" w:color="000000" w:fill="FFFFFF"/>
            <w:noWrap/>
            <w:vAlign w:val="center"/>
            <w:hideMark/>
          </w:tcPr>
          <w:p w14:paraId="5599EEC4" w14:textId="77777777" w:rsidR="005B6BB0" w:rsidRPr="00D14CD7" w:rsidRDefault="005B6BB0" w:rsidP="00286339">
            <w:pPr>
              <w:spacing w:after="0" w:line="240" w:lineRule="auto"/>
              <w:jc w:val="center"/>
              <w:rPr>
                <w:rFonts w:eastAsia="Times New Roman"/>
                <w:b/>
                <w:bCs/>
                <w:color w:val="000000" w:themeColor="text1"/>
                <w:sz w:val="22"/>
                <w:szCs w:val="22"/>
              </w:rPr>
            </w:pPr>
            <w:r w:rsidRPr="00D14CD7">
              <w:rPr>
                <w:rFonts w:eastAsia="Times New Roman"/>
                <w:b/>
                <w:bCs/>
                <w:color w:val="000000" w:themeColor="text1"/>
                <w:sz w:val="22"/>
                <w:szCs w:val="22"/>
              </w:rPr>
              <w:t>%</w:t>
            </w:r>
          </w:p>
        </w:tc>
        <w:tc>
          <w:tcPr>
            <w:tcW w:w="297" w:type="pct"/>
            <w:tcBorders>
              <w:top w:val="nil"/>
              <w:left w:val="nil"/>
              <w:bottom w:val="double" w:sz="6" w:space="0" w:color="auto"/>
              <w:right w:val="double" w:sz="6" w:space="0" w:color="auto"/>
            </w:tcBorders>
            <w:shd w:val="clear" w:color="000000" w:fill="FFFFFF"/>
            <w:noWrap/>
            <w:vAlign w:val="center"/>
            <w:hideMark/>
          </w:tcPr>
          <w:p w14:paraId="0D69A65B" w14:textId="77777777" w:rsidR="005B6BB0" w:rsidRPr="00D14CD7" w:rsidRDefault="005B6BB0" w:rsidP="00286339">
            <w:pPr>
              <w:spacing w:after="0" w:line="240" w:lineRule="auto"/>
              <w:jc w:val="center"/>
              <w:rPr>
                <w:rFonts w:eastAsia="Times New Roman"/>
                <w:b/>
                <w:bCs/>
                <w:color w:val="000000" w:themeColor="text1"/>
                <w:sz w:val="22"/>
                <w:szCs w:val="22"/>
              </w:rPr>
            </w:pPr>
            <w:r w:rsidRPr="00D14CD7">
              <w:rPr>
                <w:rFonts w:eastAsia="Times New Roman"/>
                <w:b/>
                <w:bCs/>
                <w:color w:val="000000" w:themeColor="text1"/>
                <w:sz w:val="22"/>
                <w:szCs w:val="22"/>
              </w:rPr>
              <w:t>%</w:t>
            </w:r>
          </w:p>
        </w:tc>
        <w:tc>
          <w:tcPr>
            <w:tcW w:w="1942" w:type="pct"/>
            <w:vMerge/>
            <w:tcBorders>
              <w:top w:val="double" w:sz="6" w:space="0" w:color="auto"/>
              <w:left w:val="double" w:sz="6" w:space="0" w:color="auto"/>
              <w:bottom w:val="double" w:sz="6" w:space="0" w:color="000000"/>
              <w:right w:val="double" w:sz="4" w:space="0" w:color="auto"/>
            </w:tcBorders>
            <w:vAlign w:val="center"/>
            <w:hideMark/>
          </w:tcPr>
          <w:p w14:paraId="291F99AC" w14:textId="77777777" w:rsidR="005B6BB0" w:rsidRPr="00D14CD7" w:rsidRDefault="005B6BB0" w:rsidP="00286339">
            <w:pPr>
              <w:spacing w:after="0" w:line="240" w:lineRule="auto"/>
              <w:jc w:val="left"/>
              <w:rPr>
                <w:rFonts w:eastAsia="Times New Roman"/>
                <w:b/>
                <w:bCs/>
                <w:color w:val="000000" w:themeColor="text1"/>
                <w:sz w:val="22"/>
                <w:szCs w:val="22"/>
              </w:rPr>
            </w:pPr>
          </w:p>
        </w:tc>
        <w:tc>
          <w:tcPr>
            <w:tcW w:w="322" w:type="pct"/>
            <w:tcBorders>
              <w:top w:val="nil"/>
              <w:left w:val="double" w:sz="4" w:space="0" w:color="auto"/>
              <w:bottom w:val="double" w:sz="6" w:space="0" w:color="auto"/>
              <w:right w:val="single" w:sz="4" w:space="0" w:color="auto"/>
            </w:tcBorders>
            <w:shd w:val="clear" w:color="000000" w:fill="FFFFFF"/>
            <w:noWrap/>
            <w:vAlign w:val="center"/>
            <w:hideMark/>
          </w:tcPr>
          <w:p w14:paraId="3C572032" w14:textId="77777777" w:rsidR="005B6BB0" w:rsidRPr="00D14CD7" w:rsidRDefault="005B6BB0" w:rsidP="00286339">
            <w:pPr>
              <w:spacing w:after="0" w:line="240" w:lineRule="auto"/>
              <w:jc w:val="center"/>
              <w:rPr>
                <w:rFonts w:eastAsia="Times New Roman"/>
                <w:b/>
                <w:bCs/>
                <w:color w:val="000000" w:themeColor="text1"/>
                <w:sz w:val="22"/>
                <w:szCs w:val="22"/>
              </w:rPr>
            </w:pPr>
            <w:r w:rsidRPr="00D14CD7">
              <w:rPr>
                <w:rFonts w:eastAsia="Times New Roman"/>
                <w:b/>
                <w:bCs/>
                <w:color w:val="000000" w:themeColor="text1"/>
                <w:sz w:val="22"/>
                <w:szCs w:val="22"/>
              </w:rPr>
              <w:t>Count</w:t>
            </w:r>
          </w:p>
        </w:tc>
        <w:tc>
          <w:tcPr>
            <w:tcW w:w="233" w:type="pct"/>
            <w:tcBorders>
              <w:top w:val="nil"/>
              <w:left w:val="nil"/>
              <w:bottom w:val="double" w:sz="6" w:space="0" w:color="auto"/>
              <w:right w:val="single" w:sz="4" w:space="0" w:color="auto"/>
            </w:tcBorders>
            <w:shd w:val="clear" w:color="000000" w:fill="FFFFFF"/>
            <w:noWrap/>
            <w:vAlign w:val="center"/>
            <w:hideMark/>
          </w:tcPr>
          <w:p w14:paraId="757AE74B" w14:textId="77777777" w:rsidR="005B6BB0" w:rsidRPr="00D14CD7" w:rsidRDefault="005B6BB0" w:rsidP="00286339">
            <w:pPr>
              <w:spacing w:after="0" w:line="240" w:lineRule="auto"/>
              <w:jc w:val="center"/>
              <w:rPr>
                <w:rFonts w:eastAsia="Times New Roman"/>
                <w:b/>
                <w:bCs/>
                <w:color w:val="000000" w:themeColor="text1"/>
                <w:sz w:val="22"/>
                <w:szCs w:val="22"/>
              </w:rPr>
            </w:pPr>
            <w:r w:rsidRPr="00D14CD7">
              <w:rPr>
                <w:rFonts w:eastAsia="Times New Roman"/>
                <w:b/>
                <w:bCs/>
                <w:color w:val="000000" w:themeColor="text1"/>
                <w:sz w:val="22"/>
                <w:szCs w:val="22"/>
              </w:rPr>
              <w:t>%</w:t>
            </w:r>
          </w:p>
        </w:tc>
        <w:tc>
          <w:tcPr>
            <w:tcW w:w="297" w:type="pct"/>
            <w:tcBorders>
              <w:top w:val="nil"/>
              <w:left w:val="nil"/>
              <w:bottom w:val="double" w:sz="6" w:space="0" w:color="auto"/>
              <w:right w:val="double" w:sz="6" w:space="0" w:color="auto"/>
            </w:tcBorders>
            <w:shd w:val="clear" w:color="000000" w:fill="FFFFFF"/>
            <w:noWrap/>
            <w:vAlign w:val="center"/>
            <w:hideMark/>
          </w:tcPr>
          <w:p w14:paraId="07080CE1" w14:textId="77777777" w:rsidR="005B6BB0" w:rsidRPr="00D14CD7" w:rsidRDefault="005B6BB0" w:rsidP="00286339">
            <w:pPr>
              <w:spacing w:after="0" w:line="240" w:lineRule="auto"/>
              <w:jc w:val="center"/>
              <w:rPr>
                <w:rFonts w:eastAsia="Times New Roman"/>
                <w:b/>
                <w:bCs/>
                <w:color w:val="000000" w:themeColor="text1"/>
                <w:sz w:val="22"/>
                <w:szCs w:val="22"/>
              </w:rPr>
            </w:pPr>
            <w:r w:rsidRPr="00D14CD7">
              <w:rPr>
                <w:rFonts w:eastAsia="Times New Roman"/>
                <w:b/>
                <w:bCs/>
                <w:color w:val="000000" w:themeColor="text1"/>
                <w:sz w:val="22"/>
                <w:szCs w:val="22"/>
              </w:rPr>
              <w:t>%</w:t>
            </w:r>
          </w:p>
        </w:tc>
      </w:tr>
      <w:tr w:rsidR="00D14CD7" w:rsidRPr="00D14CD7" w14:paraId="3F25E1CE" w14:textId="77777777" w:rsidTr="005736F5">
        <w:trPr>
          <w:trHeight w:val="300"/>
        </w:trPr>
        <w:tc>
          <w:tcPr>
            <w:tcW w:w="2206" w:type="pct"/>
            <w:gridSpan w:val="4"/>
            <w:tcBorders>
              <w:top w:val="nil"/>
              <w:left w:val="double" w:sz="6" w:space="0" w:color="auto"/>
              <w:bottom w:val="single" w:sz="4" w:space="0" w:color="auto"/>
              <w:right w:val="double" w:sz="6" w:space="0" w:color="auto"/>
            </w:tcBorders>
            <w:shd w:val="clear" w:color="000000" w:fill="FFFFFF"/>
            <w:noWrap/>
            <w:vAlign w:val="center"/>
            <w:hideMark/>
          </w:tcPr>
          <w:p w14:paraId="02688546" w14:textId="5F3AC595" w:rsidR="005736F5" w:rsidRPr="00D14CD7" w:rsidRDefault="005736F5">
            <w:pPr>
              <w:spacing w:after="0" w:line="240" w:lineRule="auto"/>
              <w:jc w:val="left"/>
              <w:rPr>
                <w:rFonts w:eastAsia="Times New Roman"/>
                <w:b/>
                <w:bCs/>
                <w:color w:val="000000" w:themeColor="text1"/>
                <w:sz w:val="22"/>
                <w:szCs w:val="22"/>
              </w:rPr>
            </w:pPr>
            <w:r w:rsidRPr="00D14CD7">
              <w:rPr>
                <w:rFonts w:eastAsia="Times New Roman"/>
                <w:b/>
                <w:bCs/>
                <w:color w:val="000000" w:themeColor="text1"/>
                <w:sz w:val="22"/>
                <w:szCs w:val="22"/>
              </w:rPr>
              <w:t>Individual-Level Demographics</w:t>
            </w:r>
          </w:p>
        </w:tc>
        <w:tc>
          <w:tcPr>
            <w:tcW w:w="1942" w:type="pct"/>
            <w:tcBorders>
              <w:top w:val="nil"/>
              <w:left w:val="nil"/>
              <w:bottom w:val="nil"/>
              <w:right w:val="double" w:sz="4" w:space="0" w:color="auto"/>
            </w:tcBorders>
            <w:shd w:val="clear" w:color="000000" w:fill="FFFFFF"/>
            <w:noWrap/>
            <w:vAlign w:val="bottom"/>
            <w:hideMark/>
          </w:tcPr>
          <w:p w14:paraId="7ECD758A" w14:textId="77777777" w:rsidR="005736F5" w:rsidRPr="00D14CD7" w:rsidRDefault="005736F5" w:rsidP="00286339">
            <w:pPr>
              <w:spacing w:after="0" w:line="240" w:lineRule="auto"/>
              <w:jc w:val="left"/>
              <w:rPr>
                <w:rFonts w:eastAsia="Times New Roman"/>
                <w:b/>
                <w:bCs/>
                <w:i/>
                <w:iCs/>
                <w:color w:val="000000" w:themeColor="text1"/>
                <w:sz w:val="22"/>
                <w:szCs w:val="22"/>
              </w:rPr>
            </w:pPr>
            <w:r w:rsidRPr="00D14CD7">
              <w:rPr>
                <w:rFonts w:eastAsia="Times New Roman"/>
                <w:b/>
                <w:bCs/>
                <w:i/>
                <w:iCs/>
                <w:color w:val="000000" w:themeColor="text1"/>
                <w:sz w:val="22"/>
                <w:szCs w:val="22"/>
              </w:rPr>
              <w:t>Motorized vehicle ownership level</w:t>
            </w:r>
          </w:p>
        </w:tc>
        <w:tc>
          <w:tcPr>
            <w:tcW w:w="322" w:type="pct"/>
            <w:tcBorders>
              <w:top w:val="nil"/>
              <w:left w:val="double" w:sz="4" w:space="0" w:color="auto"/>
              <w:bottom w:val="nil"/>
              <w:right w:val="nil"/>
            </w:tcBorders>
            <w:shd w:val="clear" w:color="000000" w:fill="FFFFFF"/>
            <w:noWrap/>
            <w:vAlign w:val="bottom"/>
            <w:hideMark/>
          </w:tcPr>
          <w:p w14:paraId="2B23284C" w14:textId="77777777" w:rsidR="005736F5" w:rsidRPr="00D14CD7" w:rsidRDefault="005736F5" w:rsidP="00286339">
            <w:pPr>
              <w:spacing w:after="0" w:line="240" w:lineRule="auto"/>
              <w:jc w:val="left"/>
              <w:rPr>
                <w:rFonts w:eastAsia="Times New Roman"/>
                <w:b/>
                <w:bCs/>
                <w:color w:val="000000" w:themeColor="text1"/>
                <w:sz w:val="22"/>
                <w:szCs w:val="22"/>
              </w:rPr>
            </w:pPr>
            <w:r w:rsidRPr="00D14CD7">
              <w:rPr>
                <w:rFonts w:eastAsia="Times New Roman"/>
                <w:b/>
                <w:bCs/>
                <w:color w:val="000000" w:themeColor="text1"/>
                <w:sz w:val="22"/>
                <w:szCs w:val="22"/>
              </w:rPr>
              <w:t> </w:t>
            </w:r>
          </w:p>
        </w:tc>
        <w:tc>
          <w:tcPr>
            <w:tcW w:w="233" w:type="pct"/>
            <w:tcBorders>
              <w:top w:val="nil"/>
              <w:left w:val="nil"/>
              <w:bottom w:val="nil"/>
              <w:right w:val="single" w:sz="4" w:space="0" w:color="auto"/>
            </w:tcBorders>
            <w:shd w:val="clear" w:color="000000" w:fill="FFFFFF"/>
            <w:noWrap/>
            <w:vAlign w:val="bottom"/>
            <w:hideMark/>
          </w:tcPr>
          <w:p w14:paraId="7ECDAB12" w14:textId="77777777" w:rsidR="005736F5" w:rsidRPr="00D14CD7" w:rsidRDefault="005736F5" w:rsidP="00286339">
            <w:pPr>
              <w:spacing w:after="0" w:line="240" w:lineRule="auto"/>
              <w:jc w:val="left"/>
              <w:rPr>
                <w:rFonts w:eastAsia="Times New Roman"/>
                <w:b/>
                <w:bCs/>
                <w:color w:val="000000" w:themeColor="text1"/>
                <w:sz w:val="22"/>
                <w:szCs w:val="22"/>
              </w:rPr>
            </w:pPr>
            <w:r w:rsidRPr="00D14CD7">
              <w:rPr>
                <w:rFonts w:eastAsia="Times New Roman"/>
                <w:b/>
                <w:bCs/>
                <w:color w:val="000000" w:themeColor="text1"/>
                <w:sz w:val="22"/>
                <w:szCs w:val="22"/>
              </w:rPr>
              <w:t> </w:t>
            </w:r>
          </w:p>
        </w:tc>
        <w:tc>
          <w:tcPr>
            <w:tcW w:w="297" w:type="pct"/>
            <w:tcBorders>
              <w:top w:val="nil"/>
              <w:left w:val="single" w:sz="4" w:space="0" w:color="auto"/>
              <w:bottom w:val="nil"/>
              <w:right w:val="double" w:sz="6" w:space="0" w:color="auto"/>
            </w:tcBorders>
            <w:shd w:val="clear" w:color="000000" w:fill="FFFFFF"/>
            <w:noWrap/>
            <w:vAlign w:val="bottom"/>
            <w:hideMark/>
          </w:tcPr>
          <w:p w14:paraId="3328CBF9" w14:textId="77777777" w:rsidR="005736F5" w:rsidRPr="00D14CD7" w:rsidRDefault="005736F5" w:rsidP="00286339">
            <w:pPr>
              <w:spacing w:after="0" w:line="240" w:lineRule="auto"/>
              <w:jc w:val="left"/>
              <w:rPr>
                <w:rFonts w:eastAsia="Times New Roman"/>
                <w:b/>
                <w:bCs/>
                <w:color w:val="000000" w:themeColor="text1"/>
                <w:sz w:val="22"/>
                <w:szCs w:val="22"/>
              </w:rPr>
            </w:pPr>
            <w:r w:rsidRPr="00D14CD7">
              <w:rPr>
                <w:rFonts w:eastAsia="Times New Roman"/>
                <w:b/>
                <w:bCs/>
                <w:color w:val="000000" w:themeColor="text1"/>
                <w:sz w:val="22"/>
                <w:szCs w:val="22"/>
              </w:rPr>
              <w:t> </w:t>
            </w:r>
          </w:p>
        </w:tc>
      </w:tr>
      <w:tr w:rsidR="00D14CD7" w:rsidRPr="00D14CD7" w14:paraId="6F8E7F3E" w14:textId="77777777" w:rsidTr="005736F5">
        <w:trPr>
          <w:trHeight w:val="288"/>
        </w:trPr>
        <w:tc>
          <w:tcPr>
            <w:tcW w:w="1235" w:type="pct"/>
            <w:tcBorders>
              <w:top w:val="nil"/>
              <w:left w:val="double" w:sz="6" w:space="0" w:color="auto"/>
              <w:bottom w:val="nil"/>
              <w:right w:val="double" w:sz="4" w:space="0" w:color="auto"/>
            </w:tcBorders>
            <w:shd w:val="clear" w:color="000000" w:fill="FFFFFF"/>
            <w:noWrap/>
            <w:vAlign w:val="bottom"/>
            <w:hideMark/>
          </w:tcPr>
          <w:p w14:paraId="2B546737" w14:textId="77777777" w:rsidR="005B6BB0" w:rsidRPr="00D14CD7" w:rsidRDefault="005B6BB0" w:rsidP="00286339">
            <w:pPr>
              <w:spacing w:after="0" w:line="240" w:lineRule="auto"/>
              <w:jc w:val="left"/>
              <w:rPr>
                <w:rFonts w:eastAsia="Times New Roman"/>
                <w:b/>
                <w:bCs/>
                <w:i/>
                <w:iCs/>
                <w:color w:val="000000" w:themeColor="text1"/>
                <w:sz w:val="22"/>
                <w:szCs w:val="22"/>
              </w:rPr>
            </w:pPr>
            <w:r w:rsidRPr="00D14CD7">
              <w:rPr>
                <w:rFonts w:eastAsia="Times New Roman"/>
                <w:b/>
                <w:bCs/>
                <w:i/>
                <w:iCs/>
                <w:color w:val="000000" w:themeColor="text1"/>
                <w:sz w:val="22"/>
                <w:szCs w:val="22"/>
              </w:rPr>
              <w:t>Gender</w:t>
            </w:r>
          </w:p>
        </w:tc>
        <w:tc>
          <w:tcPr>
            <w:tcW w:w="441" w:type="pct"/>
            <w:tcBorders>
              <w:top w:val="nil"/>
              <w:left w:val="double" w:sz="4" w:space="0" w:color="auto"/>
              <w:bottom w:val="nil"/>
              <w:right w:val="nil"/>
            </w:tcBorders>
            <w:shd w:val="clear" w:color="000000" w:fill="FFFFFF"/>
            <w:noWrap/>
            <w:vAlign w:val="bottom"/>
            <w:hideMark/>
          </w:tcPr>
          <w:p w14:paraId="6008787A" w14:textId="77777777" w:rsidR="005B6BB0" w:rsidRPr="00D14CD7" w:rsidRDefault="005B6BB0" w:rsidP="00286339">
            <w:pPr>
              <w:spacing w:after="0" w:line="240" w:lineRule="auto"/>
              <w:jc w:val="left"/>
              <w:rPr>
                <w:rFonts w:eastAsia="Times New Roman"/>
                <w:color w:val="000000" w:themeColor="text1"/>
                <w:sz w:val="22"/>
                <w:szCs w:val="22"/>
              </w:rPr>
            </w:pPr>
            <w:r w:rsidRPr="00D14CD7">
              <w:rPr>
                <w:rFonts w:eastAsia="Times New Roman"/>
                <w:color w:val="000000" w:themeColor="text1"/>
                <w:sz w:val="22"/>
                <w:szCs w:val="22"/>
              </w:rPr>
              <w:t> </w:t>
            </w:r>
          </w:p>
        </w:tc>
        <w:tc>
          <w:tcPr>
            <w:tcW w:w="233" w:type="pct"/>
            <w:tcBorders>
              <w:top w:val="nil"/>
              <w:left w:val="nil"/>
              <w:bottom w:val="nil"/>
              <w:right w:val="single" w:sz="4" w:space="0" w:color="auto"/>
            </w:tcBorders>
            <w:shd w:val="clear" w:color="000000" w:fill="FFFFFF"/>
            <w:noWrap/>
            <w:vAlign w:val="bottom"/>
            <w:hideMark/>
          </w:tcPr>
          <w:p w14:paraId="4002D5CF" w14:textId="77777777" w:rsidR="005B6BB0" w:rsidRPr="00D14CD7" w:rsidRDefault="005B6BB0" w:rsidP="00286339">
            <w:pPr>
              <w:spacing w:after="0" w:line="240" w:lineRule="auto"/>
              <w:jc w:val="left"/>
              <w:rPr>
                <w:rFonts w:eastAsia="Times New Roman"/>
                <w:color w:val="000000" w:themeColor="text1"/>
                <w:sz w:val="22"/>
                <w:szCs w:val="22"/>
              </w:rPr>
            </w:pPr>
            <w:r w:rsidRPr="00D14CD7">
              <w:rPr>
                <w:rFonts w:eastAsia="Times New Roman"/>
                <w:color w:val="000000" w:themeColor="text1"/>
                <w:sz w:val="22"/>
                <w:szCs w:val="22"/>
              </w:rPr>
              <w:t> </w:t>
            </w:r>
          </w:p>
        </w:tc>
        <w:tc>
          <w:tcPr>
            <w:tcW w:w="297" w:type="pct"/>
            <w:tcBorders>
              <w:top w:val="nil"/>
              <w:left w:val="single" w:sz="4" w:space="0" w:color="auto"/>
              <w:bottom w:val="nil"/>
              <w:right w:val="double" w:sz="6" w:space="0" w:color="auto"/>
            </w:tcBorders>
            <w:shd w:val="clear" w:color="000000" w:fill="FFFFFF"/>
            <w:noWrap/>
            <w:vAlign w:val="bottom"/>
            <w:hideMark/>
          </w:tcPr>
          <w:p w14:paraId="47D138D8" w14:textId="77777777" w:rsidR="005B6BB0" w:rsidRPr="00D14CD7" w:rsidRDefault="005B6BB0" w:rsidP="00286339">
            <w:pPr>
              <w:spacing w:after="0" w:line="240" w:lineRule="auto"/>
              <w:jc w:val="left"/>
              <w:rPr>
                <w:rFonts w:eastAsia="Times New Roman"/>
                <w:color w:val="000000" w:themeColor="text1"/>
                <w:sz w:val="22"/>
                <w:szCs w:val="22"/>
              </w:rPr>
            </w:pPr>
            <w:r w:rsidRPr="00D14CD7">
              <w:rPr>
                <w:rFonts w:eastAsia="Times New Roman"/>
                <w:color w:val="000000" w:themeColor="text1"/>
                <w:sz w:val="22"/>
                <w:szCs w:val="22"/>
              </w:rPr>
              <w:t> </w:t>
            </w:r>
          </w:p>
        </w:tc>
        <w:tc>
          <w:tcPr>
            <w:tcW w:w="1942" w:type="pct"/>
            <w:tcBorders>
              <w:top w:val="nil"/>
              <w:left w:val="nil"/>
              <w:bottom w:val="nil"/>
              <w:right w:val="double" w:sz="4" w:space="0" w:color="auto"/>
            </w:tcBorders>
            <w:shd w:val="clear" w:color="000000" w:fill="FFFFFF"/>
            <w:noWrap/>
            <w:vAlign w:val="bottom"/>
            <w:hideMark/>
          </w:tcPr>
          <w:p w14:paraId="407E9DB8" w14:textId="77777777" w:rsidR="005B6BB0" w:rsidRPr="00D14CD7" w:rsidRDefault="005B6BB0" w:rsidP="00286339">
            <w:pPr>
              <w:spacing w:after="0" w:line="240" w:lineRule="auto"/>
              <w:ind w:firstLine="173"/>
              <w:jc w:val="left"/>
              <w:rPr>
                <w:rFonts w:eastAsia="Times New Roman"/>
                <w:color w:val="000000" w:themeColor="text1"/>
                <w:sz w:val="22"/>
                <w:szCs w:val="22"/>
              </w:rPr>
            </w:pPr>
            <w:r w:rsidRPr="00D14CD7">
              <w:rPr>
                <w:rFonts w:eastAsia="Times New Roman"/>
                <w:color w:val="000000" w:themeColor="text1"/>
                <w:sz w:val="22"/>
                <w:szCs w:val="22"/>
              </w:rPr>
              <w:t>0</w:t>
            </w:r>
          </w:p>
        </w:tc>
        <w:tc>
          <w:tcPr>
            <w:tcW w:w="322" w:type="pct"/>
            <w:tcBorders>
              <w:top w:val="nil"/>
              <w:left w:val="double" w:sz="4" w:space="0" w:color="auto"/>
              <w:bottom w:val="nil"/>
              <w:right w:val="nil"/>
            </w:tcBorders>
            <w:shd w:val="clear" w:color="000000" w:fill="FFFFFF"/>
            <w:noWrap/>
            <w:vAlign w:val="bottom"/>
            <w:hideMark/>
          </w:tcPr>
          <w:p w14:paraId="54758139" w14:textId="77777777" w:rsidR="005B6BB0" w:rsidRPr="00D14CD7" w:rsidRDefault="005B6BB0" w:rsidP="00286339">
            <w:pPr>
              <w:spacing w:after="0" w:line="240" w:lineRule="auto"/>
              <w:jc w:val="right"/>
              <w:rPr>
                <w:rFonts w:eastAsia="Times New Roman"/>
                <w:color w:val="000000" w:themeColor="text1"/>
                <w:sz w:val="22"/>
                <w:szCs w:val="22"/>
              </w:rPr>
            </w:pPr>
            <w:r w:rsidRPr="00D14CD7">
              <w:rPr>
                <w:rFonts w:eastAsia="Times New Roman"/>
                <w:color w:val="000000" w:themeColor="text1"/>
                <w:sz w:val="22"/>
                <w:szCs w:val="22"/>
              </w:rPr>
              <w:t>18</w:t>
            </w:r>
          </w:p>
        </w:tc>
        <w:tc>
          <w:tcPr>
            <w:tcW w:w="233" w:type="pct"/>
            <w:tcBorders>
              <w:top w:val="nil"/>
              <w:left w:val="nil"/>
              <w:bottom w:val="nil"/>
              <w:right w:val="single" w:sz="4" w:space="0" w:color="auto"/>
            </w:tcBorders>
            <w:shd w:val="clear" w:color="000000" w:fill="FFFFFF"/>
            <w:noWrap/>
            <w:vAlign w:val="bottom"/>
            <w:hideMark/>
          </w:tcPr>
          <w:p w14:paraId="3AEB3855" w14:textId="77777777" w:rsidR="005B6BB0" w:rsidRPr="00D14CD7" w:rsidRDefault="005B6BB0" w:rsidP="00286339">
            <w:pPr>
              <w:spacing w:after="0" w:line="240" w:lineRule="auto"/>
              <w:jc w:val="right"/>
              <w:rPr>
                <w:rFonts w:eastAsia="Times New Roman"/>
                <w:color w:val="000000" w:themeColor="text1"/>
                <w:sz w:val="22"/>
                <w:szCs w:val="22"/>
              </w:rPr>
            </w:pPr>
            <w:r w:rsidRPr="00D14CD7">
              <w:rPr>
                <w:rFonts w:eastAsia="Times New Roman"/>
                <w:color w:val="000000" w:themeColor="text1"/>
                <w:sz w:val="22"/>
                <w:szCs w:val="22"/>
              </w:rPr>
              <w:t>1.6</w:t>
            </w:r>
          </w:p>
        </w:tc>
        <w:tc>
          <w:tcPr>
            <w:tcW w:w="297" w:type="pct"/>
            <w:tcBorders>
              <w:top w:val="nil"/>
              <w:left w:val="single" w:sz="4" w:space="0" w:color="auto"/>
              <w:bottom w:val="nil"/>
              <w:right w:val="double" w:sz="6" w:space="0" w:color="auto"/>
            </w:tcBorders>
            <w:shd w:val="clear" w:color="000000" w:fill="FFFFFF"/>
            <w:noWrap/>
            <w:vAlign w:val="bottom"/>
            <w:hideMark/>
          </w:tcPr>
          <w:p w14:paraId="6CDCD970" w14:textId="77777777" w:rsidR="005B6BB0" w:rsidRPr="00D14CD7" w:rsidRDefault="005B6BB0" w:rsidP="00286339">
            <w:pPr>
              <w:spacing w:after="0" w:line="240" w:lineRule="auto"/>
              <w:jc w:val="right"/>
              <w:rPr>
                <w:rFonts w:eastAsia="Times New Roman"/>
                <w:color w:val="000000" w:themeColor="text1"/>
                <w:sz w:val="22"/>
                <w:szCs w:val="22"/>
              </w:rPr>
            </w:pPr>
            <w:r w:rsidRPr="00D14CD7">
              <w:rPr>
                <w:rFonts w:eastAsia="Times New Roman"/>
                <w:color w:val="000000" w:themeColor="text1"/>
                <w:sz w:val="22"/>
                <w:szCs w:val="22"/>
              </w:rPr>
              <w:t>5.2</w:t>
            </w:r>
          </w:p>
        </w:tc>
      </w:tr>
      <w:tr w:rsidR="00D14CD7" w:rsidRPr="00D14CD7" w14:paraId="3C5D9384" w14:textId="77777777" w:rsidTr="005736F5">
        <w:trPr>
          <w:trHeight w:val="288"/>
        </w:trPr>
        <w:tc>
          <w:tcPr>
            <w:tcW w:w="1235" w:type="pct"/>
            <w:tcBorders>
              <w:top w:val="nil"/>
              <w:left w:val="double" w:sz="6" w:space="0" w:color="auto"/>
              <w:bottom w:val="nil"/>
              <w:right w:val="double" w:sz="4" w:space="0" w:color="auto"/>
            </w:tcBorders>
            <w:shd w:val="clear" w:color="000000" w:fill="FFFFFF"/>
            <w:noWrap/>
            <w:vAlign w:val="bottom"/>
            <w:hideMark/>
          </w:tcPr>
          <w:p w14:paraId="48B45A8B" w14:textId="77777777" w:rsidR="005B6BB0" w:rsidRPr="00D14CD7" w:rsidRDefault="005B6BB0" w:rsidP="00286339">
            <w:pPr>
              <w:spacing w:after="0" w:line="240" w:lineRule="auto"/>
              <w:jc w:val="left"/>
              <w:rPr>
                <w:rFonts w:eastAsia="Times New Roman"/>
                <w:color w:val="000000" w:themeColor="text1"/>
                <w:sz w:val="22"/>
                <w:szCs w:val="22"/>
              </w:rPr>
            </w:pPr>
            <w:r w:rsidRPr="00D14CD7">
              <w:rPr>
                <w:rFonts w:eastAsia="Times New Roman"/>
                <w:color w:val="000000" w:themeColor="text1"/>
                <w:sz w:val="22"/>
                <w:szCs w:val="22"/>
              </w:rPr>
              <w:t xml:space="preserve">   Male</w:t>
            </w:r>
          </w:p>
        </w:tc>
        <w:tc>
          <w:tcPr>
            <w:tcW w:w="441" w:type="pct"/>
            <w:tcBorders>
              <w:top w:val="nil"/>
              <w:left w:val="double" w:sz="4" w:space="0" w:color="auto"/>
              <w:bottom w:val="nil"/>
              <w:right w:val="nil"/>
            </w:tcBorders>
            <w:shd w:val="clear" w:color="000000" w:fill="FFFFFF"/>
            <w:noWrap/>
            <w:vAlign w:val="bottom"/>
            <w:hideMark/>
          </w:tcPr>
          <w:p w14:paraId="4A026B6D" w14:textId="77777777" w:rsidR="005B6BB0" w:rsidRPr="00D14CD7" w:rsidRDefault="005B6BB0" w:rsidP="00286339">
            <w:pPr>
              <w:spacing w:after="0" w:line="240" w:lineRule="auto"/>
              <w:jc w:val="right"/>
              <w:rPr>
                <w:rFonts w:eastAsia="Times New Roman"/>
                <w:color w:val="000000" w:themeColor="text1"/>
                <w:sz w:val="22"/>
                <w:szCs w:val="22"/>
              </w:rPr>
            </w:pPr>
            <w:r w:rsidRPr="00D14CD7">
              <w:rPr>
                <w:rFonts w:eastAsia="Times New Roman"/>
                <w:color w:val="000000" w:themeColor="text1"/>
                <w:sz w:val="22"/>
                <w:szCs w:val="22"/>
              </w:rPr>
              <w:t>466</w:t>
            </w:r>
          </w:p>
        </w:tc>
        <w:tc>
          <w:tcPr>
            <w:tcW w:w="233" w:type="pct"/>
            <w:tcBorders>
              <w:top w:val="nil"/>
              <w:left w:val="nil"/>
              <w:bottom w:val="nil"/>
              <w:right w:val="single" w:sz="4" w:space="0" w:color="auto"/>
            </w:tcBorders>
            <w:shd w:val="clear" w:color="000000" w:fill="FFFFFF"/>
            <w:noWrap/>
            <w:vAlign w:val="bottom"/>
            <w:hideMark/>
          </w:tcPr>
          <w:p w14:paraId="59E001C6" w14:textId="77777777" w:rsidR="005B6BB0" w:rsidRPr="00D14CD7" w:rsidRDefault="005B6BB0" w:rsidP="00286339">
            <w:pPr>
              <w:spacing w:after="0" w:line="240" w:lineRule="auto"/>
              <w:jc w:val="right"/>
              <w:rPr>
                <w:rFonts w:eastAsia="Times New Roman"/>
                <w:color w:val="000000" w:themeColor="text1"/>
                <w:sz w:val="22"/>
                <w:szCs w:val="22"/>
              </w:rPr>
            </w:pPr>
            <w:r w:rsidRPr="00D14CD7">
              <w:rPr>
                <w:rFonts w:eastAsia="Times New Roman"/>
                <w:color w:val="000000" w:themeColor="text1"/>
                <w:sz w:val="22"/>
                <w:szCs w:val="22"/>
              </w:rPr>
              <w:t>42.7</w:t>
            </w:r>
          </w:p>
        </w:tc>
        <w:tc>
          <w:tcPr>
            <w:tcW w:w="297" w:type="pct"/>
            <w:tcBorders>
              <w:top w:val="nil"/>
              <w:left w:val="single" w:sz="4" w:space="0" w:color="auto"/>
              <w:bottom w:val="nil"/>
              <w:right w:val="double" w:sz="6" w:space="0" w:color="auto"/>
            </w:tcBorders>
            <w:shd w:val="clear" w:color="000000" w:fill="FFFFFF"/>
            <w:noWrap/>
            <w:vAlign w:val="bottom"/>
            <w:hideMark/>
          </w:tcPr>
          <w:p w14:paraId="01B0E638" w14:textId="77777777" w:rsidR="005B6BB0" w:rsidRPr="00D14CD7" w:rsidRDefault="005B6BB0" w:rsidP="00286339">
            <w:pPr>
              <w:spacing w:after="0" w:line="240" w:lineRule="auto"/>
              <w:jc w:val="right"/>
              <w:rPr>
                <w:rFonts w:eastAsia="Times New Roman"/>
                <w:color w:val="000000" w:themeColor="text1"/>
                <w:sz w:val="22"/>
                <w:szCs w:val="22"/>
              </w:rPr>
            </w:pPr>
            <w:r w:rsidRPr="00D14CD7">
              <w:rPr>
                <w:rFonts w:eastAsia="Times New Roman"/>
                <w:color w:val="000000" w:themeColor="text1"/>
                <w:sz w:val="22"/>
                <w:szCs w:val="22"/>
              </w:rPr>
              <w:t>49.7</w:t>
            </w:r>
          </w:p>
        </w:tc>
        <w:tc>
          <w:tcPr>
            <w:tcW w:w="1942" w:type="pct"/>
            <w:tcBorders>
              <w:top w:val="nil"/>
              <w:left w:val="nil"/>
              <w:bottom w:val="nil"/>
              <w:right w:val="double" w:sz="4" w:space="0" w:color="auto"/>
            </w:tcBorders>
            <w:shd w:val="clear" w:color="000000" w:fill="FFFFFF"/>
            <w:noWrap/>
            <w:vAlign w:val="bottom"/>
            <w:hideMark/>
          </w:tcPr>
          <w:p w14:paraId="7A7CAB49" w14:textId="77777777" w:rsidR="005B6BB0" w:rsidRPr="00D14CD7" w:rsidRDefault="005B6BB0" w:rsidP="00286339">
            <w:pPr>
              <w:spacing w:after="0" w:line="240" w:lineRule="auto"/>
              <w:ind w:firstLine="173"/>
              <w:jc w:val="left"/>
              <w:rPr>
                <w:rFonts w:eastAsia="Times New Roman"/>
                <w:color w:val="000000" w:themeColor="text1"/>
                <w:sz w:val="22"/>
                <w:szCs w:val="22"/>
              </w:rPr>
            </w:pPr>
            <w:r w:rsidRPr="00D14CD7">
              <w:rPr>
                <w:rFonts w:eastAsia="Times New Roman"/>
                <w:color w:val="000000" w:themeColor="text1"/>
                <w:sz w:val="22"/>
                <w:szCs w:val="22"/>
              </w:rPr>
              <w:t>1</w:t>
            </w:r>
          </w:p>
        </w:tc>
        <w:tc>
          <w:tcPr>
            <w:tcW w:w="322" w:type="pct"/>
            <w:tcBorders>
              <w:top w:val="nil"/>
              <w:left w:val="double" w:sz="4" w:space="0" w:color="auto"/>
              <w:bottom w:val="nil"/>
              <w:right w:val="nil"/>
            </w:tcBorders>
            <w:shd w:val="clear" w:color="000000" w:fill="FFFFFF"/>
            <w:noWrap/>
            <w:vAlign w:val="bottom"/>
            <w:hideMark/>
          </w:tcPr>
          <w:p w14:paraId="1BC41186" w14:textId="77777777" w:rsidR="005B6BB0" w:rsidRPr="00D14CD7" w:rsidRDefault="005B6BB0" w:rsidP="00286339">
            <w:pPr>
              <w:spacing w:after="0" w:line="240" w:lineRule="auto"/>
              <w:jc w:val="right"/>
              <w:rPr>
                <w:rFonts w:eastAsia="Times New Roman"/>
                <w:color w:val="000000" w:themeColor="text1"/>
                <w:sz w:val="22"/>
                <w:szCs w:val="22"/>
              </w:rPr>
            </w:pPr>
            <w:r w:rsidRPr="00D14CD7">
              <w:rPr>
                <w:rFonts w:eastAsia="Times New Roman"/>
                <w:color w:val="000000" w:themeColor="text1"/>
                <w:sz w:val="22"/>
                <w:szCs w:val="22"/>
              </w:rPr>
              <w:t>244</w:t>
            </w:r>
          </w:p>
        </w:tc>
        <w:tc>
          <w:tcPr>
            <w:tcW w:w="233" w:type="pct"/>
            <w:tcBorders>
              <w:top w:val="nil"/>
              <w:left w:val="nil"/>
              <w:bottom w:val="nil"/>
              <w:right w:val="single" w:sz="4" w:space="0" w:color="auto"/>
            </w:tcBorders>
            <w:shd w:val="clear" w:color="000000" w:fill="FFFFFF"/>
            <w:noWrap/>
            <w:vAlign w:val="bottom"/>
            <w:hideMark/>
          </w:tcPr>
          <w:p w14:paraId="4BE111C7" w14:textId="77777777" w:rsidR="005B6BB0" w:rsidRPr="00D14CD7" w:rsidRDefault="005B6BB0" w:rsidP="00286339">
            <w:pPr>
              <w:spacing w:after="0" w:line="240" w:lineRule="auto"/>
              <w:jc w:val="right"/>
              <w:rPr>
                <w:rFonts w:eastAsia="Times New Roman"/>
                <w:color w:val="000000" w:themeColor="text1"/>
                <w:sz w:val="22"/>
                <w:szCs w:val="22"/>
              </w:rPr>
            </w:pPr>
            <w:r w:rsidRPr="00D14CD7">
              <w:rPr>
                <w:rFonts w:eastAsia="Times New Roman"/>
                <w:color w:val="000000" w:themeColor="text1"/>
                <w:sz w:val="22"/>
                <w:szCs w:val="22"/>
              </w:rPr>
              <w:t>22.4</w:t>
            </w:r>
          </w:p>
        </w:tc>
        <w:tc>
          <w:tcPr>
            <w:tcW w:w="297" w:type="pct"/>
            <w:tcBorders>
              <w:top w:val="nil"/>
              <w:left w:val="single" w:sz="4" w:space="0" w:color="auto"/>
              <w:bottom w:val="nil"/>
              <w:right w:val="double" w:sz="6" w:space="0" w:color="auto"/>
            </w:tcBorders>
            <w:shd w:val="clear" w:color="000000" w:fill="FFFFFF"/>
            <w:noWrap/>
            <w:vAlign w:val="bottom"/>
            <w:hideMark/>
          </w:tcPr>
          <w:p w14:paraId="1473DFCE" w14:textId="77777777" w:rsidR="005B6BB0" w:rsidRPr="00D14CD7" w:rsidRDefault="005B6BB0" w:rsidP="00286339">
            <w:pPr>
              <w:spacing w:after="0" w:line="240" w:lineRule="auto"/>
              <w:jc w:val="right"/>
              <w:rPr>
                <w:rFonts w:eastAsia="Times New Roman"/>
                <w:color w:val="000000" w:themeColor="text1"/>
                <w:sz w:val="22"/>
                <w:szCs w:val="22"/>
              </w:rPr>
            </w:pPr>
            <w:r w:rsidRPr="00D14CD7">
              <w:rPr>
                <w:rFonts w:eastAsia="Times New Roman"/>
                <w:color w:val="000000" w:themeColor="text1"/>
                <w:sz w:val="22"/>
                <w:szCs w:val="22"/>
              </w:rPr>
              <w:t>32.3</w:t>
            </w:r>
          </w:p>
        </w:tc>
      </w:tr>
      <w:tr w:rsidR="00D14CD7" w:rsidRPr="00D14CD7" w14:paraId="55C79463" w14:textId="77777777" w:rsidTr="005736F5">
        <w:trPr>
          <w:trHeight w:val="288"/>
        </w:trPr>
        <w:tc>
          <w:tcPr>
            <w:tcW w:w="1235" w:type="pct"/>
            <w:tcBorders>
              <w:top w:val="nil"/>
              <w:left w:val="double" w:sz="6" w:space="0" w:color="auto"/>
              <w:bottom w:val="single" w:sz="4" w:space="0" w:color="auto"/>
              <w:right w:val="double" w:sz="4" w:space="0" w:color="auto"/>
            </w:tcBorders>
            <w:shd w:val="clear" w:color="000000" w:fill="FFFFFF"/>
            <w:noWrap/>
            <w:vAlign w:val="bottom"/>
            <w:hideMark/>
          </w:tcPr>
          <w:p w14:paraId="6CF0F2D6" w14:textId="77777777" w:rsidR="005B6BB0" w:rsidRPr="00D14CD7" w:rsidRDefault="005B6BB0" w:rsidP="00286339">
            <w:pPr>
              <w:spacing w:after="0" w:line="240" w:lineRule="auto"/>
              <w:jc w:val="left"/>
              <w:rPr>
                <w:rFonts w:eastAsia="Times New Roman"/>
                <w:color w:val="000000" w:themeColor="text1"/>
                <w:sz w:val="22"/>
                <w:szCs w:val="22"/>
              </w:rPr>
            </w:pPr>
            <w:r w:rsidRPr="00D14CD7">
              <w:rPr>
                <w:rFonts w:eastAsia="Times New Roman"/>
                <w:color w:val="000000" w:themeColor="text1"/>
                <w:sz w:val="22"/>
                <w:szCs w:val="22"/>
              </w:rPr>
              <w:t xml:space="preserve">   Female</w:t>
            </w:r>
          </w:p>
        </w:tc>
        <w:tc>
          <w:tcPr>
            <w:tcW w:w="441" w:type="pct"/>
            <w:tcBorders>
              <w:top w:val="nil"/>
              <w:left w:val="double" w:sz="4" w:space="0" w:color="auto"/>
              <w:bottom w:val="single" w:sz="4" w:space="0" w:color="auto"/>
              <w:right w:val="nil"/>
            </w:tcBorders>
            <w:shd w:val="clear" w:color="000000" w:fill="FFFFFF"/>
            <w:noWrap/>
            <w:vAlign w:val="bottom"/>
            <w:hideMark/>
          </w:tcPr>
          <w:p w14:paraId="72A0EB4F" w14:textId="77777777" w:rsidR="005B6BB0" w:rsidRPr="00D14CD7" w:rsidRDefault="005B6BB0" w:rsidP="00286339">
            <w:pPr>
              <w:spacing w:after="0" w:line="240" w:lineRule="auto"/>
              <w:jc w:val="right"/>
              <w:rPr>
                <w:rFonts w:eastAsia="Times New Roman"/>
                <w:color w:val="000000" w:themeColor="text1"/>
                <w:sz w:val="22"/>
                <w:szCs w:val="22"/>
              </w:rPr>
            </w:pPr>
            <w:r w:rsidRPr="00D14CD7">
              <w:rPr>
                <w:rFonts w:eastAsia="Times New Roman"/>
                <w:color w:val="000000" w:themeColor="text1"/>
                <w:sz w:val="22"/>
                <w:szCs w:val="22"/>
              </w:rPr>
              <w:t>626</w:t>
            </w:r>
          </w:p>
        </w:tc>
        <w:tc>
          <w:tcPr>
            <w:tcW w:w="233" w:type="pct"/>
            <w:tcBorders>
              <w:top w:val="nil"/>
              <w:left w:val="nil"/>
              <w:bottom w:val="single" w:sz="4" w:space="0" w:color="auto"/>
              <w:right w:val="single" w:sz="4" w:space="0" w:color="auto"/>
            </w:tcBorders>
            <w:shd w:val="clear" w:color="000000" w:fill="FFFFFF"/>
            <w:noWrap/>
            <w:vAlign w:val="bottom"/>
            <w:hideMark/>
          </w:tcPr>
          <w:p w14:paraId="22702160" w14:textId="77777777" w:rsidR="005B6BB0" w:rsidRPr="00D14CD7" w:rsidRDefault="005B6BB0" w:rsidP="00286339">
            <w:pPr>
              <w:spacing w:after="0" w:line="240" w:lineRule="auto"/>
              <w:jc w:val="right"/>
              <w:rPr>
                <w:rFonts w:eastAsia="Times New Roman"/>
                <w:color w:val="000000" w:themeColor="text1"/>
                <w:sz w:val="22"/>
                <w:szCs w:val="22"/>
              </w:rPr>
            </w:pPr>
            <w:r w:rsidRPr="00D14CD7">
              <w:rPr>
                <w:rFonts w:eastAsia="Times New Roman"/>
                <w:color w:val="000000" w:themeColor="text1"/>
                <w:sz w:val="22"/>
                <w:szCs w:val="22"/>
              </w:rPr>
              <w:t>57.3</w:t>
            </w:r>
          </w:p>
        </w:tc>
        <w:tc>
          <w:tcPr>
            <w:tcW w:w="297" w:type="pct"/>
            <w:tcBorders>
              <w:top w:val="nil"/>
              <w:left w:val="single" w:sz="4" w:space="0" w:color="auto"/>
              <w:bottom w:val="single" w:sz="4" w:space="0" w:color="auto"/>
              <w:right w:val="double" w:sz="6" w:space="0" w:color="auto"/>
            </w:tcBorders>
            <w:shd w:val="clear" w:color="000000" w:fill="FFFFFF"/>
            <w:noWrap/>
            <w:vAlign w:val="bottom"/>
            <w:hideMark/>
          </w:tcPr>
          <w:p w14:paraId="42BD141A" w14:textId="77777777" w:rsidR="005B6BB0" w:rsidRPr="00D14CD7" w:rsidRDefault="005B6BB0" w:rsidP="00286339">
            <w:pPr>
              <w:spacing w:after="0" w:line="240" w:lineRule="auto"/>
              <w:jc w:val="right"/>
              <w:rPr>
                <w:rFonts w:eastAsia="Times New Roman"/>
                <w:color w:val="000000" w:themeColor="text1"/>
                <w:sz w:val="22"/>
                <w:szCs w:val="22"/>
              </w:rPr>
            </w:pPr>
            <w:r w:rsidRPr="00D14CD7">
              <w:rPr>
                <w:rFonts w:eastAsia="Times New Roman"/>
                <w:color w:val="000000" w:themeColor="text1"/>
                <w:sz w:val="22"/>
                <w:szCs w:val="22"/>
              </w:rPr>
              <w:t>50.3</w:t>
            </w:r>
          </w:p>
        </w:tc>
        <w:tc>
          <w:tcPr>
            <w:tcW w:w="1942" w:type="pct"/>
            <w:tcBorders>
              <w:top w:val="nil"/>
              <w:left w:val="nil"/>
              <w:bottom w:val="nil"/>
              <w:right w:val="double" w:sz="4" w:space="0" w:color="auto"/>
            </w:tcBorders>
            <w:shd w:val="clear" w:color="000000" w:fill="FFFFFF"/>
            <w:noWrap/>
            <w:vAlign w:val="bottom"/>
            <w:hideMark/>
          </w:tcPr>
          <w:p w14:paraId="6AB8F412" w14:textId="77777777" w:rsidR="005B6BB0" w:rsidRPr="00D14CD7" w:rsidRDefault="005B6BB0" w:rsidP="00286339">
            <w:pPr>
              <w:spacing w:after="0" w:line="240" w:lineRule="auto"/>
              <w:ind w:firstLine="173"/>
              <w:jc w:val="left"/>
              <w:rPr>
                <w:rFonts w:eastAsia="Times New Roman"/>
                <w:color w:val="000000" w:themeColor="text1"/>
                <w:sz w:val="22"/>
                <w:szCs w:val="22"/>
              </w:rPr>
            </w:pPr>
            <w:r w:rsidRPr="00D14CD7">
              <w:rPr>
                <w:rFonts w:eastAsia="Times New Roman"/>
                <w:color w:val="000000" w:themeColor="text1"/>
                <w:sz w:val="22"/>
                <w:szCs w:val="22"/>
              </w:rPr>
              <w:t>2</w:t>
            </w:r>
          </w:p>
        </w:tc>
        <w:tc>
          <w:tcPr>
            <w:tcW w:w="322" w:type="pct"/>
            <w:tcBorders>
              <w:top w:val="nil"/>
              <w:left w:val="double" w:sz="4" w:space="0" w:color="auto"/>
              <w:bottom w:val="nil"/>
              <w:right w:val="nil"/>
            </w:tcBorders>
            <w:shd w:val="clear" w:color="000000" w:fill="FFFFFF"/>
            <w:noWrap/>
            <w:vAlign w:val="bottom"/>
            <w:hideMark/>
          </w:tcPr>
          <w:p w14:paraId="54785372" w14:textId="77777777" w:rsidR="005B6BB0" w:rsidRPr="00D14CD7" w:rsidRDefault="005B6BB0" w:rsidP="00286339">
            <w:pPr>
              <w:spacing w:after="0" w:line="240" w:lineRule="auto"/>
              <w:jc w:val="right"/>
              <w:rPr>
                <w:rFonts w:eastAsia="Times New Roman"/>
                <w:color w:val="000000" w:themeColor="text1"/>
                <w:sz w:val="22"/>
                <w:szCs w:val="22"/>
              </w:rPr>
            </w:pPr>
            <w:r w:rsidRPr="00D14CD7">
              <w:rPr>
                <w:rFonts w:eastAsia="Times New Roman"/>
                <w:color w:val="000000" w:themeColor="text1"/>
                <w:sz w:val="22"/>
                <w:szCs w:val="22"/>
              </w:rPr>
              <w:t>501</w:t>
            </w:r>
          </w:p>
        </w:tc>
        <w:tc>
          <w:tcPr>
            <w:tcW w:w="233" w:type="pct"/>
            <w:tcBorders>
              <w:top w:val="nil"/>
              <w:left w:val="nil"/>
              <w:bottom w:val="nil"/>
              <w:right w:val="single" w:sz="4" w:space="0" w:color="auto"/>
            </w:tcBorders>
            <w:shd w:val="clear" w:color="000000" w:fill="FFFFFF"/>
            <w:noWrap/>
            <w:vAlign w:val="bottom"/>
            <w:hideMark/>
          </w:tcPr>
          <w:p w14:paraId="27260E63" w14:textId="77777777" w:rsidR="005B6BB0" w:rsidRPr="00D14CD7" w:rsidRDefault="005B6BB0" w:rsidP="00286339">
            <w:pPr>
              <w:spacing w:after="0" w:line="240" w:lineRule="auto"/>
              <w:jc w:val="right"/>
              <w:rPr>
                <w:rFonts w:eastAsia="Times New Roman"/>
                <w:color w:val="000000" w:themeColor="text1"/>
                <w:sz w:val="22"/>
                <w:szCs w:val="22"/>
              </w:rPr>
            </w:pPr>
            <w:r w:rsidRPr="00D14CD7">
              <w:rPr>
                <w:rFonts w:eastAsia="Times New Roman"/>
                <w:color w:val="000000" w:themeColor="text1"/>
                <w:sz w:val="22"/>
                <w:szCs w:val="22"/>
              </w:rPr>
              <w:t>45.9</w:t>
            </w:r>
          </w:p>
        </w:tc>
        <w:tc>
          <w:tcPr>
            <w:tcW w:w="297" w:type="pct"/>
            <w:tcBorders>
              <w:top w:val="nil"/>
              <w:left w:val="single" w:sz="4" w:space="0" w:color="auto"/>
              <w:bottom w:val="nil"/>
              <w:right w:val="double" w:sz="6" w:space="0" w:color="auto"/>
            </w:tcBorders>
            <w:shd w:val="clear" w:color="000000" w:fill="FFFFFF"/>
            <w:noWrap/>
            <w:vAlign w:val="bottom"/>
            <w:hideMark/>
          </w:tcPr>
          <w:p w14:paraId="7A02BADC" w14:textId="77777777" w:rsidR="005B6BB0" w:rsidRPr="00D14CD7" w:rsidRDefault="005B6BB0" w:rsidP="00286339">
            <w:pPr>
              <w:spacing w:after="0" w:line="240" w:lineRule="auto"/>
              <w:jc w:val="right"/>
              <w:rPr>
                <w:rFonts w:eastAsia="Times New Roman"/>
                <w:color w:val="000000" w:themeColor="text1"/>
                <w:sz w:val="22"/>
                <w:szCs w:val="22"/>
              </w:rPr>
            </w:pPr>
            <w:r w:rsidRPr="00D14CD7">
              <w:rPr>
                <w:rFonts w:eastAsia="Times New Roman"/>
                <w:color w:val="000000" w:themeColor="text1"/>
                <w:sz w:val="22"/>
                <w:szCs w:val="22"/>
              </w:rPr>
              <w:t>40.1</w:t>
            </w:r>
          </w:p>
        </w:tc>
      </w:tr>
      <w:tr w:rsidR="00D14CD7" w:rsidRPr="00D14CD7" w14:paraId="571461AE" w14:textId="77777777" w:rsidTr="005736F5">
        <w:trPr>
          <w:trHeight w:val="288"/>
        </w:trPr>
        <w:tc>
          <w:tcPr>
            <w:tcW w:w="1235" w:type="pct"/>
            <w:tcBorders>
              <w:top w:val="nil"/>
              <w:left w:val="double" w:sz="6" w:space="0" w:color="auto"/>
              <w:bottom w:val="nil"/>
              <w:right w:val="double" w:sz="4" w:space="0" w:color="auto"/>
            </w:tcBorders>
            <w:shd w:val="clear" w:color="000000" w:fill="FFFFFF"/>
            <w:noWrap/>
            <w:vAlign w:val="bottom"/>
            <w:hideMark/>
          </w:tcPr>
          <w:p w14:paraId="64948D94" w14:textId="77777777" w:rsidR="005B6BB0" w:rsidRPr="00D14CD7" w:rsidRDefault="005B6BB0" w:rsidP="00286339">
            <w:pPr>
              <w:spacing w:after="0" w:line="240" w:lineRule="auto"/>
              <w:jc w:val="left"/>
              <w:rPr>
                <w:rFonts w:eastAsia="Times New Roman"/>
                <w:b/>
                <w:bCs/>
                <w:i/>
                <w:iCs/>
                <w:color w:val="000000" w:themeColor="text1"/>
                <w:sz w:val="22"/>
                <w:szCs w:val="22"/>
              </w:rPr>
            </w:pPr>
            <w:r w:rsidRPr="00D14CD7">
              <w:rPr>
                <w:rFonts w:eastAsia="Times New Roman"/>
                <w:b/>
                <w:bCs/>
                <w:i/>
                <w:iCs/>
                <w:color w:val="000000" w:themeColor="text1"/>
                <w:sz w:val="22"/>
                <w:szCs w:val="22"/>
              </w:rPr>
              <w:t>Age</w:t>
            </w:r>
          </w:p>
        </w:tc>
        <w:tc>
          <w:tcPr>
            <w:tcW w:w="441" w:type="pct"/>
            <w:tcBorders>
              <w:top w:val="nil"/>
              <w:left w:val="double" w:sz="4" w:space="0" w:color="auto"/>
              <w:bottom w:val="nil"/>
              <w:right w:val="nil"/>
            </w:tcBorders>
            <w:shd w:val="clear" w:color="000000" w:fill="FFFFFF"/>
            <w:noWrap/>
            <w:vAlign w:val="bottom"/>
            <w:hideMark/>
          </w:tcPr>
          <w:p w14:paraId="32084B05" w14:textId="77777777" w:rsidR="005B6BB0" w:rsidRPr="00D14CD7" w:rsidRDefault="005B6BB0" w:rsidP="00286339">
            <w:pPr>
              <w:spacing w:after="0" w:line="240" w:lineRule="auto"/>
              <w:jc w:val="left"/>
              <w:rPr>
                <w:rFonts w:eastAsia="Times New Roman"/>
                <w:color w:val="000000" w:themeColor="text1"/>
                <w:sz w:val="22"/>
                <w:szCs w:val="22"/>
              </w:rPr>
            </w:pPr>
            <w:r w:rsidRPr="00D14CD7">
              <w:rPr>
                <w:rFonts w:eastAsia="Times New Roman"/>
                <w:color w:val="000000" w:themeColor="text1"/>
                <w:sz w:val="22"/>
                <w:szCs w:val="22"/>
              </w:rPr>
              <w:t> </w:t>
            </w:r>
          </w:p>
        </w:tc>
        <w:tc>
          <w:tcPr>
            <w:tcW w:w="233" w:type="pct"/>
            <w:tcBorders>
              <w:top w:val="nil"/>
              <w:left w:val="nil"/>
              <w:bottom w:val="nil"/>
              <w:right w:val="single" w:sz="4" w:space="0" w:color="auto"/>
            </w:tcBorders>
            <w:shd w:val="clear" w:color="000000" w:fill="FFFFFF"/>
            <w:noWrap/>
            <w:vAlign w:val="bottom"/>
            <w:hideMark/>
          </w:tcPr>
          <w:p w14:paraId="0332DA02" w14:textId="77777777" w:rsidR="005B6BB0" w:rsidRPr="00D14CD7" w:rsidRDefault="005B6BB0" w:rsidP="00286339">
            <w:pPr>
              <w:spacing w:after="0" w:line="240" w:lineRule="auto"/>
              <w:jc w:val="left"/>
              <w:rPr>
                <w:rFonts w:eastAsia="Times New Roman"/>
                <w:color w:val="000000" w:themeColor="text1"/>
                <w:sz w:val="22"/>
                <w:szCs w:val="22"/>
              </w:rPr>
            </w:pPr>
            <w:r w:rsidRPr="00D14CD7">
              <w:rPr>
                <w:rFonts w:eastAsia="Times New Roman"/>
                <w:color w:val="000000" w:themeColor="text1"/>
                <w:sz w:val="22"/>
                <w:szCs w:val="22"/>
              </w:rPr>
              <w:t> </w:t>
            </w:r>
          </w:p>
        </w:tc>
        <w:tc>
          <w:tcPr>
            <w:tcW w:w="297" w:type="pct"/>
            <w:tcBorders>
              <w:top w:val="nil"/>
              <w:left w:val="single" w:sz="4" w:space="0" w:color="auto"/>
              <w:bottom w:val="nil"/>
              <w:right w:val="double" w:sz="6" w:space="0" w:color="auto"/>
            </w:tcBorders>
            <w:shd w:val="clear" w:color="000000" w:fill="FFFFFF"/>
            <w:noWrap/>
            <w:vAlign w:val="bottom"/>
            <w:hideMark/>
          </w:tcPr>
          <w:p w14:paraId="50E23460" w14:textId="77777777" w:rsidR="005B6BB0" w:rsidRPr="00D14CD7" w:rsidRDefault="005B6BB0" w:rsidP="00286339">
            <w:pPr>
              <w:spacing w:after="0" w:line="240" w:lineRule="auto"/>
              <w:jc w:val="left"/>
              <w:rPr>
                <w:rFonts w:eastAsia="Times New Roman"/>
                <w:color w:val="000000" w:themeColor="text1"/>
                <w:sz w:val="22"/>
                <w:szCs w:val="22"/>
              </w:rPr>
            </w:pPr>
            <w:r w:rsidRPr="00D14CD7">
              <w:rPr>
                <w:rFonts w:eastAsia="Times New Roman"/>
                <w:color w:val="000000" w:themeColor="text1"/>
                <w:sz w:val="22"/>
                <w:szCs w:val="22"/>
              </w:rPr>
              <w:t> </w:t>
            </w:r>
          </w:p>
        </w:tc>
        <w:tc>
          <w:tcPr>
            <w:tcW w:w="1942" w:type="pct"/>
            <w:tcBorders>
              <w:top w:val="nil"/>
              <w:left w:val="nil"/>
              <w:bottom w:val="single" w:sz="4" w:space="0" w:color="auto"/>
              <w:right w:val="double" w:sz="4" w:space="0" w:color="auto"/>
            </w:tcBorders>
            <w:shd w:val="clear" w:color="000000" w:fill="FFFFFF"/>
            <w:noWrap/>
            <w:vAlign w:val="bottom"/>
            <w:hideMark/>
          </w:tcPr>
          <w:p w14:paraId="110022D1" w14:textId="77777777" w:rsidR="005B6BB0" w:rsidRPr="00D14CD7" w:rsidRDefault="005B6BB0" w:rsidP="00286339">
            <w:pPr>
              <w:spacing w:after="0" w:line="240" w:lineRule="auto"/>
              <w:ind w:firstLine="173"/>
              <w:jc w:val="left"/>
              <w:rPr>
                <w:rFonts w:eastAsia="Times New Roman"/>
                <w:color w:val="000000" w:themeColor="text1"/>
                <w:sz w:val="22"/>
                <w:szCs w:val="22"/>
              </w:rPr>
            </w:pPr>
            <w:r w:rsidRPr="00D14CD7">
              <w:rPr>
                <w:rFonts w:eastAsia="Times New Roman"/>
                <w:color w:val="000000" w:themeColor="text1"/>
                <w:sz w:val="22"/>
                <w:szCs w:val="22"/>
              </w:rPr>
              <w:t>3 or more</w:t>
            </w:r>
          </w:p>
        </w:tc>
        <w:tc>
          <w:tcPr>
            <w:tcW w:w="322" w:type="pct"/>
            <w:tcBorders>
              <w:top w:val="nil"/>
              <w:left w:val="double" w:sz="4" w:space="0" w:color="auto"/>
              <w:bottom w:val="single" w:sz="4" w:space="0" w:color="auto"/>
              <w:right w:val="nil"/>
            </w:tcBorders>
            <w:shd w:val="clear" w:color="000000" w:fill="FFFFFF"/>
            <w:noWrap/>
            <w:vAlign w:val="bottom"/>
            <w:hideMark/>
          </w:tcPr>
          <w:p w14:paraId="4D447189" w14:textId="77777777" w:rsidR="005B6BB0" w:rsidRPr="00D14CD7" w:rsidRDefault="005B6BB0" w:rsidP="00286339">
            <w:pPr>
              <w:spacing w:after="0" w:line="240" w:lineRule="auto"/>
              <w:jc w:val="right"/>
              <w:rPr>
                <w:rFonts w:eastAsia="Times New Roman"/>
                <w:color w:val="000000" w:themeColor="text1"/>
                <w:sz w:val="22"/>
                <w:szCs w:val="22"/>
              </w:rPr>
            </w:pPr>
            <w:r w:rsidRPr="00D14CD7">
              <w:rPr>
                <w:rFonts w:eastAsia="Times New Roman"/>
                <w:color w:val="000000" w:themeColor="text1"/>
                <w:sz w:val="22"/>
                <w:szCs w:val="22"/>
              </w:rPr>
              <w:t>329</w:t>
            </w:r>
          </w:p>
        </w:tc>
        <w:tc>
          <w:tcPr>
            <w:tcW w:w="233" w:type="pct"/>
            <w:tcBorders>
              <w:top w:val="nil"/>
              <w:left w:val="nil"/>
              <w:bottom w:val="single" w:sz="4" w:space="0" w:color="auto"/>
              <w:right w:val="single" w:sz="4" w:space="0" w:color="auto"/>
            </w:tcBorders>
            <w:shd w:val="clear" w:color="000000" w:fill="FFFFFF"/>
            <w:noWrap/>
            <w:vAlign w:val="bottom"/>
            <w:hideMark/>
          </w:tcPr>
          <w:p w14:paraId="55C464CB" w14:textId="77777777" w:rsidR="005B6BB0" w:rsidRPr="00D14CD7" w:rsidRDefault="005B6BB0" w:rsidP="00286339">
            <w:pPr>
              <w:spacing w:after="0" w:line="240" w:lineRule="auto"/>
              <w:jc w:val="right"/>
              <w:rPr>
                <w:rFonts w:eastAsia="Times New Roman"/>
                <w:color w:val="000000" w:themeColor="text1"/>
                <w:sz w:val="22"/>
                <w:szCs w:val="22"/>
              </w:rPr>
            </w:pPr>
            <w:r w:rsidRPr="00D14CD7">
              <w:rPr>
                <w:rFonts w:eastAsia="Times New Roman"/>
                <w:color w:val="000000" w:themeColor="text1"/>
                <w:sz w:val="22"/>
                <w:szCs w:val="22"/>
              </w:rPr>
              <w:t>30.1</w:t>
            </w:r>
          </w:p>
        </w:tc>
        <w:tc>
          <w:tcPr>
            <w:tcW w:w="297" w:type="pct"/>
            <w:tcBorders>
              <w:top w:val="nil"/>
              <w:left w:val="single" w:sz="4" w:space="0" w:color="auto"/>
              <w:bottom w:val="single" w:sz="4" w:space="0" w:color="auto"/>
              <w:right w:val="double" w:sz="6" w:space="0" w:color="auto"/>
            </w:tcBorders>
            <w:shd w:val="clear" w:color="000000" w:fill="FFFFFF"/>
            <w:noWrap/>
            <w:vAlign w:val="bottom"/>
            <w:hideMark/>
          </w:tcPr>
          <w:p w14:paraId="6A5B9948" w14:textId="77777777" w:rsidR="005B6BB0" w:rsidRPr="00D14CD7" w:rsidRDefault="005B6BB0" w:rsidP="00286339">
            <w:pPr>
              <w:spacing w:after="0" w:line="240" w:lineRule="auto"/>
              <w:jc w:val="right"/>
              <w:rPr>
                <w:rFonts w:eastAsia="Times New Roman"/>
                <w:color w:val="000000" w:themeColor="text1"/>
                <w:sz w:val="22"/>
                <w:szCs w:val="22"/>
              </w:rPr>
            </w:pPr>
            <w:r w:rsidRPr="00D14CD7">
              <w:rPr>
                <w:rFonts w:eastAsia="Times New Roman"/>
                <w:color w:val="000000" w:themeColor="text1"/>
                <w:sz w:val="22"/>
                <w:szCs w:val="22"/>
              </w:rPr>
              <w:t>22.4</w:t>
            </w:r>
          </w:p>
        </w:tc>
      </w:tr>
      <w:tr w:rsidR="00D14CD7" w:rsidRPr="00D14CD7" w14:paraId="408D978A" w14:textId="77777777" w:rsidTr="005736F5">
        <w:trPr>
          <w:trHeight w:val="288"/>
        </w:trPr>
        <w:tc>
          <w:tcPr>
            <w:tcW w:w="1235" w:type="pct"/>
            <w:tcBorders>
              <w:top w:val="nil"/>
              <w:left w:val="double" w:sz="6" w:space="0" w:color="auto"/>
              <w:bottom w:val="nil"/>
              <w:right w:val="double" w:sz="4" w:space="0" w:color="auto"/>
            </w:tcBorders>
            <w:shd w:val="clear" w:color="000000" w:fill="FFFFFF"/>
            <w:noWrap/>
            <w:vAlign w:val="bottom"/>
            <w:hideMark/>
          </w:tcPr>
          <w:p w14:paraId="43F43A16" w14:textId="77777777" w:rsidR="005B6BB0" w:rsidRPr="00D14CD7" w:rsidRDefault="005B6BB0" w:rsidP="00286339">
            <w:pPr>
              <w:spacing w:after="0" w:line="240" w:lineRule="auto"/>
              <w:ind w:firstLine="139"/>
              <w:jc w:val="left"/>
              <w:rPr>
                <w:rFonts w:eastAsia="Times New Roman"/>
                <w:color w:val="000000" w:themeColor="text1"/>
                <w:sz w:val="22"/>
                <w:szCs w:val="22"/>
              </w:rPr>
            </w:pPr>
            <w:r w:rsidRPr="00D14CD7">
              <w:rPr>
                <w:rFonts w:eastAsia="Times New Roman"/>
                <w:color w:val="000000" w:themeColor="text1"/>
                <w:sz w:val="22"/>
                <w:szCs w:val="22"/>
              </w:rPr>
              <w:t>18 to 29</w:t>
            </w:r>
          </w:p>
        </w:tc>
        <w:tc>
          <w:tcPr>
            <w:tcW w:w="441" w:type="pct"/>
            <w:tcBorders>
              <w:top w:val="nil"/>
              <w:left w:val="double" w:sz="4" w:space="0" w:color="auto"/>
              <w:bottom w:val="nil"/>
              <w:right w:val="nil"/>
            </w:tcBorders>
            <w:shd w:val="clear" w:color="000000" w:fill="FFFFFF"/>
            <w:noWrap/>
            <w:vAlign w:val="bottom"/>
            <w:hideMark/>
          </w:tcPr>
          <w:p w14:paraId="0B652AB9" w14:textId="77777777" w:rsidR="005B6BB0" w:rsidRPr="00D14CD7" w:rsidRDefault="005B6BB0" w:rsidP="00286339">
            <w:pPr>
              <w:spacing w:after="0" w:line="240" w:lineRule="auto"/>
              <w:jc w:val="right"/>
              <w:rPr>
                <w:rFonts w:eastAsia="Times New Roman"/>
                <w:color w:val="000000" w:themeColor="text1"/>
                <w:sz w:val="22"/>
                <w:szCs w:val="22"/>
              </w:rPr>
            </w:pPr>
            <w:r w:rsidRPr="00D14CD7">
              <w:rPr>
                <w:rFonts w:eastAsia="Times New Roman"/>
                <w:color w:val="000000" w:themeColor="text1"/>
                <w:sz w:val="22"/>
                <w:szCs w:val="22"/>
              </w:rPr>
              <w:t>64</w:t>
            </w:r>
          </w:p>
        </w:tc>
        <w:tc>
          <w:tcPr>
            <w:tcW w:w="233" w:type="pct"/>
            <w:tcBorders>
              <w:top w:val="nil"/>
              <w:left w:val="nil"/>
              <w:bottom w:val="nil"/>
              <w:right w:val="single" w:sz="4" w:space="0" w:color="auto"/>
            </w:tcBorders>
            <w:shd w:val="clear" w:color="000000" w:fill="FFFFFF"/>
            <w:noWrap/>
            <w:vAlign w:val="bottom"/>
            <w:hideMark/>
          </w:tcPr>
          <w:p w14:paraId="4324AEAF" w14:textId="77777777" w:rsidR="005B6BB0" w:rsidRPr="00D14CD7" w:rsidRDefault="005B6BB0" w:rsidP="00286339">
            <w:pPr>
              <w:spacing w:after="0" w:line="240" w:lineRule="auto"/>
              <w:jc w:val="right"/>
              <w:rPr>
                <w:rFonts w:eastAsia="Times New Roman"/>
                <w:color w:val="000000" w:themeColor="text1"/>
                <w:sz w:val="22"/>
                <w:szCs w:val="22"/>
              </w:rPr>
            </w:pPr>
            <w:r w:rsidRPr="00D14CD7">
              <w:rPr>
                <w:rFonts w:eastAsia="Times New Roman"/>
                <w:color w:val="000000" w:themeColor="text1"/>
                <w:sz w:val="22"/>
                <w:szCs w:val="22"/>
              </w:rPr>
              <w:t>5.9</w:t>
            </w:r>
          </w:p>
        </w:tc>
        <w:tc>
          <w:tcPr>
            <w:tcW w:w="297" w:type="pct"/>
            <w:tcBorders>
              <w:top w:val="nil"/>
              <w:left w:val="single" w:sz="4" w:space="0" w:color="auto"/>
              <w:bottom w:val="nil"/>
              <w:right w:val="double" w:sz="6" w:space="0" w:color="auto"/>
            </w:tcBorders>
            <w:shd w:val="clear" w:color="000000" w:fill="FFFFFF"/>
            <w:noWrap/>
            <w:vAlign w:val="bottom"/>
            <w:hideMark/>
          </w:tcPr>
          <w:p w14:paraId="714E413E" w14:textId="77777777" w:rsidR="005B6BB0" w:rsidRPr="00D14CD7" w:rsidRDefault="005B6BB0" w:rsidP="00286339">
            <w:pPr>
              <w:spacing w:after="0" w:line="240" w:lineRule="auto"/>
              <w:jc w:val="right"/>
              <w:rPr>
                <w:rFonts w:eastAsia="Times New Roman"/>
                <w:color w:val="000000" w:themeColor="text1"/>
                <w:sz w:val="22"/>
                <w:szCs w:val="22"/>
              </w:rPr>
            </w:pPr>
            <w:r w:rsidRPr="00D14CD7">
              <w:rPr>
                <w:rFonts w:eastAsia="Times New Roman"/>
                <w:color w:val="000000" w:themeColor="text1"/>
                <w:sz w:val="22"/>
                <w:szCs w:val="22"/>
              </w:rPr>
              <w:t>29.9</w:t>
            </w:r>
          </w:p>
        </w:tc>
        <w:tc>
          <w:tcPr>
            <w:tcW w:w="1942" w:type="pct"/>
            <w:tcBorders>
              <w:top w:val="nil"/>
              <w:left w:val="nil"/>
              <w:bottom w:val="nil"/>
              <w:right w:val="double" w:sz="4" w:space="0" w:color="auto"/>
            </w:tcBorders>
            <w:shd w:val="clear" w:color="000000" w:fill="FFFFFF"/>
            <w:noWrap/>
            <w:vAlign w:val="bottom"/>
            <w:hideMark/>
          </w:tcPr>
          <w:p w14:paraId="6229E746" w14:textId="77777777" w:rsidR="005B6BB0" w:rsidRPr="00D14CD7" w:rsidRDefault="005B6BB0" w:rsidP="00286339">
            <w:pPr>
              <w:spacing w:after="0" w:line="240" w:lineRule="auto"/>
              <w:jc w:val="left"/>
              <w:rPr>
                <w:rFonts w:eastAsia="Times New Roman"/>
                <w:b/>
                <w:bCs/>
                <w:i/>
                <w:iCs/>
                <w:color w:val="000000" w:themeColor="text1"/>
                <w:sz w:val="22"/>
                <w:szCs w:val="22"/>
              </w:rPr>
            </w:pPr>
            <w:r w:rsidRPr="00D14CD7">
              <w:rPr>
                <w:rFonts w:eastAsia="Times New Roman"/>
                <w:b/>
                <w:bCs/>
                <w:i/>
                <w:iCs/>
                <w:color w:val="000000" w:themeColor="text1"/>
                <w:sz w:val="22"/>
                <w:szCs w:val="22"/>
              </w:rPr>
              <w:t>Household structure</w:t>
            </w:r>
          </w:p>
        </w:tc>
        <w:tc>
          <w:tcPr>
            <w:tcW w:w="322" w:type="pct"/>
            <w:tcBorders>
              <w:top w:val="nil"/>
              <w:left w:val="double" w:sz="4" w:space="0" w:color="auto"/>
              <w:bottom w:val="nil"/>
              <w:right w:val="nil"/>
            </w:tcBorders>
            <w:shd w:val="clear" w:color="000000" w:fill="FFFFFF"/>
            <w:noWrap/>
            <w:vAlign w:val="bottom"/>
            <w:hideMark/>
          </w:tcPr>
          <w:p w14:paraId="7C9A5D17" w14:textId="77777777" w:rsidR="005B6BB0" w:rsidRPr="00D14CD7" w:rsidRDefault="005B6BB0" w:rsidP="00286339">
            <w:pPr>
              <w:spacing w:after="0" w:line="240" w:lineRule="auto"/>
              <w:jc w:val="left"/>
              <w:rPr>
                <w:rFonts w:eastAsia="Times New Roman"/>
                <w:color w:val="000000" w:themeColor="text1"/>
                <w:sz w:val="22"/>
                <w:szCs w:val="22"/>
              </w:rPr>
            </w:pPr>
            <w:r w:rsidRPr="00D14CD7">
              <w:rPr>
                <w:rFonts w:eastAsia="Times New Roman"/>
                <w:color w:val="000000" w:themeColor="text1"/>
                <w:sz w:val="22"/>
                <w:szCs w:val="22"/>
              </w:rPr>
              <w:t> </w:t>
            </w:r>
          </w:p>
        </w:tc>
        <w:tc>
          <w:tcPr>
            <w:tcW w:w="233" w:type="pct"/>
            <w:tcBorders>
              <w:top w:val="nil"/>
              <w:left w:val="nil"/>
              <w:bottom w:val="nil"/>
              <w:right w:val="single" w:sz="4" w:space="0" w:color="auto"/>
            </w:tcBorders>
            <w:shd w:val="clear" w:color="000000" w:fill="FFFFFF"/>
            <w:noWrap/>
            <w:vAlign w:val="bottom"/>
            <w:hideMark/>
          </w:tcPr>
          <w:p w14:paraId="48F23470" w14:textId="77777777" w:rsidR="005B6BB0" w:rsidRPr="00D14CD7" w:rsidRDefault="005B6BB0" w:rsidP="00286339">
            <w:pPr>
              <w:spacing w:after="0" w:line="240" w:lineRule="auto"/>
              <w:jc w:val="left"/>
              <w:rPr>
                <w:rFonts w:eastAsia="Times New Roman"/>
                <w:color w:val="000000" w:themeColor="text1"/>
                <w:sz w:val="22"/>
                <w:szCs w:val="22"/>
              </w:rPr>
            </w:pPr>
            <w:r w:rsidRPr="00D14CD7">
              <w:rPr>
                <w:rFonts w:eastAsia="Times New Roman"/>
                <w:color w:val="000000" w:themeColor="text1"/>
                <w:sz w:val="22"/>
                <w:szCs w:val="22"/>
              </w:rPr>
              <w:t> </w:t>
            </w:r>
          </w:p>
        </w:tc>
        <w:tc>
          <w:tcPr>
            <w:tcW w:w="297" w:type="pct"/>
            <w:tcBorders>
              <w:top w:val="nil"/>
              <w:left w:val="single" w:sz="4" w:space="0" w:color="auto"/>
              <w:bottom w:val="nil"/>
              <w:right w:val="double" w:sz="6" w:space="0" w:color="auto"/>
            </w:tcBorders>
            <w:shd w:val="clear" w:color="000000" w:fill="FFFFFF"/>
            <w:noWrap/>
            <w:vAlign w:val="bottom"/>
            <w:hideMark/>
          </w:tcPr>
          <w:p w14:paraId="0ED29AE9" w14:textId="77777777" w:rsidR="005B6BB0" w:rsidRPr="00D14CD7" w:rsidRDefault="005B6BB0" w:rsidP="00286339">
            <w:pPr>
              <w:spacing w:after="0" w:line="240" w:lineRule="auto"/>
              <w:jc w:val="right"/>
              <w:rPr>
                <w:rFonts w:eastAsia="Times New Roman"/>
                <w:color w:val="000000" w:themeColor="text1"/>
                <w:sz w:val="22"/>
                <w:szCs w:val="22"/>
              </w:rPr>
            </w:pPr>
            <w:r w:rsidRPr="00D14CD7">
              <w:rPr>
                <w:rFonts w:eastAsia="Times New Roman"/>
                <w:color w:val="000000" w:themeColor="text1"/>
                <w:sz w:val="22"/>
                <w:szCs w:val="22"/>
              </w:rPr>
              <w:t> </w:t>
            </w:r>
          </w:p>
        </w:tc>
      </w:tr>
      <w:tr w:rsidR="00D14CD7" w:rsidRPr="00D14CD7" w14:paraId="4E652EE1" w14:textId="77777777" w:rsidTr="005736F5">
        <w:trPr>
          <w:trHeight w:val="288"/>
        </w:trPr>
        <w:tc>
          <w:tcPr>
            <w:tcW w:w="1235" w:type="pct"/>
            <w:tcBorders>
              <w:top w:val="nil"/>
              <w:left w:val="double" w:sz="6" w:space="0" w:color="auto"/>
              <w:bottom w:val="nil"/>
              <w:right w:val="double" w:sz="4" w:space="0" w:color="auto"/>
            </w:tcBorders>
            <w:shd w:val="clear" w:color="000000" w:fill="FFFFFF"/>
            <w:noWrap/>
            <w:vAlign w:val="bottom"/>
            <w:hideMark/>
          </w:tcPr>
          <w:p w14:paraId="12FB5A22" w14:textId="77777777" w:rsidR="005B6BB0" w:rsidRPr="00D14CD7" w:rsidRDefault="005B6BB0" w:rsidP="00286339">
            <w:pPr>
              <w:spacing w:after="0" w:line="240" w:lineRule="auto"/>
              <w:ind w:firstLine="139"/>
              <w:jc w:val="left"/>
              <w:rPr>
                <w:rFonts w:eastAsia="Times New Roman"/>
                <w:color w:val="000000" w:themeColor="text1"/>
                <w:sz w:val="22"/>
                <w:szCs w:val="22"/>
              </w:rPr>
            </w:pPr>
            <w:r w:rsidRPr="00D14CD7">
              <w:rPr>
                <w:rFonts w:eastAsia="Times New Roman"/>
                <w:color w:val="000000" w:themeColor="text1"/>
                <w:sz w:val="22"/>
                <w:szCs w:val="22"/>
              </w:rPr>
              <w:t>30 to 49</w:t>
            </w:r>
          </w:p>
        </w:tc>
        <w:tc>
          <w:tcPr>
            <w:tcW w:w="441" w:type="pct"/>
            <w:tcBorders>
              <w:top w:val="nil"/>
              <w:left w:val="double" w:sz="4" w:space="0" w:color="auto"/>
              <w:bottom w:val="nil"/>
              <w:right w:val="nil"/>
            </w:tcBorders>
            <w:shd w:val="clear" w:color="000000" w:fill="FFFFFF"/>
            <w:noWrap/>
            <w:vAlign w:val="bottom"/>
            <w:hideMark/>
          </w:tcPr>
          <w:p w14:paraId="4FBD8B64" w14:textId="77777777" w:rsidR="005B6BB0" w:rsidRPr="00D14CD7" w:rsidRDefault="005B6BB0" w:rsidP="00286339">
            <w:pPr>
              <w:spacing w:after="0" w:line="240" w:lineRule="auto"/>
              <w:jc w:val="right"/>
              <w:rPr>
                <w:rFonts w:eastAsia="Times New Roman"/>
                <w:color w:val="000000" w:themeColor="text1"/>
                <w:sz w:val="22"/>
                <w:szCs w:val="22"/>
              </w:rPr>
            </w:pPr>
            <w:r w:rsidRPr="00D14CD7">
              <w:rPr>
                <w:rFonts w:eastAsia="Times New Roman"/>
                <w:color w:val="000000" w:themeColor="text1"/>
                <w:sz w:val="22"/>
                <w:szCs w:val="22"/>
              </w:rPr>
              <w:t>353</w:t>
            </w:r>
          </w:p>
        </w:tc>
        <w:tc>
          <w:tcPr>
            <w:tcW w:w="233" w:type="pct"/>
            <w:tcBorders>
              <w:top w:val="nil"/>
              <w:left w:val="nil"/>
              <w:bottom w:val="nil"/>
              <w:right w:val="single" w:sz="4" w:space="0" w:color="auto"/>
            </w:tcBorders>
            <w:shd w:val="clear" w:color="000000" w:fill="FFFFFF"/>
            <w:noWrap/>
            <w:vAlign w:val="bottom"/>
            <w:hideMark/>
          </w:tcPr>
          <w:p w14:paraId="35994848" w14:textId="77777777" w:rsidR="005B6BB0" w:rsidRPr="00D14CD7" w:rsidRDefault="005B6BB0" w:rsidP="00286339">
            <w:pPr>
              <w:spacing w:after="0" w:line="240" w:lineRule="auto"/>
              <w:jc w:val="right"/>
              <w:rPr>
                <w:rFonts w:eastAsia="Times New Roman"/>
                <w:color w:val="000000" w:themeColor="text1"/>
                <w:sz w:val="22"/>
                <w:szCs w:val="22"/>
              </w:rPr>
            </w:pPr>
            <w:r w:rsidRPr="00D14CD7">
              <w:rPr>
                <w:rFonts w:eastAsia="Times New Roman"/>
                <w:color w:val="000000" w:themeColor="text1"/>
                <w:sz w:val="22"/>
                <w:szCs w:val="22"/>
              </w:rPr>
              <w:t>32.3</w:t>
            </w:r>
          </w:p>
        </w:tc>
        <w:tc>
          <w:tcPr>
            <w:tcW w:w="297" w:type="pct"/>
            <w:tcBorders>
              <w:top w:val="nil"/>
              <w:left w:val="single" w:sz="4" w:space="0" w:color="auto"/>
              <w:bottom w:val="nil"/>
              <w:right w:val="double" w:sz="6" w:space="0" w:color="auto"/>
            </w:tcBorders>
            <w:shd w:val="clear" w:color="000000" w:fill="FFFFFF"/>
            <w:noWrap/>
            <w:vAlign w:val="bottom"/>
            <w:hideMark/>
          </w:tcPr>
          <w:p w14:paraId="5476BA89" w14:textId="77777777" w:rsidR="005B6BB0" w:rsidRPr="00D14CD7" w:rsidRDefault="005B6BB0" w:rsidP="00286339">
            <w:pPr>
              <w:spacing w:after="0" w:line="240" w:lineRule="auto"/>
              <w:jc w:val="right"/>
              <w:rPr>
                <w:rFonts w:eastAsia="Times New Roman"/>
                <w:color w:val="000000" w:themeColor="text1"/>
                <w:sz w:val="22"/>
                <w:szCs w:val="22"/>
              </w:rPr>
            </w:pPr>
            <w:r w:rsidRPr="00D14CD7">
              <w:rPr>
                <w:rFonts w:eastAsia="Times New Roman"/>
                <w:color w:val="000000" w:themeColor="text1"/>
                <w:sz w:val="22"/>
                <w:szCs w:val="22"/>
              </w:rPr>
              <w:t>36.3</w:t>
            </w:r>
          </w:p>
        </w:tc>
        <w:tc>
          <w:tcPr>
            <w:tcW w:w="1942" w:type="pct"/>
            <w:tcBorders>
              <w:top w:val="nil"/>
              <w:left w:val="nil"/>
              <w:bottom w:val="nil"/>
              <w:right w:val="double" w:sz="4" w:space="0" w:color="auto"/>
            </w:tcBorders>
            <w:shd w:val="clear" w:color="000000" w:fill="FFFFFF"/>
            <w:noWrap/>
            <w:vAlign w:val="bottom"/>
            <w:hideMark/>
          </w:tcPr>
          <w:p w14:paraId="69DF0570" w14:textId="30119B89" w:rsidR="005B6BB0" w:rsidRPr="00D14CD7" w:rsidRDefault="005B6BB0" w:rsidP="00286339">
            <w:pPr>
              <w:spacing w:after="0" w:line="240" w:lineRule="auto"/>
              <w:ind w:firstLine="173"/>
              <w:jc w:val="left"/>
              <w:rPr>
                <w:rFonts w:eastAsia="Times New Roman"/>
                <w:color w:val="000000" w:themeColor="text1"/>
                <w:sz w:val="22"/>
                <w:szCs w:val="22"/>
              </w:rPr>
            </w:pPr>
            <w:r w:rsidRPr="00D14CD7">
              <w:rPr>
                <w:rFonts w:eastAsia="Times New Roman"/>
                <w:color w:val="000000" w:themeColor="text1"/>
                <w:sz w:val="22"/>
                <w:szCs w:val="22"/>
              </w:rPr>
              <w:t xml:space="preserve">Single </w:t>
            </w:r>
            <w:r w:rsidR="00306BFA">
              <w:rPr>
                <w:rFonts w:eastAsia="Times New Roman"/>
                <w:color w:val="000000" w:themeColor="text1"/>
                <w:sz w:val="22"/>
                <w:szCs w:val="22"/>
              </w:rPr>
              <w:t>m</w:t>
            </w:r>
            <w:r w:rsidRPr="00D14CD7">
              <w:rPr>
                <w:rFonts w:eastAsia="Times New Roman"/>
                <w:color w:val="000000" w:themeColor="text1"/>
                <w:sz w:val="22"/>
                <w:szCs w:val="22"/>
              </w:rPr>
              <w:t>ale</w:t>
            </w:r>
          </w:p>
        </w:tc>
        <w:tc>
          <w:tcPr>
            <w:tcW w:w="322" w:type="pct"/>
            <w:tcBorders>
              <w:top w:val="nil"/>
              <w:left w:val="double" w:sz="4" w:space="0" w:color="auto"/>
              <w:bottom w:val="nil"/>
              <w:right w:val="nil"/>
            </w:tcBorders>
            <w:shd w:val="clear" w:color="000000" w:fill="FFFFFF"/>
            <w:noWrap/>
            <w:vAlign w:val="bottom"/>
          </w:tcPr>
          <w:p w14:paraId="2BE09A91" w14:textId="77777777" w:rsidR="005B6BB0" w:rsidRPr="00D14CD7" w:rsidRDefault="005B6BB0" w:rsidP="00286339">
            <w:pPr>
              <w:spacing w:after="0" w:line="240" w:lineRule="auto"/>
              <w:jc w:val="right"/>
              <w:rPr>
                <w:rFonts w:eastAsia="Times New Roman"/>
                <w:color w:val="000000" w:themeColor="text1"/>
                <w:sz w:val="22"/>
                <w:szCs w:val="22"/>
              </w:rPr>
            </w:pPr>
            <w:r w:rsidRPr="00D14CD7">
              <w:rPr>
                <w:rFonts w:eastAsia="Times New Roman"/>
                <w:color w:val="000000" w:themeColor="text1"/>
                <w:sz w:val="22"/>
                <w:szCs w:val="22"/>
              </w:rPr>
              <w:t>84</w:t>
            </w:r>
          </w:p>
        </w:tc>
        <w:tc>
          <w:tcPr>
            <w:tcW w:w="233" w:type="pct"/>
            <w:tcBorders>
              <w:top w:val="nil"/>
              <w:left w:val="nil"/>
              <w:bottom w:val="nil"/>
              <w:right w:val="single" w:sz="4" w:space="0" w:color="auto"/>
            </w:tcBorders>
            <w:shd w:val="clear" w:color="000000" w:fill="FFFFFF"/>
            <w:noWrap/>
            <w:vAlign w:val="bottom"/>
          </w:tcPr>
          <w:p w14:paraId="62967056" w14:textId="77777777" w:rsidR="005B6BB0" w:rsidRPr="00D14CD7" w:rsidRDefault="005B6BB0" w:rsidP="00286339">
            <w:pPr>
              <w:spacing w:after="0" w:line="240" w:lineRule="auto"/>
              <w:jc w:val="right"/>
              <w:rPr>
                <w:rFonts w:eastAsia="Times New Roman"/>
                <w:color w:val="000000" w:themeColor="text1"/>
                <w:sz w:val="22"/>
                <w:szCs w:val="22"/>
              </w:rPr>
            </w:pPr>
            <w:r w:rsidRPr="00D14CD7">
              <w:rPr>
                <w:rFonts w:eastAsia="Times New Roman"/>
                <w:color w:val="000000" w:themeColor="text1"/>
                <w:sz w:val="22"/>
                <w:szCs w:val="22"/>
              </w:rPr>
              <w:t>7.7</w:t>
            </w:r>
          </w:p>
        </w:tc>
        <w:tc>
          <w:tcPr>
            <w:tcW w:w="297" w:type="pct"/>
            <w:tcBorders>
              <w:top w:val="nil"/>
              <w:left w:val="single" w:sz="4" w:space="0" w:color="auto"/>
              <w:bottom w:val="nil"/>
              <w:right w:val="double" w:sz="6" w:space="0" w:color="auto"/>
            </w:tcBorders>
            <w:shd w:val="clear" w:color="000000" w:fill="FFFFFF"/>
            <w:noWrap/>
            <w:vAlign w:val="bottom"/>
            <w:hideMark/>
          </w:tcPr>
          <w:p w14:paraId="40606DE8" w14:textId="77777777" w:rsidR="005B6BB0" w:rsidRPr="00D14CD7" w:rsidRDefault="005B6BB0" w:rsidP="00286339">
            <w:pPr>
              <w:spacing w:after="0" w:line="240" w:lineRule="auto"/>
              <w:jc w:val="right"/>
              <w:rPr>
                <w:rFonts w:eastAsia="Times New Roman"/>
                <w:color w:val="000000" w:themeColor="text1"/>
                <w:sz w:val="22"/>
                <w:szCs w:val="22"/>
              </w:rPr>
            </w:pPr>
            <w:r w:rsidRPr="00D14CD7">
              <w:rPr>
                <w:rFonts w:eastAsia="Times New Roman"/>
                <w:color w:val="000000" w:themeColor="text1"/>
                <w:sz w:val="22"/>
                <w:szCs w:val="22"/>
              </w:rPr>
              <w:t>13.3</w:t>
            </w:r>
          </w:p>
        </w:tc>
      </w:tr>
      <w:tr w:rsidR="00D14CD7" w:rsidRPr="00D14CD7" w14:paraId="417ABA39" w14:textId="77777777" w:rsidTr="005736F5">
        <w:trPr>
          <w:trHeight w:val="288"/>
        </w:trPr>
        <w:tc>
          <w:tcPr>
            <w:tcW w:w="1235" w:type="pct"/>
            <w:tcBorders>
              <w:top w:val="nil"/>
              <w:left w:val="double" w:sz="6" w:space="0" w:color="auto"/>
              <w:bottom w:val="nil"/>
              <w:right w:val="double" w:sz="4" w:space="0" w:color="auto"/>
            </w:tcBorders>
            <w:shd w:val="clear" w:color="000000" w:fill="FFFFFF"/>
            <w:noWrap/>
            <w:vAlign w:val="bottom"/>
            <w:hideMark/>
          </w:tcPr>
          <w:p w14:paraId="1AC44029" w14:textId="77777777" w:rsidR="005B6BB0" w:rsidRPr="00D14CD7" w:rsidRDefault="005B6BB0" w:rsidP="00286339">
            <w:pPr>
              <w:spacing w:after="0" w:line="240" w:lineRule="auto"/>
              <w:ind w:firstLine="139"/>
              <w:jc w:val="left"/>
              <w:rPr>
                <w:rFonts w:eastAsia="Times New Roman"/>
                <w:color w:val="000000" w:themeColor="text1"/>
                <w:sz w:val="22"/>
                <w:szCs w:val="22"/>
              </w:rPr>
            </w:pPr>
            <w:r w:rsidRPr="00D14CD7">
              <w:rPr>
                <w:rFonts w:eastAsia="Times New Roman"/>
                <w:color w:val="000000" w:themeColor="text1"/>
                <w:sz w:val="22"/>
                <w:szCs w:val="22"/>
              </w:rPr>
              <w:t>50 to 64</w:t>
            </w:r>
          </w:p>
        </w:tc>
        <w:tc>
          <w:tcPr>
            <w:tcW w:w="441" w:type="pct"/>
            <w:tcBorders>
              <w:top w:val="nil"/>
              <w:left w:val="double" w:sz="4" w:space="0" w:color="auto"/>
              <w:bottom w:val="nil"/>
              <w:right w:val="nil"/>
            </w:tcBorders>
            <w:shd w:val="clear" w:color="000000" w:fill="FFFFFF"/>
            <w:noWrap/>
            <w:vAlign w:val="bottom"/>
            <w:hideMark/>
          </w:tcPr>
          <w:p w14:paraId="75DE373D" w14:textId="77777777" w:rsidR="005B6BB0" w:rsidRPr="00D14CD7" w:rsidRDefault="005B6BB0" w:rsidP="00286339">
            <w:pPr>
              <w:spacing w:after="0" w:line="240" w:lineRule="auto"/>
              <w:jc w:val="right"/>
              <w:rPr>
                <w:rFonts w:eastAsia="Times New Roman"/>
                <w:color w:val="000000" w:themeColor="text1"/>
                <w:sz w:val="22"/>
                <w:szCs w:val="22"/>
              </w:rPr>
            </w:pPr>
            <w:r w:rsidRPr="00D14CD7">
              <w:rPr>
                <w:rFonts w:eastAsia="Times New Roman"/>
                <w:color w:val="000000" w:themeColor="text1"/>
                <w:sz w:val="22"/>
                <w:szCs w:val="22"/>
              </w:rPr>
              <w:t>408</w:t>
            </w:r>
          </w:p>
        </w:tc>
        <w:tc>
          <w:tcPr>
            <w:tcW w:w="233" w:type="pct"/>
            <w:tcBorders>
              <w:top w:val="nil"/>
              <w:left w:val="nil"/>
              <w:bottom w:val="nil"/>
              <w:right w:val="single" w:sz="4" w:space="0" w:color="auto"/>
            </w:tcBorders>
            <w:shd w:val="clear" w:color="000000" w:fill="FFFFFF"/>
            <w:noWrap/>
            <w:vAlign w:val="bottom"/>
            <w:hideMark/>
          </w:tcPr>
          <w:p w14:paraId="68FA10E6" w14:textId="77777777" w:rsidR="005B6BB0" w:rsidRPr="00D14CD7" w:rsidRDefault="005B6BB0" w:rsidP="00286339">
            <w:pPr>
              <w:spacing w:after="0" w:line="240" w:lineRule="auto"/>
              <w:jc w:val="right"/>
              <w:rPr>
                <w:rFonts w:eastAsia="Times New Roman"/>
                <w:color w:val="000000" w:themeColor="text1"/>
                <w:sz w:val="22"/>
                <w:szCs w:val="22"/>
              </w:rPr>
            </w:pPr>
            <w:r w:rsidRPr="00D14CD7">
              <w:rPr>
                <w:rFonts w:eastAsia="Times New Roman"/>
                <w:color w:val="000000" w:themeColor="text1"/>
                <w:sz w:val="22"/>
                <w:szCs w:val="22"/>
              </w:rPr>
              <w:t>37.4</w:t>
            </w:r>
          </w:p>
        </w:tc>
        <w:tc>
          <w:tcPr>
            <w:tcW w:w="297" w:type="pct"/>
            <w:tcBorders>
              <w:top w:val="nil"/>
              <w:left w:val="single" w:sz="4" w:space="0" w:color="auto"/>
              <w:bottom w:val="nil"/>
              <w:right w:val="double" w:sz="6" w:space="0" w:color="auto"/>
            </w:tcBorders>
            <w:shd w:val="clear" w:color="000000" w:fill="FFFFFF"/>
            <w:noWrap/>
            <w:vAlign w:val="bottom"/>
            <w:hideMark/>
          </w:tcPr>
          <w:p w14:paraId="5C673D91" w14:textId="77777777" w:rsidR="005B6BB0" w:rsidRPr="00D14CD7" w:rsidRDefault="005B6BB0" w:rsidP="00286339">
            <w:pPr>
              <w:spacing w:after="0" w:line="240" w:lineRule="auto"/>
              <w:jc w:val="right"/>
              <w:rPr>
                <w:rFonts w:eastAsia="Times New Roman"/>
                <w:color w:val="000000" w:themeColor="text1"/>
                <w:sz w:val="22"/>
                <w:szCs w:val="22"/>
              </w:rPr>
            </w:pPr>
            <w:r w:rsidRPr="00D14CD7">
              <w:rPr>
                <w:rFonts w:eastAsia="Times New Roman"/>
                <w:color w:val="000000" w:themeColor="text1"/>
                <w:sz w:val="22"/>
                <w:szCs w:val="22"/>
              </w:rPr>
              <w:t>15.8</w:t>
            </w:r>
          </w:p>
        </w:tc>
        <w:tc>
          <w:tcPr>
            <w:tcW w:w="1942" w:type="pct"/>
            <w:tcBorders>
              <w:top w:val="nil"/>
              <w:left w:val="nil"/>
              <w:bottom w:val="nil"/>
              <w:right w:val="double" w:sz="4" w:space="0" w:color="auto"/>
            </w:tcBorders>
            <w:shd w:val="clear" w:color="000000" w:fill="FFFFFF"/>
            <w:noWrap/>
            <w:vAlign w:val="bottom"/>
            <w:hideMark/>
          </w:tcPr>
          <w:p w14:paraId="7FB1C0BC" w14:textId="4C8D469C" w:rsidR="005B6BB0" w:rsidRPr="00D14CD7" w:rsidRDefault="005B6BB0" w:rsidP="00286339">
            <w:pPr>
              <w:spacing w:after="0" w:line="240" w:lineRule="auto"/>
              <w:ind w:firstLine="173"/>
              <w:jc w:val="left"/>
              <w:rPr>
                <w:rFonts w:eastAsia="Times New Roman"/>
                <w:color w:val="000000" w:themeColor="text1"/>
                <w:sz w:val="22"/>
                <w:szCs w:val="22"/>
              </w:rPr>
            </w:pPr>
            <w:r w:rsidRPr="00D14CD7">
              <w:rPr>
                <w:rFonts w:eastAsia="Times New Roman"/>
                <w:color w:val="000000" w:themeColor="text1"/>
                <w:sz w:val="22"/>
                <w:szCs w:val="22"/>
              </w:rPr>
              <w:t xml:space="preserve">Single </w:t>
            </w:r>
            <w:r w:rsidR="00306BFA">
              <w:rPr>
                <w:rFonts w:eastAsia="Times New Roman"/>
                <w:color w:val="000000" w:themeColor="text1"/>
                <w:sz w:val="22"/>
                <w:szCs w:val="22"/>
              </w:rPr>
              <w:t>f</w:t>
            </w:r>
            <w:r w:rsidRPr="00D14CD7">
              <w:rPr>
                <w:rFonts w:eastAsia="Times New Roman"/>
                <w:color w:val="000000" w:themeColor="text1"/>
                <w:sz w:val="22"/>
                <w:szCs w:val="22"/>
              </w:rPr>
              <w:t>emale</w:t>
            </w:r>
          </w:p>
        </w:tc>
        <w:tc>
          <w:tcPr>
            <w:tcW w:w="322" w:type="pct"/>
            <w:tcBorders>
              <w:top w:val="nil"/>
              <w:left w:val="double" w:sz="4" w:space="0" w:color="auto"/>
              <w:bottom w:val="nil"/>
              <w:right w:val="nil"/>
            </w:tcBorders>
            <w:shd w:val="clear" w:color="000000" w:fill="FFFFFF"/>
            <w:noWrap/>
            <w:vAlign w:val="bottom"/>
          </w:tcPr>
          <w:p w14:paraId="613BDD10" w14:textId="77777777" w:rsidR="005B6BB0" w:rsidRPr="00D14CD7" w:rsidRDefault="005B6BB0" w:rsidP="00286339">
            <w:pPr>
              <w:spacing w:after="0" w:line="240" w:lineRule="auto"/>
              <w:jc w:val="right"/>
              <w:rPr>
                <w:rFonts w:eastAsia="Times New Roman"/>
                <w:color w:val="000000" w:themeColor="text1"/>
                <w:sz w:val="22"/>
                <w:szCs w:val="22"/>
              </w:rPr>
            </w:pPr>
            <w:r w:rsidRPr="00D14CD7">
              <w:rPr>
                <w:rFonts w:eastAsia="Times New Roman"/>
                <w:color w:val="000000" w:themeColor="text1"/>
                <w:sz w:val="22"/>
                <w:szCs w:val="22"/>
              </w:rPr>
              <w:t>147</w:t>
            </w:r>
          </w:p>
        </w:tc>
        <w:tc>
          <w:tcPr>
            <w:tcW w:w="233" w:type="pct"/>
            <w:tcBorders>
              <w:top w:val="nil"/>
              <w:left w:val="nil"/>
              <w:bottom w:val="nil"/>
              <w:right w:val="single" w:sz="4" w:space="0" w:color="auto"/>
            </w:tcBorders>
            <w:shd w:val="clear" w:color="000000" w:fill="FFFFFF"/>
            <w:noWrap/>
            <w:vAlign w:val="bottom"/>
          </w:tcPr>
          <w:p w14:paraId="509C96E3" w14:textId="77777777" w:rsidR="005B6BB0" w:rsidRPr="00D14CD7" w:rsidRDefault="005B6BB0" w:rsidP="00286339">
            <w:pPr>
              <w:spacing w:after="0" w:line="240" w:lineRule="auto"/>
              <w:jc w:val="right"/>
              <w:rPr>
                <w:rFonts w:eastAsia="Times New Roman"/>
                <w:color w:val="000000" w:themeColor="text1"/>
                <w:sz w:val="22"/>
                <w:szCs w:val="22"/>
              </w:rPr>
            </w:pPr>
            <w:r w:rsidRPr="00D14CD7">
              <w:rPr>
                <w:rFonts w:eastAsia="Times New Roman"/>
                <w:color w:val="000000" w:themeColor="text1"/>
                <w:sz w:val="22"/>
                <w:szCs w:val="22"/>
              </w:rPr>
              <w:t>13.4</w:t>
            </w:r>
          </w:p>
        </w:tc>
        <w:tc>
          <w:tcPr>
            <w:tcW w:w="297" w:type="pct"/>
            <w:tcBorders>
              <w:top w:val="nil"/>
              <w:left w:val="single" w:sz="4" w:space="0" w:color="auto"/>
              <w:bottom w:val="nil"/>
              <w:right w:val="double" w:sz="6" w:space="0" w:color="auto"/>
            </w:tcBorders>
            <w:shd w:val="clear" w:color="000000" w:fill="FFFFFF"/>
            <w:noWrap/>
            <w:vAlign w:val="bottom"/>
            <w:hideMark/>
          </w:tcPr>
          <w:p w14:paraId="225567C5" w14:textId="77777777" w:rsidR="005B6BB0" w:rsidRPr="00D14CD7" w:rsidRDefault="005B6BB0" w:rsidP="00286339">
            <w:pPr>
              <w:spacing w:after="0" w:line="240" w:lineRule="auto"/>
              <w:jc w:val="right"/>
              <w:rPr>
                <w:rFonts w:eastAsia="Times New Roman"/>
                <w:color w:val="000000" w:themeColor="text1"/>
                <w:sz w:val="22"/>
                <w:szCs w:val="22"/>
              </w:rPr>
            </w:pPr>
            <w:r w:rsidRPr="00D14CD7">
              <w:rPr>
                <w:rFonts w:eastAsia="Times New Roman"/>
                <w:color w:val="000000" w:themeColor="text1"/>
                <w:sz w:val="22"/>
                <w:szCs w:val="22"/>
              </w:rPr>
              <w:t>19.6</w:t>
            </w:r>
          </w:p>
        </w:tc>
      </w:tr>
      <w:tr w:rsidR="00D14CD7" w:rsidRPr="00D14CD7" w14:paraId="7CE53A22" w14:textId="77777777" w:rsidTr="005736F5">
        <w:trPr>
          <w:trHeight w:val="288"/>
        </w:trPr>
        <w:tc>
          <w:tcPr>
            <w:tcW w:w="1235" w:type="pct"/>
            <w:tcBorders>
              <w:top w:val="nil"/>
              <w:left w:val="double" w:sz="6" w:space="0" w:color="auto"/>
              <w:bottom w:val="single" w:sz="4" w:space="0" w:color="auto"/>
              <w:right w:val="double" w:sz="4" w:space="0" w:color="auto"/>
            </w:tcBorders>
            <w:shd w:val="clear" w:color="000000" w:fill="FFFFFF"/>
            <w:noWrap/>
            <w:vAlign w:val="bottom"/>
            <w:hideMark/>
          </w:tcPr>
          <w:p w14:paraId="1C46E564" w14:textId="77777777" w:rsidR="005B6BB0" w:rsidRPr="00D14CD7" w:rsidRDefault="005B6BB0" w:rsidP="00286339">
            <w:pPr>
              <w:spacing w:after="0" w:line="240" w:lineRule="auto"/>
              <w:ind w:firstLine="139"/>
              <w:jc w:val="left"/>
              <w:rPr>
                <w:rFonts w:eastAsia="Times New Roman"/>
                <w:color w:val="000000" w:themeColor="text1"/>
                <w:sz w:val="22"/>
                <w:szCs w:val="22"/>
              </w:rPr>
            </w:pPr>
            <w:r w:rsidRPr="00D14CD7">
              <w:rPr>
                <w:rFonts w:eastAsia="Times New Roman"/>
                <w:color w:val="000000" w:themeColor="text1"/>
                <w:sz w:val="22"/>
                <w:szCs w:val="22"/>
              </w:rPr>
              <w:t>65 or more</w:t>
            </w:r>
          </w:p>
        </w:tc>
        <w:tc>
          <w:tcPr>
            <w:tcW w:w="441" w:type="pct"/>
            <w:tcBorders>
              <w:top w:val="nil"/>
              <w:left w:val="double" w:sz="4" w:space="0" w:color="auto"/>
              <w:bottom w:val="single" w:sz="4" w:space="0" w:color="auto"/>
              <w:right w:val="nil"/>
            </w:tcBorders>
            <w:shd w:val="clear" w:color="000000" w:fill="FFFFFF"/>
            <w:noWrap/>
            <w:vAlign w:val="bottom"/>
            <w:hideMark/>
          </w:tcPr>
          <w:p w14:paraId="66DAE825" w14:textId="77777777" w:rsidR="005B6BB0" w:rsidRPr="00D14CD7" w:rsidRDefault="005B6BB0" w:rsidP="00286339">
            <w:pPr>
              <w:spacing w:after="0" w:line="240" w:lineRule="auto"/>
              <w:jc w:val="right"/>
              <w:rPr>
                <w:rFonts w:eastAsia="Times New Roman"/>
                <w:color w:val="000000" w:themeColor="text1"/>
                <w:sz w:val="22"/>
                <w:szCs w:val="22"/>
              </w:rPr>
            </w:pPr>
            <w:r w:rsidRPr="00D14CD7">
              <w:rPr>
                <w:rFonts w:eastAsia="Times New Roman"/>
                <w:color w:val="000000" w:themeColor="text1"/>
                <w:sz w:val="22"/>
                <w:szCs w:val="22"/>
              </w:rPr>
              <w:t>267</w:t>
            </w:r>
          </w:p>
        </w:tc>
        <w:tc>
          <w:tcPr>
            <w:tcW w:w="233" w:type="pct"/>
            <w:tcBorders>
              <w:top w:val="nil"/>
              <w:left w:val="nil"/>
              <w:bottom w:val="single" w:sz="4" w:space="0" w:color="auto"/>
              <w:right w:val="single" w:sz="4" w:space="0" w:color="auto"/>
            </w:tcBorders>
            <w:shd w:val="clear" w:color="000000" w:fill="FFFFFF"/>
            <w:noWrap/>
            <w:vAlign w:val="bottom"/>
            <w:hideMark/>
          </w:tcPr>
          <w:p w14:paraId="7708C3D5" w14:textId="77777777" w:rsidR="005B6BB0" w:rsidRPr="00D14CD7" w:rsidRDefault="005B6BB0" w:rsidP="00286339">
            <w:pPr>
              <w:spacing w:after="0" w:line="240" w:lineRule="auto"/>
              <w:jc w:val="right"/>
              <w:rPr>
                <w:rFonts w:eastAsia="Times New Roman"/>
                <w:color w:val="000000" w:themeColor="text1"/>
                <w:sz w:val="22"/>
                <w:szCs w:val="22"/>
              </w:rPr>
            </w:pPr>
            <w:r w:rsidRPr="00D14CD7">
              <w:rPr>
                <w:rFonts w:eastAsia="Times New Roman"/>
                <w:color w:val="000000" w:themeColor="text1"/>
                <w:sz w:val="22"/>
                <w:szCs w:val="22"/>
              </w:rPr>
              <w:t>24.4</w:t>
            </w:r>
          </w:p>
        </w:tc>
        <w:tc>
          <w:tcPr>
            <w:tcW w:w="297" w:type="pct"/>
            <w:tcBorders>
              <w:top w:val="nil"/>
              <w:left w:val="single" w:sz="4" w:space="0" w:color="auto"/>
              <w:bottom w:val="single" w:sz="4" w:space="0" w:color="auto"/>
              <w:right w:val="double" w:sz="6" w:space="0" w:color="auto"/>
            </w:tcBorders>
            <w:shd w:val="clear" w:color="000000" w:fill="FFFFFF"/>
            <w:noWrap/>
            <w:vAlign w:val="bottom"/>
            <w:hideMark/>
          </w:tcPr>
          <w:p w14:paraId="264DADE7" w14:textId="77777777" w:rsidR="005B6BB0" w:rsidRPr="00D14CD7" w:rsidRDefault="005B6BB0" w:rsidP="00286339">
            <w:pPr>
              <w:spacing w:after="0" w:line="240" w:lineRule="auto"/>
              <w:jc w:val="right"/>
              <w:rPr>
                <w:rFonts w:eastAsia="Times New Roman"/>
                <w:color w:val="000000" w:themeColor="text1"/>
                <w:sz w:val="22"/>
                <w:szCs w:val="22"/>
              </w:rPr>
            </w:pPr>
            <w:r w:rsidRPr="00D14CD7">
              <w:rPr>
                <w:rFonts w:eastAsia="Times New Roman"/>
                <w:color w:val="000000" w:themeColor="text1"/>
                <w:sz w:val="22"/>
                <w:szCs w:val="22"/>
              </w:rPr>
              <w:t>18.0</w:t>
            </w:r>
          </w:p>
        </w:tc>
        <w:tc>
          <w:tcPr>
            <w:tcW w:w="1942" w:type="pct"/>
            <w:tcBorders>
              <w:top w:val="nil"/>
              <w:left w:val="nil"/>
              <w:bottom w:val="nil"/>
              <w:right w:val="double" w:sz="4" w:space="0" w:color="auto"/>
            </w:tcBorders>
            <w:shd w:val="clear" w:color="000000" w:fill="FFFFFF"/>
            <w:noWrap/>
            <w:vAlign w:val="bottom"/>
            <w:hideMark/>
          </w:tcPr>
          <w:p w14:paraId="0D154393" w14:textId="77777777" w:rsidR="005B6BB0" w:rsidRPr="00D14CD7" w:rsidRDefault="005B6BB0" w:rsidP="00286339">
            <w:pPr>
              <w:spacing w:after="0" w:line="240" w:lineRule="auto"/>
              <w:ind w:firstLine="173"/>
              <w:jc w:val="left"/>
              <w:rPr>
                <w:rFonts w:eastAsia="Times New Roman"/>
                <w:color w:val="000000" w:themeColor="text1"/>
                <w:sz w:val="22"/>
                <w:szCs w:val="22"/>
              </w:rPr>
            </w:pPr>
            <w:r w:rsidRPr="00D14CD7">
              <w:rPr>
                <w:rFonts w:eastAsia="Times New Roman"/>
                <w:color w:val="000000" w:themeColor="text1"/>
                <w:sz w:val="22"/>
                <w:szCs w:val="22"/>
              </w:rPr>
              <w:t>Couples without children</w:t>
            </w:r>
          </w:p>
        </w:tc>
        <w:tc>
          <w:tcPr>
            <w:tcW w:w="322" w:type="pct"/>
            <w:tcBorders>
              <w:top w:val="nil"/>
              <w:left w:val="double" w:sz="4" w:space="0" w:color="auto"/>
              <w:bottom w:val="nil"/>
              <w:right w:val="nil"/>
            </w:tcBorders>
            <w:shd w:val="clear" w:color="000000" w:fill="FFFFFF"/>
            <w:noWrap/>
            <w:vAlign w:val="bottom"/>
            <w:hideMark/>
          </w:tcPr>
          <w:p w14:paraId="03CE0AEA" w14:textId="77777777" w:rsidR="005B6BB0" w:rsidRPr="00D14CD7" w:rsidRDefault="005B6BB0" w:rsidP="00286339">
            <w:pPr>
              <w:spacing w:after="0" w:line="240" w:lineRule="auto"/>
              <w:jc w:val="right"/>
              <w:rPr>
                <w:rFonts w:eastAsia="Times New Roman"/>
                <w:color w:val="000000" w:themeColor="text1"/>
                <w:sz w:val="22"/>
                <w:szCs w:val="22"/>
              </w:rPr>
            </w:pPr>
            <w:r w:rsidRPr="00D14CD7">
              <w:rPr>
                <w:rFonts w:eastAsia="Times New Roman"/>
                <w:color w:val="000000" w:themeColor="text1"/>
                <w:sz w:val="22"/>
                <w:szCs w:val="22"/>
              </w:rPr>
              <w:t> 549</w:t>
            </w:r>
          </w:p>
        </w:tc>
        <w:tc>
          <w:tcPr>
            <w:tcW w:w="233" w:type="pct"/>
            <w:tcBorders>
              <w:top w:val="nil"/>
              <w:left w:val="nil"/>
              <w:bottom w:val="nil"/>
              <w:right w:val="single" w:sz="4" w:space="0" w:color="auto"/>
            </w:tcBorders>
            <w:shd w:val="clear" w:color="000000" w:fill="FFFFFF"/>
            <w:noWrap/>
            <w:vAlign w:val="bottom"/>
            <w:hideMark/>
          </w:tcPr>
          <w:p w14:paraId="12856271" w14:textId="77777777" w:rsidR="005B6BB0" w:rsidRPr="00D14CD7" w:rsidRDefault="005B6BB0" w:rsidP="00286339">
            <w:pPr>
              <w:spacing w:after="0" w:line="240" w:lineRule="auto"/>
              <w:jc w:val="right"/>
              <w:rPr>
                <w:rFonts w:eastAsia="Times New Roman"/>
                <w:color w:val="000000" w:themeColor="text1"/>
                <w:sz w:val="22"/>
                <w:szCs w:val="22"/>
              </w:rPr>
            </w:pPr>
            <w:r w:rsidRPr="00D14CD7">
              <w:rPr>
                <w:rFonts w:eastAsia="Times New Roman"/>
                <w:color w:val="000000" w:themeColor="text1"/>
                <w:sz w:val="22"/>
                <w:szCs w:val="22"/>
              </w:rPr>
              <w:t>50.3</w:t>
            </w:r>
          </w:p>
        </w:tc>
        <w:tc>
          <w:tcPr>
            <w:tcW w:w="297" w:type="pct"/>
            <w:tcBorders>
              <w:top w:val="nil"/>
              <w:left w:val="single" w:sz="4" w:space="0" w:color="auto"/>
              <w:bottom w:val="nil"/>
              <w:right w:val="double" w:sz="6" w:space="0" w:color="auto"/>
            </w:tcBorders>
            <w:shd w:val="clear" w:color="000000" w:fill="FFFFFF"/>
            <w:noWrap/>
            <w:vAlign w:val="bottom"/>
            <w:hideMark/>
          </w:tcPr>
          <w:p w14:paraId="221E3BB4" w14:textId="77777777" w:rsidR="005B6BB0" w:rsidRPr="00D14CD7" w:rsidRDefault="005B6BB0" w:rsidP="00286339">
            <w:pPr>
              <w:spacing w:after="0" w:line="240" w:lineRule="auto"/>
              <w:jc w:val="right"/>
              <w:rPr>
                <w:rFonts w:eastAsia="Times New Roman"/>
                <w:color w:val="000000" w:themeColor="text1"/>
                <w:sz w:val="22"/>
                <w:szCs w:val="22"/>
              </w:rPr>
            </w:pPr>
            <w:r w:rsidRPr="00D14CD7">
              <w:rPr>
                <w:rFonts w:eastAsia="Times New Roman"/>
                <w:color w:val="000000" w:themeColor="text1"/>
                <w:sz w:val="22"/>
                <w:szCs w:val="22"/>
              </w:rPr>
              <w:t>31.2</w:t>
            </w:r>
          </w:p>
        </w:tc>
      </w:tr>
      <w:tr w:rsidR="00D14CD7" w:rsidRPr="00D14CD7" w14:paraId="533253CF" w14:textId="77777777" w:rsidTr="005736F5">
        <w:trPr>
          <w:trHeight w:val="288"/>
        </w:trPr>
        <w:tc>
          <w:tcPr>
            <w:tcW w:w="1235" w:type="pct"/>
            <w:tcBorders>
              <w:top w:val="nil"/>
              <w:left w:val="double" w:sz="6" w:space="0" w:color="auto"/>
              <w:bottom w:val="nil"/>
              <w:right w:val="double" w:sz="4" w:space="0" w:color="auto"/>
            </w:tcBorders>
            <w:shd w:val="clear" w:color="000000" w:fill="FFFFFF"/>
            <w:noWrap/>
            <w:vAlign w:val="bottom"/>
            <w:hideMark/>
          </w:tcPr>
          <w:p w14:paraId="00F43114" w14:textId="77777777" w:rsidR="005B6BB0" w:rsidRPr="00D14CD7" w:rsidRDefault="005B6BB0" w:rsidP="00286339">
            <w:pPr>
              <w:spacing w:after="0" w:line="240" w:lineRule="auto"/>
              <w:jc w:val="left"/>
              <w:rPr>
                <w:rFonts w:eastAsia="Times New Roman"/>
                <w:b/>
                <w:bCs/>
                <w:i/>
                <w:iCs/>
                <w:color w:val="000000" w:themeColor="text1"/>
                <w:sz w:val="22"/>
                <w:szCs w:val="22"/>
              </w:rPr>
            </w:pPr>
            <w:r w:rsidRPr="00D14CD7">
              <w:rPr>
                <w:rFonts w:eastAsia="Times New Roman"/>
                <w:b/>
                <w:bCs/>
                <w:i/>
                <w:iCs/>
                <w:color w:val="000000" w:themeColor="text1"/>
                <w:sz w:val="22"/>
                <w:szCs w:val="22"/>
              </w:rPr>
              <w:t>Race</w:t>
            </w:r>
          </w:p>
        </w:tc>
        <w:tc>
          <w:tcPr>
            <w:tcW w:w="441" w:type="pct"/>
            <w:tcBorders>
              <w:top w:val="nil"/>
              <w:left w:val="double" w:sz="4" w:space="0" w:color="auto"/>
              <w:bottom w:val="nil"/>
              <w:right w:val="nil"/>
            </w:tcBorders>
            <w:shd w:val="clear" w:color="000000" w:fill="FFFFFF"/>
            <w:noWrap/>
            <w:vAlign w:val="bottom"/>
            <w:hideMark/>
          </w:tcPr>
          <w:p w14:paraId="330B7028" w14:textId="77777777" w:rsidR="005B6BB0" w:rsidRPr="00D14CD7" w:rsidRDefault="005B6BB0" w:rsidP="00286339">
            <w:pPr>
              <w:spacing w:after="0" w:line="240" w:lineRule="auto"/>
              <w:jc w:val="left"/>
              <w:rPr>
                <w:rFonts w:eastAsia="Times New Roman"/>
                <w:color w:val="000000" w:themeColor="text1"/>
                <w:sz w:val="22"/>
                <w:szCs w:val="22"/>
              </w:rPr>
            </w:pPr>
            <w:r w:rsidRPr="00D14CD7">
              <w:rPr>
                <w:rFonts w:eastAsia="Times New Roman"/>
                <w:color w:val="000000" w:themeColor="text1"/>
                <w:sz w:val="22"/>
                <w:szCs w:val="22"/>
              </w:rPr>
              <w:t> </w:t>
            </w:r>
          </w:p>
        </w:tc>
        <w:tc>
          <w:tcPr>
            <w:tcW w:w="233" w:type="pct"/>
            <w:tcBorders>
              <w:top w:val="nil"/>
              <w:left w:val="nil"/>
              <w:bottom w:val="nil"/>
              <w:right w:val="single" w:sz="4" w:space="0" w:color="auto"/>
            </w:tcBorders>
            <w:shd w:val="clear" w:color="000000" w:fill="FFFFFF"/>
            <w:noWrap/>
            <w:vAlign w:val="bottom"/>
            <w:hideMark/>
          </w:tcPr>
          <w:p w14:paraId="58DA8898" w14:textId="77777777" w:rsidR="005B6BB0" w:rsidRPr="00D14CD7" w:rsidRDefault="005B6BB0" w:rsidP="00286339">
            <w:pPr>
              <w:spacing w:after="0" w:line="240" w:lineRule="auto"/>
              <w:jc w:val="left"/>
              <w:rPr>
                <w:rFonts w:eastAsia="Times New Roman"/>
                <w:color w:val="000000" w:themeColor="text1"/>
                <w:sz w:val="22"/>
                <w:szCs w:val="22"/>
              </w:rPr>
            </w:pPr>
            <w:r w:rsidRPr="00D14CD7">
              <w:rPr>
                <w:rFonts w:eastAsia="Times New Roman"/>
                <w:color w:val="000000" w:themeColor="text1"/>
                <w:sz w:val="22"/>
                <w:szCs w:val="22"/>
              </w:rPr>
              <w:t> </w:t>
            </w:r>
          </w:p>
        </w:tc>
        <w:tc>
          <w:tcPr>
            <w:tcW w:w="297" w:type="pct"/>
            <w:tcBorders>
              <w:top w:val="nil"/>
              <w:left w:val="single" w:sz="4" w:space="0" w:color="auto"/>
              <w:bottom w:val="nil"/>
              <w:right w:val="double" w:sz="6" w:space="0" w:color="auto"/>
            </w:tcBorders>
            <w:shd w:val="clear" w:color="000000" w:fill="FFFFFF"/>
            <w:noWrap/>
            <w:vAlign w:val="bottom"/>
            <w:hideMark/>
          </w:tcPr>
          <w:p w14:paraId="52B7214C" w14:textId="77777777" w:rsidR="005B6BB0" w:rsidRPr="00D14CD7" w:rsidRDefault="005B6BB0" w:rsidP="00286339">
            <w:pPr>
              <w:spacing w:after="0" w:line="240" w:lineRule="auto"/>
              <w:jc w:val="left"/>
              <w:rPr>
                <w:rFonts w:eastAsia="Times New Roman"/>
                <w:color w:val="000000" w:themeColor="text1"/>
                <w:sz w:val="22"/>
                <w:szCs w:val="22"/>
              </w:rPr>
            </w:pPr>
            <w:r w:rsidRPr="00D14CD7">
              <w:rPr>
                <w:rFonts w:eastAsia="Times New Roman"/>
                <w:color w:val="000000" w:themeColor="text1"/>
                <w:sz w:val="22"/>
                <w:szCs w:val="22"/>
              </w:rPr>
              <w:t> </w:t>
            </w:r>
          </w:p>
        </w:tc>
        <w:tc>
          <w:tcPr>
            <w:tcW w:w="1942" w:type="pct"/>
            <w:tcBorders>
              <w:top w:val="nil"/>
              <w:left w:val="nil"/>
              <w:bottom w:val="nil"/>
              <w:right w:val="double" w:sz="4" w:space="0" w:color="auto"/>
            </w:tcBorders>
            <w:shd w:val="clear" w:color="000000" w:fill="FFFFFF"/>
            <w:noWrap/>
            <w:vAlign w:val="bottom"/>
            <w:hideMark/>
          </w:tcPr>
          <w:p w14:paraId="56853C52" w14:textId="77777777" w:rsidR="005B6BB0" w:rsidRPr="00D14CD7" w:rsidRDefault="005B6BB0" w:rsidP="00286339">
            <w:pPr>
              <w:spacing w:after="0" w:line="240" w:lineRule="auto"/>
              <w:ind w:firstLine="173"/>
              <w:jc w:val="left"/>
              <w:rPr>
                <w:rFonts w:eastAsia="Times New Roman"/>
                <w:color w:val="000000" w:themeColor="text1"/>
                <w:sz w:val="22"/>
                <w:szCs w:val="22"/>
              </w:rPr>
            </w:pPr>
            <w:r w:rsidRPr="00D14CD7">
              <w:rPr>
                <w:rFonts w:eastAsia="Times New Roman"/>
                <w:color w:val="000000" w:themeColor="text1"/>
                <w:sz w:val="22"/>
                <w:szCs w:val="22"/>
              </w:rPr>
              <w:t>Couples with children</w:t>
            </w:r>
          </w:p>
        </w:tc>
        <w:tc>
          <w:tcPr>
            <w:tcW w:w="322" w:type="pct"/>
            <w:tcBorders>
              <w:top w:val="nil"/>
              <w:left w:val="double" w:sz="4" w:space="0" w:color="auto"/>
              <w:bottom w:val="nil"/>
              <w:right w:val="nil"/>
            </w:tcBorders>
            <w:shd w:val="clear" w:color="000000" w:fill="FFFFFF"/>
            <w:noWrap/>
            <w:vAlign w:val="bottom"/>
            <w:hideMark/>
          </w:tcPr>
          <w:p w14:paraId="5067FC37" w14:textId="77777777" w:rsidR="005B6BB0" w:rsidRPr="00D14CD7" w:rsidRDefault="005B6BB0" w:rsidP="00286339">
            <w:pPr>
              <w:spacing w:after="0" w:line="240" w:lineRule="auto"/>
              <w:jc w:val="right"/>
              <w:rPr>
                <w:rFonts w:eastAsia="Times New Roman"/>
                <w:color w:val="000000" w:themeColor="text1"/>
                <w:sz w:val="22"/>
                <w:szCs w:val="22"/>
              </w:rPr>
            </w:pPr>
            <w:r w:rsidRPr="00D14CD7">
              <w:rPr>
                <w:rFonts w:eastAsia="Times New Roman"/>
                <w:color w:val="000000" w:themeColor="text1"/>
                <w:sz w:val="22"/>
                <w:szCs w:val="22"/>
              </w:rPr>
              <w:t>196</w:t>
            </w:r>
          </w:p>
        </w:tc>
        <w:tc>
          <w:tcPr>
            <w:tcW w:w="233" w:type="pct"/>
            <w:tcBorders>
              <w:top w:val="nil"/>
              <w:left w:val="nil"/>
              <w:bottom w:val="nil"/>
              <w:right w:val="single" w:sz="4" w:space="0" w:color="auto"/>
            </w:tcBorders>
            <w:shd w:val="clear" w:color="000000" w:fill="FFFFFF"/>
            <w:noWrap/>
            <w:vAlign w:val="bottom"/>
            <w:hideMark/>
          </w:tcPr>
          <w:p w14:paraId="4043AF6F" w14:textId="77777777" w:rsidR="005B6BB0" w:rsidRPr="00D14CD7" w:rsidRDefault="005B6BB0" w:rsidP="00286339">
            <w:pPr>
              <w:spacing w:after="0" w:line="240" w:lineRule="auto"/>
              <w:jc w:val="right"/>
              <w:rPr>
                <w:rFonts w:eastAsia="Times New Roman"/>
                <w:color w:val="000000" w:themeColor="text1"/>
                <w:sz w:val="22"/>
                <w:szCs w:val="22"/>
              </w:rPr>
            </w:pPr>
            <w:r w:rsidRPr="00D14CD7">
              <w:rPr>
                <w:rFonts w:eastAsia="Times New Roman"/>
                <w:color w:val="000000" w:themeColor="text1"/>
                <w:sz w:val="22"/>
                <w:szCs w:val="22"/>
              </w:rPr>
              <w:t>17.9</w:t>
            </w:r>
          </w:p>
        </w:tc>
        <w:tc>
          <w:tcPr>
            <w:tcW w:w="297" w:type="pct"/>
            <w:tcBorders>
              <w:top w:val="nil"/>
              <w:left w:val="single" w:sz="4" w:space="0" w:color="auto"/>
              <w:bottom w:val="nil"/>
              <w:right w:val="double" w:sz="6" w:space="0" w:color="auto"/>
            </w:tcBorders>
            <w:shd w:val="clear" w:color="000000" w:fill="FFFFFF"/>
            <w:noWrap/>
            <w:vAlign w:val="bottom"/>
            <w:hideMark/>
          </w:tcPr>
          <w:p w14:paraId="7FAE0CE9" w14:textId="77777777" w:rsidR="005B6BB0" w:rsidRPr="00D14CD7" w:rsidRDefault="005B6BB0" w:rsidP="00286339">
            <w:pPr>
              <w:spacing w:after="0" w:line="240" w:lineRule="auto"/>
              <w:jc w:val="right"/>
              <w:rPr>
                <w:rFonts w:eastAsia="Times New Roman"/>
                <w:color w:val="000000" w:themeColor="text1"/>
                <w:sz w:val="22"/>
                <w:szCs w:val="22"/>
              </w:rPr>
            </w:pPr>
            <w:r w:rsidRPr="00D14CD7">
              <w:rPr>
                <w:rFonts w:eastAsia="Times New Roman"/>
                <w:color w:val="000000" w:themeColor="text1"/>
                <w:sz w:val="22"/>
                <w:szCs w:val="22"/>
              </w:rPr>
              <w:t>23.2</w:t>
            </w:r>
          </w:p>
        </w:tc>
      </w:tr>
      <w:tr w:rsidR="00D14CD7" w:rsidRPr="00D14CD7" w14:paraId="3EE4C6A9" w14:textId="77777777" w:rsidTr="005736F5">
        <w:trPr>
          <w:trHeight w:val="288"/>
        </w:trPr>
        <w:tc>
          <w:tcPr>
            <w:tcW w:w="1235" w:type="pct"/>
            <w:tcBorders>
              <w:top w:val="nil"/>
              <w:left w:val="double" w:sz="6" w:space="0" w:color="auto"/>
              <w:bottom w:val="nil"/>
              <w:right w:val="double" w:sz="4" w:space="0" w:color="auto"/>
            </w:tcBorders>
            <w:shd w:val="clear" w:color="000000" w:fill="FFFFFF"/>
            <w:noWrap/>
            <w:vAlign w:val="bottom"/>
            <w:hideMark/>
          </w:tcPr>
          <w:p w14:paraId="4CC60E21" w14:textId="77777777" w:rsidR="005B6BB0" w:rsidRPr="00D14CD7" w:rsidRDefault="005B6BB0" w:rsidP="00286339">
            <w:pPr>
              <w:spacing w:after="0" w:line="240" w:lineRule="auto"/>
              <w:ind w:firstLine="139"/>
              <w:jc w:val="left"/>
              <w:rPr>
                <w:rFonts w:eastAsia="Times New Roman"/>
                <w:color w:val="000000" w:themeColor="text1"/>
                <w:sz w:val="22"/>
                <w:szCs w:val="22"/>
              </w:rPr>
            </w:pPr>
            <w:r w:rsidRPr="00D14CD7">
              <w:rPr>
                <w:rFonts w:eastAsia="Times New Roman"/>
                <w:color w:val="000000" w:themeColor="text1"/>
                <w:sz w:val="22"/>
                <w:szCs w:val="22"/>
              </w:rPr>
              <w:t>White</w:t>
            </w:r>
          </w:p>
        </w:tc>
        <w:tc>
          <w:tcPr>
            <w:tcW w:w="441" w:type="pct"/>
            <w:tcBorders>
              <w:top w:val="nil"/>
              <w:left w:val="double" w:sz="4" w:space="0" w:color="auto"/>
              <w:bottom w:val="nil"/>
              <w:right w:val="nil"/>
            </w:tcBorders>
            <w:shd w:val="clear" w:color="000000" w:fill="FFFFFF"/>
            <w:noWrap/>
            <w:vAlign w:val="bottom"/>
            <w:hideMark/>
          </w:tcPr>
          <w:p w14:paraId="6518F156" w14:textId="77777777" w:rsidR="005B6BB0" w:rsidRPr="00D14CD7" w:rsidRDefault="005B6BB0" w:rsidP="00286339">
            <w:pPr>
              <w:spacing w:after="0" w:line="240" w:lineRule="auto"/>
              <w:jc w:val="right"/>
              <w:rPr>
                <w:rFonts w:eastAsia="Times New Roman"/>
                <w:color w:val="000000" w:themeColor="text1"/>
                <w:sz w:val="22"/>
                <w:szCs w:val="22"/>
              </w:rPr>
            </w:pPr>
            <w:r w:rsidRPr="00D14CD7">
              <w:rPr>
                <w:rFonts w:eastAsia="Times New Roman"/>
                <w:color w:val="000000" w:themeColor="text1"/>
                <w:sz w:val="22"/>
                <w:szCs w:val="22"/>
              </w:rPr>
              <w:t>944</w:t>
            </w:r>
          </w:p>
        </w:tc>
        <w:tc>
          <w:tcPr>
            <w:tcW w:w="233" w:type="pct"/>
            <w:tcBorders>
              <w:top w:val="nil"/>
              <w:left w:val="nil"/>
              <w:bottom w:val="nil"/>
              <w:right w:val="single" w:sz="4" w:space="0" w:color="auto"/>
            </w:tcBorders>
            <w:shd w:val="clear" w:color="000000" w:fill="FFFFFF"/>
            <w:noWrap/>
            <w:vAlign w:val="bottom"/>
            <w:hideMark/>
          </w:tcPr>
          <w:p w14:paraId="08EF58EC" w14:textId="77777777" w:rsidR="005B6BB0" w:rsidRPr="00D14CD7" w:rsidRDefault="005B6BB0" w:rsidP="00286339">
            <w:pPr>
              <w:spacing w:after="0" w:line="240" w:lineRule="auto"/>
              <w:jc w:val="right"/>
              <w:rPr>
                <w:rFonts w:eastAsia="Times New Roman"/>
                <w:color w:val="000000" w:themeColor="text1"/>
                <w:sz w:val="22"/>
                <w:szCs w:val="22"/>
              </w:rPr>
            </w:pPr>
            <w:r w:rsidRPr="00D14CD7">
              <w:rPr>
                <w:rFonts w:eastAsia="Times New Roman"/>
                <w:color w:val="000000" w:themeColor="text1"/>
                <w:sz w:val="22"/>
                <w:szCs w:val="22"/>
              </w:rPr>
              <w:t>86.4</w:t>
            </w:r>
          </w:p>
        </w:tc>
        <w:tc>
          <w:tcPr>
            <w:tcW w:w="297" w:type="pct"/>
            <w:tcBorders>
              <w:top w:val="nil"/>
              <w:left w:val="single" w:sz="4" w:space="0" w:color="auto"/>
              <w:bottom w:val="nil"/>
              <w:right w:val="double" w:sz="6" w:space="0" w:color="auto"/>
            </w:tcBorders>
            <w:shd w:val="clear" w:color="000000" w:fill="FFFFFF"/>
            <w:noWrap/>
            <w:vAlign w:val="bottom"/>
            <w:hideMark/>
          </w:tcPr>
          <w:p w14:paraId="6132FFB1" w14:textId="77777777" w:rsidR="005B6BB0" w:rsidRPr="00D14CD7" w:rsidRDefault="005B6BB0" w:rsidP="00286339">
            <w:pPr>
              <w:spacing w:after="0" w:line="240" w:lineRule="auto"/>
              <w:jc w:val="right"/>
              <w:rPr>
                <w:rFonts w:eastAsia="Times New Roman"/>
                <w:color w:val="000000" w:themeColor="text1"/>
                <w:sz w:val="22"/>
                <w:szCs w:val="22"/>
              </w:rPr>
            </w:pPr>
            <w:r w:rsidRPr="00D14CD7">
              <w:rPr>
                <w:rFonts w:eastAsia="Times New Roman"/>
                <w:color w:val="000000" w:themeColor="text1"/>
                <w:sz w:val="22"/>
                <w:szCs w:val="22"/>
              </w:rPr>
              <w:t>68.6</w:t>
            </w:r>
          </w:p>
        </w:tc>
        <w:tc>
          <w:tcPr>
            <w:tcW w:w="1942" w:type="pct"/>
            <w:tcBorders>
              <w:top w:val="nil"/>
              <w:left w:val="nil"/>
              <w:bottom w:val="nil"/>
              <w:right w:val="double" w:sz="4" w:space="0" w:color="auto"/>
            </w:tcBorders>
            <w:shd w:val="clear" w:color="000000" w:fill="FFFFFF"/>
            <w:noWrap/>
            <w:vAlign w:val="bottom"/>
            <w:hideMark/>
          </w:tcPr>
          <w:p w14:paraId="7C881EB6" w14:textId="77777777" w:rsidR="005B6BB0" w:rsidRPr="00D14CD7" w:rsidRDefault="005B6BB0" w:rsidP="00286339">
            <w:pPr>
              <w:spacing w:after="0" w:line="240" w:lineRule="auto"/>
              <w:ind w:firstLine="173"/>
              <w:jc w:val="left"/>
              <w:rPr>
                <w:rFonts w:eastAsia="Times New Roman"/>
                <w:color w:val="000000" w:themeColor="text1"/>
                <w:sz w:val="22"/>
                <w:szCs w:val="22"/>
              </w:rPr>
            </w:pPr>
            <w:r w:rsidRPr="00D14CD7">
              <w:rPr>
                <w:rFonts w:eastAsia="Times New Roman"/>
                <w:color w:val="000000" w:themeColor="text1"/>
                <w:sz w:val="22"/>
                <w:szCs w:val="22"/>
              </w:rPr>
              <w:t>Multiple related adults</w:t>
            </w:r>
          </w:p>
        </w:tc>
        <w:tc>
          <w:tcPr>
            <w:tcW w:w="322" w:type="pct"/>
            <w:tcBorders>
              <w:top w:val="nil"/>
              <w:left w:val="double" w:sz="4" w:space="0" w:color="auto"/>
              <w:bottom w:val="nil"/>
              <w:right w:val="nil"/>
            </w:tcBorders>
            <w:shd w:val="clear" w:color="000000" w:fill="FFFFFF"/>
            <w:noWrap/>
            <w:vAlign w:val="bottom"/>
            <w:hideMark/>
          </w:tcPr>
          <w:p w14:paraId="0D0F1E29" w14:textId="77777777" w:rsidR="005B6BB0" w:rsidRPr="00D14CD7" w:rsidRDefault="005B6BB0" w:rsidP="00286339">
            <w:pPr>
              <w:spacing w:after="0" w:line="240" w:lineRule="auto"/>
              <w:jc w:val="right"/>
              <w:rPr>
                <w:rFonts w:eastAsia="Times New Roman"/>
                <w:color w:val="000000" w:themeColor="text1"/>
                <w:sz w:val="22"/>
                <w:szCs w:val="22"/>
              </w:rPr>
            </w:pPr>
            <w:r w:rsidRPr="00D14CD7">
              <w:rPr>
                <w:rFonts w:eastAsia="Times New Roman"/>
                <w:color w:val="000000" w:themeColor="text1"/>
                <w:sz w:val="22"/>
                <w:szCs w:val="22"/>
              </w:rPr>
              <w:t>80</w:t>
            </w:r>
          </w:p>
        </w:tc>
        <w:tc>
          <w:tcPr>
            <w:tcW w:w="233" w:type="pct"/>
            <w:tcBorders>
              <w:top w:val="nil"/>
              <w:left w:val="nil"/>
              <w:bottom w:val="nil"/>
              <w:right w:val="single" w:sz="4" w:space="0" w:color="auto"/>
            </w:tcBorders>
            <w:shd w:val="clear" w:color="000000" w:fill="FFFFFF"/>
            <w:noWrap/>
            <w:vAlign w:val="bottom"/>
            <w:hideMark/>
          </w:tcPr>
          <w:p w14:paraId="1804D00E" w14:textId="77777777" w:rsidR="005B6BB0" w:rsidRPr="00D14CD7" w:rsidRDefault="005B6BB0" w:rsidP="00286339">
            <w:pPr>
              <w:spacing w:after="0" w:line="240" w:lineRule="auto"/>
              <w:jc w:val="right"/>
              <w:rPr>
                <w:rFonts w:eastAsia="Times New Roman"/>
                <w:color w:val="000000" w:themeColor="text1"/>
                <w:sz w:val="22"/>
                <w:szCs w:val="22"/>
              </w:rPr>
            </w:pPr>
            <w:r w:rsidRPr="00D14CD7">
              <w:rPr>
                <w:rFonts w:eastAsia="Times New Roman"/>
                <w:color w:val="000000" w:themeColor="text1"/>
                <w:sz w:val="22"/>
                <w:szCs w:val="22"/>
              </w:rPr>
              <w:t>7.4</w:t>
            </w:r>
          </w:p>
        </w:tc>
        <w:tc>
          <w:tcPr>
            <w:tcW w:w="297" w:type="pct"/>
            <w:tcBorders>
              <w:top w:val="nil"/>
              <w:left w:val="single" w:sz="4" w:space="0" w:color="auto"/>
              <w:bottom w:val="nil"/>
              <w:right w:val="double" w:sz="6" w:space="0" w:color="auto"/>
            </w:tcBorders>
            <w:shd w:val="clear" w:color="000000" w:fill="FFFFFF"/>
            <w:noWrap/>
            <w:vAlign w:val="bottom"/>
            <w:hideMark/>
          </w:tcPr>
          <w:p w14:paraId="0BAE75AB" w14:textId="77777777" w:rsidR="005B6BB0" w:rsidRPr="00D14CD7" w:rsidRDefault="005B6BB0" w:rsidP="00286339">
            <w:pPr>
              <w:spacing w:after="0" w:line="240" w:lineRule="auto"/>
              <w:jc w:val="right"/>
              <w:rPr>
                <w:rFonts w:eastAsia="Times New Roman"/>
                <w:color w:val="000000" w:themeColor="text1"/>
                <w:sz w:val="22"/>
                <w:szCs w:val="22"/>
              </w:rPr>
            </w:pPr>
            <w:r w:rsidRPr="00D14CD7">
              <w:rPr>
                <w:rFonts w:eastAsia="Times New Roman"/>
                <w:color w:val="000000" w:themeColor="text1"/>
                <w:sz w:val="22"/>
                <w:szCs w:val="22"/>
              </w:rPr>
              <w:t xml:space="preserve"> 6.9</w:t>
            </w:r>
          </w:p>
        </w:tc>
      </w:tr>
      <w:tr w:rsidR="00D14CD7" w:rsidRPr="00D14CD7" w14:paraId="5AB56AF5" w14:textId="77777777" w:rsidTr="005736F5">
        <w:trPr>
          <w:trHeight w:val="288"/>
        </w:trPr>
        <w:tc>
          <w:tcPr>
            <w:tcW w:w="1235" w:type="pct"/>
            <w:tcBorders>
              <w:top w:val="nil"/>
              <w:left w:val="double" w:sz="6" w:space="0" w:color="auto"/>
              <w:bottom w:val="single" w:sz="4" w:space="0" w:color="auto"/>
              <w:right w:val="double" w:sz="4" w:space="0" w:color="auto"/>
            </w:tcBorders>
            <w:shd w:val="clear" w:color="000000" w:fill="FFFFFF"/>
            <w:noWrap/>
            <w:vAlign w:val="bottom"/>
            <w:hideMark/>
          </w:tcPr>
          <w:p w14:paraId="69A61B4E" w14:textId="77777777" w:rsidR="005B6BB0" w:rsidRPr="00D14CD7" w:rsidRDefault="005B6BB0" w:rsidP="00286339">
            <w:pPr>
              <w:spacing w:after="0" w:line="240" w:lineRule="auto"/>
              <w:ind w:firstLine="139"/>
              <w:jc w:val="left"/>
              <w:rPr>
                <w:rFonts w:eastAsia="Times New Roman"/>
                <w:color w:val="000000" w:themeColor="text1"/>
                <w:sz w:val="22"/>
                <w:szCs w:val="22"/>
              </w:rPr>
            </w:pPr>
            <w:r w:rsidRPr="00D14CD7">
              <w:rPr>
                <w:rFonts w:eastAsia="Times New Roman"/>
                <w:color w:val="000000" w:themeColor="text1"/>
                <w:sz w:val="22"/>
                <w:szCs w:val="22"/>
              </w:rPr>
              <w:t>Not White</w:t>
            </w:r>
          </w:p>
        </w:tc>
        <w:tc>
          <w:tcPr>
            <w:tcW w:w="441" w:type="pct"/>
            <w:tcBorders>
              <w:top w:val="nil"/>
              <w:left w:val="double" w:sz="4" w:space="0" w:color="auto"/>
              <w:bottom w:val="single" w:sz="4" w:space="0" w:color="auto"/>
              <w:right w:val="nil"/>
            </w:tcBorders>
            <w:shd w:val="clear" w:color="000000" w:fill="FFFFFF"/>
            <w:noWrap/>
            <w:vAlign w:val="bottom"/>
            <w:hideMark/>
          </w:tcPr>
          <w:p w14:paraId="24727E57" w14:textId="77777777" w:rsidR="005B6BB0" w:rsidRPr="00D14CD7" w:rsidRDefault="005B6BB0" w:rsidP="00286339">
            <w:pPr>
              <w:spacing w:after="0" w:line="240" w:lineRule="auto"/>
              <w:jc w:val="right"/>
              <w:rPr>
                <w:rFonts w:eastAsia="Times New Roman"/>
                <w:color w:val="000000" w:themeColor="text1"/>
                <w:sz w:val="22"/>
                <w:szCs w:val="22"/>
              </w:rPr>
            </w:pPr>
            <w:r w:rsidRPr="00D14CD7">
              <w:rPr>
                <w:rFonts w:eastAsia="Times New Roman"/>
                <w:color w:val="000000" w:themeColor="text1"/>
                <w:sz w:val="22"/>
                <w:szCs w:val="22"/>
              </w:rPr>
              <w:t>148</w:t>
            </w:r>
          </w:p>
        </w:tc>
        <w:tc>
          <w:tcPr>
            <w:tcW w:w="233" w:type="pct"/>
            <w:tcBorders>
              <w:top w:val="nil"/>
              <w:left w:val="nil"/>
              <w:bottom w:val="single" w:sz="4" w:space="0" w:color="auto"/>
              <w:right w:val="single" w:sz="4" w:space="0" w:color="auto"/>
            </w:tcBorders>
            <w:shd w:val="clear" w:color="000000" w:fill="FFFFFF"/>
            <w:noWrap/>
            <w:vAlign w:val="bottom"/>
            <w:hideMark/>
          </w:tcPr>
          <w:p w14:paraId="5765A4DF" w14:textId="77777777" w:rsidR="005B6BB0" w:rsidRPr="00D14CD7" w:rsidRDefault="005B6BB0" w:rsidP="00286339">
            <w:pPr>
              <w:spacing w:after="0" w:line="240" w:lineRule="auto"/>
              <w:jc w:val="right"/>
              <w:rPr>
                <w:rFonts w:eastAsia="Times New Roman"/>
                <w:color w:val="000000" w:themeColor="text1"/>
                <w:sz w:val="22"/>
                <w:szCs w:val="22"/>
              </w:rPr>
            </w:pPr>
            <w:r w:rsidRPr="00D14CD7">
              <w:rPr>
                <w:rFonts w:eastAsia="Times New Roman"/>
                <w:color w:val="000000" w:themeColor="text1"/>
                <w:sz w:val="22"/>
                <w:szCs w:val="22"/>
              </w:rPr>
              <w:t>13.6</w:t>
            </w:r>
          </w:p>
        </w:tc>
        <w:tc>
          <w:tcPr>
            <w:tcW w:w="297" w:type="pct"/>
            <w:tcBorders>
              <w:top w:val="nil"/>
              <w:left w:val="single" w:sz="4" w:space="0" w:color="auto"/>
              <w:bottom w:val="single" w:sz="4" w:space="0" w:color="auto"/>
              <w:right w:val="double" w:sz="6" w:space="0" w:color="auto"/>
            </w:tcBorders>
            <w:shd w:val="clear" w:color="000000" w:fill="FFFFFF"/>
            <w:noWrap/>
            <w:vAlign w:val="bottom"/>
            <w:hideMark/>
          </w:tcPr>
          <w:p w14:paraId="7172F3F9" w14:textId="77777777" w:rsidR="005B6BB0" w:rsidRPr="00D14CD7" w:rsidRDefault="005B6BB0" w:rsidP="00286339">
            <w:pPr>
              <w:spacing w:after="0" w:line="240" w:lineRule="auto"/>
              <w:jc w:val="right"/>
              <w:rPr>
                <w:rFonts w:eastAsia="Times New Roman"/>
                <w:color w:val="000000" w:themeColor="text1"/>
                <w:sz w:val="22"/>
                <w:szCs w:val="22"/>
              </w:rPr>
            </w:pPr>
            <w:r w:rsidRPr="00D14CD7">
              <w:rPr>
                <w:rFonts w:eastAsia="Times New Roman"/>
                <w:color w:val="000000" w:themeColor="text1"/>
                <w:sz w:val="22"/>
                <w:szCs w:val="22"/>
              </w:rPr>
              <w:t>31.4</w:t>
            </w:r>
          </w:p>
        </w:tc>
        <w:tc>
          <w:tcPr>
            <w:tcW w:w="1942" w:type="pct"/>
            <w:tcBorders>
              <w:top w:val="nil"/>
              <w:left w:val="nil"/>
              <w:bottom w:val="nil"/>
              <w:right w:val="double" w:sz="4" w:space="0" w:color="auto"/>
            </w:tcBorders>
            <w:shd w:val="clear" w:color="000000" w:fill="FFFFFF"/>
            <w:noWrap/>
            <w:vAlign w:val="bottom"/>
            <w:hideMark/>
          </w:tcPr>
          <w:p w14:paraId="6206860D" w14:textId="77777777" w:rsidR="005B6BB0" w:rsidRPr="00D14CD7" w:rsidRDefault="005B6BB0" w:rsidP="00286339">
            <w:pPr>
              <w:spacing w:after="0" w:line="240" w:lineRule="auto"/>
              <w:ind w:firstLine="173"/>
              <w:jc w:val="left"/>
              <w:rPr>
                <w:rFonts w:eastAsia="Times New Roman"/>
                <w:color w:val="000000" w:themeColor="text1"/>
                <w:sz w:val="22"/>
                <w:szCs w:val="22"/>
              </w:rPr>
            </w:pPr>
            <w:r w:rsidRPr="00D14CD7">
              <w:rPr>
                <w:rFonts w:eastAsia="Times New Roman"/>
                <w:color w:val="000000" w:themeColor="text1"/>
                <w:sz w:val="22"/>
                <w:szCs w:val="22"/>
              </w:rPr>
              <w:t xml:space="preserve">Multiple unrelated adults </w:t>
            </w:r>
          </w:p>
        </w:tc>
        <w:tc>
          <w:tcPr>
            <w:tcW w:w="322" w:type="pct"/>
            <w:tcBorders>
              <w:top w:val="nil"/>
              <w:left w:val="double" w:sz="4" w:space="0" w:color="auto"/>
              <w:bottom w:val="nil"/>
              <w:right w:val="nil"/>
            </w:tcBorders>
            <w:shd w:val="clear" w:color="000000" w:fill="FFFFFF"/>
            <w:noWrap/>
            <w:vAlign w:val="bottom"/>
            <w:hideMark/>
          </w:tcPr>
          <w:p w14:paraId="2F517E76" w14:textId="77777777" w:rsidR="005B6BB0" w:rsidRPr="00D14CD7" w:rsidRDefault="005B6BB0" w:rsidP="00286339">
            <w:pPr>
              <w:spacing w:after="0" w:line="240" w:lineRule="auto"/>
              <w:jc w:val="right"/>
              <w:rPr>
                <w:rFonts w:eastAsia="Times New Roman"/>
                <w:color w:val="000000" w:themeColor="text1"/>
                <w:sz w:val="22"/>
                <w:szCs w:val="22"/>
              </w:rPr>
            </w:pPr>
            <w:r w:rsidRPr="00D14CD7">
              <w:rPr>
                <w:rFonts w:eastAsia="Times New Roman"/>
                <w:color w:val="000000" w:themeColor="text1"/>
                <w:sz w:val="22"/>
                <w:szCs w:val="22"/>
              </w:rPr>
              <w:t>36</w:t>
            </w:r>
          </w:p>
        </w:tc>
        <w:tc>
          <w:tcPr>
            <w:tcW w:w="233" w:type="pct"/>
            <w:tcBorders>
              <w:top w:val="nil"/>
              <w:left w:val="nil"/>
              <w:bottom w:val="nil"/>
              <w:right w:val="single" w:sz="4" w:space="0" w:color="auto"/>
            </w:tcBorders>
            <w:shd w:val="clear" w:color="000000" w:fill="FFFFFF"/>
            <w:noWrap/>
            <w:vAlign w:val="bottom"/>
            <w:hideMark/>
          </w:tcPr>
          <w:p w14:paraId="646D3142" w14:textId="77777777" w:rsidR="005B6BB0" w:rsidRPr="00D14CD7" w:rsidRDefault="005B6BB0" w:rsidP="00286339">
            <w:pPr>
              <w:spacing w:after="0" w:line="240" w:lineRule="auto"/>
              <w:jc w:val="right"/>
              <w:rPr>
                <w:rFonts w:eastAsia="Times New Roman"/>
                <w:color w:val="000000" w:themeColor="text1"/>
                <w:sz w:val="22"/>
                <w:szCs w:val="22"/>
              </w:rPr>
            </w:pPr>
            <w:r w:rsidRPr="00D14CD7">
              <w:rPr>
                <w:rFonts w:eastAsia="Times New Roman"/>
                <w:color w:val="000000" w:themeColor="text1"/>
                <w:sz w:val="22"/>
                <w:szCs w:val="22"/>
              </w:rPr>
              <w:t>3.3</w:t>
            </w:r>
          </w:p>
        </w:tc>
        <w:tc>
          <w:tcPr>
            <w:tcW w:w="297" w:type="pct"/>
            <w:tcBorders>
              <w:top w:val="nil"/>
              <w:left w:val="single" w:sz="4" w:space="0" w:color="auto"/>
              <w:bottom w:val="nil"/>
              <w:right w:val="double" w:sz="6" w:space="0" w:color="auto"/>
            </w:tcBorders>
            <w:shd w:val="clear" w:color="000000" w:fill="FFFFFF"/>
            <w:noWrap/>
            <w:vAlign w:val="bottom"/>
            <w:hideMark/>
          </w:tcPr>
          <w:p w14:paraId="4C079A40" w14:textId="51E97A45" w:rsidR="005B6BB0" w:rsidRPr="00D14CD7" w:rsidRDefault="005B6BB0" w:rsidP="00286339">
            <w:pPr>
              <w:spacing w:after="0" w:line="240" w:lineRule="auto"/>
              <w:jc w:val="right"/>
              <w:rPr>
                <w:rFonts w:eastAsia="Times New Roman"/>
                <w:color w:val="000000" w:themeColor="text1"/>
                <w:sz w:val="22"/>
                <w:szCs w:val="22"/>
              </w:rPr>
            </w:pPr>
            <w:r w:rsidRPr="00D14CD7">
              <w:rPr>
                <w:rFonts w:eastAsia="Times New Roman"/>
                <w:color w:val="000000" w:themeColor="text1"/>
                <w:sz w:val="22"/>
                <w:szCs w:val="22"/>
              </w:rPr>
              <w:t>5.</w:t>
            </w:r>
            <w:r w:rsidR="008C0608" w:rsidRPr="00D14CD7">
              <w:rPr>
                <w:rFonts w:eastAsia="Times New Roman"/>
                <w:color w:val="000000" w:themeColor="text1"/>
                <w:sz w:val="22"/>
                <w:szCs w:val="22"/>
              </w:rPr>
              <w:t>8</w:t>
            </w:r>
          </w:p>
        </w:tc>
      </w:tr>
      <w:tr w:rsidR="00D14CD7" w:rsidRPr="00D14CD7" w14:paraId="19A0BC14" w14:textId="77777777" w:rsidTr="005736F5">
        <w:trPr>
          <w:trHeight w:val="288"/>
        </w:trPr>
        <w:tc>
          <w:tcPr>
            <w:tcW w:w="1235" w:type="pct"/>
            <w:tcBorders>
              <w:top w:val="nil"/>
              <w:left w:val="double" w:sz="6" w:space="0" w:color="auto"/>
              <w:bottom w:val="nil"/>
              <w:right w:val="double" w:sz="4" w:space="0" w:color="auto"/>
            </w:tcBorders>
            <w:shd w:val="clear" w:color="000000" w:fill="FFFFFF"/>
            <w:noWrap/>
            <w:vAlign w:val="bottom"/>
            <w:hideMark/>
          </w:tcPr>
          <w:p w14:paraId="7CD50D72" w14:textId="77777777" w:rsidR="005B6BB0" w:rsidRPr="00D14CD7" w:rsidRDefault="005B6BB0" w:rsidP="00286339">
            <w:pPr>
              <w:spacing w:after="0" w:line="240" w:lineRule="auto"/>
              <w:jc w:val="left"/>
              <w:rPr>
                <w:rFonts w:eastAsia="Times New Roman"/>
                <w:b/>
                <w:bCs/>
                <w:i/>
                <w:iCs/>
                <w:color w:val="000000" w:themeColor="text1"/>
                <w:sz w:val="22"/>
                <w:szCs w:val="22"/>
              </w:rPr>
            </w:pPr>
            <w:r w:rsidRPr="00D14CD7">
              <w:rPr>
                <w:rFonts w:eastAsia="Times New Roman"/>
                <w:b/>
                <w:bCs/>
                <w:i/>
                <w:iCs/>
                <w:color w:val="000000" w:themeColor="text1"/>
                <w:sz w:val="22"/>
                <w:szCs w:val="22"/>
              </w:rPr>
              <w:t>Education level</w:t>
            </w:r>
          </w:p>
        </w:tc>
        <w:tc>
          <w:tcPr>
            <w:tcW w:w="441" w:type="pct"/>
            <w:tcBorders>
              <w:top w:val="nil"/>
              <w:left w:val="double" w:sz="4" w:space="0" w:color="auto"/>
              <w:bottom w:val="nil"/>
              <w:right w:val="nil"/>
            </w:tcBorders>
            <w:shd w:val="clear" w:color="000000" w:fill="FFFFFF"/>
            <w:noWrap/>
            <w:vAlign w:val="bottom"/>
            <w:hideMark/>
          </w:tcPr>
          <w:p w14:paraId="1471C374" w14:textId="77777777" w:rsidR="005B6BB0" w:rsidRPr="00D14CD7" w:rsidRDefault="005B6BB0" w:rsidP="00286339">
            <w:pPr>
              <w:spacing w:after="0" w:line="240" w:lineRule="auto"/>
              <w:jc w:val="left"/>
              <w:rPr>
                <w:rFonts w:eastAsia="Times New Roman"/>
                <w:color w:val="000000" w:themeColor="text1"/>
                <w:sz w:val="22"/>
                <w:szCs w:val="22"/>
              </w:rPr>
            </w:pPr>
            <w:r w:rsidRPr="00D14CD7">
              <w:rPr>
                <w:rFonts w:eastAsia="Times New Roman"/>
                <w:color w:val="000000" w:themeColor="text1"/>
                <w:sz w:val="22"/>
                <w:szCs w:val="22"/>
              </w:rPr>
              <w:t> </w:t>
            </w:r>
          </w:p>
        </w:tc>
        <w:tc>
          <w:tcPr>
            <w:tcW w:w="233" w:type="pct"/>
            <w:tcBorders>
              <w:top w:val="nil"/>
              <w:left w:val="nil"/>
              <w:bottom w:val="nil"/>
              <w:right w:val="single" w:sz="4" w:space="0" w:color="auto"/>
            </w:tcBorders>
            <w:shd w:val="clear" w:color="000000" w:fill="FFFFFF"/>
            <w:noWrap/>
            <w:vAlign w:val="bottom"/>
            <w:hideMark/>
          </w:tcPr>
          <w:p w14:paraId="6B64087D" w14:textId="77777777" w:rsidR="005B6BB0" w:rsidRPr="00D14CD7" w:rsidRDefault="005B6BB0" w:rsidP="00286339">
            <w:pPr>
              <w:spacing w:after="0" w:line="240" w:lineRule="auto"/>
              <w:jc w:val="left"/>
              <w:rPr>
                <w:rFonts w:eastAsia="Times New Roman"/>
                <w:color w:val="000000" w:themeColor="text1"/>
                <w:sz w:val="22"/>
                <w:szCs w:val="22"/>
              </w:rPr>
            </w:pPr>
            <w:r w:rsidRPr="00D14CD7">
              <w:rPr>
                <w:rFonts w:eastAsia="Times New Roman"/>
                <w:color w:val="000000" w:themeColor="text1"/>
                <w:sz w:val="22"/>
                <w:szCs w:val="22"/>
              </w:rPr>
              <w:t> </w:t>
            </w:r>
          </w:p>
        </w:tc>
        <w:tc>
          <w:tcPr>
            <w:tcW w:w="297" w:type="pct"/>
            <w:tcBorders>
              <w:top w:val="nil"/>
              <w:left w:val="single" w:sz="4" w:space="0" w:color="auto"/>
              <w:bottom w:val="nil"/>
              <w:right w:val="double" w:sz="6" w:space="0" w:color="auto"/>
            </w:tcBorders>
            <w:shd w:val="clear" w:color="000000" w:fill="FFFFFF"/>
            <w:noWrap/>
            <w:vAlign w:val="bottom"/>
            <w:hideMark/>
          </w:tcPr>
          <w:p w14:paraId="77A68AF5" w14:textId="77777777" w:rsidR="005B6BB0" w:rsidRPr="00D14CD7" w:rsidRDefault="005B6BB0" w:rsidP="00286339">
            <w:pPr>
              <w:spacing w:after="0" w:line="240" w:lineRule="auto"/>
              <w:jc w:val="left"/>
              <w:rPr>
                <w:rFonts w:eastAsia="Times New Roman"/>
                <w:color w:val="000000" w:themeColor="text1"/>
                <w:sz w:val="22"/>
                <w:szCs w:val="22"/>
              </w:rPr>
            </w:pPr>
            <w:r w:rsidRPr="00D14CD7">
              <w:rPr>
                <w:rFonts w:eastAsia="Times New Roman"/>
                <w:color w:val="000000" w:themeColor="text1"/>
                <w:sz w:val="22"/>
                <w:szCs w:val="22"/>
              </w:rPr>
              <w:t> </w:t>
            </w:r>
          </w:p>
        </w:tc>
        <w:tc>
          <w:tcPr>
            <w:tcW w:w="1942" w:type="pct"/>
            <w:tcBorders>
              <w:top w:val="nil"/>
              <w:left w:val="nil"/>
              <w:bottom w:val="single" w:sz="4" w:space="0" w:color="auto"/>
              <w:right w:val="double" w:sz="4" w:space="0" w:color="auto"/>
            </w:tcBorders>
            <w:shd w:val="clear" w:color="000000" w:fill="FFFFFF"/>
            <w:noWrap/>
            <w:vAlign w:val="bottom"/>
            <w:hideMark/>
          </w:tcPr>
          <w:p w14:paraId="4B2DDA68" w14:textId="77777777" w:rsidR="005B6BB0" w:rsidRPr="00D14CD7" w:rsidRDefault="005B6BB0" w:rsidP="00286339">
            <w:pPr>
              <w:spacing w:after="0" w:line="240" w:lineRule="auto"/>
              <w:ind w:firstLine="173"/>
              <w:jc w:val="left"/>
              <w:rPr>
                <w:rFonts w:eastAsia="Times New Roman"/>
                <w:color w:val="000000" w:themeColor="text1"/>
                <w:sz w:val="22"/>
                <w:szCs w:val="22"/>
              </w:rPr>
            </w:pPr>
            <w:r w:rsidRPr="00D14CD7">
              <w:rPr>
                <w:rFonts w:eastAsia="Times New Roman"/>
                <w:color w:val="000000" w:themeColor="text1"/>
                <w:sz w:val="22"/>
                <w:szCs w:val="22"/>
              </w:rPr>
              <w:t xml:space="preserve">Presence of children </w:t>
            </w:r>
          </w:p>
        </w:tc>
        <w:tc>
          <w:tcPr>
            <w:tcW w:w="322" w:type="pct"/>
            <w:tcBorders>
              <w:top w:val="nil"/>
              <w:left w:val="double" w:sz="4" w:space="0" w:color="auto"/>
              <w:bottom w:val="single" w:sz="4" w:space="0" w:color="auto"/>
              <w:right w:val="nil"/>
            </w:tcBorders>
            <w:shd w:val="clear" w:color="000000" w:fill="FFFFFF"/>
            <w:noWrap/>
            <w:vAlign w:val="bottom"/>
          </w:tcPr>
          <w:p w14:paraId="392095EF" w14:textId="77777777" w:rsidR="005B6BB0" w:rsidRPr="00D14CD7" w:rsidRDefault="005B6BB0" w:rsidP="00286339">
            <w:pPr>
              <w:spacing w:after="0" w:line="240" w:lineRule="auto"/>
              <w:jc w:val="right"/>
              <w:rPr>
                <w:rFonts w:eastAsia="Times New Roman"/>
                <w:color w:val="000000" w:themeColor="text1"/>
                <w:sz w:val="22"/>
                <w:szCs w:val="22"/>
              </w:rPr>
            </w:pPr>
            <w:r w:rsidRPr="00D14CD7">
              <w:rPr>
                <w:rFonts w:eastAsia="Times New Roman"/>
                <w:color w:val="000000" w:themeColor="text1"/>
                <w:sz w:val="22"/>
                <w:szCs w:val="22"/>
              </w:rPr>
              <w:t>415</w:t>
            </w:r>
          </w:p>
        </w:tc>
        <w:tc>
          <w:tcPr>
            <w:tcW w:w="233" w:type="pct"/>
            <w:tcBorders>
              <w:top w:val="nil"/>
              <w:left w:val="nil"/>
              <w:bottom w:val="single" w:sz="4" w:space="0" w:color="auto"/>
              <w:right w:val="single" w:sz="4" w:space="0" w:color="auto"/>
            </w:tcBorders>
            <w:shd w:val="clear" w:color="000000" w:fill="FFFFFF"/>
            <w:noWrap/>
            <w:vAlign w:val="bottom"/>
          </w:tcPr>
          <w:p w14:paraId="3224B69C" w14:textId="77777777" w:rsidR="005B6BB0" w:rsidRPr="00D14CD7" w:rsidRDefault="005B6BB0" w:rsidP="00286339">
            <w:pPr>
              <w:spacing w:after="0" w:line="240" w:lineRule="auto"/>
              <w:jc w:val="right"/>
              <w:rPr>
                <w:rFonts w:eastAsia="Times New Roman"/>
                <w:color w:val="000000" w:themeColor="text1"/>
                <w:sz w:val="22"/>
                <w:szCs w:val="22"/>
              </w:rPr>
            </w:pPr>
            <w:r w:rsidRPr="00D14CD7">
              <w:rPr>
                <w:rFonts w:eastAsia="Times New Roman"/>
                <w:color w:val="000000" w:themeColor="text1"/>
                <w:sz w:val="22"/>
                <w:szCs w:val="22"/>
              </w:rPr>
              <w:t>38.0</w:t>
            </w:r>
          </w:p>
        </w:tc>
        <w:tc>
          <w:tcPr>
            <w:tcW w:w="297" w:type="pct"/>
            <w:tcBorders>
              <w:top w:val="nil"/>
              <w:left w:val="single" w:sz="4" w:space="0" w:color="auto"/>
              <w:bottom w:val="single" w:sz="4" w:space="0" w:color="auto"/>
              <w:right w:val="double" w:sz="6" w:space="0" w:color="auto"/>
            </w:tcBorders>
            <w:shd w:val="clear" w:color="000000" w:fill="FFFFFF"/>
            <w:noWrap/>
            <w:vAlign w:val="bottom"/>
          </w:tcPr>
          <w:p w14:paraId="457E4EC5" w14:textId="77777777" w:rsidR="005B6BB0" w:rsidRPr="00D14CD7" w:rsidRDefault="005B6BB0" w:rsidP="00286339">
            <w:pPr>
              <w:spacing w:after="0" w:line="240" w:lineRule="auto"/>
              <w:jc w:val="right"/>
              <w:rPr>
                <w:rFonts w:eastAsia="Times New Roman"/>
                <w:color w:val="000000" w:themeColor="text1"/>
                <w:sz w:val="22"/>
                <w:szCs w:val="22"/>
              </w:rPr>
            </w:pPr>
            <w:r w:rsidRPr="00D14CD7">
              <w:rPr>
                <w:rFonts w:eastAsia="Times New Roman"/>
                <w:color w:val="000000" w:themeColor="text1"/>
                <w:sz w:val="22"/>
                <w:szCs w:val="22"/>
              </w:rPr>
              <w:t>36.2</w:t>
            </w:r>
          </w:p>
        </w:tc>
      </w:tr>
      <w:tr w:rsidR="00D14CD7" w:rsidRPr="00D14CD7" w14:paraId="72BB928C" w14:textId="77777777" w:rsidTr="006C0A51">
        <w:trPr>
          <w:trHeight w:val="300"/>
        </w:trPr>
        <w:tc>
          <w:tcPr>
            <w:tcW w:w="1235" w:type="pct"/>
            <w:tcBorders>
              <w:top w:val="nil"/>
              <w:left w:val="double" w:sz="6" w:space="0" w:color="auto"/>
              <w:bottom w:val="nil"/>
              <w:right w:val="double" w:sz="4" w:space="0" w:color="auto"/>
            </w:tcBorders>
            <w:shd w:val="clear" w:color="000000" w:fill="FFFFFF"/>
            <w:noWrap/>
            <w:vAlign w:val="bottom"/>
            <w:hideMark/>
          </w:tcPr>
          <w:p w14:paraId="465BFCF1" w14:textId="77777777" w:rsidR="005736F5" w:rsidRPr="00D14CD7" w:rsidRDefault="005736F5" w:rsidP="00286339">
            <w:pPr>
              <w:spacing w:after="0" w:line="240" w:lineRule="auto"/>
              <w:ind w:firstLine="139"/>
              <w:jc w:val="left"/>
              <w:rPr>
                <w:rFonts w:eastAsia="Times New Roman"/>
                <w:color w:val="000000" w:themeColor="text1"/>
                <w:sz w:val="22"/>
                <w:szCs w:val="22"/>
              </w:rPr>
            </w:pPr>
            <w:r w:rsidRPr="00D14CD7">
              <w:rPr>
                <w:rFonts w:eastAsia="Times New Roman"/>
                <w:color w:val="000000" w:themeColor="text1"/>
                <w:sz w:val="22"/>
                <w:szCs w:val="22"/>
              </w:rPr>
              <w:t>No degree</w:t>
            </w:r>
          </w:p>
        </w:tc>
        <w:tc>
          <w:tcPr>
            <w:tcW w:w="441" w:type="pct"/>
            <w:tcBorders>
              <w:top w:val="nil"/>
              <w:left w:val="double" w:sz="4" w:space="0" w:color="auto"/>
              <w:bottom w:val="nil"/>
              <w:right w:val="nil"/>
            </w:tcBorders>
            <w:shd w:val="clear" w:color="000000" w:fill="FFFFFF"/>
            <w:noWrap/>
            <w:vAlign w:val="bottom"/>
            <w:hideMark/>
          </w:tcPr>
          <w:p w14:paraId="520393CC" w14:textId="77777777" w:rsidR="005736F5" w:rsidRPr="00D14CD7" w:rsidRDefault="005736F5" w:rsidP="00286339">
            <w:pPr>
              <w:spacing w:after="0" w:line="240" w:lineRule="auto"/>
              <w:jc w:val="right"/>
              <w:rPr>
                <w:rFonts w:eastAsia="Times New Roman"/>
                <w:color w:val="000000" w:themeColor="text1"/>
                <w:sz w:val="22"/>
                <w:szCs w:val="22"/>
              </w:rPr>
            </w:pPr>
            <w:r w:rsidRPr="00D14CD7">
              <w:rPr>
                <w:rFonts w:eastAsia="Times New Roman"/>
                <w:color w:val="000000" w:themeColor="text1"/>
                <w:sz w:val="22"/>
                <w:szCs w:val="22"/>
              </w:rPr>
              <w:t>11</w:t>
            </w:r>
          </w:p>
        </w:tc>
        <w:tc>
          <w:tcPr>
            <w:tcW w:w="233" w:type="pct"/>
            <w:tcBorders>
              <w:top w:val="nil"/>
              <w:left w:val="nil"/>
              <w:bottom w:val="nil"/>
              <w:right w:val="single" w:sz="4" w:space="0" w:color="auto"/>
            </w:tcBorders>
            <w:shd w:val="clear" w:color="000000" w:fill="FFFFFF"/>
            <w:noWrap/>
            <w:vAlign w:val="bottom"/>
            <w:hideMark/>
          </w:tcPr>
          <w:p w14:paraId="6E49E8AD" w14:textId="77777777" w:rsidR="005736F5" w:rsidRPr="00D14CD7" w:rsidRDefault="005736F5" w:rsidP="00286339">
            <w:pPr>
              <w:spacing w:after="0" w:line="240" w:lineRule="auto"/>
              <w:jc w:val="right"/>
              <w:rPr>
                <w:rFonts w:eastAsia="Times New Roman"/>
                <w:color w:val="000000" w:themeColor="text1"/>
                <w:sz w:val="22"/>
                <w:szCs w:val="22"/>
              </w:rPr>
            </w:pPr>
            <w:r w:rsidRPr="00D14CD7">
              <w:rPr>
                <w:rFonts w:eastAsia="Times New Roman"/>
                <w:color w:val="000000" w:themeColor="text1"/>
                <w:sz w:val="22"/>
                <w:szCs w:val="22"/>
              </w:rPr>
              <w:t>1.0</w:t>
            </w:r>
          </w:p>
        </w:tc>
        <w:tc>
          <w:tcPr>
            <w:tcW w:w="297" w:type="pct"/>
            <w:tcBorders>
              <w:top w:val="nil"/>
              <w:left w:val="single" w:sz="4" w:space="0" w:color="auto"/>
              <w:bottom w:val="nil"/>
              <w:right w:val="double" w:sz="6" w:space="0" w:color="auto"/>
            </w:tcBorders>
            <w:shd w:val="clear" w:color="000000" w:fill="FFFFFF"/>
            <w:noWrap/>
            <w:vAlign w:val="bottom"/>
            <w:hideMark/>
          </w:tcPr>
          <w:p w14:paraId="24702072" w14:textId="77777777" w:rsidR="005736F5" w:rsidRPr="00D14CD7" w:rsidRDefault="005736F5" w:rsidP="00286339">
            <w:pPr>
              <w:spacing w:after="0" w:line="240" w:lineRule="auto"/>
              <w:jc w:val="right"/>
              <w:rPr>
                <w:rFonts w:eastAsia="Times New Roman"/>
                <w:color w:val="000000" w:themeColor="text1"/>
                <w:sz w:val="22"/>
                <w:szCs w:val="22"/>
              </w:rPr>
            </w:pPr>
            <w:r w:rsidRPr="00D14CD7">
              <w:rPr>
                <w:rFonts w:eastAsia="Times New Roman"/>
                <w:color w:val="000000" w:themeColor="text1"/>
                <w:sz w:val="22"/>
                <w:szCs w:val="22"/>
              </w:rPr>
              <w:t>15.7</w:t>
            </w:r>
          </w:p>
        </w:tc>
        <w:tc>
          <w:tcPr>
            <w:tcW w:w="2794" w:type="pct"/>
            <w:gridSpan w:val="4"/>
            <w:tcBorders>
              <w:top w:val="nil"/>
              <w:left w:val="nil"/>
              <w:bottom w:val="single" w:sz="4" w:space="0" w:color="auto"/>
              <w:right w:val="double" w:sz="6" w:space="0" w:color="auto"/>
            </w:tcBorders>
            <w:shd w:val="clear" w:color="000000" w:fill="FFFFFF"/>
            <w:noWrap/>
            <w:vAlign w:val="center"/>
            <w:hideMark/>
          </w:tcPr>
          <w:p w14:paraId="7289018E" w14:textId="77777777" w:rsidR="005736F5" w:rsidRPr="00D14CD7" w:rsidRDefault="005736F5">
            <w:pPr>
              <w:spacing w:after="0" w:line="240" w:lineRule="auto"/>
              <w:jc w:val="left"/>
              <w:rPr>
                <w:rFonts w:eastAsia="Times New Roman"/>
                <w:b/>
                <w:bCs/>
                <w:color w:val="000000" w:themeColor="text1"/>
                <w:sz w:val="22"/>
                <w:szCs w:val="22"/>
              </w:rPr>
            </w:pPr>
            <w:r w:rsidRPr="00D14CD7">
              <w:rPr>
                <w:rFonts w:eastAsia="Times New Roman"/>
                <w:b/>
                <w:bCs/>
                <w:color w:val="000000" w:themeColor="text1"/>
                <w:sz w:val="22"/>
                <w:szCs w:val="22"/>
              </w:rPr>
              <w:t>Employment Status/Job Characteristics</w:t>
            </w:r>
          </w:p>
          <w:p w14:paraId="46A63E94" w14:textId="4A6BC23B" w:rsidR="005736F5" w:rsidRPr="00D14CD7" w:rsidRDefault="005736F5">
            <w:pPr>
              <w:spacing w:after="0" w:line="240" w:lineRule="auto"/>
              <w:jc w:val="left"/>
              <w:rPr>
                <w:rFonts w:eastAsia="Times New Roman"/>
                <w:color w:val="000000" w:themeColor="text1"/>
                <w:sz w:val="22"/>
                <w:szCs w:val="22"/>
              </w:rPr>
            </w:pPr>
          </w:p>
        </w:tc>
      </w:tr>
      <w:tr w:rsidR="00D14CD7" w:rsidRPr="00D14CD7" w14:paraId="6E90C392" w14:textId="77777777" w:rsidTr="005736F5">
        <w:trPr>
          <w:trHeight w:val="288"/>
        </w:trPr>
        <w:tc>
          <w:tcPr>
            <w:tcW w:w="1235" w:type="pct"/>
            <w:tcBorders>
              <w:top w:val="nil"/>
              <w:left w:val="double" w:sz="6" w:space="0" w:color="auto"/>
              <w:bottom w:val="nil"/>
              <w:right w:val="double" w:sz="4" w:space="0" w:color="auto"/>
            </w:tcBorders>
            <w:shd w:val="clear" w:color="000000" w:fill="FFFFFF"/>
            <w:noWrap/>
            <w:vAlign w:val="bottom"/>
            <w:hideMark/>
          </w:tcPr>
          <w:p w14:paraId="20F207E9" w14:textId="77777777" w:rsidR="005B6BB0" w:rsidRPr="00D14CD7" w:rsidRDefault="005B6BB0" w:rsidP="00286339">
            <w:pPr>
              <w:spacing w:after="0" w:line="240" w:lineRule="auto"/>
              <w:ind w:firstLine="139"/>
              <w:jc w:val="left"/>
              <w:rPr>
                <w:rFonts w:eastAsia="Times New Roman"/>
                <w:color w:val="000000" w:themeColor="text1"/>
                <w:sz w:val="22"/>
                <w:szCs w:val="22"/>
              </w:rPr>
            </w:pPr>
            <w:r w:rsidRPr="00D14CD7">
              <w:rPr>
                <w:rFonts w:eastAsia="Times New Roman"/>
                <w:color w:val="000000" w:themeColor="text1"/>
                <w:sz w:val="22"/>
                <w:szCs w:val="22"/>
              </w:rPr>
              <w:t>High school</w:t>
            </w:r>
          </w:p>
        </w:tc>
        <w:tc>
          <w:tcPr>
            <w:tcW w:w="441" w:type="pct"/>
            <w:tcBorders>
              <w:top w:val="nil"/>
              <w:left w:val="double" w:sz="4" w:space="0" w:color="auto"/>
              <w:bottom w:val="nil"/>
              <w:right w:val="nil"/>
            </w:tcBorders>
            <w:shd w:val="clear" w:color="000000" w:fill="FFFFFF"/>
            <w:noWrap/>
            <w:vAlign w:val="bottom"/>
            <w:hideMark/>
          </w:tcPr>
          <w:p w14:paraId="002643A6" w14:textId="77777777" w:rsidR="005B6BB0" w:rsidRPr="00D14CD7" w:rsidRDefault="005B6BB0" w:rsidP="00286339">
            <w:pPr>
              <w:spacing w:after="0" w:line="240" w:lineRule="auto"/>
              <w:jc w:val="right"/>
              <w:rPr>
                <w:rFonts w:eastAsia="Times New Roman"/>
                <w:color w:val="000000" w:themeColor="text1"/>
                <w:sz w:val="22"/>
                <w:szCs w:val="22"/>
              </w:rPr>
            </w:pPr>
            <w:r w:rsidRPr="00D14CD7">
              <w:rPr>
                <w:rFonts w:eastAsia="Times New Roman"/>
                <w:color w:val="000000" w:themeColor="text1"/>
                <w:sz w:val="22"/>
                <w:szCs w:val="22"/>
              </w:rPr>
              <w:t>87</w:t>
            </w:r>
          </w:p>
        </w:tc>
        <w:tc>
          <w:tcPr>
            <w:tcW w:w="233" w:type="pct"/>
            <w:tcBorders>
              <w:top w:val="nil"/>
              <w:left w:val="nil"/>
              <w:bottom w:val="nil"/>
              <w:right w:val="single" w:sz="4" w:space="0" w:color="auto"/>
            </w:tcBorders>
            <w:shd w:val="clear" w:color="000000" w:fill="FFFFFF"/>
            <w:noWrap/>
            <w:vAlign w:val="bottom"/>
            <w:hideMark/>
          </w:tcPr>
          <w:p w14:paraId="56FDEE27" w14:textId="77777777" w:rsidR="005B6BB0" w:rsidRPr="00D14CD7" w:rsidRDefault="005B6BB0" w:rsidP="00286339">
            <w:pPr>
              <w:spacing w:after="0" w:line="240" w:lineRule="auto"/>
              <w:jc w:val="right"/>
              <w:rPr>
                <w:rFonts w:eastAsia="Times New Roman"/>
                <w:color w:val="000000" w:themeColor="text1"/>
                <w:sz w:val="22"/>
                <w:szCs w:val="22"/>
              </w:rPr>
            </w:pPr>
            <w:r w:rsidRPr="00D14CD7">
              <w:rPr>
                <w:rFonts w:eastAsia="Times New Roman"/>
                <w:color w:val="000000" w:themeColor="text1"/>
                <w:sz w:val="22"/>
                <w:szCs w:val="22"/>
              </w:rPr>
              <w:t>8.0</w:t>
            </w:r>
          </w:p>
        </w:tc>
        <w:tc>
          <w:tcPr>
            <w:tcW w:w="297" w:type="pct"/>
            <w:tcBorders>
              <w:top w:val="nil"/>
              <w:left w:val="single" w:sz="4" w:space="0" w:color="auto"/>
              <w:bottom w:val="nil"/>
              <w:right w:val="double" w:sz="6" w:space="0" w:color="auto"/>
            </w:tcBorders>
            <w:shd w:val="clear" w:color="000000" w:fill="FFFFFF"/>
            <w:noWrap/>
            <w:vAlign w:val="bottom"/>
            <w:hideMark/>
          </w:tcPr>
          <w:p w14:paraId="66A62682" w14:textId="77777777" w:rsidR="005B6BB0" w:rsidRPr="00D14CD7" w:rsidRDefault="005B6BB0" w:rsidP="00286339">
            <w:pPr>
              <w:spacing w:after="0" w:line="240" w:lineRule="auto"/>
              <w:jc w:val="right"/>
              <w:rPr>
                <w:rFonts w:eastAsia="Times New Roman"/>
                <w:color w:val="000000" w:themeColor="text1"/>
                <w:sz w:val="22"/>
                <w:szCs w:val="22"/>
              </w:rPr>
            </w:pPr>
            <w:r w:rsidRPr="00D14CD7">
              <w:rPr>
                <w:rFonts w:eastAsia="Times New Roman"/>
                <w:color w:val="000000" w:themeColor="text1"/>
                <w:sz w:val="22"/>
                <w:szCs w:val="22"/>
              </w:rPr>
              <w:t>46.2</w:t>
            </w:r>
          </w:p>
        </w:tc>
        <w:tc>
          <w:tcPr>
            <w:tcW w:w="1942" w:type="pct"/>
            <w:tcBorders>
              <w:top w:val="nil"/>
              <w:left w:val="nil"/>
              <w:bottom w:val="nil"/>
              <w:right w:val="double" w:sz="4" w:space="0" w:color="auto"/>
            </w:tcBorders>
            <w:shd w:val="clear" w:color="000000" w:fill="FFFFFF"/>
            <w:noWrap/>
            <w:vAlign w:val="bottom"/>
            <w:hideMark/>
          </w:tcPr>
          <w:p w14:paraId="0F203760" w14:textId="77777777" w:rsidR="005B6BB0" w:rsidRPr="00D14CD7" w:rsidRDefault="005B6BB0" w:rsidP="00286339">
            <w:pPr>
              <w:spacing w:after="0" w:line="240" w:lineRule="auto"/>
              <w:jc w:val="left"/>
              <w:rPr>
                <w:rFonts w:eastAsia="Times New Roman"/>
                <w:b/>
                <w:bCs/>
                <w:i/>
                <w:iCs/>
                <w:color w:val="000000" w:themeColor="text1"/>
                <w:sz w:val="22"/>
                <w:szCs w:val="22"/>
              </w:rPr>
            </w:pPr>
            <w:r w:rsidRPr="00D14CD7">
              <w:rPr>
                <w:rFonts w:eastAsia="Times New Roman"/>
                <w:b/>
                <w:bCs/>
                <w:i/>
                <w:iCs/>
                <w:color w:val="000000" w:themeColor="text1"/>
                <w:sz w:val="22"/>
                <w:szCs w:val="22"/>
              </w:rPr>
              <w:t>Employment status</w:t>
            </w:r>
          </w:p>
        </w:tc>
        <w:tc>
          <w:tcPr>
            <w:tcW w:w="322" w:type="pct"/>
            <w:tcBorders>
              <w:top w:val="nil"/>
              <w:left w:val="double" w:sz="4" w:space="0" w:color="auto"/>
              <w:bottom w:val="nil"/>
              <w:right w:val="nil"/>
            </w:tcBorders>
            <w:shd w:val="clear" w:color="000000" w:fill="FFFFFF"/>
            <w:noWrap/>
            <w:vAlign w:val="bottom"/>
            <w:hideMark/>
          </w:tcPr>
          <w:p w14:paraId="61F911CC" w14:textId="77777777" w:rsidR="005B6BB0" w:rsidRPr="00D14CD7" w:rsidRDefault="005B6BB0" w:rsidP="00286339">
            <w:pPr>
              <w:spacing w:after="0" w:line="240" w:lineRule="auto"/>
              <w:jc w:val="left"/>
              <w:rPr>
                <w:rFonts w:eastAsia="Times New Roman"/>
                <w:color w:val="000000" w:themeColor="text1"/>
                <w:sz w:val="22"/>
                <w:szCs w:val="22"/>
              </w:rPr>
            </w:pPr>
            <w:r w:rsidRPr="00D14CD7">
              <w:rPr>
                <w:rFonts w:eastAsia="Times New Roman"/>
                <w:color w:val="000000" w:themeColor="text1"/>
                <w:sz w:val="22"/>
                <w:szCs w:val="22"/>
              </w:rPr>
              <w:t> </w:t>
            </w:r>
          </w:p>
        </w:tc>
        <w:tc>
          <w:tcPr>
            <w:tcW w:w="233" w:type="pct"/>
            <w:tcBorders>
              <w:top w:val="nil"/>
              <w:left w:val="nil"/>
              <w:bottom w:val="nil"/>
              <w:right w:val="single" w:sz="4" w:space="0" w:color="auto"/>
            </w:tcBorders>
            <w:shd w:val="clear" w:color="000000" w:fill="FFFFFF"/>
            <w:noWrap/>
            <w:vAlign w:val="bottom"/>
            <w:hideMark/>
          </w:tcPr>
          <w:p w14:paraId="2B2CBA98" w14:textId="77777777" w:rsidR="005B6BB0" w:rsidRPr="00D14CD7" w:rsidRDefault="005B6BB0" w:rsidP="00286339">
            <w:pPr>
              <w:spacing w:after="0" w:line="240" w:lineRule="auto"/>
              <w:jc w:val="left"/>
              <w:rPr>
                <w:rFonts w:eastAsia="Times New Roman"/>
                <w:color w:val="000000" w:themeColor="text1"/>
                <w:sz w:val="22"/>
                <w:szCs w:val="22"/>
              </w:rPr>
            </w:pPr>
            <w:r w:rsidRPr="00D14CD7">
              <w:rPr>
                <w:rFonts w:eastAsia="Times New Roman"/>
                <w:color w:val="000000" w:themeColor="text1"/>
                <w:sz w:val="22"/>
                <w:szCs w:val="22"/>
              </w:rPr>
              <w:t> </w:t>
            </w:r>
          </w:p>
        </w:tc>
        <w:tc>
          <w:tcPr>
            <w:tcW w:w="297" w:type="pct"/>
            <w:tcBorders>
              <w:top w:val="nil"/>
              <w:left w:val="single" w:sz="4" w:space="0" w:color="auto"/>
              <w:bottom w:val="nil"/>
              <w:right w:val="double" w:sz="6" w:space="0" w:color="auto"/>
            </w:tcBorders>
            <w:shd w:val="clear" w:color="000000" w:fill="FFFFFF"/>
            <w:noWrap/>
            <w:vAlign w:val="bottom"/>
            <w:hideMark/>
          </w:tcPr>
          <w:p w14:paraId="6DFF19E1" w14:textId="77777777" w:rsidR="005B6BB0" w:rsidRPr="00D14CD7" w:rsidRDefault="005B6BB0" w:rsidP="00286339">
            <w:pPr>
              <w:spacing w:after="0" w:line="240" w:lineRule="auto"/>
              <w:jc w:val="right"/>
              <w:rPr>
                <w:rFonts w:eastAsia="Times New Roman"/>
                <w:color w:val="000000" w:themeColor="text1"/>
                <w:sz w:val="22"/>
                <w:szCs w:val="22"/>
              </w:rPr>
            </w:pPr>
            <w:r w:rsidRPr="00D14CD7">
              <w:rPr>
                <w:rFonts w:eastAsia="Times New Roman"/>
                <w:color w:val="000000" w:themeColor="text1"/>
                <w:sz w:val="22"/>
                <w:szCs w:val="22"/>
              </w:rPr>
              <w:t> </w:t>
            </w:r>
          </w:p>
        </w:tc>
      </w:tr>
      <w:tr w:rsidR="00D14CD7" w:rsidRPr="00D14CD7" w14:paraId="4A131F72" w14:textId="77777777" w:rsidTr="005736F5">
        <w:trPr>
          <w:trHeight w:val="288"/>
        </w:trPr>
        <w:tc>
          <w:tcPr>
            <w:tcW w:w="1235" w:type="pct"/>
            <w:tcBorders>
              <w:top w:val="nil"/>
              <w:left w:val="double" w:sz="6" w:space="0" w:color="auto"/>
              <w:bottom w:val="nil"/>
              <w:right w:val="double" w:sz="4" w:space="0" w:color="auto"/>
            </w:tcBorders>
            <w:shd w:val="clear" w:color="000000" w:fill="FFFFFF"/>
            <w:noWrap/>
            <w:vAlign w:val="bottom"/>
            <w:hideMark/>
          </w:tcPr>
          <w:p w14:paraId="42ABBB8A" w14:textId="77777777" w:rsidR="005B6BB0" w:rsidRPr="00D14CD7" w:rsidRDefault="005B6BB0" w:rsidP="00286339">
            <w:pPr>
              <w:spacing w:after="0" w:line="240" w:lineRule="auto"/>
              <w:ind w:firstLine="139"/>
              <w:jc w:val="left"/>
              <w:rPr>
                <w:rFonts w:eastAsia="Times New Roman"/>
                <w:color w:val="000000" w:themeColor="text1"/>
                <w:sz w:val="22"/>
                <w:szCs w:val="22"/>
              </w:rPr>
            </w:pPr>
            <w:r w:rsidRPr="00D14CD7">
              <w:rPr>
                <w:rFonts w:eastAsia="Times New Roman"/>
                <w:color w:val="000000" w:themeColor="text1"/>
                <w:sz w:val="22"/>
                <w:szCs w:val="22"/>
              </w:rPr>
              <w:t>Technical degree</w:t>
            </w:r>
          </w:p>
        </w:tc>
        <w:tc>
          <w:tcPr>
            <w:tcW w:w="441" w:type="pct"/>
            <w:tcBorders>
              <w:top w:val="nil"/>
              <w:left w:val="double" w:sz="4" w:space="0" w:color="auto"/>
              <w:bottom w:val="nil"/>
              <w:right w:val="nil"/>
            </w:tcBorders>
            <w:shd w:val="clear" w:color="000000" w:fill="FFFFFF"/>
            <w:noWrap/>
            <w:vAlign w:val="bottom"/>
            <w:hideMark/>
          </w:tcPr>
          <w:p w14:paraId="51466E94" w14:textId="77777777" w:rsidR="005B6BB0" w:rsidRPr="00D14CD7" w:rsidRDefault="005B6BB0" w:rsidP="00286339">
            <w:pPr>
              <w:spacing w:after="0" w:line="240" w:lineRule="auto"/>
              <w:jc w:val="right"/>
              <w:rPr>
                <w:rFonts w:eastAsia="Times New Roman"/>
                <w:color w:val="000000" w:themeColor="text1"/>
                <w:sz w:val="22"/>
                <w:szCs w:val="22"/>
              </w:rPr>
            </w:pPr>
            <w:r w:rsidRPr="00D14CD7">
              <w:rPr>
                <w:rFonts w:eastAsia="Times New Roman"/>
                <w:color w:val="000000" w:themeColor="text1"/>
                <w:sz w:val="22"/>
                <w:szCs w:val="22"/>
              </w:rPr>
              <w:t>104</w:t>
            </w:r>
          </w:p>
        </w:tc>
        <w:tc>
          <w:tcPr>
            <w:tcW w:w="233" w:type="pct"/>
            <w:tcBorders>
              <w:top w:val="nil"/>
              <w:left w:val="nil"/>
              <w:bottom w:val="nil"/>
              <w:right w:val="single" w:sz="4" w:space="0" w:color="auto"/>
            </w:tcBorders>
            <w:shd w:val="clear" w:color="000000" w:fill="FFFFFF"/>
            <w:noWrap/>
            <w:vAlign w:val="bottom"/>
            <w:hideMark/>
          </w:tcPr>
          <w:p w14:paraId="160D0E9E" w14:textId="77777777" w:rsidR="005B6BB0" w:rsidRPr="00D14CD7" w:rsidRDefault="005B6BB0" w:rsidP="00286339">
            <w:pPr>
              <w:spacing w:after="0" w:line="240" w:lineRule="auto"/>
              <w:jc w:val="right"/>
              <w:rPr>
                <w:rFonts w:eastAsia="Times New Roman"/>
                <w:color w:val="000000" w:themeColor="text1"/>
                <w:sz w:val="22"/>
                <w:szCs w:val="22"/>
              </w:rPr>
            </w:pPr>
            <w:r w:rsidRPr="00D14CD7">
              <w:rPr>
                <w:rFonts w:eastAsia="Times New Roman"/>
                <w:color w:val="000000" w:themeColor="text1"/>
                <w:sz w:val="22"/>
                <w:szCs w:val="22"/>
              </w:rPr>
              <w:t>9.5</w:t>
            </w:r>
          </w:p>
        </w:tc>
        <w:tc>
          <w:tcPr>
            <w:tcW w:w="297" w:type="pct"/>
            <w:tcBorders>
              <w:top w:val="nil"/>
              <w:left w:val="single" w:sz="4" w:space="0" w:color="auto"/>
              <w:bottom w:val="nil"/>
              <w:right w:val="double" w:sz="6" w:space="0" w:color="auto"/>
            </w:tcBorders>
            <w:shd w:val="clear" w:color="000000" w:fill="FFFFFF"/>
            <w:noWrap/>
            <w:vAlign w:val="bottom"/>
            <w:hideMark/>
          </w:tcPr>
          <w:p w14:paraId="0DF677A0" w14:textId="77777777" w:rsidR="005B6BB0" w:rsidRPr="00D14CD7" w:rsidRDefault="005B6BB0" w:rsidP="00286339">
            <w:pPr>
              <w:spacing w:after="0" w:line="240" w:lineRule="auto"/>
              <w:jc w:val="right"/>
              <w:rPr>
                <w:rFonts w:eastAsia="Times New Roman"/>
                <w:color w:val="000000" w:themeColor="text1"/>
                <w:sz w:val="22"/>
                <w:szCs w:val="22"/>
              </w:rPr>
            </w:pPr>
            <w:r w:rsidRPr="00D14CD7">
              <w:rPr>
                <w:rFonts w:eastAsia="Times New Roman"/>
                <w:color w:val="000000" w:themeColor="text1"/>
                <w:sz w:val="22"/>
                <w:szCs w:val="22"/>
              </w:rPr>
              <w:t>7.4</w:t>
            </w:r>
          </w:p>
        </w:tc>
        <w:tc>
          <w:tcPr>
            <w:tcW w:w="1942" w:type="pct"/>
            <w:tcBorders>
              <w:top w:val="nil"/>
              <w:left w:val="nil"/>
              <w:bottom w:val="nil"/>
              <w:right w:val="double" w:sz="4" w:space="0" w:color="auto"/>
            </w:tcBorders>
            <w:shd w:val="clear" w:color="000000" w:fill="FFFFFF"/>
            <w:noWrap/>
            <w:vAlign w:val="bottom"/>
            <w:hideMark/>
          </w:tcPr>
          <w:p w14:paraId="4357FFC1" w14:textId="77777777" w:rsidR="005B6BB0" w:rsidRPr="00D14CD7" w:rsidRDefault="005B6BB0" w:rsidP="00286339">
            <w:pPr>
              <w:spacing w:after="0" w:line="240" w:lineRule="auto"/>
              <w:ind w:firstLine="173"/>
              <w:jc w:val="left"/>
              <w:rPr>
                <w:rFonts w:eastAsia="Times New Roman"/>
                <w:color w:val="000000" w:themeColor="text1"/>
                <w:sz w:val="22"/>
                <w:szCs w:val="22"/>
              </w:rPr>
            </w:pPr>
            <w:r w:rsidRPr="00D14CD7">
              <w:rPr>
                <w:rFonts w:eastAsia="Times New Roman"/>
                <w:color w:val="000000" w:themeColor="text1"/>
                <w:sz w:val="22"/>
                <w:szCs w:val="22"/>
              </w:rPr>
              <w:t>Not employed</w:t>
            </w:r>
          </w:p>
        </w:tc>
        <w:tc>
          <w:tcPr>
            <w:tcW w:w="322" w:type="pct"/>
            <w:tcBorders>
              <w:top w:val="nil"/>
              <w:left w:val="double" w:sz="4" w:space="0" w:color="auto"/>
              <w:bottom w:val="nil"/>
              <w:right w:val="nil"/>
            </w:tcBorders>
            <w:shd w:val="clear" w:color="000000" w:fill="FFFFFF"/>
            <w:noWrap/>
            <w:vAlign w:val="bottom"/>
            <w:hideMark/>
          </w:tcPr>
          <w:p w14:paraId="21FB65A8" w14:textId="77777777" w:rsidR="005B6BB0" w:rsidRPr="00D14CD7" w:rsidRDefault="005B6BB0" w:rsidP="00286339">
            <w:pPr>
              <w:spacing w:after="0" w:line="240" w:lineRule="auto"/>
              <w:jc w:val="right"/>
              <w:rPr>
                <w:rFonts w:eastAsia="Times New Roman"/>
                <w:color w:val="000000" w:themeColor="text1"/>
                <w:sz w:val="22"/>
                <w:szCs w:val="22"/>
              </w:rPr>
            </w:pPr>
            <w:r w:rsidRPr="00D14CD7">
              <w:rPr>
                <w:rFonts w:eastAsia="Times New Roman"/>
                <w:color w:val="000000" w:themeColor="text1"/>
                <w:sz w:val="22"/>
                <w:szCs w:val="22"/>
              </w:rPr>
              <w:t>229</w:t>
            </w:r>
          </w:p>
        </w:tc>
        <w:tc>
          <w:tcPr>
            <w:tcW w:w="233" w:type="pct"/>
            <w:tcBorders>
              <w:top w:val="nil"/>
              <w:left w:val="nil"/>
              <w:bottom w:val="nil"/>
              <w:right w:val="single" w:sz="4" w:space="0" w:color="auto"/>
            </w:tcBorders>
            <w:shd w:val="clear" w:color="000000" w:fill="FFFFFF"/>
            <w:noWrap/>
            <w:vAlign w:val="bottom"/>
            <w:hideMark/>
          </w:tcPr>
          <w:p w14:paraId="4477B001" w14:textId="77777777" w:rsidR="005B6BB0" w:rsidRPr="00D14CD7" w:rsidRDefault="005B6BB0" w:rsidP="00286339">
            <w:pPr>
              <w:spacing w:after="0" w:line="240" w:lineRule="auto"/>
              <w:jc w:val="right"/>
              <w:rPr>
                <w:rFonts w:eastAsia="Times New Roman"/>
                <w:color w:val="000000" w:themeColor="text1"/>
                <w:sz w:val="22"/>
                <w:szCs w:val="22"/>
              </w:rPr>
            </w:pPr>
            <w:r w:rsidRPr="00D14CD7">
              <w:rPr>
                <w:rFonts w:eastAsia="Times New Roman"/>
                <w:color w:val="000000" w:themeColor="text1"/>
                <w:sz w:val="22"/>
                <w:szCs w:val="22"/>
              </w:rPr>
              <w:t>21.0</w:t>
            </w:r>
          </w:p>
        </w:tc>
        <w:tc>
          <w:tcPr>
            <w:tcW w:w="297" w:type="pct"/>
            <w:tcBorders>
              <w:top w:val="nil"/>
              <w:left w:val="single" w:sz="4" w:space="0" w:color="auto"/>
              <w:bottom w:val="nil"/>
              <w:right w:val="double" w:sz="6" w:space="0" w:color="auto"/>
            </w:tcBorders>
            <w:shd w:val="clear" w:color="000000" w:fill="FFFFFF"/>
            <w:noWrap/>
            <w:vAlign w:val="bottom"/>
            <w:hideMark/>
          </w:tcPr>
          <w:p w14:paraId="3EA7E543" w14:textId="77777777" w:rsidR="005B6BB0" w:rsidRPr="00D14CD7" w:rsidRDefault="005B6BB0" w:rsidP="00286339">
            <w:pPr>
              <w:spacing w:after="0" w:line="240" w:lineRule="auto"/>
              <w:jc w:val="right"/>
              <w:rPr>
                <w:rFonts w:eastAsia="Times New Roman"/>
                <w:color w:val="000000" w:themeColor="text1"/>
                <w:sz w:val="22"/>
                <w:szCs w:val="22"/>
              </w:rPr>
            </w:pPr>
            <w:r w:rsidRPr="00D14CD7">
              <w:rPr>
                <w:rFonts w:eastAsia="Times New Roman"/>
                <w:color w:val="000000" w:themeColor="text1"/>
                <w:sz w:val="22"/>
                <w:szCs w:val="22"/>
              </w:rPr>
              <w:t>24.0</w:t>
            </w:r>
          </w:p>
        </w:tc>
      </w:tr>
      <w:tr w:rsidR="00D14CD7" w:rsidRPr="00D14CD7" w14:paraId="68204936" w14:textId="77777777" w:rsidTr="005736F5">
        <w:trPr>
          <w:trHeight w:val="288"/>
        </w:trPr>
        <w:tc>
          <w:tcPr>
            <w:tcW w:w="1235" w:type="pct"/>
            <w:tcBorders>
              <w:top w:val="nil"/>
              <w:left w:val="double" w:sz="6" w:space="0" w:color="auto"/>
              <w:bottom w:val="nil"/>
              <w:right w:val="double" w:sz="4" w:space="0" w:color="auto"/>
            </w:tcBorders>
            <w:shd w:val="clear" w:color="000000" w:fill="FFFFFF"/>
            <w:noWrap/>
            <w:vAlign w:val="bottom"/>
            <w:hideMark/>
          </w:tcPr>
          <w:p w14:paraId="5AAA25AA" w14:textId="77777777" w:rsidR="005B6BB0" w:rsidRPr="00D14CD7" w:rsidRDefault="005B6BB0" w:rsidP="00286339">
            <w:pPr>
              <w:spacing w:after="0" w:line="240" w:lineRule="auto"/>
              <w:ind w:firstLine="139"/>
              <w:jc w:val="left"/>
              <w:rPr>
                <w:rFonts w:eastAsia="Times New Roman"/>
                <w:color w:val="000000" w:themeColor="text1"/>
                <w:sz w:val="22"/>
                <w:szCs w:val="22"/>
              </w:rPr>
            </w:pPr>
            <w:r w:rsidRPr="00D14CD7">
              <w:rPr>
                <w:rFonts w:eastAsia="Times New Roman"/>
                <w:color w:val="000000" w:themeColor="text1"/>
                <w:sz w:val="22"/>
                <w:szCs w:val="22"/>
              </w:rPr>
              <w:t xml:space="preserve">Undergraduate </w:t>
            </w:r>
          </w:p>
        </w:tc>
        <w:tc>
          <w:tcPr>
            <w:tcW w:w="441" w:type="pct"/>
            <w:tcBorders>
              <w:top w:val="nil"/>
              <w:left w:val="double" w:sz="4" w:space="0" w:color="auto"/>
              <w:bottom w:val="nil"/>
              <w:right w:val="nil"/>
            </w:tcBorders>
            <w:shd w:val="clear" w:color="000000" w:fill="FFFFFF"/>
            <w:noWrap/>
            <w:vAlign w:val="bottom"/>
            <w:hideMark/>
          </w:tcPr>
          <w:p w14:paraId="4C73CF03" w14:textId="77777777" w:rsidR="005B6BB0" w:rsidRPr="00D14CD7" w:rsidRDefault="005B6BB0" w:rsidP="00286339">
            <w:pPr>
              <w:spacing w:after="0" w:line="240" w:lineRule="auto"/>
              <w:jc w:val="right"/>
              <w:rPr>
                <w:rFonts w:eastAsia="Times New Roman"/>
                <w:color w:val="000000" w:themeColor="text1"/>
                <w:sz w:val="22"/>
                <w:szCs w:val="22"/>
              </w:rPr>
            </w:pPr>
            <w:r w:rsidRPr="00D14CD7">
              <w:rPr>
                <w:rFonts w:eastAsia="Times New Roman"/>
                <w:color w:val="000000" w:themeColor="text1"/>
                <w:sz w:val="22"/>
                <w:szCs w:val="22"/>
              </w:rPr>
              <w:t>377</w:t>
            </w:r>
          </w:p>
        </w:tc>
        <w:tc>
          <w:tcPr>
            <w:tcW w:w="233" w:type="pct"/>
            <w:tcBorders>
              <w:top w:val="nil"/>
              <w:left w:val="nil"/>
              <w:bottom w:val="nil"/>
              <w:right w:val="single" w:sz="4" w:space="0" w:color="auto"/>
            </w:tcBorders>
            <w:shd w:val="clear" w:color="000000" w:fill="FFFFFF"/>
            <w:noWrap/>
            <w:vAlign w:val="bottom"/>
            <w:hideMark/>
          </w:tcPr>
          <w:p w14:paraId="11D98148" w14:textId="77777777" w:rsidR="005B6BB0" w:rsidRPr="00D14CD7" w:rsidRDefault="005B6BB0" w:rsidP="00286339">
            <w:pPr>
              <w:spacing w:after="0" w:line="240" w:lineRule="auto"/>
              <w:jc w:val="right"/>
              <w:rPr>
                <w:rFonts w:eastAsia="Times New Roman"/>
                <w:color w:val="000000" w:themeColor="text1"/>
                <w:sz w:val="22"/>
                <w:szCs w:val="22"/>
              </w:rPr>
            </w:pPr>
            <w:r w:rsidRPr="00D14CD7">
              <w:rPr>
                <w:rFonts w:eastAsia="Times New Roman"/>
                <w:color w:val="000000" w:themeColor="text1"/>
                <w:sz w:val="22"/>
                <w:szCs w:val="22"/>
              </w:rPr>
              <w:t>34.5</w:t>
            </w:r>
          </w:p>
        </w:tc>
        <w:tc>
          <w:tcPr>
            <w:tcW w:w="297" w:type="pct"/>
            <w:tcBorders>
              <w:top w:val="nil"/>
              <w:left w:val="single" w:sz="4" w:space="0" w:color="auto"/>
              <w:bottom w:val="nil"/>
              <w:right w:val="double" w:sz="6" w:space="0" w:color="auto"/>
            </w:tcBorders>
            <w:shd w:val="clear" w:color="000000" w:fill="FFFFFF"/>
            <w:noWrap/>
            <w:vAlign w:val="bottom"/>
            <w:hideMark/>
          </w:tcPr>
          <w:p w14:paraId="60415CCE" w14:textId="77777777" w:rsidR="005B6BB0" w:rsidRPr="00D14CD7" w:rsidRDefault="005B6BB0" w:rsidP="00286339">
            <w:pPr>
              <w:spacing w:after="0" w:line="240" w:lineRule="auto"/>
              <w:jc w:val="right"/>
              <w:rPr>
                <w:rFonts w:eastAsia="Times New Roman"/>
                <w:color w:val="000000" w:themeColor="text1"/>
                <w:sz w:val="22"/>
                <w:szCs w:val="22"/>
              </w:rPr>
            </w:pPr>
            <w:r w:rsidRPr="00D14CD7">
              <w:rPr>
                <w:rFonts w:eastAsia="Times New Roman"/>
                <w:color w:val="000000" w:themeColor="text1"/>
                <w:sz w:val="22"/>
                <w:szCs w:val="22"/>
              </w:rPr>
              <w:t>19.9</w:t>
            </w:r>
          </w:p>
        </w:tc>
        <w:tc>
          <w:tcPr>
            <w:tcW w:w="1942" w:type="pct"/>
            <w:tcBorders>
              <w:top w:val="nil"/>
              <w:left w:val="nil"/>
              <w:bottom w:val="nil"/>
              <w:right w:val="double" w:sz="4" w:space="0" w:color="auto"/>
            </w:tcBorders>
            <w:shd w:val="clear" w:color="000000" w:fill="FFFFFF"/>
            <w:noWrap/>
            <w:vAlign w:val="bottom"/>
            <w:hideMark/>
          </w:tcPr>
          <w:p w14:paraId="469226C6" w14:textId="5F7B246E" w:rsidR="005B6BB0" w:rsidRPr="00D14CD7" w:rsidRDefault="005B6BB0" w:rsidP="00286339">
            <w:pPr>
              <w:spacing w:after="0" w:line="240" w:lineRule="auto"/>
              <w:ind w:firstLine="173"/>
              <w:jc w:val="left"/>
              <w:rPr>
                <w:rFonts w:eastAsia="Times New Roman"/>
                <w:color w:val="000000" w:themeColor="text1"/>
                <w:sz w:val="22"/>
                <w:szCs w:val="22"/>
              </w:rPr>
            </w:pPr>
            <w:r w:rsidRPr="00D14CD7">
              <w:rPr>
                <w:rFonts w:eastAsia="Times New Roman"/>
                <w:color w:val="000000" w:themeColor="text1"/>
                <w:sz w:val="22"/>
                <w:szCs w:val="22"/>
              </w:rPr>
              <w:t>Part-time employee</w:t>
            </w:r>
            <w:r w:rsidR="00D260C5" w:rsidRPr="00D14CD7">
              <w:rPr>
                <w:rFonts w:eastAsia="Times New Roman"/>
                <w:color w:val="000000" w:themeColor="text1"/>
                <w:sz w:val="22"/>
                <w:szCs w:val="22"/>
              </w:rPr>
              <w:t xml:space="preserve"> (≤30 hours per week)</w:t>
            </w:r>
          </w:p>
        </w:tc>
        <w:tc>
          <w:tcPr>
            <w:tcW w:w="322" w:type="pct"/>
            <w:tcBorders>
              <w:top w:val="nil"/>
              <w:left w:val="double" w:sz="4" w:space="0" w:color="auto"/>
              <w:bottom w:val="nil"/>
              <w:right w:val="nil"/>
            </w:tcBorders>
            <w:shd w:val="clear" w:color="000000" w:fill="FFFFFF"/>
            <w:noWrap/>
            <w:vAlign w:val="bottom"/>
            <w:hideMark/>
          </w:tcPr>
          <w:p w14:paraId="6FE64EE5" w14:textId="77777777" w:rsidR="005B6BB0" w:rsidRPr="00D14CD7" w:rsidRDefault="005B6BB0" w:rsidP="00286339">
            <w:pPr>
              <w:spacing w:after="0" w:line="240" w:lineRule="auto"/>
              <w:jc w:val="right"/>
              <w:rPr>
                <w:rFonts w:eastAsia="Times New Roman"/>
                <w:color w:val="000000" w:themeColor="text1"/>
                <w:sz w:val="22"/>
                <w:szCs w:val="22"/>
              </w:rPr>
            </w:pPr>
            <w:r w:rsidRPr="00D14CD7">
              <w:rPr>
                <w:rFonts w:eastAsia="Times New Roman"/>
                <w:color w:val="000000" w:themeColor="text1"/>
                <w:sz w:val="22"/>
                <w:szCs w:val="22"/>
              </w:rPr>
              <w:t>50</w:t>
            </w:r>
          </w:p>
        </w:tc>
        <w:tc>
          <w:tcPr>
            <w:tcW w:w="233" w:type="pct"/>
            <w:tcBorders>
              <w:top w:val="nil"/>
              <w:left w:val="nil"/>
              <w:bottom w:val="nil"/>
              <w:right w:val="single" w:sz="4" w:space="0" w:color="auto"/>
            </w:tcBorders>
            <w:shd w:val="clear" w:color="000000" w:fill="FFFFFF"/>
            <w:noWrap/>
            <w:vAlign w:val="bottom"/>
            <w:hideMark/>
          </w:tcPr>
          <w:p w14:paraId="716DA6A4" w14:textId="77777777" w:rsidR="005B6BB0" w:rsidRPr="00D14CD7" w:rsidRDefault="005B6BB0" w:rsidP="00286339">
            <w:pPr>
              <w:spacing w:after="0" w:line="240" w:lineRule="auto"/>
              <w:jc w:val="right"/>
              <w:rPr>
                <w:rFonts w:eastAsia="Times New Roman"/>
                <w:color w:val="000000" w:themeColor="text1"/>
                <w:sz w:val="22"/>
                <w:szCs w:val="22"/>
              </w:rPr>
            </w:pPr>
            <w:r w:rsidRPr="00D14CD7">
              <w:rPr>
                <w:rFonts w:eastAsia="Times New Roman"/>
                <w:color w:val="000000" w:themeColor="text1"/>
                <w:sz w:val="22"/>
                <w:szCs w:val="22"/>
              </w:rPr>
              <w:t>4.6</w:t>
            </w:r>
          </w:p>
        </w:tc>
        <w:tc>
          <w:tcPr>
            <w:tcW w:w="297" w:type="pct"/>
            <w:tcBorders>
              <w:top w:val="nil"/>
              <w:left w:val="single" w:sz="4" w:space="0" w:color="auto"/>
              <w:bottom w:val="nil"/>
              <w:right w:val="double" w:sz="6" w:space="0" w:color="auto"/>
            </w:tcBorders>
            <w:shd w:val="clear" w:color="000000" w:fill="FFFFFF"/>
            <w:noWrap/>
            <w:vAlign w:val="bottom"/>
            <w:hideMark/>
          </w:tcPr>
          <w:p w14:paraId="169EE0BC" w14:textId="77777777" w:rsidR="005B6BB0" w:rsidRPr="00D14CD7" w:rsidRDefault="005B6BB0" w:rsidP="00286339">
            <w:pPr>
              <w:spacing w:after="0" w:line="240" w:lineRule="auto"/>
              <w:jc w:val="right"/>
              <w:rPr>
                <w:rFonts w:eastAsia="Times New Roman"/>
                <w:color w:val="000000" w:themeColor="text1"/>
                <w:sz w:val="22"/>
                <w:szCs w:val="22"/>
              </w:rPr>
            </w:pPr>
            <w:r w:rsidRPr="00D14CD7">
              <w:rPr>
                <w:rFonts w:eastAsia="Times New Roman"/>
                <w:color w:val="000000" w:themeColor="text1"/>
                <w:sz w:val="22"/>
                <w:szCs w:val="22"/>
              </w:rPr>
              <w:t>14.9</w:t>
            </w:r>
          </w:p>
        </w:tc>
      </w:tr>
      <w:tr w:rsidR="00D14CD7" w:rsidRPr="00D14CD7" w14:paraId="79EBAC41" w14:textId="77777777" w:rsidTr="005736F5">
        <w:trPr>
          <w:trHeight w:val="288"/>
        </w:trPr>
        <w:tc>
          <w:tcPr>
            <w:tcW w:w="1235" w:type="pct"/>
            <w:tcBorders>
              <w:top w:val="nil"/>
              <w:left w:val="double" w:sz="6" w:space="0" w:color="auto"/>
              <w:bottom w:val="nil"/>
              <w:right w:val="double" w:sz="4" w:space="0" w:color="auto"/>
            </w:tcBorders>
            <w:shd w:val="clear" w:color="000000" w:fill="FFFFFF"/>
            <w:noWrap/>
            <w:vAlign w:val="bottom"/>
            <w:hideMark/>
          </w:tcPr>
          <w:p w14:paraId="39A5904F" w14:textId="77777777" w:rsidR="005B6BB0" w:rsidRPr="00D14CD7" w:rsidRDefault="005B6BB0" w:rsidP="00286339">
            <w:pPr>
              <w:spacing w:after="0" w:line="240" w:lineRule="auto"/>
              <w:ind w:firstLine="139"/>
              <w:jc w:val="left"/>
              <w:rPr>
                <w:rFonts w:eastAsia="Times New Roman"/>
                <w:color w:val="000000" w:themeColor="text1"/>
                <w:sz w:val="22"/>
                <w:szCs w:val="22"/>
              </w:rPr>
            </w:pPr>
            <w:r w:rsidRPr="00D14CD7">
              <w:rPr>
                <w:rFonts w:eastAsia="Times New Roman"/>
                <w:color w:val="000000" w:themeColor="text1"/>
                <w:sz w:val="22"/>
                <w:szCs w:val="22"/>
              </w:rPr>
              <w:t xml:space="preserve">Graduate </w:t>
            </w:r>
          </w:p>
        </w:tc>
        <w:tc>
          <w:tcPr>
            <w:tcW w:w="441" w:type="pct"/>
            <w:tcBorders>
              <w:top w:val="nil"/>
              <w:left w:val="double" w:sz="4" w:space="0" w:color="auto"/>
              <w:bottom w:val="nil"/>
              <w:right w:val="nil"/>
            </w:tcBorders>
            <w:shd w:val="clear" w:color="000000" w:fill="FFFFFF"/>
            <w:noWrap/>
            <w:vAlign w:val="bottom"/>
            <w:hideMark/>
          </w:tcPr>
          <w:p w14:paraId="1F9DEB90" w14:textId="77777777" w:rsidR="005B6BB0" w:rsidRPr="00D14CD7" w:rsidRDefault="005B6BB0" w:rsidP="00286339">
            <w:pPr>
              <w:spacing w:after="0" w:line="240" w:lineRule="auto"/>
              <w:jc w:val="right"/>
              <w:rPr>
                <w:rFonts w:eastAsia="Times New Roman"/>
                <w:color w:val="000000" w:themeColor="text1"/>
                <w:sz w:val="22"/>
                <w:szCs w:val="22"/>
              </w:rPr>
            </w:pPr>
            <w:r w:rsidRPr="00D14CD7">
              <w:rPr>
                <w:rFonts w:eastAsia="Times New Roman"/>
                <w:color w:val="000000" w:themeColor="text1"/>
                <w:sz w:val="22"/>
                <w:szCs w:val="22"/>
              </w:rPr>
              <w:t>513</w:t>
            </w:r>
          </w:p>
        </w:tc>
        <w:tc>
          <w:tcPr>
            <w:tcW w:w="233" w:type="pct"/>
            <w:tcBorders>
              <w:top w:val="nil"/>
              <w:left w:val="nil"/>
              <w:bottom w:val="nil"/>
              <w:right w:val="single" w:sz="4" w:space="0" w:color="auto"/>
            </w:tcBorders>
            <w:shd w:val="clear" w:color="000000" w:fill="FFFFFF"/>
            <w:noWrap/>
            <w:vAlign w:val="bottom"/>
            <w:hideMark/>
          </w:tcPr>
          <w:p w14:paraId="0862A405" w14:textId="77777777" w:rsidR="005B6BB0" w:rsidRPr="00D14CD7" w:rsidRDefault="005B6BB0" w:rsidP="00286339">
            <w:pPr>
              <w:spacing w:after="0" w:line="240" w:lineRule="auto"/>
              <w:jc w:val="right"/>
              <w:rPr>
                <w:rFonts w:eastAsia="Times New Roman"/>
                <w:color w:val="000000" w:themeColor="text1"/>
                <w:sz w:val="22"/>
                <w:szCs w:val="22"/>
              </w:rPr>
            </w:pPr>
            <w:r w:rsidRPr="00D14CD7">
              <w:rPr>
                <w:rFonts w:eastAsia="Times New Roman"/>
                <w:color w:val="000000" w:themeColor="text1"/>
                <w:sz w:val="22"/>
                <w:szCs w:val="22"/>
              </w:rPr>
              <w:t>47.0</w:t>
            </w:r>
          </w:p>
        </w:tc>
        <w:tc>
          <w:tcPr>
            <w:tcW w:w="297" w:type="pct"/>
            <w:tcBorders>
              <w:top w:val="nil"/>
              <w:left w:val="single" w:sz="4" w:space="0" w:color="auto"/>
              <w:bottom w:val="nil"/>
              <w:right w:val="double" w:sz="6" w:space="0" w:color="auto"/>
            </w:tcBorders>
            <w:shd w:val="clear" w:color="000000" w:fill="FFFFFF"/>
            <w:noWrap/>
            <w:vAlign w:val="bottom"/>
            <w:hideMark/>
          </w:tcPr>
          <w:p w14:paraId="4B3B09D7" w14:textId="77777777" w:rsidR="005B6BB0" w:rsidRPr="00D14CD7" w:rsidRDefault="005B6BB0" w:rsidP="00286339">
            <w:pPr>
              <w:spacing w:after="0" w:line="240" w:lineRule="auto"/>
              <w:jc w:val="right"/>
              <w:rPr>
                <w:rFonts w:eastAsia="Times New Roman"/>
                <w:color w:val="000000" w:themeColor="text1"/>
                <w:sz w:val="22"/>
                <w:szCs w:val="22"/>
              </w:rPr>
            </w:pPr>
            <w:r w:rsidRPr="00D14CD7">
              <w:rPr>
                <w:rFonts w:eastAsia="Times New Roman"/>
                <w:color w:val="000000" w:themeColor="text1"/>
                <w:sz w:val="22"/>
                <w:szCs w:val="22"/>
              </w:rPr>
              <w:t>10.8</w:t>
            </w:r>
          </w:p>
        </w:tc>
        <w:tc>
          <w:tcPr>
            <w:tcW w:w="1942" w:type="pct"/>
            <w:tcBorders>
              <w:top w:val="nil"/>
              <w:left w:val="nil"/>
              <w:bottom w:val="single" w:sz="4" w:space="0" w:color="auto"/>
              <w:right w:val="double" w:sz="4" w:space="0" w:color="auto"/>
            </w:tcBorders>
            <w:shd w:val="clear" w:color="000000" w:fill="FFFFFF"/>
            <w:noWrap/>
            <w:vAlign w:val="bottom"/>
            <w:hideMark/>
          </w:tcPr>
          <w:p w14:paraId="32F55586" w14:textId="79EF7B14" w:rsidR="005B6BB0" w:rsidRPr="00D14CD7" w:rsidRDefault="005B6BB0" w:rsidP="00286339">
            <w:pPr>
              <w:spacing w:after="0" w:line="240" w:lineRule="auto"/>
              <w:ind w:firstLine="173"/>
              <w:jc w:val="left"/>
              <w:rPr>
                <w:rFonts w:eastAsia="Times New Roman"/>
                <w:color w:val="000000" w:themeColor="text1"/>
                <w:sz w:val="22"/>
                <w:szCs w:val="22"/>
              </w:rPr>
            </w:pPr>
            <w:r w:rsidRPr="00D14CD7">
              <w:rPr>
                <w:rFonts w:eastAsia="Times New Roman"/>
                <w:color w:val="000000" w:themeColor="text1"/>
                <w:sz w:val="22"/>
                <w:szCs w:val="22"/>
              </w:rPr>
              <w:t>Full-time employee</w:t>
            </w:r>
            <w:r w:rsidR="00D260C5" w:rsidRPr="00D14CD7">
              <w:rPr>
                <w:rFonts w:eastAsia="Times New Roman"/>
                <w:color w:val="000000" w:themeColor="text1"/>
                <w:sz w:val="22"/>
                <w:szCs w:val="22"/>
              </w:rPr>
              <w:t xml:space="preserve"> (&gt;30 hours per week)</w:t>
            </w:r>
          </w:p>
        </w:tc>
        <w:tc>
          <w:tcPr>
            <w:tcW w:w="322" w:type="pct"/>
            <w:tcBorders>
              <w:top w:val="nil"/>
              <w:left w:val="double" w:sz="4" w:space="0" w:color="auto"/>
              <w:bottom w:val="single" w:sz="4" w:space="0" w:color="auto"/>
              <w:right w:val="nil"/>
            </w:tcBorders>
            <w:shd w:val="clear" w:color="000000" w:fill="FFFFFF"/>
            <w:noWrap/>
            <w:vAlign w:val="bottom"/>
            <w:hideMark/>
          </w:tcPr>
          <w:p w14:paraId="08DEB60C" w14:textId="77777777" w:rsidR="005B6BB0" w:rsidRPr="00D14CD7" w:rsidRDefault="005B6BB0" w:rsidP="00286339">
            <w:pPr>
              <w:spacing w:after="0" w:line="240" w:lineRule="auto"/>
              <w:jc w:val="right"/>
              <w:rPr>
                <w:rFonts w:eastAsia="Times New Roman"/>
                <w:color w:val="000000" w:themeColor="text1"/>
                <w:sz w:val="22"/>
                <w:szCs w:val="22"/>
              </w:rPr>
            </w:pPr>
            <w:r w:rsidRPr="00D14CD7">
              <w:rPr>
                <w:rFonts w:eastAsia="Times New Roman"/>
                <w:color w:val="000000" w:themeColor="text1"/>
                <w:sz w:val="22"/>
                <w:szCs w:val="22"/>
              </w:rPr>
              <w:t>813</w:t>
            </w:r>
          </w:p>
        </w:tc>
        <w:tc>
          <w:tcPr>
            <w:tcW w:w="233" w:type="pct"/>
            <w:tcBorders>
              <w:top w:val="nil"/>
              <w:left w:val="nil"/>
              <w:bottom w:val="single" w:sz="4" w:space="0" w:color="auto"/>
              <w:right w:val="single" w:sz="4" w:space="0" w:color="auto"/>
            </w:tcBorders>
            <w:shd w:val="clear" w:color="000000" w:fill="FFFFFF"/>
            <w:noWrap/>
            <w:vAlign w:val="bottom"/>
            <w:hideMark/>
          </w:tcPr>
          <w:p w14:paraId="62FA9EF5" w14:textId="77777777" w:rsidR="005B6BB0" w:rsidRPr="00D14CD7" w:rsidRDefault="005B6BB0" w:rsidP="00286339">
            <w:pPr>
              <w:spacing w:after="0" w:line="240" w:lineRule="auto"/>
              <w:jc w:val="right"/>
              <w:rPr>
                <w:rFonts w:eastAsia="Times New Roman"/>
                <w:color w:val="000000" w:themeColor="text1"/>
                <w:sz w:val="22"/>
                <w:szCs w:val="22"/>
              </w:rPr>
            </w:pPr>
            <w:r w:rsidRPr="00D14CD7">
              <w:rPr>
                <w:rFonts w:eastAsia="Times New Roman"/>
                <w:color w:val="000000" w:themeColor="text1"/>
                <w:sz w:val="22"/>
                <w:szCs w:val="22"/>
              </w:rPr>
              <w:t>74.4</w:t>
            </w:r>
          </w:p>
        </w:tc>
        <w:tc>
          <w:tcPr>
            <w:tcW w:w="297" w:type="pct"/>
            <w:tcBorders>
              <w:top w:val="nil"/>
              <w:left w:val="single" w:sz="4" w:space="0" w:color="auto"/>
              <w:bottom w:val="single" w:sz="4" w:space="0" w:color="auto"/>
              <w:right w:val="double" w:sz="6" w:space="0" w:color="auto"/>
            </w:tcBorders>
            <w:shd w:val="clear" w:color="000000" w:fill="FFFFFF"/>
            <w:noWrap/>
            <w:vAlign w:val="bottom"/>
            <w:hideMark/>
          </w:tcPr>
          <w:p w14:paraId="43B10A79" w14:textId="77777777" w:rsidR="005B6BB0" w:rsidRPr="00D14CD7" w:rsidRDefault="005B6BB0" w:rsidP="00286339">
            <w:pPr>
              <w:spacing w:after="0" w:line="240" w:lineRule="auto"/>
              <w:jc w:val="right"/>
              <w:rPr>
                <w:rFonts w:eastAsia="Times New Roman"/>
                <w:color w:val="000000" w:themeColor="text1"/>
                <w:sz w:val="22"/>
                <w:szCs w:val="22"/>
              </w:rPr>
            </w:pPr>
            <w:r w:rsidRPr="00D14CD7">
              <w:rPr>
                <w:rFonts w:eastAsia="Times New Roman"/>
                <w:color w:val="000000" w:themeColor="text1"/>
                <w:sz w:val="22"/>
                <w:szCs w:val="22"/>
              </w:rPr>
              <w:t>61.1</w:t>
            </w:r>
          </w:p>
        </w:tc>
      </w:tr>
      <w:tr w:rsidR="00D14CD7" w:rsidRPr="00D14CD7" w14:paraId="7C6455F6" w14:textId="77777777" w:rsidTr="006C0A51">
        <w:trPr>
          <w:trHeight w:val="288"/>
        </w:trPr>
        <w:tc>
          <w:tcPr>
            <w:tcW w:w="2206" w:type="pct"/>
            <w:gridSpan w:val="4"/>
            <w:tcBorders>
              <w:top w:val="single" w:sz="4" w:space="0" w:color="auto"/>
              <w:left w:val="double" w:sz="6" w:space="0" w:color="auto"/>
              <w:bottom w:val="single" w:sz="4" w:space="0" w:color="auto"/>
              <w:right w:val="double" w:sz="6" w:space="0" w:color="auto"/>
            </w:tcBorders>
            <w:shd w:val="clear" w:color="000000" w:fill="FFFFFF"/>
            <w:noWrap/>
            <w:vAlign w:val="center"/>
            <w:hideMark/>
          </w:tcPr>
          <w:p w14:paraId="2335FE5B" w14:textId="157AB1E6" w:rsidR="005736F5" w:rsidRPr="00D14CD7" w:rsidRDefault="005736F5">
            <w:pPr>
              <w:spacing w:after="0" w:line="240" w:lineRule="auto"/>
              <w:jc w:val="left"/>
              <w:rPr>
                <w:rFonts w:eastAsia="Times New Roman"/>
                <w:color w:val="000000" w:themeColor="text1"/>
                <w:sz w:val="22"/>
                <w:szCs w:val="22"/>
              </w:rPr>
            </w:pPr>
            <w:r w:rsidRPr="00D14CD7">
              <w:rPr>
                <w:rFonts w:eastAsia="Times New Roman"/>
                <w:b/>
                <w:bCs/>
                <w:color w:val="000000" w:themeColor="text1"/>
                <w:sz w:val="22"/>
                <w:szCs w:val="22"/>
              </w:rPr>
              <w:t>Household Characteristics</w:t>
            </w:r>
          </w:p>
        </w:tc>
        <w:tc>
          <w:tcPr>
            <w:tcW w:w="1942" w:type="pct"/>
            <w:tcBorders>
              <w:top w:val="nil"/>
              <w:left w:val="nil"/>
              <w:bottom w:val="nil"/>
              <w:right w:val="double" w:sz="4" w:space="0" w:color="auto"/>
            </w:tcBorders>
            <w:shd w:val="clear" w:color="000000" w:fill="FFFFFF"/>
            <w:noWrap/>
            <w:vAlign w:val="bottom"/>
            <w:hideMark/>
          </w:tcPr>
          <w:p w14:paraId="696B9C02" w14:textId="77777777" w:rsidR="005736F5" w:rsidRPr="00D14CD7" w:rsidRDefault="005736F5" w:rsidP="00286339">
            <w:pPr>
              <w:spacing w:after="0" w:line="240" w:lineRule="auto"/>
              <w:jc w:val="left"/>
              <w:rPr>
                <w:rFonts w:eastAsia="Times New Roman"/>
                <w:b/>
                <w:bCs/>
                <w:i/>
                <w:iCs/>
                <w:color w:val="000000" w:themeColor="text1"/>
                <w:sz w:val="22"/>
                <w:szCs w:val="22"/>
              </w:rPr>
            </w:pPr>
            <w:r w:rsidRPr="00D14CD7">
              <w:rPr>
                <w:rFonts w:eastAsia="Times New Roman"/>
                <w:b/>
                <w:bCs/>
                <w:i/>
                <w:iCs/>
                <w:color w:val="000000" w:themeColor="text1"/>
                <w:sz w:val="22"/>
                <w:szCs w:val="22"/>
              </w:rPr>
              <w:t>Self-employment</w:t>
            </w:r>
          </w:p>
        </w:tc>
        <w:tc>
          <w:tcPr>
            <w:tcW w:w="322" w:type="pct"/>
            <w:tcBorders>
              <w:top w:val="nil"/>
              <w:left w:val="double" w:sz="4" w:space="0" w:color="auto"/>
              <w:bottom w:val="nil"/>
              <w:right w:val="nil"/>
            </w:tcBorders>
            <w:shd w:val="clear" w:color="000000" w:fill="FFFFFF"/>
            <w:noWrap/>
            <w:vAlign w:val="bottom"/>
            <w:hideMark/>
          </w:tcPr>
          <w:p w14:paraId="604CE658" w14:textId="77777777" w:rsidR="005736F5" w:rsidRPr="00D14CD7" w:rsidRDefault="005736F5" w:rsidP="00286339">
            <w:pPr>
              <w:spacing w:after="0" w:line="240" w:lineRule="auto"/>
              <w:jc w:val="left"/>
              <w:rPr>
                <w:rFonts w:eastAsia="Times New Roman"/>
                <w:color w:val="000000" w:themeColor="text1"/>
                <w:sz w:val="22"/>
                <w:szCs w:val="22"/>
              </w:rPr>
            </w:pPr>
            <w:r w:rsidRPr="00D14CD7">
              <w:rPr>
                <w:rFonts w:eastAsia="Times New Roman"/>
                <w:color w:val="000000" w:themeColor="text1"/>
                <w:sz w:val="22"/>
                <w:szCs w:val="22"/>
              </w:rPr>
              <w:t> </w:t>
            </w:r>
          </w:p>
        </w:tc>
        <w:tc>
          <w:tcPr>
            <w:tcW w:w="233" w:type="pct"/>
            <w:tcBorders>
              <w:top w:val="nil"/>
              <w:left w:val="nil"/>
              <w:bottom w:val="nil"/>
              <w:right w:val="single" w:sz="4" w:space="0" w:color="auto"/>
            </w:tcBorders>
            <w:shd w:val="clear" w:color="000000" w:fill="FFFFFF"/>
            <w:noWrap/>
            <w:vAlign w:val="bottom"/>
            <w:hideMark/>
          </w:tcPr>
          <w:p w14:paraId="012DB436" w14:textId="77777777" w:rsidR="005736F5" w:rsidRPr="00D14CD7" w:rsidRDefault="005736F5" w:rsidP="00286339">
            <w:pPr>
              <w:spacing w:after="0" w:line="240" w:lineRule="auto"/>
              <w:jc w:val="left"/>
              <w:rPr>
                <w:rFonts w:eastAsia="Times New Roman"/>
                <w:color w:val="000000" w:themeColor="text1"/>
                <w:sz w:val="22"/>
                <w:szCs w:val="22"/>
              </w:rPr>
            </w:pPr>
            <w:r w:rsidRPr="00D14CD7">
              <w:rPr>
                <w:rFonts w:eastAsia="Times New Roman"/>
                <w:color w:val="000000" w:themeColor="text1"/>
                <w:sz w:val="22"/>
                <w:szCs w:val="22"/>
              </w:rPr>
              <w:t> </w:t>
            </w:r>
          </w:p>
        </w:tc>
        <w:tc>
          <w:tcPr>
            <w:tcW w:w="297" w:type="pct"/>
            <w:tcBorders>
              <w:top w:val="nil"/>
              <w:left w:val="single" w:sz="4" w:space="0" w:color="auto"/>
              <w:bottom w:val="nil"/>
              <w:right w:val="double" w:sz="6" w:space="0" w:color="auto"/>
            </w:tcBorders>
            <w:shd w:val="clear" w:color="000000" w:fill="FFFFFF"/>
            <w:noWrap/>
            <w:vAlign w:val="bottom"/>
            <w:hideMark/>
          </w:tcPr>
          <w:p w14:paraId="516720DB" w14:textId="77777777" w:rsidR="005736F5" w:rsidRPr="00D14CD7" w:rsidRDefault="005736F5" w:rsidP="00286339">
            <w:pPr>
              <w:spacing w:after="0" w:line="240" w:lineRule="auto"/>
              <w:jc w:val="left"/>
              <w:rPr>
                <w:rFonts w:eastAsia="Times New Roman"/>
                <w:color w:val="000000" w:themeColor="text1"/>
                <w:sz w:val="22"/>
                <w:szCs w:val="22"/>
              </w:rPr>
            </w:pPr>
            <w:r w:rsidRPr="00D14CD7">
              <w:rPr>
                <w:rFonts w:eastAsia="Times New Roman"/>
                <w:color w:val="000000" w:themeColor="text1"/>
                <w:sz w:val="22"/>
                <w:szCs w:val="22"/>
              </w:rPr>
              <w:t> </w:t>
            </w:r>
          </w:p>
        </w:tc>
      </w:tr>
      <w:tr w:rsidR="00D14CD7" w:rsidRPr="00D14CD7" w14:paraId="4752ABA8" w14:textId="77777777" w:rsidTr="005736F5">
        <w:trPr>
          <w:trHeight w:val="300"/>
        </w:trPr>
        <w:tc>
          <w:tcPr>
            <w:tcW w:w="1235" w:type="pct"/>
            <w:tcBorders>
              <w:top w:val="nil"/>
              <w:left w:val="double" w:sz="6" w:space="0" w:color="auto"/>
              <w:bottom w:val="nil"/>
              <w:right w:val="double" w:sz="4" w:space="0" w:color="auto"/>
            </w:tcBorders>
            <w:shd w:val="clear" w:color="000000" w:fill="FFFFFF"/>
            <w:noWrap/>
            <w:vAlign w:val="bottom"/>
            <w:hideMark/>
          </w:tcPr>
          <w:p w14:paraId="3042B2F5" w14:textId="77777777" w:rsidR="005B6BB0" w:rsidRPr="00D14CD7" w:rsidRDefault="005B6BB0" w:rsidP="00286339">
            <w:pPr>
              <w:spacing w:after="0" w:line="240" w:lineRule="auto"/>
              <w:jc w:val="left"/>
              <w:rPr>
                <w:rFonts w:eastAsia="Times New Roman"/>
                <w:b/>
                <w:bCs/>
                <w:i/>
                <w:iCs/>
                <w:color w:val="000000" w:themeColor="text1"/>
                <w:sz w:val="22"/>
                <w:szCs w:val="22"/>
              </w:rPr>
            </w:pPr>
            <w:r w:rsidRPr="00D14CD7">
              <w:rPr>
                <w:rFonts w:eastAsia="Times New Roman"/>
                <w:b/>
                <w:bCs/>
                <w:i/>
                <w:iCs/>
                <w:color w:val="000000" w:themeColor="text1"/>
                <w:sz w:val="22"/>
                <w:szCs w:val="22"/>
              </w:rPr>
              <w:t>Annual income</w:t>
            </w:r>
          </w:p>
        </w:tc>
        <w:tc>
          <w:tcPr>
            <w:tcW w:w="441" w:type="pct"/>
            <w:tcBorders>
              <w:top w:val="nil"/>
              <w:left w:val="double" w:sz="4" w:space="0" w:color="auto"/>
              <w:bottom w:val="nil"/>
              <w:right w:val="nil"/>
            </w:tcBorders>
            <w:shd w:val="clear" w:color="000000" w:fill="FFFFFF"/>
            <w:noWrap/>
            <w:vAlign w:val="bottom"/>
            <w:hideMark/>
          </w:tcPr>
          <w:p w14:paraId="09D82CC3" w14:textId="77777777" w:rsidR="005B6BB0" w:rsidRPr="00D14CD7" w:rsidRDefault="005B6BB0" w:rsidP="00286339">
            <w:pPr>
              <w:spacing w:after="0" w:line="240" w:lineRule="auto"/>
              <w:jc w:val="left"/>
              <w:rPr>
                <w:rFonts w:eastAsia="Times New Roman"/>
                <w:color w:val="000000" w:themeColor="text1"/>
                <w:sz w:val="22"/>
                <w:szCs w:val="22"/>
              </w:rPr>
            </w:pPr>
            <w:r w:rsidRPr="00D14CD7">
              <w:rPr>
                <w:rFonts w:eastAsia="Times New Roman"/>
                <w:color w:val="000000" w:themeColor="text1"/>
                <w:sz w:val="22"/>
                <w:szCs w:val="22"/>
              </w:rPr>
              <w:t> </w:t>
            </w:r>
          </w:p>
        </w:tc>
        <w:tc>
          <w:tcPr>
            <w:tcW w:w="233" w:type="pct"/>
            <w:tcBorders>
              <w:top w:val="nil"/>
              <w:left w:val="nil"/>
              <w:bottom w:val="nil"/>
              <w:right w:val="single" w:sz="4" w:space="0" w:color="auto"/>
            </w:tcBorders>
            <w:shd w:val="clear" w:color="000000" w:fill="FFFFFF"/>
            <w:noWrap/>
            <w:vAlign w:val="bottom"/>
            <w:hideMark/>
          </w:tcPr>
          <w:p w14:paraId="4539DA74" w14:textId="77777777" w:rsidR="005B6BB0" w:rsidRPr="00D14CD7" w:rsidRDefault="005B6BB0" w:rsidP="00286339">
            <w:pPr>
              <w:spacing w:after="0" w:line="240" w:lineRule="auto"/>
              <w:jc w:val="left"/>
              <w:rPr>
                <w:rFonts w:eastAsia="Times New Roman"/>
                <w:color w:val="000000" w:themeColor="text1"/>
                <w:sz w:val="22"/>
                <w:szCs w:val="22"/>
              </w:rPr>
            </w:pPr>
            <w:r w:rsidRPr="00D14CD7">
              <w:rPr>
                <w:rFonts w:eastAsia="Times New Roman"/>
                <w:color w:val="000000" w:themeColor="text1"/>
                <w:sz w:val="22"/>
                <w:szCs w:val="22"/>
              </w:rPr>
              <w:t> </w:t>
            </w:r>
          </w:p>
        </w:tc>
        <w:tc>
          <w:tcPr>
            <w:tcW w:w="297" w:type="pct"/>
            <w:tcBorders>
              <w:top w:val="nil"/>
              <w:left w:val="single" w:sz="4" w:space="0" w:color="auto"/>
              <w:bottom w:val="nil"/>
              <w:right w:val="double" w:sz="6" w:space="0" w:color="auto"/>
            </w:tcBorders>
            <w:shd w:val="clear" w:color="000000" w:fill="FFFFFF"/>
            <w:noWrap/>
            <w:vAlign w:val="bottom"/>
            <w:hideMark/>
          </w:tcPr>
          <w:p w14:paraId="577E7506" w14:textId="77777777" w:rsidR="005B6BB0" w:rsidRPr="00D14CD7" w:rsidRDefault="005B6BB0" w:rsidP="00286339">
            <w:pPr>
              <w:spacing w:after="0" w:line="240" w:lineRule="auto"/>
              <w:jc w:val="left"/>
              <w:rPr>
                <w:rFonts w:eastAsia="Times New Roman"/>
                <w:color w:val="000000" w:themeColor="text1"/>
                <w:sz w:val="22"/>
                <w:szCs w:val="22"/>
              </w:rPr>
            </w:pPr>
            <w:r w:rsidRPr="00D14CD7">
              <w:rPr>
                <w:rFonts w:eastAsia="Times New Roman"/>
                <w:color w:val="000000" w:themeColor="text1"/>
                <w:sz w:val="22"/>
                <w:szCs w:val="22"/>
              </w:rPr>
              <w:t> </w:t>
            </w:r>
          </w:p>
        </w:tc>
        <w:tc>
          <w:tcPr>
            <w:tcW w:w="1942" w:type="pct"/>
            <w:tcBorders>
              <w:top w:val="nil"/>
              <w:left w:val="nil"/>
              <w:bottom w:val="nil"/>
              <w:right w:val="double" w:sz="4" w:space="0" w:color="auto"/>
            </w:tcBorders>
            <w:shd w:val="clear" w:color="000000" w:fill="FFFFFF"/>
            <w:noWrap/>
            <w:vAlign w:val="center"/>
            <w:hideMark/>
          </w:tcPr>
          <w:p w14:paraId="295C3BB3" w14:textId="77777777" w:rsidR="005B6BB0" w:rsidRPr="00D14CD7" w:rsidRDefault="005B6BB0" w:rsidP="00286339">
            <w:pPr>
              <w:spacing w:after="0" w:line="240" w:lineRule="auto"/>
              <w:ind w:firstLine="173"/>
              <w:jc w:val="left"/>
              <w:rPr>
                <w:rFonts w:eastAsia="Times New Roman"/>
                <w:color w:val="000000" w:themeColor="text1"/>
                <w:sz w:val="22"/>
                <w:szCs w:val="22"/>
              </w:rPr>
            </w:pPr>
            <w:r w:rsidRPr="00D14CD7">
              <w:rPr>
                <w:rFonts w:eastAsia="Times New Roman"/>
                <w:color w:val="000000" w:themeColor="text1"/>
                <w:sz w:val="22"/>
                <w:szCs w:val="22"/>
              </w:rPr>
              <w:t>Self-employed</w:t>
            </w:r>
          </w:p>
        </w:tc>
        <w:tc>
          <w:tcPr>
            <w:tcW w:w="322" w:type="pct"/>
            <w:tcBorders>
              <w:top w:val="nil"/>
              <w:left w:val="double" w:sz="4" w:space="0" w:color="auto"/>
              <w:bottom w:val="nil"/>
              <w:right w:val="nil"/>
            </w:tcBorders>
            <w:shd w:val="clear" w:color="000000" w:fill="FFFFFF"/>
            <w:noWrap/>
            <w:vAlign w:val="bottom"/>
            <w:hideMark/>
          </w:tcPr>
          <w:p w14:paraId="526B17AB" w14:textId="77777777" w:rsidR="005B6BB0" w:rsidRPr="00D14CD7" w:rsidRDefault="005B6BB0" w:rsidP="00286339">
            <w:pPr>
              <w:spacing w:after="0" w:line="240" w:lineRule="auto"/>
              <w:jc w:val="right"/>
              <w:rPr>
                <w:rFonts w:eastAsia="Times New Roman"/>
                <w:color w:val="000000" w:themeColor="text1"/>
                <w:sz w:val="22"/>
                <w:szCs w:val="22"/>
              </w:rPr>
            </w:pPr>
            <w:r w:rsidRPr="00D14CD7">
              <w:rPr>
                <w:rFonts w:eastAsia="Times New Roman"/>
                <w:color w:val="000000" w:themeColor="text1"/>
                <w:sz w:val="22"/>
                <w:szCs w:val="22"/>
              </w:rPr>
              <w:t>104</w:t>
            </w:r>
          </w:p>
        </w:tc>
        <w:tc>
          <w:tcPr>
            <w:tcW w:w="233" w:type="pct"/>
            <w:tcBorders>
              <w:top w:val="nil"/>
              <w:left w:val="nil"/>
              <w:bottom w:val="nil"/>
              <w:right w:val="single" w:sz="4" w:space="0" w:color="auto"/>
            </w:tcBorders>
            <w:shd w:val="clear" w:color="000000" w:fill="FFFFFF"/>
            <w:noWrap/>
            <w:vAlign w:val="bottom"/>
            <w:hideMark/>
          </w:tcPr>
          <w:p w14:paraId="7177EC8F" w14:textId="77777777" w:rsidR="005B6BB0" w:rsidRPr="00D14CD7" w:rsidRDefault="005B6BB0" w:rsidP="00286339">
            <w:pPr>
              <w:spacing w:after="0" w:line="240" w:lineRule="auto"/>
              <w:jc w:val="right"/>
              <w:rPr>
                <w:rFonts w:eastAsia="Times New Roman"/>
                <w:color w:val="000000" w:themeColor="text1"/>
                <w:sz w:val="22"/>
                <w:szCs w:val="22"/>
              </w:rPr>
            </w:pPr>
            <w:r w:rsidRPr="00D14CD7">
              <w:rPr>
                <w:rFonts w:eastAsia="Times New Roman"/>
                <w:color w:val="000000" w:themeColor="text1"/>
                <w:sz w:val="22"/>
                <w:szCs w:val="22"/>
              </w:rPr>
              <w:t>9.5</w:t>
            </w:r>
          </w:p>
        </w:tc>
        <w:tc>
          <w:tcPr>
            <w:tcW w:w="297" w:type="pct"/>
            <w:tcBorders>
              <w:top w:val="nil"/>
              <w:left w:val="single" w:sz="4" w:space="0" w:color="auto"/>
              <w:bottom w:val="nil"/>
              <w:right w:val="double" w:sz="6" w:space="0" w:color="auto"/>
            </w:tcBorders>
            <w:shd w:val="clear" w:color="000000" w:fill="FFFFFF"/>
            <w:noWrap/>
            <w:vAlign w:val="bottom"/>
            <w:hideMark/>
          </w:tcPr>
          <w:p w14:paraId="20BB2A4E" w14:textId="77777777" w:rsidR="005B6BB0" w:rsidRPr="00D14CD7" w:rsidRDefault="005B6BB0" w:rsidP="00286339">
            <w:pPr>
              <w:spacing w:after="0" w:line="240" w:lineRule="auto"/>
              <w:jc w:val="right"/>
              <w:rPr>
                <w:rFonts w:eastAsia="Times New Roman"/>
                <w:color w:val="000000" w:themeColor="text1"/>
                <w:sz w:val="22"/>
                <w:szCs w:val="22"/>
              </w:rPr>
            </w:pPr>
            <w:r w:rsidRPr="00D14CD7">
              <w:rPr>
                <w:rFonts w:eastAsia="Times New Roman"/>
                <w:color w:val="000000" w:themeColor="text1"/>
                <w:sz w:val="22"/>
                <w:szCs w:val="22"/>
              </w:rPr>
              <w:t>6.7</w:t>
            </w:r>
          </w:p>
        </w:tc>
      </w:tr>
      <w:tr w:rsidR="00D14CD7" w:rsidRPr="00D14CD7" w14:paraId="4CD51852" w14:textId="77777777" w:rsidTr="0002251D">
        <w:trPr>
          <w:trHeight w:val="144"/>
        </w:trPr>
        <w:tc>
          <w:tcPr>
            <w:tcW w:w="1235" w:type="pct"/>
            <w:tcBorders>
              <w:top w:val="nil"/>
              <w:left w:val="double" w:sz="6" w:space="0" w:color="auto"/>
              <w:bottom w:val="nil"/>
              <w:right w:val="double" w:sz="4" w:space="0" w:color="auto"/>
            </w:tcBorders>
            <w:shd w:val="clear" w:color="000000" w:fill="FFFFFF"/>
            <w:noWrap/>
            <w:vAlign w:val="bottom"/>
            <w:hideMark/>
          </w:tcPr>
          <w:p w14:paraId="49902426" w14:textId="77777777" w:rsidR="005B6BB0" w:rsidRPr="00D14CD7" w:rsidRDefault="005B6BB0" w:rsidP="00286339">
            <w:pPr>
              <w:spacing w:after="0" w:line="240" w:lineRule="auto"/>
              <w:ind w:firstLine="139"/>
              <w:jc w:val="left"/>
              <w:rPr>
                <w:rFonts w:eastAsia="Times New Roman"/>
                <w:color w:val="000000" w:themeColor="text1"/>
                <w:sz w:val="22"/>
                <w:szCs w:val="22"/>
              </w:rPr>
            </w:pPr>
            <w:r w:rsidRPr="00D14CD7">
              <w:rPr>
                <w:rFonts w:eastAsia="Times New Roman"/>
                <w:color w:val="000000" w:themeColor="text1"/>
                <w:sz w:val="22"/>
                <w:szCs w:val="22"/>
              </w:rPr>
              <w:t>Under $24,999</w:t>
            </w:r>
          </w:p>
        </w:tc>
        <w:tc>
          <w:tcPr>
            <w:tcW w:w="441" w:type="pct"/>
            <w:tcBorders>
              <w:top w:val="nil"/>
              <w:left w:val="double" w:sz="4" w:space="0" w:color="auto"/>
              <w:bottom w:val="nil"/>
              <w:right w:val="nil"/>
            </w:tcBorders>
            <w:shd w:val="clear" w:color="000000" w:fill="FFFFFF"/>
            <w:noWrap/>
            <w:vAlign w:val="bottom"/>
            <w:hideMark/>
          </w:tcPr>
          <w:p w14:paraId="39C790A9" w14:textId="77777777" w:rsidR="005B6BB0" w:rsidRPr="00D14CD7" w:rsidRDefault="005B6BB0" w:rsidP="00286339">
            <w:pPr>
              <w:spacing w:after="0" w:line="240" w:lineRule="auto"/>
              <w:jc w:val="right"/>
              <w:rPr>
                <w:rFonts w:eastAsia="Times New Roman"/>
                <w:color w:val="000000" w:themeColor="text1"/>
                <w:sz w:val="22"/>
                <w:szCs w:val="22"/>
              </w:rPr>
            </w:pPr>
            <w:r w:rsidRPr="00D14CD7">
              <w:rPr>
                <w:rFonts w:eastAsia="Times New Roman"/>
                <w:color w:val="000000" w:themeColor="text1"/>
                <w:sz w:val="22"/>
                <w:szCs w:val="22"/>
              </w:rPr>
              <w:t>38</w:t>
            </w:r>
          </w:p>
        </w:tc>
        <w:tc>
          <w:tcPr>
            <w:tcW w:w="233" w:type="pct"/>
            <w:tcBorders>
              <w:top w:val="nil"/>
              <w:left w:val="nil"/>
              <w:bottom w:val="nil"/>
              <w:right w:val="single" w:sz="4" w:space="0" w:color="auto"/>
            </w:tcBorders>
            <w:shd w:val="clear" w:color="000000" w:fill="FFFFFF"/>
            <w:noWrap/>
            <w:vAlign w:val="bottom"/>
            <w:hideMark/>
          </w:tcPr>
          <w:p w14:paraId="3805687B" w14:textId="77777777" w:rsidR="005B6BB0" w:rsidRPr="00D14CD7" w:rsidRDefault="005B6BB0" w:rsidP="00286339">
            <w:pPr>
              <w:spacing w:after="0" w:line="240" w:lineRule="auto"/>
              <w:jc w:val="right"/>
              <w:rPr>
                <w:rFonts w:eastAsia="Times New Roman"/>
                <w:color w:val="000000" w:themeColor="text1"/>
                <w:sz w:val="22"/>
                <w:szCs w:val="22"/>
              </w:rPr>
            </w:pPr>
            <w:r w:rsidRPr="00D14CD7">
              <w:rPr>
                <w:rFonts w:eastAsia="Times New Roman"/>
                <w:color w:val="000000" w:themeColor="text1"/>
                <w:sz w:val="22"/>
                <w:szCs w:val="22"/>
              </w:rPr>
              <w:t>3.4</w:t>
            </w:r>
          </w:p>
        </w:tc>
        <w:tc>
          <w:tcPr>
            <w:tcW w:w="297" w:type="pct"/>
            <w:tcBorders>
              <w:top w:val="nil"/>
              <w:left w:val="single" w:sz="4" w:space="0" w:color="auto"/>
              <w:bottom w:val="nil"/>
              <w:right w:val="double" w:sz="6" w:space="0" w:color="auto"/>
            </w:tcBorders>
            <w:shd w:val="clear" w:color="000000" w:fill="FFFFFF"/>
            <w:noWrap/>
            <w:vAlign w:val="bottom"/>
            <w:hideMark/>
          </w:tcPr>
          <w:p w14:paraId="4285FC4B" w14:textId="3EC28503" w:rsidR="005B6BB0" w:rsidRPr="00D14CD7" w:rsidRDefault="005B6BB0" w:rsidP="00286339">
            <w:pPr>
              <w:spacing w:after="0" w:line="240" w:lineRule="auto"/>
              <w:jc w:val="right"/>
              <w:rPr>
                <w:rFonts w:eastAsia="Times New Roman"/>
                <w:color w:val="000000" w:themeColor="text1"/>
                <w:sz w:val="22"/>
                <w:szCs w:val="22"/>
              </w:rPr>
            </w:pPr>
            <w:r w:rsidRPr="00D14CD7">
              <w:rPr>
                <w:rFonts w:eastAsia="Times New Roman"/>
                <w:color w:val="000000" w:themeColor="text1"/>
                <w:sz w:val="22"/>
                <w:szCs w:val="22"/>
              </w:rPr>
              <w:t>1</w:t>
            </w:r>
            <w:r w:rsidR="00AF1518" w:rsidRPr="00D14CD7">
              <w:rPr>
                <w:rFonts w:eastAsia="Times New Roman"/>
                <w:color w:val="000000" w:themeColor="text1"/>
                <w:sz w:val="22"/>
                <w:szCs w:val="22"/>
              </w:rPr>
              <w:t>7</w:t>
            </w:r>
            <w:r w:rsidRPr="00D14CD7">
              <w:rPr>
                <w:rFonts w:eastAsia="Times New Roman"/>
                <w:color w:val="000000" w:themeColor="text1"/>
                <w:sz w:val="22"/>
                <w:szCs w:val="22"/>
              </w:rPr>
              <w:t>.</w:t>
            </w:r>
            <w:r w:rsidR="00AF1518" w:rsidRPr="00D14CD7">
              <w:rPr>
                <w:rFonts w:eastAsia="Times New Roman"/>
                <w:color w:val="000000" w:themeColor="text1"/>
                <w:sz w:val="22"/>
                <w:szCs w:val="22"/>
              </w:rPr>
              <w:t>1</w:t>
            </w:r>
          </w:p>
        </w:tc>
        <w:tc>
          <w:tcPr>
            <w:tcW w:w="1942" w:type="pct"/>
            <w:tcBorders>
              <w:top w:val="double" w:sz="6" w:space="0" w:color="auto"/>
              <w:left w:val="nil"/>
              <w:bottom w:val="double" w:sz="6" w:space="0" w:color="auto"/>
              <w:right w:val="double" w:sz="4" w:space="0" w:color="auto"/>
            </w:tcBorders>
            <w:shd w:val="clear" w:color="000000" w:fill="FFFFFF"/>
            <w:noWrap/>
            <w:vAlign w:val="center"/>
            <w:hideMark/>
          </w:tcPr>
          <w:p w14:paraId="292C9945" w14:textId="77777777" w:rsidR="005B6BB0" w:rsidRPr="00D14CD7" w:rsidRDefault="005B6BB0" w:rsidP="00286339">
            <w:pPr>
              <w:spacing w:after="0" w:line="240" w:lineRule="auto"/>
              <w:jc w:val="left"/>
              <w:rPr>
                <w:rFonts w:eastAsia="Times New Roman"/>
                <w:b/>
                <w:bCs/>
                <w:color w:val="000000" w:themeColor="text1"/>
                <w:sz w:val="22"/>
                <w:szCs w:val="22"/>
              </w:rPr>
            </w:pPr>
            <w:r w:rsidRPr="00D14CD7">
              <w:rPr>
                <w:rFonts w:eastAsia="Times New Roman"/>
                <w:b/>
                <w:bCs/>
                <w:color w:val="000000" w:themeColor="text1"/>
                <w:sz w:val="22"/>
                <w:szCs w:val="22"/>
              </w:rPr>
              <w:t>Variable</w:t>
            </w:r>
          </w:p>
        </w:tc>
        <w:tc>
          <w:tcPr>
            <w:tcW w:w="322" w:type="pct"/>
            <w:tcBorders>
              <w:top w:val="double" w:sz="6" w:space="0" w:color="auto"/>
              <w:left w:val="double" w:sz="4" w:space="0" w:color="auto"/>
              <w:bottom w:val="double" w:sz="6" w:space="0" w:color="auto"/>
              <w:right w:val="single" w:sz="4" w:space="0" w:color="auto"/>
            </w:tcBorders>
            <w:shd w:val="clear" w:color="000000" w:fill="FFFFFF"/>
            <w:noWrap/>
            <w:vAlign w:val="center"/>
            <w:hideMark/>
          </w:tcPr>
          <w:p w14:paraId="2F00C59B" w14:textId="77777777" w:rsidR="005B6BB0" w:rsidRPr="00D14CD7" w:rsidRDefault="005B6BB0" w:rsidP="00286339">
            <w:pPr>
              <w:spacing w:after="0" w:line="240" w:lineRule="auto"/>
              <w:jc w:val="center"/>
              <w:rPr>
                <w:rFonts w:eastAsia="Times New Roman"/>
                <w:b/>
                <w:bCs/>
                <w:color w:val="000000" w:themeColor="text1"/>
                <w:sz w:val="22"/>
                <w:szCs w:val="22"/>
              </w:rPr>
            </w:pPr>
            <w:r w:rsidRPr="00D14CD7">
              <w:rPr>
                <w:rFonts w:eastAsia="Times New Roman"/>
                <w:b/>
                <w:bCs/>
                <w:color w:val="000000" w:themeColor="text1"/>
                <w:sz w:val="22"/>
                <w:szCs w:val="22"/>
              </w:rPr>
              <w:t>Mean</w:t>
            </w:r>
          </w:p>
        </w:tc>
        <w:tc>
          <w:tcPr>
            <w:tcW w:w="233" w:type="pct"/>
            <w:tcBorders>
              <w:top w:val="double" w:sz="6" w:space="0" w:color="auto"/>
              <w:left w:val="nil"/>
              <w:bottom w:val="double" w:sz="6" w:space="0" w:color="auto"/>
              <w:right w:val="single" w:sz="4" w:space="0" w:color="auto"/>
            </w:tcBorders>
            <w:shd w:val="clear" w:color="000000" w:fill="FFFFFF"/>
            <w:noWrap/>
            <w:vAlign w:val="center"/>
            <w:hideMark/>
          </w:tcPr>
          <w:p w14:paraId="4BA9A778" w14:textId="77777777" w:rsidR="005B6BB0" w:rsidRPr="00D14CD7" w:rsidRDefault="005B6BB0" w:rsidP="00286339">
            <w:pPr>
              <w:spacing w:after="0" w:line="240" w:lineRule="auto"/>
              <w:jc w:val="center"/>
              <w:rPr>
                <w:rFonts w:eastAsia="Times New Roman"/>
                <w:b/>
                <w:bCs/>
                <w:color w:val="000000" w:themeColor="text1"/>
                <w:sz w:val="22"/>
                <w:szCs w:val="22"/>
              </w:rPr>
            </w:pPr>
            <w:r w:rsidRPr="00D14CD7">
              <w:rPr>
                <w:rFonts w:eastAsia="Times New Roman"/>
                <w:b/>
                <w:bCs/>
                <w:color w:val="000000" w:themeColor="text1"/>
                <w:sz w:val="22"/>
                <w:szCs w:val="22"/>
              </w:rPr>
              <w:t>SD</w:t>
            </w:r>
          </w:p>
        </w:tc>
        <w:tc>
          <w:tcPr>
            <w:tcW w:w="297" w:type="pct"/>
            <w:tcBorders>
              <w:top w:val="double" w:sz="6" w:space="0" w:color="auto"/>
              <w:left w:val="nil"/>
              <w:bottom w:val="double" w:sz="6" w:space="0" w:color="auto"/>
              <w:right w:val="double" w:sz="6" w:space="0" w:color="auto"/>
            </w:tcBorders>
            <w:shd w:val="clear" w:color="000000" w:fill="FFFFFF"/>
            <w:noWrap/>
            <w:vAlign w:val="center"/>
            <w:hideMark/>
          </w:tcPr>
          <w:p w14:paraId="468A9078" w14:textId="77777777" w:rsidR="005B6BB0" w:rsidRPr="00D14CD7" w:rsidRDefault="005B6BB0" w:rsidP="00286339">
            <w:pPr>
              <w:spacing w:after="0" w:line="240" w:lineRule="auto"/>
              <w:jc w:val="center"/>
              <w:rPr>
                <w:rFonts w:eastAsia="Times New Roman"/>
                <w:b/>
                <w:bCs/>
                <w:color w:val="000000" w:themeColor="text1"/>
                <w:sz w:val="22"/>
                <w:szCs w:val="22"/>
              </w:rPr>
            </w:pPr>
            <w:r w:rsidRPr="00D14CD7">
              <w:rPr>
                <w:rFonts w:eastAsia="Times New Roman"/>
                <w:b/>
                <w:bCs/>
                <w:color w:val="000000" w:themeColor="text1"/>
                <w:sz w:val="22"/>
                <w:szCs w:val="22"/>
              </w:rPr>
              <w:t>Texas</w:t>
            </w:r>
          </w:p>
        </w:tc>
      </w:tr>
      <w:tr w:rsidR="00D14CD7" w:rsidRPr="00D14CD7" w14:paraId="232FBCAE" w14:textId="77777777" w:rsidTr="005736F5">
        <w:trPr>
          <w:trHeight w:val="288"/>
        </w:trPr>
        <w:tc>
          <w:tcPr>
            <w:tcW w:w="1235" w:type="pct"/>
            <w:tcBorders>
              <w:top w:val="nil"/>
              <w:left w:val="double" w:sz="6" w:space="0" w:color="auto"/>
              <w:bottom w:val="nil"/>
              <w:right w:val="double" w:sz="4" w:space="0" w:color="auto"/>
            </w:tcBorders>
            <w:shd w:val="clear" w:color="000000" w:fill="FFFFFF"/>
            <w:noWrap/>
            <w:vAlign w:val="bottom"/>
            <w:hideMark/>
          </w:tcPr>
          <w:p w14:paraId="2612DBA1" w14:textId="77777777" w:rsidR="005B6BB0" w:rsidRPr="00D14CD7" w:rsidRDefault="005B6BB0" w:rsidP="00286339">
            <w:pPr>
              <w:spacing w:after="0" w:line="240" w:lineRule="auto"/>
              <w:ind w:firstLine="139"/>
              <w:jc w:val="left"/>
              <w:rPr>
                <w:rFonts w:eastAsia="Times New Roman"/>
                <w:color w:val="000000" w:themeColor="text1"/>
                <w:sz w:val="22"/>
                <w:szCs w:val="22"/>
              </w:rPr>
            </w:pPr>
            <w:r w:rsidRPr="00D14CD7">
              <w:rPr>
                <w:rFonts w:eastAsia="Times New Roman"/>
                <w:color w:val="000000" w:themeColor="text1"/>
                <w:sz w:val="22"/>
                <w:szCs w:val="22"/>
              </w:rPr>
              <w:t>$25,000-$49,999</w:t>
            </w:r>
          </w:p>
        </w:tc>
        <w:tc>
          <w:tcPr>
            <w:tcW w:w="441" w:type="pct"/>
            <w:tcBorders>
              <w:top w:val="nil"/>
              <w:left w:val="double" w:sz="4" w:space="0" w:color="auto"/>
              <w:bottom w:val="nil"/>
              <w:right w:val="nil"/>
            </w:tcBorders>
            <w:shd w:val="clear" w:color="000000" w:fill="FFFFFF"/>
            <w:noWrap/>
            <w:vAlign w:val="bottom"/>
            <w:hideMark/>
          </w:tcPr>
          <w:p w14:paraId="3C808129" w14:textId="77777777" w:rsidR="005B6BB0" w:rsidRPr="00D14CD7" w:rsidRDefault="005B6BB0" w:rsidP="00286339">
            <w:pPr>
              <w:spacing w:after="0" w:line="240" w:lineRule="auto"/>
              <w:jc w:val="right"/>
              <w:rPr>
                <w:rFonts w:eastAsia="Times New Roman"/>
                <w:color w:val="000000" w:themeColor="text1"/>
                <w:sz w:val="22"/>
                <w:szCs w:val="22"/>
              </w:rPr>
            </w:pPr>
            <w:r w:rsidRPr="00D14CD7">
              <w:rPr>
                <w:rFonts w:eastAsia="Times New Roman"/>
                <w:color w:val="000000" w:themeColor="text1"/>
                <w:sz w:val="22"/>
                <w:szCs w:val="22"/>
              </w:rPr>
              <w:t>81</w:t>
            </w:r>
          </w:p>
        </w:tc>
        <w:tc>
          <w:tcPr>
            <w:tcW w:w="233" w:type="pct"/>
            <w:tcBorders>
              <w:top w:val="nil"/>
              <w:left w:val="nil"/>
              <w:bottom w:val="nil"/>
              <w:right w:val="single" w:sz="4" w:space="0" w:color="auto"/>
            </w:tcBorders>
            <w:shd w:val="clear" w:color="000000" w:fill="FFFFFF"/>
            <w:noWrap/>
            <w:vAlign w:val="bottom"/>
            <w:hideMark/>
          </w:tcPr>
          <w:p w14:paraId="28E7DB49" w14:textId="77777777" w:rsidR="005B6BB0" w:rsidRPr="00D14CD7" w:rsidRDefault="005B6BB0" w:rsidP="00286339">
            <w:pPr>
              <w:spacing w:after="0" w:line="240" w:lineRule="auto"/>
              <w:jc w:val="right"/>
              <w:rPr>
                <w:rFonts w:eastAsia="Times New Roman"/>
                <w:color w:val="000000" w:themeColor="text1"/>
                <w:sz w:val="22"/>
                <w:szCs w:val="22"/>
              </w:rPr>
            </w:pPr>
            <w:r w:rsidRPr="00D14CD7">
              <w:rPr>
                <w:rFonts w:eastAsia="Times New Roman"/>
                <w:color w:val="000000" w:themeColor="text1"/>
                <w:sz w:val="22"/>
                <w:szCs w:val="22"/>
              </w:rPr>
              <w:t>7.4</w:t>
            </w:r>
          </w:p>
        </w:tc>
        <w:tc>
          <w:tcPr>
            <w:tcW w:w="297" w:type="pct"/>
            <w:tcBorders>
              <w:top w:val="nil"/>
              <w:left w:val="single" w:sz="4" w:space="0" w:color="auto"/>
              <w:bottom w:val="nil"/>
              <w:right w:val="double" w:sz="6" w:space="0" w:color="auto"/>
            </w:tcBorders>
            <w:shd w:val="clear" w:color="000000" w:fill="FFFFFF"/>
            <w:noWrap/>
            <w:vAlign w:val="bottom"/>
            <w:hideMark/>
          </w:tcPr>
          <w:p w14:paraId="61D44DBE" w14:textId="79D18BFD" w:rsidR="005B6BB0" w:rsidRPr="00D14CD7" w:rsidRDefault="00AF1518" w:rsidP="00286339">
            <w:pPr>
              <w:spacing w:after="0" w:line="240" w:lineRule="auto"/>
              <w:jc w:val="right"/>
              <w:rPr>
                <w:rFonts w:eastAsia="Times New Roman"/>
                <w:color w:val="000000" w:themeColor="text1"/>
                <w:sz w:val="22"/>
                <w:szCs w:val="22"/>
              </w:rPr>
            </w:pPr>
            <w:r w:rsidRPr="00D14CD7">
              <w:rPr>
                <w:rFonts w:eastAsia="Times New Roman"/>
                <w:color w:val="000000" w:themeColor="text1"/>
                <w:sz w:val="22"/>
                <w:szCs w:val="22"/>
              </w:rPr>
              <w:t>20.2</w:t>
            </w:r>
          </w:p>
        </w:tc>
        <w:tc>
          <w:tcPr>
            <w:tcW w:w="1942" w:type="pct"/>
            <w:tcBorders>
              <w:top w:val="nil"/>
              <w:left w:val="nil"/>
              <w:bottom w:val="nil"/>
              <w:right w:val="double" w:sz="4" w:space="0" w:color="auto"/>
            </w:tcBorders>
            <w:shd w:val="clear" w:color="000000" w:fill="FFFFFF"/>
            <w:noWrap/>
            <w:vAlign w:val="bottom"/>
            <w:hideMark/>
          </w:tcPr>
          <w:p w14:paraId="28B76424" w14:textId="77777777" w:rsidR="005B6BB0" w:rsidRPr="00D14CD7" w:rsidRDefault="005B6BB0" w:rsidP="00286339">
            <w:pPr>
              <w:spacing w:after="0" w:line="240" w:lineRule="auto"/>
              <w:jc w:val="left"/>
              <w:rPr>
                <w:rFonts w:eastAsia="Times New Roman"/>
                <w:b/>
                <w:bCs/>
                <w:i/>
                <w:iCs/>
                <w:color w:val="000000" w:themeColor="text1"/>
                <w:sz w:val="22"/>
                <w:szCs w:val="22"/>
              </w:rPr>
            </w:pPr>
            <w:r w:rsidRPr="00D14CD7">
              <w:rPr>
                <w:rFonts w:eastAsia="Times New Roman"/>
                <w:b/>
                <w:bCs/>
                <w:i/>
                <w:iCs/>
                <w:color w:val="000000" w:themeColor="text1"/>
                <w:sz w:val="22"/>
                <w:szCs w:val="22"/>
              </w:rPr>
              <w:t>Commute duration</w:t>
            </w:r>
          </w:p>
        </w:tc>
        <w:tc>
          <w:tcPr>
            <w:tcW w:w="322" w:type="pct"/>
            <w:tcBorders>
              <w:top w:val="nil"/>
              <w:left w:val="double" w:sz="4" w:space="0" w:color="auto"/>
              <w:bottom w:val="nil"/>
              <w:right w:val="nil"/>
            </w:tcBorders>
            <w:shd w:val="clear" w:color="000000" w:fill="FFFFFF"/>
            <w:noWrap/>
            <w:vAlign w:val="bottom"/>
            <w:hideMark/>
          </w:tcPr>
          <w:p w14:paraId="1E89850F" w14:textId="77777777" w:rsidR="005B6BB0" w:rsidRPr="00D14CD7" w:rsidRDefault="005B6BB0" w:rsidP="00286339">
            <w:pPr>
              <w:spacing w:after="0" w:line="240" w:lineRule="auto"/>
              <w:jc w:val="left"/>
              <w:rPr>
                <w:rFonts w:eastAsia="Times New Roman"/>
                <w:color w:val="000000" w:themeColor="text1"/>
                <w:sz w:val="22"/>
                <w:szCs w:val="22"/>
              </w:rPr>
            </w:pPr>
            <w:r w:rsidRPr="00D14CD7">
              <w:rPr>
                <w:rFonts w:eastAsia="Times New Roman"/>
                <w:color w:val="000000" w:themeColor="text1"/>
                <w:sz w:val="22"/>
                <w:szCs w:val="22"/>
              </w:rPr>
              <w:t> </w:t>
            </w:r>
          </w:p>
        </w:tc>
        <w:tc>
          <w:tcPr>
            <w:tcW w:w="233" w:type="pct"/>
            <w:tcBorders>
              <w:top w:val="nil"/>
              <w:left w:val="nil"/>
              <w:bottom w:val="nil"/>
              <w:right w:val="single" w:sz="4" w:space="0" w:color="auto"/>
            </w:tcBorders>
            <w:shd w:val="clear" w:color="000000" w:fill="FFFFFF"/>
            <w:noWrap/>
            <w:vAlign w:val="bottom"/>
            <w:hideMark/>
          </w:tcPr>
          <w:p w14:paraId="1CC24AF8" w14:textId="77777777" w:rsidR="005B6BB0" w:rsidRPr="00D14CD7" w:rsidRDefault="005B6BB0" w:rsidP="00286339">
            <w:pPr>
              <w:spacing w:after="0" w:line="240" w:lineRule="auto"/>
              <w:jc w:val="left"/>
              <w:rPr>
                <w:rFonts w:eastAsia="Times New Roman"/>
                <w:color w:val="000000" w:themeColor="text1"/>
                <w:sz w:val="22"/>
                <w:szCs w:val="22"/>
              </w:rPr>
            </w:pPr>
            <w:r w:rsidRPr="00D14CD7">
              <w:rPr>
                <w:rFonts w:eastAsia="Times New Roman"/>
                <w:color w:val="000000" w:themeColor="text1"/>
                <w:sz w:val="22"/>
                <w:szCs w:val="22"/>
              </w:rPr>
              <w:t> </w:t>
            </w:r>
          </w:p>
        </w:tc>
        <w:tc>
          <w:tcPr>
            <w:tcW w:w="297" w:type="pct"/>
            <w:tcBorders>
              <w:top w:val="nil"/>
              <w:left w:val="single" w:sz="4" w:space="0" w:color="auto"/>
              <w:bottom w:val="nil"/>
              <w:right w:val="double" w:sz="6" w:space="0" w:color="auto"/>
            </w:tcBorders>
            <w:shd w:val="clear" w:color="000000" w:fill="FFFFFF"/>
            <w:noWrap/>
            <w:vAlign w:val="bottom"/>
            <w:hideMark/>
          </w:tcPr>
          <w:p w14:paraId="64C2E09C" w14:textId="77777777" w:rsidR="005B6BB0" w:rsidRPr="00D14CD7" w:rsidRDefault="005B6BB0" w:rsidP="00286339">
            <w:pPr>
              <w:spacing w:after="0" w:line="240" w:lineRule="auto"/>
              <w:jc w:val="left"/>
              <w:rPr>
                <w:rFonts w:eastAsia="Times New Roman"/>
                <w:color w:val="000000" w:themeColor="text1"/>
                <w:sz w:val="22"/>
                <w:szCs w:val="22"/>
              </w:rPr>
            </w:pPr>
            <w:r w:rsidRPr="00D14CD7">
              <w:rPr>
                <w:rFonts w:eastAsia="Times New Roman"/>
                <w:color w:val="000000" w:themeColor="text1"/>
                <w:sz w:val="22"/>
                <w:szCs w:val="22"/>
              </w:rPr>
              <w:t> </w:t>
            </w:r>
          </w:p>
        </w:tc>
      </w:tr>
      <w:tr w:rsidR="00D14CD7" w:rsidRPr="00D14CD7" w14:paraId="2B948795" w14:textId="77777777" w:rsidTr="005736F5">
        <w:trPr>
          <w:trHeight w:val="288"/>
        </w:trPr>
        <w:tc>
          <w:tcPr>
            <w:tcW w:w="1235" w:type="pct"/>
            <w:tcBorders>
              <w:top w:val="nil"/>
              <w:left w:val="double" w:sz="6" w:space="0" w:color="auto"/>
              <w:bottom w:val="nil"/>
              <w:right w:val="double" w:sz="4" w:space="0" w:color="auto"/>
            </w:tcBorders>
            <w:shd w:val="clear" w:color="000000" w:fill="FFFFFF"/>
            <w:noWrap/>
            <w:vAlign w:val="bottom"/>
            <w:hideMark/>
          </w:tcPr>
          <w:p w14:paraId="79662A49" w14:textId="77777777" w:rsidR="005B6BB0" w:rsidRPr="00D14CD7" w:rsidRDefault="005B6BB0" w:rsidP="00286339">
            <w:pPr>
              <w:spacing w:after="0" w:line="240" w:lineRule="auto"/>
              <w:ind w:firstLine="139"/>
              <w:jc w:val="left"/>
              <w:rPr>
                <w:rFonts w:eastAsia="Times New Roman"/>
                <w:color w:val="000000" w:themeColor="text1"/>
                <w:sz w:val="22"/>
                <w:szCs w:val="22"/>
              </w:rPr>
            </w:pPr>
            <w:r w:rsidRPr="00D14CD7">
              <w:rPr>
                <w:rFonts w:eastAsia="Times New Roman"/>
                <w:color w:val="000000" w:themeColor="text1"/>
                <w:sz w:val="22"/>
                <w:szCs w:val="22"/>
              </w:rPr>
              <w:t>$50,000-$74,999</w:t>
            </w:r>
          </w:p>
        </w:tc>
        <w:tc>
          <w:tcPr>
            <w:tcW w:w="441" w:type="pct"/>
            <w:tcBorders>
              <w:top w:val="nil"/>
              <w:left w:val="double" w:sz="4" w:space="0" w:color="auto"/>
              <w:bottom w:val="nil"/>
              <w:right w:val="nil"/>
            </w:tcBorders>
            <w:shd w:val="clear" w:color="000000" w:fill="FFFFFF"/>
            <w:noWrap/>
            <w:vAlign w:val="bottom"/>
            <w:hideMark/>
          </w:tcPr>
          <w:p w14:paraId="5F7132DF" w14:textId="77777777" w:rsidR="005B6BB0" w:rsidRPr="00D14CD7" w:rsidRDefault="005B6BB0" w:rsidP="00286339">
            <w:pPr>
              <w:spacing w:after="0" w:line="240" w:lineRule="auto"/>
              <w:jc w:val="right"/>
              <w:rPr>
                <w:rFonts w:eastAsia="Times New Roman"/>
                <w:color w:val="000000" w:themeColor="text1"/>
                <w:sz w:val="22"/>
                <w:szCs w:val="22"/>
              </w:rPr>
            </w:pPr>
            <w:r w:rsidRPr="00D14CD7">
              <w:rPr>
                <w:rFonts w:eastAsia="Times New Roman"/>
                <w:color w:val="000000" w:themeColor="text1"/>
                <w:sz w:val="22"/>
                <w:szCs w:val="22"/>
              </w:rPr>
              <w:t>148</w:t>
            </w:r>
          </w:p>
        </w:tc>
        <w:tc>
          <w:tcPr>
            <w:tcW w:w="233" w:type="pct"/>
            <w:tcBorders>
              <w:top w:val="nil"/>
              <w:left w:val="nil"/>
              <w:bottom w:val="nil"/>
              <w:right w:val="single" w:sz="4" w:space="0" w:color="auto"/>
            </w:tcBorders>
            <w:shd w:val="clear" w:color="000000" w:fill="FFFFFF"/>
            <w:noWrap/>
            <w:vAlign w:val="bottom"/>
            <w:hideMark/>
          </w:tcPr>
          <w:p w14:paraId="14B974B3" w14:textId="77777777" w:rsidR="005B6BB0" w:rsidRPr="00D14CD7" w:rsidRDefault="005B6BB0" w:rsidP="00286339">
            <w:pPr>
              <w:spacing w:after="0" w:line="240" w:lineRule="auto"/>
              <w:jc w:val="right"/>
              <w:rPr>
                <w:rFonts w:eastAsia="Times New Roman"/>
                <w:color w:val="000000" w:themeColor="text1"/>
                <w:sz w:val="22"/>
                <w:szCs w:val="22"/>
              </w:rPr>
            </w:pPr>
            <w:r w:rsidRPr="00D14CD7">
              <w:rPr>
                <w:rFonts w:eastAsia="Times New Roman"/>
                <w:color w:val="000000" w:themeColor="text1"/>
                <w:sz w:val="22"/>
                <w:szCs w:val="22"/>
              </w:rPr>
              <w:t>13.6</w:t>
            </w:r>
          </w:p>
        </w:tc>
        <w:tc>
          <w:tcPr>
            <w:tcW w:w="297" w:type="pct"/>
            <w:tcBorders>
              <w:top w:val="nil"/>
              <w:left w:val="single" w:sz="4" w:space="0" w:color="auto"/>
              <w:bottom w:val="nil"/>
              <w:right w:val="double" w:sz="6" w:space="0" w:color="auto"/>
            </w:tcBorders>
            <w:shd w:val="clear" w:color="000000" w:fill="FFFFFF"/>
            <w:noWrap/>
            <w:vAlign w:val="bottom"/>
            <w:hideMark/>
          </w:tcPr>
          <w:p w14:paraId="29BEA8C8" w14:textId="1A0C884D" w:rsidR="005B6BB0" w:rsidRPr="00D14CD7" w:rsidRDefault="005B6BB0" w:rsidP="00286339">
            <w:pPr>
              <w:spacing w:after="0" w:line="240" w:lineRule="auto"/>
              <w:jc w:val="right"/>
              <w:rPr>
                <w:rFonts w:eastAsia="Times New Roman"/>
                <w:color w:val="000000" w:themeColor="text1"/>
                <w:sz w:val="22"/>
                <w:szCs w:val="22"/>
              </w:rPr>
            </w:pPr>
            <w:r w:rsidRPr="00D14CD7">
              <w:rPr>
                <w:rFonts w:eastAsia="Times New Roman"/>
                <w:color w:val="000000" w:themeColor="text1"/>
                <w:sz w:val="22"/>
                <w:szCs w:val="22"/>
              </w:rPr>
              <w:t>17.</w:t>
            </w:r>
            <w:r w:rsidR="00AF1518" w:rsidRPr="00D14CD7">
              <w:rPr>
                <w:rFonts w:eastAsia="Times New Roman"/>
                <w:color w:val="000000" w:themeColor="text1"/>
                <w:sz w:val="22"/>
                <w:szCs w:val="22"/>
              </w:rPr>
              <w:t>3</w:t>
            </w:r>
          </w:p>
        </w:tc>
        <w:tc>
          <w:tcPr>
            <w:tcW w:w="1942" w:type="pct"/>
            <w:tcBorders>
              <w:top w:val="nil"/>
              <w:left w:val="nil"/>
              <w:bottom w:val="single" w:sz="4" w:space="0" w:color="auto"/>
              <w:right w:val="double" w:sz="4" w:space="0" w:color="auto"/>
            </w:tcBorders>
            <w:shd w:val="clear" w:color="000000" w:fill="FFFFFF"/>
            <w:noWrap/>
            <w:vAlign w:val="bottom"/>
            <w:hideMark/>
          </w:tcPr>
          <w:p w14:paraId="125DCB83" w14:textId="77777777" w:rsidR="005B6BB0" w:rsidRPr="00D14CD7" w:rsidRDefault="005B6BB0" w:rsidP="00286339">
            <w:pPr>
              <w:spacing w:after="0" w:line="240" w:lineRule="auto"/>
              <w:ind w:firstLine="173"/>
              <w:jc w:val="left"/>
              <w:rPr>
                <w:rFonts w:eastAsia="Times New Roman"/>
                <w:color w:val="000000" w:themeColor="text1"/>
                <w:sz w:val="22"/>
                <w:szCs w:val="22"/>
              </w:rPr>
            </w:pPr>
            <w:r w:rsidRPr="00D14CD7">
              <w:rPr>
                <w:rFonts w:eastAsia="Times New Roman"/>
                <w:color w:val="000000" w:themeColor="text1"/>
                <w:sz w:val="22"/>
                <w:szCs w:val="22"/>
              </w:rPr>
              <w:t>Commute (minutes)</w:t>
            </w:r>
          </w:p>
        </w:tc>
        <w:tc>
          <w:tcPr>
            <w:tcW w:w="322" w:type="pct"/>
            <w:tcBorders>
              <w:top w:val="nil"/>
              <w:left w:val="double" w:sz="4" w:space="0" w:color="auto"/>
              <w:bottom w:val="single" w:sz="4" w:space="0" w:color="auto"/>
              <w:right w:val="nil"/>
            </w:tcBorders>
            <w:shd w:val="clear" w:color="000000" w:fill="FFFFFF"/>
            <w:noWrap/>
            <w:vAlign w:val="bottom"/>
            <w:hideMark/>
          </w:tcPr>
          <w:p w14:paraId="335525AD" w14:textId="77777777" w:rsidR="005B6BB0" w:rsidRPr="00D14CD7" w:rsidRDefault="005B6BB0" w:rsidP="00286339">
            <w:pPr>
              <w:spacing w:after="0" w:line="240" w:lineRule="auto"/>
              <w:jc w:val="right"/>
              <w:rPr>
                <w:rFonts w:eastAsia="Times New Roman"/>
                <w:color w:val="000000" w:themeColor="text1"/>
                <w:sz w:val="22"/>
                <w:szCs w:val="22"/>
              </w:rPr>
            </w:pPr>
            <w:r w:rsidRPr="00D14CD7">
              <w:rPr>
                <w:rFonts w:eastAsia="Times New Roman"/>
                <w:color w:val="000000" w:themeColor="text1"/>
                <w:sz w:val="22"/>
                <w:szCs w:val="22"/>
              </w:rPr>
              <w:t>22.8</w:t>
            </w:r>
          </w:p>
        </w:tc>
        <w:tc>
          <w:tcPr>
            <w:tcW w:w="233" w:type="pct"/>
            <w:tcBorders>
              <w:top w:val="nil"/>
              <w:left w:val="nil"/>
              <w:bottom w:val="single" w:sz="4" w:space="0" w:color="auto"/>
              <w:right w:val="single" w:sz="4" w:space="0" w:color="auto"/>
            </w:tcBorders>
            <w:shd w:val="clear" w:color="000000" w:fill="FFFFFF"/>
            <w:noWrap/>
            <w:vAlign w:val="bottom"/>
            <w:hideMark/>
          </w:tcPr>
          <w:p w14:paraId="64932374" w14:textId="77777777" w:rsidR="005B6BB0" w:rsidRPr="00D14CD7" w:rsidRDefault="005B6BB0" w:rsidP="00286339">
            <w:pPr>
              <w:spacing w:after="0" w:line="240" w:lineRule="auto"/>
              <w:jc w:val="right"/>
              <w:rPr>
                <w:rFonts w:eastAsia="Times New Roman"/>
                <w:color w:val="000000" w:themeColor="text1"/>
                <w:sz w:val="22"/>
                <w:szCs w:val="22"/>
              </w:rPr>
            </w:pPr>
            <w:r w:rsidRPr="00D14CD7">
              <w:rPr>
                <w:rFonts w:eastAsia="Times New Roman"/>
                <w:color w:val="000000" w:themeColor="text1"/>
                <w:sz w:val="22"/>
                <w:szCs w:val="22"/>
              </w:rPr>
              <w:t>14.3</w:t>
            </w:r>
          </w:p>
        </w:tc>
        <w:tc>
          <w:tcPr>
            <w:tcW w:w="297" w:type="pct"/>
            <w:tcBorders>
              <w:top w:val="nil"/>
              <w:left w:val="single" w:sz="4" w:space="0" w:color="auto"/>
              <w:bottom w:val="single" w:sz="4" w:space="0" w:color="auto"/>
              <w:right w:val="double" w:sz="6" w:space="0" w:color="auto"/>
            </w:tcBorders>
            <w:shd w:val="clear" w:color="000000" w:fill="FFFFFF"/>
            <w:noWrap/>
            <w:vAlign w:val="bottom"/>
            <w:hideMark/>
          </w:tcPr>
          <w:p w14:paraId="7BC40F86" w14:textId="77777777" w:rsidR="005B6BB0" w:rsidRPr="00D14CD7" w:rsidRDefault="005B6BB0" w:rsidP="00AF1518">
            <w:pPr>
              <w:spacing w:after="0" w:line="240" w:lineRule="auto"/>
              <w:jc w:val="right"/>
              <w:rPr>
                <w:rFonts w:eastAsia="Times New Roman"/>
                <w:color w:val="000000" w:themeColor="text1"/>
                <w:sz w:val="22"/>
                <w:szCs w:val="22"/>
              </w:rPr>
            </w:pPr>
            <w:r w:rsidRPr="00D14CD7">
              <w:rPr>
                <w:rFonts w:eastAsia="Times New Roman"/>
                <w:color w:val="000000" w:themeColor="text1"/>
                <w:sz w:val="22"/>
                <w:szCs w:val="22"/>
              </w:rPr>
              <w:t> 26.6</w:t>
            </w:r>
          </w:p>
        </w:tc>
      </w:tr>
      <w:tr w:rsidR="00D14CD7" w:rsidRPr="00D14CD7" w14:paraId="3AEC6270" w14:textId="77777777" w:rsidTr="005736F5">
        <w:trPr>
          <w:trHeight w:val="288"/>
        </w:trPr>
        <w:tc>
          <w:tcPr>
            <w:tcW w:w="1235" w:type="pct"/>
            <w:tcBorders>
              <w:top w:val="nil"/>
              <w:left w:val="double" w:sz="6" w:space="0" w:color="auto"/>
              <w:bottom w:val="nil"/>
              <w:right w:val="double" w:sz="4" w:space="0" w:color="auto"/>
            </w:tcBorders>
            <w:shd w:val="clear" w:color="000000" w:fill="FFFFFF"/>
            <w:noWrap/>
            <w:vAlign w:val="bottom"/>
            <w:hideMark/>
          </w:tcPr>
          <w:p w14:paraId="7C223B5D" w14:textId="77777777" w:rsidR="005B6BB0" w:rsidRPr="00D14CD7" w:rsidRDefault="005B6BB0" w:rsidP="00286339">
            <w:pPr>
              <w:spacing w:after="0" w:line="240" w:lineRule="auto"/>
              <w:ind w:firstLine="139"/>
              <w:jc w:val="left"/>
              <w:rPr>
                <w:rFonts w:eastAsia="Times New Roman"/>
                <w:color w:val="000000" w:themeColor="text1"/>
                <w:sz w:val="22"/>
                <w:szCs w:val="22"/>
              </w:rPr>
            </w:pPr>
            <w:r w:rsidRPr="00D14CD7">
              <w:rPr>
                <w:rFonts w:eastAsia="Times New Roman"/>
                <w:color w:val="000000" w:themeColor="text1"/>
                <w:sz w:val="22"/>
                <w:szCs w:val="22"/>
              </w:rPr>
              <w:t>$75,000-$99,999</w:t>
            </w:r>
          </w:p>
        </w:tc>
        <w:tc>
          <w:tcPr>
            <w:tcW w:w="441" w:type="pct"/>
            <w:tcBorders>
              <w:top w:val="nil"/>
              <w:left w:val="double" w:sz="4" w:space="0" w:color="auto"/>
              <w:bottom w:val="nil"/>
              <w:right w:val="nil"/>
            </w:tcBorders>
            <w:shd w:val="clear" w:color="000000" w:fill="FFFFFF"/>
            <w:noWrap/>
            <w:vAlign w:val="bottom"/>
            <w:hideMark/>
          </w:tcPr>
          <w:p w14:paraId="484C4FA1" w14:textId="77777777" w:rsidR="005B6BB0" w:rsidRPr="00D14CD7" w:rsidRDefault="005B6BB0" w:rsidP="00286339">
            <w:pPr>
              <w:spacing w:after="0" w:line="240" w:lineRule="auto"/>
              <w:jc w:val="right"/>
              <w:rPr>
                <w:rFonts w:eastAsia="Times New Roman"/>
                <w:color w:val="000000" w:themeColor="text1"/>
                <w:sz w:val="22"/>
                <w:szCs w:val="22"/>
              </w:rPr>
            </w:pPr>
            <w:r w:rsidRPr="00D14CD7">
              <w:rPr>
                <w:rFonts w:eastAsia="Times New Roman"/>
                <w:color w:val="000000" w:themeColor="text1"/>
                <w:sz w:val="22"/>
                <w:szCs w:val="22"/>
              </w:rPr>
              <w:t>176</w:t>
            </w:r>
          </w:p>
        </w:tc>
        <w:tc>
          <w:tcPr>
            <w:tcW w:w="233" w:type="pct"/>
            <w:tcBorders>
              <w:top w:val="nil"/>
              <w:left w:val="nil"/>
              <w:bottom w:val="nil"/>
              <w:right w:val="single" w:sz="4" w:space="0" w:color="auto"/>
            </w:tcBorders>
            <w:shd w:val="clear" w:color="000000" w:fill="FFFFFF"/>
            <w:noWrap/>
            <w:vAlign w:val="bottom"/>
            <w:hideMark/>
          </w:tcPr>
          <w:p w14:paraId="32979C3F" w14:textId="77777777" w:rsidR="005B6BB0" w:rsidRPr="00D14CD7" w:rsidRDefault="005B6BB0" w:rsidP="00286339">
            <w:pPr>
              <w:spacing w:after="0" w:line="240" w:lineRule="auto"/>
              <w:jc w:val="right"/>
              <w:rPr>
                <w:rFonts w:eastAsia="Times New Roman"/>
                <w:color w:val="000000" w:themeColor="text1"/>
                <w:sz w:val="22"/>
                <w:szCs w:val="22"/>
              </w:rPr>
            </w:pPr>
            <w:r w:rsidRPr="00D14CD7">
              <w:rPr>
                <w:rFonts w:eastAsia="Times New Roman"/>
                <w:color w:val="000000" w:themeColor="text1"/>
                <w:sz w:val="22"/>
                <w:szCs w:val="22"/>
              </w:rPr>
              <w:t>16.1</w:t>
            </w:r>
          </w:p>
        </w:tc>
        <w:tc>
          <w:tcPr>
            <w:tcW w:w="297" w:type="pct"/>
            <w:tcBorders>
              <w:top w:val="nil"/>
              <w:left w:val="single" w:sz="4" w:space="0" w:color="auto"/>
              <w:bottom w:val="nil"/>
              <w:right w:val="double" w:sz="6" w:space="0" w:color="auto"/>
            </w:tcBorders>
            <w:shd w:val="clear" w:color="000000" w:fill="FFFFFF"/>
            <w:noWrap/>
            <w:vAlign w:val="bottom"/>
            <w:hideMark/>
          </w:tcPr>
          <w:p w14:paraId="7D51DEAC" w14:textId="3A5B25E1" w:rsidR="005B6BB0" w:rsidRPr="00D14CD7" w:rsidRDefault="005B6BB0" w:rsidP="00286339">
            <w:pPr>
              <w:spacing w:after="0" w:line="240" w:lineRule="auto"/>
              <w:jc w:val="right"/>
              <w:rPr>
                <w:rFonts w:eastAsia="Times New Roman"/>
                <w:color w:val="000000" w:themeColor="text1"/>
                <w:sz w:val="22"/>
                <w:szCs w:val="22"/>
              </w:rPr>
            </w:pPr>
            <w:r w:rsidRPr="00D14CD7">
              <w:rPr>
                <w:rFonts w:eastAsia="Times New Roman"/>
                <w:color w:val="000000" w:themeColor="text1"/>
                <w:sz w:val="22"/>
                <w:szCs w:val="22"/>
              </w:rPr>
              <w:t>12.</w:t>
            </w:r>
            <w:r w:rsidR="00AF1518" w:rsidRPr="00D14CD7">
              <w:rPr>
                <w:rFonts w:eastAsia="Times New Roman"/>
                <w:color w:val="000000" w:themeColor="text1"/>
                <w:sz w:val="22"/>
                <w:szCs w:val="22"/>
              </w:rPr>
              <w:t>7</w:t>
            </w:r>
          </w:p>
        </w:tc>
        <w:tc>
          <w:tcPr>
            <w:tcW w:w="1942" w:type="pct"/>
            <w:tcBorders>
              <w:top w:val="nil"/>
              <w:left w:val="nil"/>
              <w:bottom w:val="nil"/>
              <w:right w:val="double" w:sz="4" w:space="0" w:color="auto"/>
            </w:tcBorders>
            <w:shd w:val="clear" w:color="000000" w:fill="FFFFFF"/>
            <w:noWrap/>
            <w:vAlign w:val="bottom"/>
            <w:hideMark/>
          </w:tcPr>
          <w:p w14:paraId="48D858C1" w14:textId="77777777" w:rsidR="005B6BB0" w:rsidRPr="00D14CD7" w:rsidRDefault="005B6BB0" w:rsidP="00286339">
            <w:pPr>
              <w:spacing w:after="0" w:line="240" w:lineRule="auto"/>
              <w:jc w:val="left"/>
              <w:rPr>
                <w:rFonts w:eastAsia="Times New Roman"/>
                <w:b/>
                <w:bCs/>
                <w:i/>
                <w:iCs/>
                <w:color w:val="000000" w:themeColor="text1"/>
                <w:sz w:val="22"/>
                <w:szCs w:val="22"/>
              </w:rPr>
            </w:pPr>
            <w:r w:rsidRPr="00D14CD7">
              <w:rPr>
                <w:rFonts w:eastAsia="Times New Roman"/>
                <w:b/>
                <w:bCs/>
                <w:i/>
                <w:iCs/>
                <w:color w:val="000000" w:themeColor="text1"/>
                <w:sz w:val="22"/>
                <w:szCs w:val="22"/>
              </w:rPr>
              <w:t>Number of work days per month</w:t>
            </w:r>
          </w:p>
        </w:tc>
        <w:tc>
          <w:tcPr>
            <w:tcW w:w="322" w:type="pct"/>
            <w:tcBorders>
              <w:top w:val="nil"/>
              <w:left w:val="double" w:sz="4" w:space="0" w:color="auto"/>
              <w:bottom w:val="nil"/>
              <w:right w:val="nil"/>
            </w:tcBorders>
            <w:shd w:val="clear" w:color="000000" w:fill="FFFFFF"/>
            <w:noWrap/>
            <w:vAlign w:val="bottom"/>
            <w:hideMark/>
          </w:tcPr>
          <w:p w14:paraId="2ED1D016" w14:textId="77777777" w:rsidR="005B6BB0" w:rsidRPr="00D14CD7" w:rsidRDefault="005B6BB0" w:rsidP="00286339">
            <w:pPr>
              <w:spacing w:after="0" w:line="240" w:lineRule="auto"/>
              <w:jc w:val="left"/>
              <w:rPr>
                <w:rFonts w:eastAsia="Times New Roman"/>
                <w:color w:val="000000" w:themeColor="text1"/>
                <w:sz w:val="22"/>
                <w:szCs w:val="22"/>
              </w:rPr>
            </w:pPr>
            <w:r w:rsidRPr="00D14CD7">
              <w:rPr>
                <w:rFonts w:eastAsia="Times New Roman"/>
                <w:color w:val="000000" w:themeColor="text1"/>
                <w:sz w:val="22"/>
                <w:szCs w:val="22"/>
              </w:rPr>
              <w:t> </w:t>
            </w:r>
          </w:p>
        </w:tc>
        <w:tc>
          <w:tcPr>
            <w:tcW w:w="233" w:type="pct"/>
            <w:tcBorders>
              <w:top w:val="nil"/>
              <w:left w:val="nil"/>
              <w:bottom w:val="nil"/>
              <w:right w:val="single" w:sz="4" w:space="0" w:color="auto"/>
            </w:tcBorders>
            <w:shd w:val="clear" w:color="000000" w:fill="FFFFFF"/>
            <w:noWrap/>
            <w:vAlign w:val="bottom"/>
            <w:hideMark/>
          </w:tcPr>
          <w:p w14:paraId="4228AC04" w14:textId="77777777" w:rsidR="005B6BB0" w:rsidRPr="00D14CD7" w:rsidRDefault="005B6BB0" w:rsidP="00286339">
            <w:pPr>
              <w:spacing w:after="0" w:line="240" w:lineRule="auto"/>
              <w:jc w:val="left"/>
              <w:rPr>
                <w:rFonts w:eastAsia="Times New Roman"/>
                <w:color w:val="000000" w:themeColor="text1"/>
                <w:sz w:val="22"/>
                <w:szCs w:val="22"/>
              </w:rPr>
            </w:pPr>
            <w:r w:rsidRPr="00D14CD7">
              <w:rPr>
                <w:rFonts w:eastAsia="Times New Roman"/>
                <w:color w:val="000000" w:themeColor="text1"/>
                <w:sz w:val="22"/>
                <w:szCs w:val="22"/>
              </w:rPr>
              <w:t> </w:t>
            </w:r>
          </w:p>
        </w:tc>
        <w:tc>
          <w:tcPr>
            <w:tcW w:w="297" w:type="pct"/>
            <w:tcBorders>
              <w:top w:val="nil"/>
              <w:left w:val="single" w:sz="4" w:space="0" w:color="auto"/>
              <w:bottom w:val="nil"/>
              <w:right w:val="double" w:sz="6" w:space="0" w:color="auto"/>
            </w:tcBorders>
            <w:shd w:val="clear" w:color="000000" w:fill="FFFFFF"/>
            <w:noWrap/>
            <w:vAlign w:val="bottom"/>
            <w:hideMark/>
          </w:tcPr>
          <w:p w14:paraId="2D5BEEFE" w14:textId="77777777" w:rsidR="005B6BB0" w:rsidRPr="00D14CD7" w:rsidRDefault="005B6BB0" w:rsidP="00286339">
            <w:pPr>
              <w:spacing w:after="0" w:line="240" w:lineRule="auto"/>
              <w:jc w:val="left"/>
              <w:rPr>
                <w:rFonts w:eastAsia="Times New Roman"/>
                <w:color w:val="000000" w:themeColor="text1"/>
                <w:sz w:val="22"/>
                <w:szCs w:val="22"/>
              </w:rPr>
            </w:pPr>
            <w:r w:rsidRPr="00D14CD7">
              <w:rPr>
                <w:rFonts w:eastAsia="Times New Roman"/>
                <w:color w:val="000000" w:themeColor="text1"/>
                <w:sz w:val="22"/>
                <w:szCs w:val="22"/>
              </w:rPr>
              <w:t> </w:t>
            </w:r>
          </w:p>
        </w:tc>
      </w:tr>
      <w:tr w:rsidR="00D14CD7" w:rsidRPr="00D14CD7" w14:paraId="41CCD79D" w14:textId="77777777" w:rsidTr="005736F5">
        <w:trPr>
          <w:trHeight w:val="288"/>
        </w:trPr>
        <w:tc>
          <w:tcPr>
            <w:tcW w:w="1235" w:type="pct"/>
            <w:tcBorders>
              <w:top w:val="nil"/>
              <w:left w:val="double" w:sz="6" w:space="0" w:color="auto"/>
              <w:bottom w:val="nil"/>
              <w:right w:val="double" w:sz="4" w:space="0" w:color="auto"/>
            </w:tcBorders>
            <w:shd w:val="clear" w:color="000000" w:fill="FFFFFF"/>
            <w:noWrap/>
            <w:vAlign w:val="bottom"/>
            <w:hideMark/>
          </w:tcPr>
          <w:p w14:paraId="19892633" w14:textId="77777777" w:rsidR="005B6BB0" w:rsidRPr="00D14CD7" w:rsidRDefault="005B6BB0" w:rsidP="00286339">
            <w:pPr>
              <w:spacing w:after="0" w:line="240" w:lineRule="auto"/>
              <w:ind w:firstLine="139"/>
              <w:jc w:val="left"/>
              <w:rPr>
                <w:rFonts w:eastAsia="Times New Roman"/>
                <w:color w:val="000000" w:themeColor="text1"/>
                <w:sz w:val="22"/>
                <w:szCs w:val="22"/>
              </w:rPr>
            </w:pPr>
            <w:r w:rsidRPr="00D14CD7">
              <w:rPr>
                <w:rFonts w:eastAsia="Times New Roman"/>
                <w:color w:val="000000" w:themeColor="text1"/>
                <w:sz w:val="22"/>
                <w:szCs w:val="22"/>
              </w:rPr>
              <w:t>$100,000-$149,999</w:t>
            </w:r>
          </w:p>
        </w:tc>
        <w:tc>
          <w:tcPr>
            <w:tcW w:w="441" w:type="pct"/>
            <w:tcBorders>
              <w:top w:val="nil"/>
              <w:left w:val="double" w:sz="4" w:space="0" w:color="auto"/>
              <w:bottom w:val="nil"/>
              <w:right w:val="nil"/>
            </w:tcBorders>
            <w:shd w:val="clear" w:color="000000" w:fill="FFFFFF"/>
            <w:noWrap/>
            <w:vAlign w:val="bottom"/>
            <w:hideMark/>
          </w:tcPr>
          <w:p w14:paraId="3D8B3F41" w14:textId="77777777" w:rsidR="005B6BB0" w:rsidRPr="00D14CD7" w:rsidRDefault="005B6BB0" w:rsidP="00286339">
            <w:pPr>
              <w:spacing w:after="0" w:line="240" w:lineRule="auto"/>
              <w:jc w:val="right"/>
              <w:rPr>
                <w:rFonts w:eastAsia="Times New Roman"/>
                <w:color w:val="000000" w:themeColor="text1"/>
                <w:sz w:val="22"/>
                <w:szCs w:val="22"/>
              </w:rPr>
            </w:pPr>
            <w:r w:rsidRPr="00D14CD7">
              <w:rPr>
                <w:rFonts w:eastAsia="Times New Roman"/>
                <w:color w:val="000000" w:themeColor="text1"/>
                <w:sz w:val="22"/>
                <w:szCs w:val="22"/>
              </w:rPr>
              <w:t>313</w:t>
            </w:r>
          </w:p>
        </w:tc>
        <w:tc>
          <w:tcPr>
            <w:tcW w:w="233" w:type="pct"/>
            <w:tcBorders>
              <w:top w:val="nil"/>
              <w:left w:val="nil"/>
              <w:bottom w:val="nil"/>
              <w:right w:val="single" w:sz="4" w:space="0" w:color="auto"/>
            </w:tcBorders>
            <w:shd w:val="clear" w:color="000000" w:fill="FFFFFF"/>
            <w:noWrap/>
            <w:vAlign w:val="bottom"/>
            <w:hideMark/>
          </w:tcPr>
          <w:p w14:paraId="22067A74" w14:textId="77777777" w:rsidR="005B6BB0" w:rsidRPr="00D14CD7" w:rsidRDefault="005B6BB0" w:rsidP="00286339">
            <w:pPr>
              <w:spacing w:after="0" w:line="240" w:lineRule="auto"/>
              <w:jc w:val="right"/>
              <w:rPr>
                <w:rFonts w:eastAsia="Times New Roman"/>
                <w:color w:val="000000" w:themeColor="text1"/>
                <w:sz w:val="22"/>
                <w:szCs w:val="22"/>
              </w:rPr>
            </w:pPr>
            <w:r w:rsidRPr="00D14CD7">
              <w:rPr>
                <w:rFonts w:eastAsia="Times New Roman"/>
                <w:color w:val="000000" w:themeColor="text1"/>
                <w:sz w:val="22"/>
                <w:szCs w:val="22"/>
              </w:rPr>
              <w:t>28.7</w:t>
            </w:r>
          </w:p>
        </w:tc>
        <w:tc>
          <w:tcPr>
            <w:tcW w:w="297" w:type="pct"/>
            <w:tcBorders>
              <w:top w:val="nil"/>
              <w:left w:val="single" w:sz="4" w:space="0" w:color="auto"/>
              <w:bottom w:val="nil"/>
              <w:right w:val="double" w:sz="6" w:space="0" w:color="auto"/>
            </w:tcBorders>
            <w:shd w:val="clear" w:color="000000" w:fill="FFFFFF"/>
            <w:noWrap/>
            <w:vAlign w:val="bottom"/>
            <w:hideMark/>
          </w:tcPr>
          <w:p w14:paraId="6D9485CF" w14:textId="54B63CB1" w:rsidR="005B6BB0" w:rsidRPr="00D14CD7" w:rsidRDefault="005B6BB0" w:rsidP="00286339">
            <w:pPr>
              <w:spacing w:after="0" w:line="240" w:lineRule="auto"/>
              <w:jc w:val="right"/>
              <w:rPr>
                <w:rFonts w:eastAsia="Times New Roman"/>
                <w:color w:val="000000" w:themeColor="text1"/>
                <w:sz w:val="22"/>
                <w:szCs w:val="22"/>
              </w:rPr>
            </w:pPr>
            <w:r w:rsidRPr="00D14CD7">
              <w:rPr>
                <w:rFonts w:eastAsia="Times New Roman"/>
                <w:color w:val="000000" w:themeColor="text1"/>
                <w:sz w:val="22"/>
                <w:szCs w:val="22"/>
              </w:rPr>
              <w:t>1</w:t>
            </w:r>
            <w:r w:rsidR="00AF1518" w:rsidRPr="00D14CD7">
              <w:rPr>
                <w:rFonts w:eastAsia="Times New Roman"/>
                <w:color w:val="000000" w:themeColor="text1"/>
                <w:sz w:val="22"/>
                <w:szCs w:val="22"/>
              </w:rPr>
              <w:t>6</w:t>
            </w:r>
            <w:r w:rsidRPr="00D14CD7">
              <w:rPr>
                <w:rFonts w:eastAsia="Times New Roman"/>
                <w:color w:val="000000" w:themeColor="text1"/>
                <w:sz w:val="22"/>
                <w:szCs w:val="22"/>
              </w:rPr>
              <w:t>.</w:t>
            </w:r>
            <w:r w:rsidR="00AF1518" w:rsidRPr="00D14CD7">
              <w:rPr>
                <w:rFonts w:eastAsia="Times New Roman"/>
                <w:color w:val="000000" w:themeColor="text1"/>
                <w:sz w:val="22"/>
                <w:szCs w:val="22"/>
              </w:rPr>
              <w:t>2</w:t>
            </w:r>
          </w:p>
        </w:tc>
        <w:tc>
          <w:tcPr>
            <w:tcW w:w="1942" w:type="pct"/>
            <w:tcBorders>
              <w:top w:val="nil"/>
              <w:left w:val="nil"/>
              <w:bottom w:val="single" w:sz="4" w:space="0" w:color="auto"/>
              <w:right w:val="double" w:sz="4" w:space="0" w:color="auto"/>
            </w:tcBorders>
            <w:shd w:val="clear" w:color="000000" w:fill="FFFFFF"/>
            <w:noWrap/>
            <w:vAlign w:val="bottom"/>
            <w:hideMark/>
          </w:tcPr>
          <w:p w14:paraId="75DE55F3" w14:textId="77777777" w:rsidR="005B6BB0" w:rsidRPr="00D14CD7" w:rsidRDefault="005B6BB0" w:rsidP="00286339">
            <w:pPr>
              <w:spacing w:after="0" w:line="240" w:lineRule="auto"/>
              <w:ind w:firstLine="173"/>
              <w:jc w:val="left"/>
              <w:rPr>
                <w:rFonts w:eastAsia="Times New Roman"/>
                <w:color w:val="000000" w:themeColor="text1"/>
                <w:sz w:val="22"/>
                <w:szCs w:val="22"/>
              </w:rPr>
            </w:pPr>
            <w:r w:rsidRPr="00D14CD7">
              <w:rPr>
                <w:rFonts w:eastAsia="Times New Roman"/>
                <w:color w:val="000000" w:themeColor="text1"/>
                <w:sz w:val="22"/>
                <w:szCs w:val="22"/>
              </w:rPr>
              <w:t>Number of days</w:t>
            </w:r>
          </w:p>
        </w:tc>
        <w:tc>
          <w:tcPr>
            <w:tcW w:w="322" w:type="pct"/>
            <w:tcBorders>
              <w:top w:val="nil"/>
              <w:left w:val="double" w:sz="4" w:space="0" w:color="auto"/>
              <w:bottom w:val="single" w:sz="4" w:space="0" w:color="auto"/>
              <w:right w:val="nil"/>
            </w:tcBorders>
            <w:shd w:val="clear" w:color="000000" w:fill="FFFFFF"/>
            <w:noWrap/>
            <w:vAlign w:val="bottom"/>
            <w:hideMark/>
          </w:tcPr>
          <w:p w14:paraId="6D943FF0" w14:textId="77777777" w:rsidR="005B6BB0" w:rsidRPr="00D14CD7" w:rsidRDefault="005B6BB0" w:rsidP="00286339">
            <w:pPr>
              <w:spacing w:after="0" w:line="240" w:lineRule="auto"/>
              <w:jc w:val="right"/>
              <w:rPr>
                <w:rFonts w:eastAsia="Times New Roman"/>
                <w:color w:val="000000" w:themeColor="text1"/>
                <w:sz w:val="22"/>
                <w:szCs w:val="22"/>
              </w:rPr>
            </w:pPr>
            <w:r w:rsidRPr="00D14CD7">
              <w:rPr>
                <w:rFonts w:eastAsia="Times New Roman"/>
                <w:color w:val="000000" w:themeColor="text1"/>
                <w:sz w:val="22"/>
                <w:szCs w:val="22"/>
              </w:rPr>
              <w:t>21.5</w:t>
            </w:r>
          </w:p>
        </w:tc>
        <w:tc>
          <w:tcPr>
            <w:tcW w:w="233" w:type="pct"/>
            <w:tcBorders>
              <w:top w:val="nil"/>
              <w:left w:val="nil"/>
              <w:bottom w:val="single" w:sz="4" w:space="0" w:color="auto"/>
              <w:right w:val="single" w:sz="4" w:space="0" w:color="auto"/>
            </w:tcBorders>
            <w:shd w:val="clear" w:color="000000" w:fill="FFFFFF"/>
            <w:noWrap/>
            <w:vAlign w:val="bottom"/>
            <w:hideMark/>
          </w:tcPr>
          <w:p w14:paraId="6B65D358" w14:textId="77777777" w:rsidR="005B6BB0" w:rsidRPr="00D14CD7" w:rsidRDefault="005B6BB0" w:rsidP="00286339">
            <w:pPr>
              <w:spacing w:after="0" w:line="240" w:lineRule="auto"/>
              <w:jc w:val="right"/>
              <w:rPr>
                <w:rFonts w:eastAsia="Times New Roman"/>
                <w:color w:val="000000" w:themeColor="text1"/>
                <w:sz w:val="22"/>
                <w:szCs w:val="22"/>
              </w:rPr>
            </w:pPr>
            <w:r w:rsidRPr="00D14CD7">
              <w:rPr>
                <w:rFonts w:eastAsia="Times New Roman"/>
                <w:color w:val="000000" w:themeColor="text1"/>
                <w:sz w:val="22"/>
                <w:szCs w:val="22"/>
              </w:rPr>
              <w:t>9.2</w:t>
            </w:r>
          </w:p>
        </w:tc>
        <w:tc>
          <w:tcPr>
            <w:tcW w:w="297" w:type="pct"/>
            <w:tcBorders>
              <w:top w:val="nil"/>
              <w:left w:val="single" w:sz="4" w:space="0" w:color="auto"/>
              <w:bottom w:val="single" w:sz="4" w:space="0" w:color="auto"/>
              <w:right w:val="double" w:sz="6" w:space="0" w:color="auto"/>
            </w:tcBorders>
            <w:shd w:val="clear" w:color="000000" w:fill="FFFFFF"/>
            <w:noWrap/>
            <w:vAlign w:val="bottom"/>
            <w:hideMark/>
          </w:tcPr>
          <w:p w14:paraId="3C69CC3B" w14:textId="77777777" w:rsidR="005B6BB0" w:rsidRPr="00D14CD7" w:rsidRDefault="005B6BB0" w:rsidP="00286339">
            <w:pPr>
              <w:spacing w:after="0" w:line="240" w:lineRule="auto"/>
              <w:jc w:val="right"/>
              <w:rPr>
                <w:rFonts w:eastAsia="Times New Roman"/>
                <w:color w:val="000000" w:themeColor="text1"/>
                <w:sz w:val="22"/>
                <w:szCs w:val="22"/>
              </w:rPr>
            </w:pPr>
            <w:r w:rsidRPr="00D14CD7">
              <w:rPr>
                <w:rFonts w:eastAsia="Times New Roman"/>
                <w:color w:val="000000" w:themeColor="text1"/>
                <w:sz w:val="22"/>
                <w:szCs w:val="22"/>
              </w:rPr>
              <w:t>22</w:t>
            </w:r>
          </w:p>
        </w:tc>
      </w:tr>
      <w:tr w:rsidR="00D14CD7" w:rsidRPr="00D14CD7" w14:paraId="1BB625AE" w14:textId="77777777" w:rsidTr="005736F5">
        <w:trPr>
          <w:trHeight w:val="288"/>
        </w:trPr>
        <w:tc>
          <w:tcPr>
            <w:tcW w:w="1235" w:type="pct"/>
            <w:tcBorders>
              <w:top w:val="nil"/>
              <w:left w:val="double" w:sz="6" w:space="0" w:color="auto"/>
              <w:bottom w:val="nil"/>
              <w:right w:val="double" w:sz="4" w:space="0" w:color="auto"/>
            </w:tcBorders>
            <w:shd w:val="clear" w:color="000000" w:fill="FFFFFF"/>
            <w:noWrap/>
            <w:vAlign w:val="bottom"/>
            <w:hideMark/>
          </w:tcPr>
          <w:p w14:paraId="6A787641" w14:textId="77777777" w:rsidR="005B6BB0" w:rsidRPr="00D14CD7" w:rsidRDefault="005B6BB0" w:rsidP="00286339">
            <w:pPr>
              <w:spacing w:after="0" w:line="240" w:lineRule="auto"/>
              <w:ind w:firstLine="139"/>
              <w:jc w:val="left"/>
              <w:rPr>
                <w:rFonts w:eastAsia="Times New Roman"/>
                <w:color w:val="000000" w:themeColor="text1"/>
                <w:sz w:val="22"/>
                <w:szCs w:val="22"/>
              </w:rPr>
            </w:pPr>
            <w:r w:rsidRPr="00D14CD7">
              <w:rPr>
                <w:rFonts w:eastAsia="Times New Roman"/>
                <w:color w:val="000000" w:themeColor="text1"/>
                <w:sz w:val="22"/>
                <w:szCs w:val="22"/>
              </w:rPr>
              <w:t>$150,000-$249,999</w:t>
            </w:r>
          </w:p>
        </w:tc>
        <w:tc>
          <w:tcPr>
            <w:tcW w:w="441" w:type="pct"/>
            <w:tcBorders>
              <w:top w:val="nil"/>
              <w:left w:val="double" w:sz="4" w:space="0" w:color="auto"/>
              <w:bottom w:val="nil"/>
              <w:right w:val="nil"/>
            </w:tcBorders>
            <w:shd w:val="clear" w:color="000000" w:fill="FFFFFF"/>
            <w:noWrap/>
            <w:vAlign w:val="bottom"/>
            <w:hideMark/>
          </w:tcPr>
          <w:p w14:paraId="2A5D7BBF" w14:textId="77777777" w:rsidR="005B6BB0" w:rsidRPr="00D14CD7" w:rsidRDefault="005B6BB0" w:rsidP="00286339">
            <w:pPr>
              <w:spacing w:after="0" w:line="240" w:lineRule="auto"/>
              <w:jc w:val="right"/>
              <w:rPr>
                <w:rFonts w:eastAsia="Times New Roman"/>
                <w:color w:val="000000" w:themeColor="text1"/>
                <w:sz w:val="22"/>
                <w:szCs w:val="22"/>
              </w:rPr>
            </w:pPr>
            <w:r w:rsidRPr="00D14CD7">
              <w:rPr>
                <w:rFonts w:eastAsia="Times New Roman"/>
                <w:color w:val="000000" w:themeColor="text1"/>
                <w:sz w:val="22"/>
                <w:szCs w:val="22"/>
              </w:rPr>
              <w:t>231</w:t>
            </w:r>
          </w:p>
        </w:tc>
        <w:tc>
          <w:tcPr>
            <w:tcW w:w="233" w:type="pct"/>
            <w:tcBorders>
              <w:top w:val="nil"/>
              <w:left w:val="nil"/>
              <w:bottom w:val="nil"/>
              <w:right w:val="single" w:sz="4" w:space="0" w:color="auto"/>
            </w:tcBorders>
            <w:shd w:val="clear" w:color="000000" w:fill="FFFFFF"/>
            <w:noWrap/>
            <w:vAlign w:val="bottom"/>
            <w:hideMark/>
          </w:tcPr>
          <w:p w14:paraId="5F6129F3" w14:textId="77777777" w:rsidR="005B6BB0" w:rsidRPr="00D14CD7" w:rsidRDefault="005B6BB0" w:rsidP="00286339">
            <w:pPr>
              <w:spacing w:after="0" w:line="240" w:lineRule="auto"/>
              <w:jc w:val="right"/>
              <w:rPr>
                <w:rFonts w:eastAsia="Times New Roman"/>
                <w:color w:val="000000" w:themeColor="text1"/>
                <w:sz w:val="22"/>
                <w:szCs w:val="22"/>
              </w:rPr>
            </w:pPr>
            <w:r w:rsidRPr="00D14CD7">
              <w:rPr>
                <w:rFonts w:eastAsia="Times New Roman"/>
                <w:color w:val="000000" w:themeColor="text1"/>
                <w:sz w:val="22"/>
                <w:szCs w:val="22"/>
              </w:rPr>
              <w:t>21.2</w:t>
            </w:r>
          </w:p>
        </w:tc>
        <w:tc>
          <w:tcPr>
            <w:tcW w:w="297" w:type="pct"/>
            <w:tcBorders>
              <w:top w:val="nil"/>
              <w:left w:val="single" w:sz="4" w:space="0" w:color="auto"/>
              <w:bottom w:val="nil"/>
              <w:right w:val="double" w:sz="6" w:space="0" w:color="auto"/>
            </w:tcBorders>
            <w:shd w:val="clear" w:color="000000" w:fill="FFFFFF"/>
            <w:noWrap/>
            <w:vAlign w:val="bottom"/>
            <w:hideMark/>
          </w:tcPr>
          <w:p w14:paraId="2D9327C5" w14:textId="5B5FBFA2" w:rsidR="005B6BB0" w:rsidRPr="00D14CD7" w:rsidRDefault="00AF1518" w:rsidP="00286339">
            <w:pPr>
              <w:spacing w:after="0" w:line="240" w:lineRule="auto"/>
              <w:jc w:val="right"/>
              <w:rPr>
                <w:rFonts w:eastAsia="Times New Roman"/>
                <w:color w:val="000000" w:themeColor="text1"/>
                <w:sz w:val="22"/>
                <w:szCs w:val="22"/>
              </w:rPr>
            </w:pPr>
            <w:r w:rsidRPr="00D14CD7">
              <w:rPr>
                <w:rFonts w:eastAsia="Times New Roman"/>
                <w:color w:val="000000" w:themeColor="text1"/>
                <w:sz w:val="22"/>
                <w:szCs w:val="22"/>
              </w:rPr>
              <w:t>9.2</w:t>
            </w:r>
          </w:p>
        </w:tc>
        <w:tc>
          <w:tcPr>
            <w:tcW w:w="1942" w:type="pct"/>
            <w:tcBorders>
              <w:top w:val="nil"/>
              <w:left w:val="nil"/>
              <w:bottom w:val="nil"/>
              <w:right w:val="double" w:sz="4" w:space="0" w:color="auto"/>
            </w:tcBorders>
            <w:shd w:val="clear" w:color="000000" w:fill="FFFFFF"/>
            <w:noWrap/>
            <w:vAlign w:val="bottom"/>
            <w:hideMark/>
          </w:tcPr>
          <w:p w14:paraId="016977E7" w14:textId="77777777" w:rsidR="005B6BB0" w:rsidRPr="00D14CD7" w:rsidRDefault="005B6BB0" w:rsidP="00286339">
            <w:pPr>
              <w:spacing w:after="0" w:line="240" w:lineRule="auto"/>
              <w:jc w:val="left"/>
              <w:rPr>
                <w:rFonts w:eastAsia="Times New Roman"/>
                <w:b/>
                <w:bCs/>
                <w:i/>
                <w:iCs/>
                <w:color w:val="000000" w:themeColor="text1"/>
                <w:sz w:val="22"/>
                <w:szCs w:val="22"/>
              </w:rPr>
            </w:pPr>
            <w:r w:rsidRPr="00D14CD7">
              <w:rPr>
                <w:rFonts w:eastAsia="Times New Roman"/>
                <w:b/>
                <w:bCs/>
                <w:i/>
                <w:iCs/>
                <w:color w:val="000000" w:themeColor="text1"/>
                <w:sz w:val="22"/>
                <w:szCs w:val="22"/>
              </w:rPr>
              <w:t>Workplace location</w:t>
            </w:r>
          </w:p>
        </w:tc>
        <w:tc>
          <w:tcPr>
            <w:tcW w:w="322" w:type="pct"/>
            <w:tcBorders>
              <w:top w:val="nil"/>
              <w:left w:val="double" w:sz="4" w:space="0" w:color="auto"/>
              <w:bottom w:val="nil"/>
              <w:right w:val="nil"/>
            </w:tcBorders>
            <w:shd w:val="clear" w:color="000000" w:fill="FFFFFF"/>
            <w:noWrap/>
            <w:vAlign w:val="bottom"/>
            <w:hideMark/>
          </w:tcPr>
          <w:p w14:paraId="46298966" w14:textId="77777777" w:rsidR="005B6BB0" w:rsidRPr="00D14CD7" w:rsidRDefault="005B6BB0" w:rsidP="00286339">
            <w:pPr>
              <w:spacing w:after="0" w:line="240" w:lineRule="auto"/>
              <w:jc w:val="left"/>
              <w:rPr>
                <w:rFonts w:eastAsia="Times New Roman"/>
                <w:color w:val="000000" w:themeColor="text1"/>
                <w:sz w:val="22"/>
                <w:szCs w:val="22"/>
              </w:rPr>
            </w:pPr>
            <w:r w:rsidRPr="00D14CD7">
              <w:rPr>
                <w:rFonts w:eastAsia="Times New Roman"/>
                <w:color w:val="000000" w:themeColor="text1"/>
                <w:sz w:val="22"/>
                <w:szCs w:val="22"/>
              </w:rPr>
              <w:t> </w:t>
            </w:r>
          </w:p>
        </w:tc>
        <w:tc>
          <w:tcPr>
            <w:tcW w:w="233" w:type="pct"/>
            <w:tcBorders>
              <w:top w:val="nil"/>
              <w:left w:val="nil"/>
              <w:bottom w:val="nil"/>
              <w:right w:val="single" w:sz="4" w:space="0" w:color="auto"/>
            </w:tcBorders>
            <w:shd w:val="clear" w:color="000000" w:fill="FFFFFF"/>
            <w:noWrap/>
            <w:vAlign w:val="bottom"/>
            <w:hideMark/>
          </w:tcPr>
          <w:p w14:paraId="4288D58A" w14:textId="77777777" w:rsidR="005B6BB0" w:rsidRPr="00D14CD7" w:rsidRDefault="005B6BB0" w:rsidP="00286339">
            <w:pPr>
              <w:spacing w:after="0" w:line="240" w:lineRule="auto"/>
              <w:jc w:val="left"/>
              <w:rPr>
                <w:rFonts w:eastAsia="Times New Roman"/>
                <w:color w:val="000000" w:themeColor="text1"/>
                <w:sz w:val="22"/>
                <w:szCs w:val="22"/>
              </w:rPr>
            </w:pPr>
            <w:r w:rsidRPr="00D14CD7">
              <w:rPr>
                <w:rFonts w:eastAsia="Times New Roman"/>
                <w:color w:val="000000" w:themeColor="text1"/>
                <w:sz w:val="22"/>
                <w:szCs w:val="22"/>
              </w:rPr>
              <w:t> </w:t>
            </w:r>
          </w:p>
        </w:tc>
        <w:tc>
          <w:tcPr>
            <w:tcW w:w="297" w:type="pct"/>
            <w:tcBorders>
              <w:top w:val="nil"/>
              <w:left w:val="single" w:sz="4" w:space="0" w:color="auto"/>
              <w:bottom w:val="nil"/>
              <w:right w:val="double" w:sz="6" w:space="0" w:color="auto"/>
            </w:tcBorders>
            <w:shd w:val="clear" w:color="000000" w:fill="FFFFFF"/>
            <w:noWrap/>
            <w:vAlign w:val="bottom"/>
            <w:hideMark/>
          </w:tcPr>
          <w:p w14:paraId="1674D904" w14:textId="77777777" w:rsidR="005B6BB0" w:rsidRPr="00D14CD7" w:rsidRDefault="005B6BB0" w:rsidP="00286339">
            <w:pPr>
              <w:spacing w:after="0" w:line="240" w:lineRule="auto"/>
              <w:jc w:val="left"/>
              <w:rPr>
                <w:rFonts w:eastAsia="Times New Roman"/>
                <w:color w:val="000000" w:themeColor="text1"/>
                <w:sz w:val="22"/>
                <w:szCs w:val="22"/>
              </w:rPr>
            </w:pPr>
            <w:r w:rsidRPr="00D14CD7">
              <w:rPr>
                <w:rFonts w:eastAsia="Times New Roman"/>
                <w:color w:val="000000" w:themeColor="text1"/>
                <w:sz w:val="22"/>
                <w:szCs w:val="22"/>
              </w:rPr>
              <w:t> </w:t>
            </w:r>
          </w:p>
        </w:tc>
      </w:tr>
      <w:tr w:rsidR="00D14CD7" w:rsidRPr="00D14CD7" w14:paraId="477AFD07" w14:textId="77777777" w:rsidTr="005736F5">
        <w:trPr>
          <w:trHeight w:val="288"/>
        </w:trPr>
        <w:tc>
          <w:tcPr>
            <w:tcW w:w="1235" w:type="pct"/>
            <w:tcBorders>
              <w:top w:val="nil"/>
              <w:left w:val="double" w:sz="6" w:space="0" w:color="auto"/>
              <w:bottom w:val="double" w:sz="6" w:space="0" w:color="auto"/>
              <w:right w:val="double" w:sz="4" w:space="0" w:color="auto"/>
            </w:tcBorders>
            <w:shd w:val="clear" w:color="000000" w:fill="FFFFFF"/>
            <w:noWrap/>
            <w:vAlign w:val="bottom"/>
            <w:hideMark/>
          </w:tcPr>
          <w:p w14:paraId="35D032AB" w14:textId="77777777" w:rsidR="005B6BB0" w:rsidRPr="00D14CD7" w:rsidRDefault="005B6BB0" w:rsidP="00286339">
            <w:pPr>
              <w:spacing w:after="0" w:line="240" w:lineRule="auto"/>
              <w:ind w:firstLine="139"/>
              <w:jc w:val="left"/>
              <w:rPr>
                <w:rFonts w:eastAsia="Times New Roman"/>
                <w:color w:val="000000" w:themeColor="text1"/>
                <w:sz w:val="22"/>
                <w:szCs w:val="22"/>
              </w:rPr>
            </w:pPr>
            <w:r w:rsidRPr="00D14CD7">
              <w:rPr>
                <w:rFonts w:eastAsia="Times New Roman"/>
                <w:color w:val="000000" w:themeColor="text1"/>
                <w:sz w:val="22"/>
                <w:szCs w:val="22"/>
              </w:rPr>
              <w:t>$250,000 or more</w:t>
            </w:r>
          </w:p>
        </w:tc>
        <w:tc>
          <w:tcPr>
            <w:tcW w:w="441" w:type="pct"/>
            <w:tcBorders>
              <w:top w:val="nil"/>
              <w:left w:val="double" w:sz="4" w:space="0" w:color="auto"/>
              <w:bottom w:val="double" w:sz="6" w:space="0" w:color="auto"/>
              <w:right w:val="nil"/>
            </w:tcBorders>
            <w:shd w:val="clear" w:color="000000" w:fill="FFFFFF"/>
            <w:noWrap/>
            <w:vAlign w:val="bottom"/>
            <w:hideMark/>
          </w:tcPr>
          <w:p w14:paraId="0F349547" w14:textId="77777777" w:rsidR="005B6BB0" w:rsidRPr="00D14CD7" w:rsidRDefault="005B6BB0" w:rsidP="00286339">
            <w:pPr>
              <w:spacing w:after="0" w:line="240" w:lineRule="auto"/>
              <w:jc w:val="right"/>
              <w:rPr>
                <w:rFonts w:eastAsia="Times New Roman"/>
                <w:color w:val="000000" w:themeColor="text1"/>
                <w:sz w:val="22"/>
                <w:szCs w:val="22"/>
              </w:rPr>
            </w:pPr>
            <w:r w:rsidRPr="00D14CD7">
              <w:rPr>
                <w:rFonts w:eastAsia="Times New Roman"/>
                <w:color w:val="000000" w:themeColor="text1"/>
                <w:sz w:val="22"/>
                <w:szCs w:val="22"/>
              </w:rPr>
              <w:t>105</w:t>
            </w:r>
          </w:p>
        </w:tc>
        <w:tc>
          <w:tcPr>
            <w:tcW w:w="233" w:type="pct"/>
            <w:tcBorders>
              <w:top w:val="nil"/>
              <w:left w:val="nil"/>
              <w:bottom w:val="double" w:sz="6" w:space="0" w:color="auto"/>
              <w:right w:val="single" w:sz="4" w:space="0" w:color="auto"/>
            </w:tcBorders>
            <w:shd w:val="clear" w:color="000000" w:fill="FFFFFF"/>
            <w:noWrap/>
            <w:vAlign w:val="bottom"/>
            <w:hideMark/>
          </w:tcPr>
          <w:p w14:paraId="6F4F7F62" w14:textId="77777777" w:rsidR="005B6BB0" w:rsidRPr="00D14CD7" w:rsidRDefault="005B6BB0" w:rsidP="00286339">
            <w:pPr>
              <w:spacing w:after="0" w:line="240" w:lineRule="auto"/>
              <w:jc w:val="right"/>
              <w:rPr>
                <w:rFonts w:eastAsia="Times New Roman"/>
                <w:color w:val="000000" w:themeColor="text1"/>
                <w:sz w:val="22"/>
                <w:szCs w:val="22"/>
              </w:rPr>
            </w:pPr>
            <w:r w:rsidRPr="00D14CD7">
              <w:rPr>
                <w:rFonts w:eastAsia="Times New Roman"/>
                <w:color w:val="000000" w:themeColor="text1"/>
                <w:sz w:val="22"/>
                <w:szCs w:val="22"/>
              </w:rPr>
              <w:t>9.6</w:t>
            </w:r>
          </w:p>
        </w:tc>
        <w:tc>
          <w:tcPr>
            <w:tcW w:w="297" w:type="pct"/>
            <w:tcBorders>
              <w:top w:val="nil"/>
              <w:left w:val="single" w:sz="4" w:space="0" w:color="auto"/>
              <w:bottom w:val="double" w:sz="6" w:space="0" w:color="auto"/>
              <w:right w:val="double" w:sz="6" w:space="0" w:color="auto"/>
            </w:tcBorders>
            <w:shd w:val="clear" w:color="000000" w:fill="FFFFFF"/>
            <w:noWrap/>
            <w:vAlign w:val="bottom"/>
            <w:hideMark/>
          </w:tcPr>
          <w:p w14:paraId="57D6D473" w14:textId="6A29683F" w:rsidR="005B6BB0" w:rsidRPr="00D14CD7" w:rsidRDefault="00AF1518" w:rsidP="00286339">
            <w:pPr>
              <w:spacing w:after="0" w:line="240" w:lineRule="auto"/>
              <w:jc w:val="right"/>
              <w:rPr>
                <w:rFonts w:eastAsia="Times New Roman"/>
                <w:color w:val="000000" w:themeColor="text1"/>
                <w:sz w:val="22"/>
                <w:szCs w:val="22"/>
              </w:rPr>
            </w:pPr>
            <w:r w:rsidRPr="00D14CD7">
              <w:rPr>
                <w:rFonts w:eastAsia="Times New Roman"/>
                <w:color w:val="000000" w:themeColor="text1"/>
                <w:sz w:val="22"/>
                <w:szCs w:val="22"/>
              </w:rPr>
              <w:t>7.3</w:t>
            </w:r>
          </w:p>
        </w:tc>
        <w:tc>
          <w:tcPr>
            <w:tcW w:w="1942" w:type="pct"/>
            <w:tcBorders>
              <w:top w:val="nil"/>
              <w:left w:val="nil"/>
              <w:bottom w:val="double" w:sz="6" w:space="0" w:color="auto"/>
              <w:right w:val="double" w:sz="4" w:space="0" w:color="auto"/>
            </w:tcBorders>
            <w:shd w:val="clear" w:color="000000" w:fill="FFFFFF"/>
            <w:noWrap/>
            <w:vAlign w:val="bottom"/>
            <w:hideMark/>
          </w:tcPr>
          <w:p w14:paraId="67A137BC" w14:textId="77777777" w:rsidR="005B6BB0" w:rsidRPr="00D14CD7" w:rsidRDefault="005B6BB0" w:rsidP="00286339">
            <w:pPr>
              <w:spacing w:after="0" w:line="240" w:lineRule="auto"/>
              <w:ind w:firstLine="83"/>
              <w:jc w:val="left"/>
              <w:rPr>
                <w:rFonts w:eastAsia="Times New Roman"/>
                <w:color w:val="000000" w:themeColor="text1"/>
                <w:sz w:val="22"/>
                <w:szCs w:val="22"/>
              </w:rPr>
            </w:pPr>
            <w:r w:rsidRPr="00D14CD7">
              <w:rPr>
                <w:rFonts w:eastAsia="Times New Roman"/>
                <w:color w:val="000000" w:themeColor="text1"/>
                <w:sz w:val="22"/>
                <w:szCs w:val="22"/>
              </w:rPr>
              <w:t>Percentage of workdays from home in the past month</w:t>
            </w:r>
          </w:p>
        </w:tc>
        <w:tc>
          <w:tcPr>
            <w:tcW w:w="322" w:type="pct"/>
            <w:tcBorders>
              <w:top w:val="nil"/>
              <w:left w:val="double" w:sz="4" w:space="0" w:color="auto"/>
              <w:bottom w:val="double" w:sz="6" w:space="0" w:color="auto"/>
              <w:right w:val="nil"/>
            </w:tcBorders>
            <w:shd w:val="clear" w:color="000000" w:fill="FFFFFF"/>
            <w:noWrap/>
            <w:vAlign w:val="bottom"/>
            <w:hideMark/>
          </w:tcPr>
          <w:p w14:paraId="2EE42015" w14:textId="77777777" w:rsidR="005B6BB0" w:rsidRPr="00D14CD7" w:rsidRDefault="005B6BB0" w:rsidP="00286339">
            <w:pPr>
              <w:spacing w:after="0" w:line="240" w:lineRule="auto"/>
              <w:jc w:val="right"/>
              <w:rPr>
                <w:rFonts w:eastAsia="Times New Roman"/>
                <w:color w:val="000000" w:themeColor="text1"/>
                <w:sz w:val="22"/>
                <w:szCs w:val="22"/>
              </w:rPr>
            </w:pPr>
            <w:r w:rsidRPr="00D14CD7">
              <w:rPr>
                <w:rFonts w:eastAsia="Times New Roman"/>
                <w:color w:val="000000" w:themeColor="text1"/>
                <w:sz w:val="22"/>
                <w:szCs w:val="22"/>
              </w:rPr>
              <w:t> 44.8</w:t>
            </w:r>
          </w:p>
        </w:tc>
        <w:tc>
          <w:tcPr>
            <w:tcW w:w="233" w:type="pct"/>
            <w:tcBorders>
              <w:top w:val="nil"/>
              <w:left w:val="nil"/>
              <w:bottom w:val="double" w:sz="6" w:space="0" w:color="auto"/>
              <w:right w:val="single" w:sz="4" w:space="0" w:color="auto"/>
            </w:tcBorders>
            <w:shd w:val="clear" w:color="000000" w:fill="FFFFFF"/>
            <w:noWrap/>
            <w:vAlign w:val="bottom"/>
            <w:hideMark/>
          </w:tcPr>
          <w:p w14:paraId="00AF97FB" w14:textId="77777777" w:rsidR="005B6BB0" w:rsidRPr="00D14CD7" w:rsidRDefault="005B6BB0" w:rsidP="00286339">
            <w:pPr>
              <w:spacing w:after="0" w:line="240" w:lineRule="auto"/>
              <w:jc w:val="right"/>
              <w:rPr>
                <w:rFonts w:eastAsia="Times New Roman"/>
                <w:color w:val="000000" w:themeColor="text1"/>
                <w:sz w:val="22"/>
                <w:szCs w:val="22"/>
              </w:rPr>
            </w:pPr>
            <w:r w:rsidRPr="00D14CD7">
              <w:rPr>
                <w:rFonts w:eastAsia="Times New Roman"/>
                <w:color w:val="000000" w:themeColor="text1"/>
                <w:sz w:val="22"/>
                <w:szCs w:val="22"/>
              </w:rPr>
              <w:t>38.3</w:t>
            </w:r>
          </w:p>
        </w:tc>
        <w:tc>
          <w:tcPr>
            <w:tcW w:w="297" w:type="pct"/>
            <w:tcBorders>
              <w:top w:val="nil"/>
              <w:left w:val="single" w:sz="4" w:space="0" w:color="auto"/>
              <w:bottom w:val="double" w:sz="6" w:space="0" w:color="auto"/>
              <w:right w:val="double" w:sz="6" w:space="0" w:color="auto"/>
            </w:tcBorders>
            <w:shd w:val="clear" w:color="000000" w:fill="FFFFFF"/>
            <w:noWrap/>
            <w:vAlign w:val="bottom"/>
            <w:hideMark/>
          </w:tcPr>
          <w:p w14:paraId="6B661D32" w14:textId="77777777" w:rsidR="005B6BB0" w:rsidRPr="00D14CD7" w:rsidRDefault="005B6BB0" w:rsidP="00286339">
            <w:pPr>
              <w:spacing w:after="0" w:line="240" w:lineRule="auto"/>
              <w:jc w:val="right"/>
              <w:rPr>
                <w:rFonts w:eastAsia="Times New Roman"/>
                <w:color w:val="000000" w:themeColor="text1"/>
                <w:sz w:val="22"/>
                <w:szCs w:val="22"/>
              </w:rPr>
            </w:pPr>
            <w:r w:rsidRPr="00D14CD7">
              <w:rPr>
                <w:rFonts w:eastAsia="Times New Roman"/>
                <w:color w:val="000000" w:themeColor="text1"/>
                <w:sz w:val="22"/>
                <w:szCs w:val="22"/>
              </w:rPr>
              <w:t>--</w:t>
            </w:r>
          </w:p>
        </w:tc>
      </w:tr>
    </w:tbl>
    <w:p w14:paraId="5449D048" w14:textId="77777777" w:rsidR="005B6BB0" w:rsidRPr="00D14CD7" w:rsidRDefault="005B6BB0" w:rsidP="005B6BB0">
      <w:pPr>
        <w:rPr>
          <w:b/>
          <w:color w:val="000000" w:themeColor="text1"/>
        </w:rPr>
        <w:sectPr w:rsidR="005B6BB0" w:rsidRPr="00D14CD7" w:rsidSect="006B40E2">
          <w:pgSz w:w="15840" w:h="12240" w:orient="landscape"/>
          <w:pgMar w:top="1440" w:right="1440" w:bottom="1440" w:left="1440" w:header="720" w:footer="720" w:gutter="0"/>
          <w:cols w:space="720"/>
          <w:docGrid w:linePitch="360"/>
        </w:sectPr>
      </w:pPr>
    </w:p>
    <w:p w14:paraId="0BF0A39B" w14:textId="787EF5A8" w:rsidR="00BE151D" w:rsidRPr="00D14CD7" w:rsidRDefault="00BE151D" w:rsidP="00630A69">
      <w:pPr>
        <w:pStyle w:val="Caption"/>
        <w:keepNext/>
        <w:spacing w:after="120"/>
        <w:rPr>
          <w:b/>
          <w:i w:val="0"/>
          <w:color w:val="000000" w:themeColor="text1"/>
          <w:sz w:val="24"/>
          <w:szCs w:val="24"/>
        </w:rPr>
      </w:pPr>
      <w:r w:rsidRPr="00D14CD7">
        <w:rPr>
          <w:b/>
          <w:i w:val="0"/>
          <w:color w:val="000000" w:themeColor="text1"/>
          <w:sz w:val="24"/>
          <w:szCs w:val="24"/>
        </w:rPr>
        <w:lastRenderedPageBreak/>
        <w:t>Table 5. Descriptive statistics for built-environment variables</w:t>
      </w:r>
    </w:p>
    <w:tbl>
      <w:tblPr>
        <w:tblStyle w:val="TableGrid"/>
        <w:tblW w:w="4896" w:type="pct"/>
        <w:tblBorders>
          <w:top w:val="double" w:sz="4" w:space="0" w:color="auto"/>
          <w:left w:val="double" w:sz="4" w:space="0" w:color="auto"/>
          <w:bottom w:val="double" w:sz="4" w:space="0" w:color="auto"/>
          <w:right w:val="double" w:sz="4" w:space="0" w:color="auto"/>
        </w:tblBorders>
        <w:tblLook w:val="04A0" w:firstRow="1" w:lastRow="0" w:firstColumn="1" w:lastColumn="0" w:noHBand="0" w:noVBand="1"/>
      </w:tblPr>
      <w:tblGrid>
        <w:gridCol w:w="4035"/>
        <w:gridCol w:w="2254"/>
        <w:gridCol w:w="2340"/>
        <w:gridCol w:w="2016"/>
        <w:gridCol w:w="2016"/>
      </w:tblGrid>
      <w:tr w:rsidR="00503602" w:rsidRPr="00D14CD7" w14:paraId="6370B6CD" w14:textId="77777777" w:rsidTr="00503602">
        <w:trPr>
          <w:trHeight w:val="317"/>
        </w:trPr>
        <w:tc>
          <w:tcPr>
            <w:tcW w:w="1594" w:type="pct"/>
            <w:tcBorders>
              <w:top w:val="double" w:sz="4" w:space="0" w:color="auto"/>
              <w:bottom w:val="double" w:sz="4" w:space="0" w:color="auto"/>
              <w:right w:val="double" w:sz="4" w:space="0" w:color="auto"/>
            </w:tcBorders>
            <w:tcMar>
              <w:left w:w="58" w:type="dxa"/>
              <w:right w:w="58" w:type="dxa"/>
            </w:tcMar>
            <w:vAlign w:val="center"/>
          </w:tcPr>
          <w:p w14:paraId="126386EE" w14:textId="77777777" w:rsidR="00BE151D" w:rsidRPr="00D14CD7" w:rsidRDefault="00BE151D" w:rsidP="00567BE9">
            <w:pPr>
              <w:jc w:val="left"/>
              <w:rPr>
                <w:b/>
                <w:bCs/>
                <w:color w:val="000000" w:themeColor="text1"/>
              </w:rPr>
            </w:pPr>
            <w:r w:rsidRPr="00D14CD7">
              <w:rPr>
                <w:b/>
                <w:bCs/>
                <w:color w:val="000000" w:themeColor="text1"/>
              </w:rPr>
              <w:t>Variable</w:t>
            </w:r>
          </w:p>
        </w:tc>
        <w:tc>
          <w:tcPr>
            <w:tcW w:w="890" w:type="pct"/>
            <w:tcBorders>
              <w:top w:val="double" w:sz="4" w:space="0" w:color="auto"/>
              <w:left w:val="double" w:sz="4" w:space="0" w:color="auto"/>
              <w:bottom w:val="double" w:sz="4" w:space="0" w:color="auto"/>
            </w:tcBorders>
            <w:tcMar>
              <w:left w:w="58" w:type="dxa"/>
              <w:right w:w="58" w:type="dxa"/>
            </w:tcMar>
            <w:vAlign w:val="center"/>
          </w:tcPr>
          <w:p w14:paraId="0F3C1B00" w14:textId="20B2841E" w:rsidR="00BE151D" w:rsidRPr="00D14CD7" w:rsidRDefault="00BE151D" w:rsidP="00567BE9">
            <w:pPr>
              <w:jc w:val="center"/>
              <w:rPr>
                <w:b/>
                <w:bCs/>
                <w:color w:val="000000" w:themeColor="text1"/>
              </w:rPr>
            </w:pPr>
            <w:r w:rsidRPr="00D14CD7">
              <w:rPr>
                <w:b/>
                <w:bCs/>
                <w:color w:val="000000" w:themeColor="text1"/>
              </w:rPr>
              <w:t xml:space="preserve">Mean </w:t>
            </w:r>
            <w:r w:rsidR="001848F3">
              <w:rPr>
                <w:b/>
                <w:bCs/>
                <w:color w:val="000000" w:themeColor="text1"/>
              </w:rPr>
              <w:t xml:space="preserve">or </w:t>
            </w:r>
            <w:r w:rsidR="00AE6ED1">
              <w:rPr>
                <w:b/>
                <w:bCs/>
                <w:color w:val="000000" w:themeColor="text1"/>
              </w:rPr>
              <w:t xml:space="preserve">Proportion or </w:t>
            </w:r>
            <w:r w:rsidRPr="00D14CD7">
              <w:rPr>
                <w:b/>
                <w:bCs/>
                <w:color w:val="000000" w:themeColor="text1"/>
              </w:rPr>
              <w:t>Frequency</w:t>
            </w:r>
          </w:p>
        </w:tc>
        <w:tc>
          <w:tcPr>
            <w:tcW w:w="924" w:type="pct"/>
            <w:tcBorders>
              <w:top w:val="double" w:sz="4" w:space="0" w:color="auto"/>
              <w:bottom w:val="double" w:sz="4" w:space="0" w:color="auto"/>
            </w:tcBorders>
            <w:tcMar>
              <w:left w:w="58" w:type="dxa"/>
              <w:right w:w="58" w:type="dxa"/>
            </w:tcMar>
            <w:vAlign w:val="center"/>
          </w:tcPr>
          <w:p w14:paraId="0FE48DDE" w14:textId="77777777" w:rsidR="00BE151D" w:rsidRPr="00D14CD7" w:rsidRDefault="00BE151D" w:rsidP="00567BE9">
            <w:pPr>
              <w:jc w:val="center"/>
              <w:rPr>
                <w:b/>
                <w:bCs/>
                <w:color w:val="000000" w:themeColor="text1"/>
              </w:rPr>
            </w:pPr>
            <w:r w:rsidRPr="00D14CD7">
              <w:rPr>
                <w:b/>
                <w:bCs/>
                <w:color w:val="000000" w:themeColor="text1"/>
              </w:rPr>
              <w:t>Standard Deviation (Relative Frequency)</w:t>
            </w:r>
          </w:p>
        </w:tc>
        <w:tc>
          <w:tcPr>
            <w:tcW w:w="796" w:type="pct"/>
            <w:tcBorders>
              <w:top w:val="double" w:sz="4" w:space="0" w:color="auto"/>
              <w:bottom w:val="double" w:sz="4" w:space="0" w:color="auto"/>
            </w:tcBorders>
            <w:tcMar>
              <w:left w:w="58" w:type="dxa"/>
              <w:right w:w="58" w:type="dxa"/>
            </w:tcMar>
            <w:vAlign w:val="center"/>
          </w:tcPr>
          <w:p w14:paraId="4E234056" w14:textId="77777777" w:rsidR="00BE151D" w:rsidRPr="00D14CD7" w:rsidRDefault="00BE151D" w:rsidP="00567BE9">
            <w:pPr>
              <w:jc w:val="center"/>
              <w:rPr>
                <w:b/>
                <w:bCs/>
                <w:color w:val="000000" w:themeColor="text1"/>
              </w:rPr>
            </w:pPr>
            <w:r w:rsidRPr="00D14CD7">
              <w:rPr>
                <w:b/>
                <w:bCs/>
                <w:color w:val="000000" w:themeColor="text1"/>
              </w:rPr>
              <w:t>Minimum</w:t>
            </w:r>
          </w:p>
        </w:tc>
        <w:tc>
          <w:tcPr>
            <w:tcW w:w="796" w:type="pct"/>
            <w:tcBorders>
              <w:top w:val="double" w:sz="4" w:space="0" w:color="auto"/>
              <w:bottom w:val="double" w:sz="4" w:space="0" w:color="auto"/>
            </w:tcBorders>
            <w:tcMar>
              <w:left w:w="58" w:type="dxa"/>
              <w:right w:w="58" w:type="dxa"/>
            </w:tcMar>
            <w:vAlign w:val="center"/>
          </w:tcPr>
          <w:p w14:paraId="3967F00B" w14:textId="77777777" w:rsidR="00BE151D" w:rsidRPr="00D14CD7" w:rsidRDefault="00BE151D" w:rsidP="00567BE9">
            <w:pPr>
              <w:jc w:val="center"/>
              <w:rPr>
                <w:b/>
                <w:bCs/>
                <w:color w:val="000000" w:themeColor="text1"/>
              </w:rPr>
            </w:pPr>
            <w:r w:rsidRPr="00D14CD7">
              <w:rPr>
                <w:b/>
                <w:bCs/>
                <w:color w:val="000000" w:themeColor="text1"/>
              </w:rPr>
              <w:t>Maximum</w:t>
            </w:r>
          </w:p>
        </w:tc>
      </w:tr>
      <w:tr w:rsidR="00503602" w:rsidRPr="00D14CD7" w14:paraId="100842A9" w14:textId="77777777" w:rsidTr="00503602">
        <w:trPr>
          <w:trHeight w:val="317"/>
        </w:trPr>
        <w:tc>
          <w:tcPr>
            <w:tcW w:w="1594" w:type="pct"/>
            <w:tcBorders>
              <w:top w:val="double" w:sz="4" w:space="0" w:color="auto"/>
              <w:bottom w:val="nil"/>
              <w:right w:val="double" w:sz="4" w:space="0" w:color="auto"/>
            </w:tcBorders>
            <w:vAlign w:val="center"/>
          </w:tcPr>
          <w:p w14:paraId="7621CA62" w14:textId="7B8345C4" w:rsidR="00BE151D" w:rsidRPr="00D14CD7" w:rsidRDefault="00BE151D" w:rsidP="00503602">
            <w:pPr>
              <w:jc w:val="left"/>
              <w:rPr>
                <w:color w:val="000000" w:themeColor="text1"/>
              </w:rPr>
            </w:pPr>
            <w:r w:rsidRPr="00D14CD7">
              <w:rPr>
                <w:color w:val="000000" w:themeColor="text1"/>
              </w:rPr>
              <w:t>Residential area type</w:t>
            </w:r>
            <w:r w:rsidR="00AE6ED1">
              <w:rPr>
                <w:color w:val="000000" w:themeColor="text1"/>
              </w:rPr>
              <w:t xml:space="preserve"> – frequency</w:t>
            </w:r>
          </w:p>
        </w:tc>
        <w:tc>
          <w:tcPr>
            <w:tcW w:w="890" w:type="pct"/>
            <w:tcBorders>
              <w:top w:val="double" w:sz="4" w:space="0" w:color="auto"/>
              <w:left w:val="double" w:sz="4" w:space="0" w:color="auto"/>
              <w:bottom w:val="nil"/>
            </w:tcBorders>
            <w:vAlign w:val="center"/>
          </w:tcPr>
          <w:p w14:paraId="095E11BC" w14:textId="77777777" w:rsidR="00BE151D" w:rsidRPr="00D14CD7" w:rsidRDefault="00BE151D" w:rsidP="00503602">
            <w:pPr>
              <w:jc w:val="right"/>
              <w:rPr>
                <w:color w:val="000000" w:themeColor="text1"/>
              </w:rPr>
            </w:pPr>
          </w:p>
        </w:tc>
        <w:tc>
          <w:tcPr>
            <w:tcW w:w="924" w:type="pct"/>
            <w:tcBorders>
              <w:top w:val="double" w:sz="4" w:space="0" w:color="auto"/>
              <w:bottom w:val="nil"/>
            </w:tcBorders>
            <w:vAlign w:val="center"/>
          </w:tcPr>
          <w:p w14:paraId="78DAFDC9" w14:textId="77777777" w:rsidR="00BE151D" w:rsidRPr="00D14CD7" w:rsidRDefault="00BE151D" w:rsidP="00503602">
            <w:pPr>
              <w:jc w:val="right"/>
              <w:rPr>
                <w:color w:val="000000" w:themeColor="text1"/>
              </w:rPr>
            </w:pPr>
          </w:p>
        </w:tc>
        <w:tc>
          <w:tcPr>
            <w:tcW w:w="796" w:type="pct"/>
            <w:tcBorders>
              <w:top w:val="double" w:sz="4" w:space="0" w:color="auto"/>
              <w:bottom w:val="nil"/>
            </w:tcBorders>
            <w:vAlign w:val="center"/>
          </w:tcPr>
          <w:p w14:paraId="0446F378" w14:textId="77777777" w:rsidR="00BE151D" w:rsidRPr="00D14CD7" w:rsidRDefault="00BE151D" w:rsidP="00503602">
            <w:pPr>
              <w:jc w:val="right"/>
              <w:rPr>
                <w:color w:val="000000" w:themeColor="text1"/>
              </w:rPr>
            </w:pPr>
          </w:p>
        </w:tc>
        <w:tc>
          <w:tcPr>
            <w:tcW w:w="796" w:type="pct"/>
            <w:tcBorders>
              <w:top w:val="double" w:sz="4" w:space="0" w:color="auto"/>
              <w:bottom w:val="nil"/>
            </w:tcBorders>
            <w:vAlign w:val="center"/>
          </w:tcPr>
          <w:p w14:paraId="30F7085A" w14:textId="77777777" w:rsidR="00BE151D" w:rsidRPr="00D14CD7" w:rsidRDefault="00BE151D" w:rsidP="00503602">
            <w:pPr>
              <w:jc w:val="right"/>
              <w:rPr>
                <w:color w:val="000000" w:themeColor="text1"/>
              </w:rPr>
            </w:pPr>
          </w:p>
        </w:tc>
      </w:tr>
      <w:tr w:rsidR="00503602" w:rsidRPr="00D14CD7" w14:paraId="0A12BC20" w14:textId="77777777" w:rsidTr="00503602">
        <w:trPr>
          <w:trHeight w:val="317"/>
        </w:trPr>
        <w:tc>
          <w:tcPr>
            <w:tcW w:w="1594" w:type="pct"/>
            <w:tcBorders>
              <w:top w:val="nil"/>
              <w:bottom w:val="nil"/>
              <w:right w:val="double" w:sz="4" w:space="0" w:color="auto"/>
            </w:tcBorders>
            <w:vAlign w:val="center"/>
          </w:tcPr>
          <w:p w14:paraId="27F1F855" w14:textId="77777777" w:rsidR="00BE151D" w:rsidRPr="00D14CD7" w:rsidRDefault="00BE151D" w:rsidP="00503602">
            <w:pPr>
              <w:ind w:left="155"/>
              <w:jc w:val="left"/>
              <w:rPr>
                <w:i/>
                <w:iCs/>
                <w:color w:val="000000" w:themeColor="text1"/>
              </w:rPr>
            </w:pPr>
            <w:r w:rsidRPr="00D14CD7">
              <w:rPr>
                <w:i/>
                <w:iCs/>
                <w:color w:val="000000" w:themeColor="text1"/>
              </w:rPr>
              <w:t>Rural</w:t>
            </w:r>
          </w:p>
        </w:tc>
        <w:tc>
          <w:tcPr>
            <w:tcW w:w="890" w:type="pct"/>
            <w:tcBorders>
              <w:top w:val="nil"/>
              <w:left w:val="double" w:sz="4" w:space="0" w:color="auto"/>
              <w:bottom w:val="nil"/>
            </w:tcBorders>
            <w:vAlign w:val="center"/>
          </w:tcPr>
          <w:p w14:paraId="08D08B6E" w14:textId="2201DE84" w:rsidR="00BE151D" w:rsidRPr="00D14CD7" w:rsidRDefault="00BE151D" w:rsidP="00503602">
            <w:pPr>
              <w:jc w:val="right"/>
              <w:rPr>
                <w:color w:val="000000" w:themeColor="text1"/>
              </w:rPr>
            </w:pPr>
            <w:r w:rsidRPr="00D14CD7">
              <w:rPr>
                <w:color w:val="000000" w:themeColor="text1"/>
              </w:rPr>
              <w:t>208</w:t>
            </w:r>
          </w:p>
        </w:tc>
        <w:tc>
          <w:tcPr>
            <w:tcW w:w="924" w:type="pct"/>
            <w:tcBorders>
              <w:top w:val="nil"/>
              <w:bottom w:val="nil"/>
            </w:tcBorders>
            <w:vAlign w:val="center"/>
          </w:tcPr>
          <w:p w14:paraId="4381B76E" w14:textId="7E610C71" w:rsidR="00BE151D" w:rsidRPr="00D14CD7" w:rsidRDefault="00BE151D" w:rsidP="00503602">
            <w:pPr>
              <w:jc w:val="right"/>
              <w:rPr>
                <w:color w:val="000000" w:themeColor="text1"/>
              </w:rPr>
            </w:pPr>
            <w:r w:rsidRPr="00D14CD7">
              <w:rPr>
                <w:color w:val="000000" w:themeColor="text1"/>
              </w:rPr>
              <w:t>19.1%</w:t>
            </w:r>
          </w:p>
        </w:tc>
        <w:tc>
          <w:tcPr>
            <w:tcW w:w="796" w:type="pct"/>
            <w:tcBorders>
              <w:top w:val="nil"/>
              <w:bottom w:val="nil"/>
            </w:tcBorders>
            <w:vAlign w:val="center"/>
          </w:tcPr>
          <w:p w14:paraId="6266C0D7" w14:textId="77777777" w:rsidR="00BE151D" w:rsidRPr="00D14CD7" w:rsidRDefault="00BE151D" w:rsidP="00503602">
            <w:pPr>
              <w:jc w:val="right"/>
              <w:rPr>
                <w:color w:val="000000" w:themeColor="text1"/>
              </w:rPr>
            </w:pPr>
            <w:r w:rsidRPr="00D14CD7">
              <w:rPr>
                <w:color w:val="000000" w:themeColor="text1"/>
              </w:rPr>
              <w:t>--</w:t>
            </w:r>
          </w:p>
        </w:tc>
        <w:tc>
          <w:tcPr>
            <w:tcW w:w="796" w:type="pct"/>
            <w:tcBorders>
              <w:top w:val="nil"/>
              <w:bottom w:val="nil"/>
            </w:tcBorders>
            <w:vAlign w:val="center"/>
          </w:tcPr>
          <w:p w14:paraId="1B00D5B2" w14:textId="77777777" w:rsidR="00BE151D" w:rsidRPr="00D14CD7" w:rsidRDefault="00BE151D" w:rsidP="00503602">
            <w:pPr>
              <w:jc w:val="right"/>
              <w:rPr>
                <w:color w:val="000000" w:themeColor="text1"/>
              </w:rPr>
            </w:pPr>
            <w:r w:rsidRPr="00D14CD7">
              <w:rPr>
                <w:color w:val="000000" w:themeColor="text1"/>
              </w:rPr>
              <w:t>--</w:t>
            </w:r>
          </w:p>
        </w:tc>
      </w:tr>
      <w:tr w:rsidR="00503602" w:rsidRPr="00D14CD7" w14:paraId="35DADA6A" w14:textId="77777777" w:rsidTr="00503602">
        <w:trPr>
          <w:trHeight w:val="317"/>
        </w:trPr>
        <w:tc>
          <w:tcPr>
            <w:tcW w:w="1594" w:type="pct"/>
            <w:tcBorders>
              <w:top w:val="nil"/>
              <w:bottom w:val="nil"/>
              <w:right w:val="double" w:sz="4" w:space="0" w:color="auto"/>
            </w:tcBorders>
            <w:vAlign w:val="center"/>
          </w:tcPr>
          <w:p w14:paraId="0BC7BC6B" w14:textId="77777777" w:rsidR="00BE151D" w:rsidRPr="00D14CD7" w:rsidRDefault="00BE151D" w:rsidP="00503602">
            <w:pPr>
              <w:ind w:left="155"/>
              <w:jc w:val="left"/>
              <w:rPr>
                <w:i/>
                <w:iCs/>
                <w:color w:val="000000" w:themeColor="text1"/>
              </w:rPr>
            </w:pPr>
            <w:r w:rsidRPr="00D14CD7">
              <w:rPr>
                <w:i/>
                <w:iCs/>
                <w:color w:val="000000" w:themeColor="text1"/>
              </w:rPr>
              <w:t xml:space="preserve">Suburban </w:t>
            </w:r>
          </w:p>
        </w:tc>
        <w:tc>
          <w:tcPr>
            <w:tcW w:w="890" w:type="pct"/>
            <w:tcBorders>
              <w:top w:val="nil"/>
              <w:left w:val="double" w:sz="4" w:space="0" w:color="auto"/>
              <w:bottom w:val="nil"/>
            </w:tcBorders>
            <w:vAlign w:val="center"/>
          </w:tcPr>
          <w:p w14:paraId="08940F78" w14:textId="37936FFC" w:rsidR="00BE151D" w:rsidRPr="00D14CD7" w:rsidRDefault="00BE151D" w:rsidP="00503602">
            <w:pPr>
              <w:jc w:val="right"/>
              <w:rPr>
                <w:color w:val="000000" w:themeColor="text1"/>
              </w:rPr>
            </w:pPr>
            <w:r w:rsidRPr="00D14CD7">
              <w:rPr>
                <w:color w:val="000000" w:themeColor="text1"/>
              </w:rPr>
              <w:t>628</w:t>
            </w:r>
          </w:p>
        </w:tc>
        <w:tc>
          <w:tcPr>
            <w:tcW w:w="924" w:type="pct"/>
            <w:tcBorders>
              <w:top w:val="nil"/>
              <w:bottom w:val="nil"/>
            </w:tcBorders>
            <w:vAlign w:val="center"/>
          </w:tcPr>
          <w:p w14:paraId="332223B8" w14:textId="4D1750E9" w:rsidR="00BE151D" w:rsidRPr="00D14CD7" w:rsidRDefault="00BE151D" w:rsidP="00503602">
            <w:pPr>
              <w:jc w:val="right"/>
              <w:rPr>
                <w:color w:val="000000" w:themeColor="text1"/>
              </w:rPr>
            </w:pPr>
            <w:r w:rsidRPr="00D14CD7">
              <w:rPr>
                <w:color w:val="000000" w:themeColor="text1"/>
              </w:rPr>
              <w:t>57.5%</w:t>
            </w:r>
          </w:p>
        </w:tc>
        <w:tc>
          <w:tcPr>
            <w:tcW w:w="796" w:type="pct"/>
            <w:tcBorders>
              <w:top w:val="nil"/>
              <w:bottom w:val="nil"/>
            </w:tcBorders>
            <w:vAlign w:val="center"/>
          </w:tcPr>
          <w:p w14:paraId="3FC11B5E" w14:textId="77777777" w:rsidR="00BE151D" w:rsidRPr="00D14CD7" w:rsidRDefault="00BE151D" w:rsidP="00503602">
            <w:pPr>
              <w:jc w:val="right"/>
              <w:rPr>
                <w:color w:val="000000" w:themeColor="text1"/>
              </w:rPr>
            </w:pPr>
            <w:r w:rsidRPr="00D14CD7">
              <w:rPr>
                <w:color w:val="000000" w:themeColor="text1"/>
              </w:rPr>
              <w:t>--</w:t>
            </w:r>
          </w:p>
        </w:tc>
        <w:tc>
          <w:tcPr>
            <w:tcW w:w="796" w:type="pct"/>
            <w:tcBorders>
              <w:top w:val="nil"/>
              <w:bottom w:val="nil"/>
            </w:tcBorders>
            <w:vAlign w:val="center"/>
          </w:tcPr>
          <w:p w14:paraId="6E43B099" w14:textId="77777777" w:rsidR="00BE151D" w:rsidRPr="00D14CD7" w:rsidRDefault="00BE151D" w:rsidP="00503602">
            <w:pPr>
              <w:jc w:val="right"/>
              <w:rPr>
                <w:color w:val="000000" w:themeColor="text1"/>
              </w:rPr>
            </w:pPr>
            <w:r w:rsidRPr="00D14CD7">
              <w:rPr>
                <w:color w:val="000000" w:themeColor="text1"/>
              </w:rPr>
              <w:t>--</w:t>
            </w:r>
          </w:p>
        </w:tc>
      </w:tr>
      <w:tr w:rsidR="00503602" w:rsidRPr="00D14CD7" w14:paraId="15F9BFD1" w14:textId="77777777" w:rsidTr="00503602">
        <w:trPr>
          <w:trHeight w:val="317"/>
        </w:trPr>
        <w:tc>
          <w:tcPr>
            <w:tcW w:w="1594" w:type="pct"/>
            <w:tcBorders>
              <w:top w:val="nil"/>
              <w:right w:val="double" w:sz="4" w:space="0" w:color="auto"/>
            </w:tcBorders>
            <w:vAlign w:val="center"/>
          </w:tcPr>
          <w:p w14:paraId="27F9DFAA" w14:textId="77777777" w:rsidR="00BE151D" w:rsidRPr="00D14CD7" w:rsidRDefault="00BE151D" w:rsidP="00503602">
            <w:pPr>
              <w:ind w:left="155"/>
              <w:jc w:val="left"/>
              <w:rPr>
                <w:i/>
                <w:iCs/>
                <w:color w:val="000000" w:themeColor="text1"/>
              </w:rPr>
            </w:pPr>
            <w:r w:rsidRPr="00D14CD7">
              <w:rPr>
                <w:i/>
                <w:iCs/>
                <w:color w:val="000000" w:themeColor="text1"/>
              </w:rPr>
              <w:t xml:space="preserve">Urban </w:t>
            </w:r>
          </w:p>
        </w:tc>
        <w:tc>
          <w:tcPr>
            <w:tcW w:w="890" w:type="pct"/>
            <w:tcBorders>
              <w:top w:val="nil"/>
              <w:left w:val="double" w:sz="4" w:space="0" w:color="auto"/>
            </w:tcBorders>
            <w:vAlign w:val="center"/>
          </w:tcPr>
          <w:p w14:paraId="3806375A" w14:textId="023F9015" w:rsidR="00BE151D" w:rsidRPr="00D14CD7" w:rsidRDefault="00BE151D" w:rsidP="00503602">
            <w:pPr>
              <w:jc w:val="right"/>
              <w:rPr>
                <w:color w:val="000000" w:themeColor="text1"/>
              </w:rPr>
            </w:pPr>
            <w:r w:rsidRPr="00D14CD7">
              <w:rPr>
                <w:color w:val="000000" w:themeColor="text1"/>
              </w:rPr>
              <w:t>256</w:t>
            </w:r>
          </w:p>
        </w:tc>
        <w:tc>
          <w:tcPr>
            <w:tcW w:w="924" w:type="pct"/>
            <w:tcBorders>
              <w:top w:val="nil"/>
            </w:tcBorders>
            <w:vAlign w:val="center"/>
          </w:tcPr>
          <w:p w14:paraId="6186532E" w14:textId="6A71CBCB" w:rsidR="00BE151D" w:rsidRPr="00D14CD7" w:rsidRDefault="00BE151D" w:rsidP="00503602">
            <w:pPr>
              <w:jc w:val="right"/>
              <w:rPr>
                <w:color w:val="000000" w:themeColor="text1"/>
              </w:rPr>
            </w:pPr>
            <w:r w:rsidRPr="00D14CD7">
              <w:rPr>
                <w:color w:val="000000" w:themeColor="text1"/>
              </w:rPr>
              <w:t>23.4%</w:t>
            </w:r>
          </w:p>
        </w:tc>
        <w:tc>
          <w:tcPr>
            <w:tcW w:w="796" w:type="pct"/>
            <w:tcBorders>
              <w:top w:val="nil"/>
            </w:tcBorders>
            <w:vAlign w:val="center"/>
          </w:tcPr>
          <w:p w14:paraId="79320398" w14:textId="77777777" w:rsidR="00BE151D" w:rsidRPr="00D14CD7" w:rsidRDefault="00BE151D" w:rsidP="00503602">
            <w:pPr>
              <w:jc w:val="right"/>
              <w:rPr>
                <w:color w:val="000000" w:themeColor="text1"/>
              </w:rPr>
            </w:pPr>
            <w:r w:rsidRPr="00D14CD7">
              <w:rPr>
                <w:color w:val="000000" w:themeColor="text1"/>
              </w:rPr>
              <w:t>--</w:t>
            </w:r>
          </w:p>
        </w:tc>
        <w:tc>
          <w:tcPr>
            <w:tcW w:w="796" w:type="pct"/>
            <w:tcBorders>
              <w:top w:val="nil"/>
            </w:tcBorders>
            <w:vAlign w:val="center"/>
          </w:tcPr>
          <w:p w14:paraId="0EC0D00A" w14:textId="77777777" w:rsidR="00BE151D" w:rsidRPr="00D14CD7" w:rsidRDefault="00BE151D" w:rsidP="00503602">
            <w:pPr>
              <w:jc w:val="right"/>
              <w:rPr>
                <w:color w:val="000000" w:themeColor="text1"/>
              </w:rPr>
            </w:pPr>
            <w:r w:rsidRPr="00D14CD7">
              <w:rPr>
                <w:color w:val="000000" w:themeColor="text1"/>
              </w:rPr>
              <w:t>--</w:t>
            </w:r>
          </w:p>
        </w:tc>
      </w:tr>
      <w:tr w:rsidR="00503602" w:rsidRPr="00D14CD7" w14:paraId="45BBAF21" w14:textId="77777777" w:rsidTr="00503602">
        <w:trPr>
          <w:trHeight w:val="317"/>
        </w:trPr>
        <w:tc>
          <w:tcPr>
            <w:tcW w:w="1594" w:type="pct"/>
            <w:tcBorders>
              <w:right w:val="double" w:sz="4" w:space="0" w:color="auto"/>
            </w:tcBorders>
            <w:vAlign w:val="center"/>
          </w:tcPr>
          <w:p w14:paraId="29406089" w14:textId="62D8CC39" w:rsidR="00BE151D" w:rsidRPr="00D14CD7" w:rsidRDefault="00BE151D" w:rsidP="00503602">
            <w:pPr>
              <w:jc w:val="left"/>
              <w:rPr>
                <w:color w:val="000000" w:themeColor="text1"/>
              </w:rPr>
            </w:pPr>
            <w:r w:rsidRPr="00D14CD7">
              <w:rPr>
                <w:color w:val="000000" w:themeColor="text1"/>
              </w:rPr>
              <w:t>Employment density (jobs per acre)</w:t>
            </w:r>
          </w:p>
        </w:tc>
        <w:tc>
          <w:tcPr>
            <w:tcW w:w="890" w:type="pct"/>
            <w:tcBorders>
              <w:left w:val="double" w:sz="4" w:space="0" w:color="auto"/>
            </w:tcBorders>
            <w:vAlign w:val="center"/>
          </w:tcPr>
          <w:p w14:paraId="25C436AC" w14:textId="77777777" w:rsidR="00BE151D" w:rsidRPr="00D14CD7" w:rsidRDefault="00BE151D" w:rsidP="00503602">
            <w:pPr>
              <w:jc w:val="right"/>
              <w:rPr>
                <w:color w:val="000000" w:themeColor="text1"/>
              </w:rPr>
            </w:pPr>
            <w:r w:rsidRPr="00D14CD7">
              <w:rPr>
                <w:color w:val="000000" w:themeColor="text1"/>
              </w:rPr>
              <w:t>2.277</w:t>
            </w:r>
          </w:p>
        </w:tc>
        <w:tc>
          <w:tcPr>
            <w:tcW w:w="924" w:type="pct"/>
            <w:vAlign w:val="center"/>
          </w:tcPr>
          <w:p w14:paraId="73722239" w14:textId="77777777" w:rsidR="00BE151D" w:rsidRPr="00D14CD7" w:rsidRDefault="00BE151D" w:rsidP="00503602">
            <w:pPr>
              <w:jc w:val="right"/>
              <w:rPr>
                <w:color w:val="000000" w:themeColor="text1"/>
              </w:rPr>
            </w:pPr>
            <w:r w:rsidRPr="00D14CD7">
              <w:rPr>
                <w:color w:val="000000" w:themeColor="text1"/>
              </w:rPr>
              <w:t>4.948</w:t>
            </w:r>
          </w:p>
        </w:tc>
        <w:tc>
          <w:tcPr>
            <w:tcW w:w="796" w:type="pct"/>
            <w:vAlign w:val="center"/>
          </w:tcPr>
          <w:p w14:paraId="7C97D851" w14:textId="77777777" w:rsidR="00BE151D" w:rsidRPr="00D14CD7" w:rsidRDefault="00BE151D" w:rsidP="00503602">
            <w:pPr>
              <w:jc w:val="right"/>
              <w:rPr>
                <w:color w:val="000000" w:themeColor="text1"/>
              </w:rPr>
            </w:pPr>
            <w:r w:rsidRPr="00D14CD7">
              <w:rPr>
                <w:color w:val="000000" w:themeColor="text1"/>
              </w:rPr>
              <w:t>0.000</w:t>
            </w:r>
          </w:p>
        </w:tc>
        <w:tc>
          <w:tcPr>
            <w:tcW w:w="796" w:type="pct"/>
            <w:vAlign w:val="center"/>
          </w:tcPr>
          <w:p w14:paraId="6852A61E" w14:textId="77777777" w:rsidR="00BE151D" w:rsidRPr="00D14CD7" w:rsidRDefault="00BE151D" w:rsidP="00503602">
            <w:pPr>
              <w:jc w:val="right"/>
              <w:rPr>
                <w:color w:val="000000" w:themeColor="text1"/>
              </w:rPr>
            </w:pPr>
            <w:r w:rsidRPr="00D14CD7">
              <w:rPr>
                <w:color w:val="000000" w:themeColor="text1"/>
              </w:rPr>
              <w:t>109.052</w:t>
            </w:r>
          </w:p>
        </w:tc>
      </w:tr>
      <w:tr w:rsidR="00503602" w:rsidRPr="00D14CD7" w14:paraId="07E4F201" w14:textId="77777777" w:rsidTr="00503602">
        <w:trPr>
          <w:trHeight w:val="317"/>
        </w:trPr>
        <w:tc>
          <w:tcPr>
            <w:tcW w:w="1594" w:type="pct"/>
            <w:tcBorders>
              <w:right w:val="double" w:sz="4" w:space="0" w:color="auto"/>
            </w:tcBorders>
            <w:vAlign w:val="center"/>
          </w:tcPr>
          <w:p w14:paraId="4C3A63D9" w14:textId="69D52527" w:rsidR="00BE151D" w:rsidRPr="00D14CD7" w:rsidRDefault="00BE151D" w:rsidP="00503602">
            <w:pPr>
              <w:jc w:val="left"/>
              <w:rPr>
                <w:color w:val="000000" w:themeColor="text1"/>
              </w:rPr>
            </w:pPr>
            <w:r w:rsidRPr="00D14CD7">
              <w:rPr>
                <w:color w:val="000000" w:themeColor="text1"/>
              </w:rPr>
              <w:t>Population density (people per acre)</w:t>
            </w:r>
            <w:r w:rsidR="00AE6ED1">
              <w:rPr>
                <w:color w:val="000000" w:themeColor="text1"/>
              </w:rPr>
              <w:t xml:space="preserve">  </w:t>
            </w:r>
          </w:p>
        </w:tc>
        <w:tc>
          <w:tcPr>
            <w:tcW w:w="890" w:type="pct"/>
            <w:tcBorders>
              <w:left w:val="double" w:sz="4" w:space="0" w:color="auto"/>
            </w:tcBorders>
            <w:vAlign w:val="center"/>
          </w:tcPr>
          <w:p w14:paraId="77155405" w14:textId="77777777" w:rsidR="00BE151D" w:rsidRPr="00D14CD7" w:rsidRDefault="00BE151D" w:rsidP="00503602">
            <w:pPr>
              <w:jc w:val="right"/>
              <w:rPr>
                <w:color w:val="000000" w:themeColor="text1"/>
              </w:rPr>
            </w:pPr>
            <w:r w:rsidRPr="00D14CD7">
              <w:rPr>
                <w:color w:val="000000" w:themeColor="text1"/>
              </w:rPr>
              <w:t>4.440</w:t>
            </w:r>
          </w:p>
        </w:tc>
        <w:tc>
          <w:tcPr>
            <w:tcW w:w="924" w:type="pct"/>
            <w:vAlign w:val="center"/>
          </w:tcPr>
          <w:p w14:paraId="08453C01" w14:textId="77777777" w:rsidR="00BE151D" w:rsidRPr="00D14CD7" w:rsidRDefault="00BE151D" w:rsidP="00503602">
            <w:pPr>
              <w:jc w:val="right"/>
              <w:rPr>
                <w:color w:val="000000" w:themeColor="text1"/>
              </w:rPr>
            </w:pPr>
            <w:r w:rsidRPr="00D14CD7">
              <w:rPr>
                <w:color w:val="000000" w:themeColor="text1"/>
              </w:rPr>
              <w:t>4.006</w:t>
            </w:r>
          </w:p>
        </w:tc>
        <w:tc>
          <w:tcPr>
            <w:tcW w:w="796" w:type="pct"/>
            <w:vAlign w:val="center"/>
          </w:tcPr>
          <w:p w14:paraId="631BB353" w14:textId="77777777" w:rsidR="00BE151D" w:rsidRPr="00D14CD7" w:rsidRDefault="00BE151D" w:rsidP="00503602">
            <w:pPr>
              <w:jc w:val="right"/>
              <w:rPr>
                <w:color w:val="000000" w:themeColor="text1"/>
              </w:rPr>
            </w:pPr>
            <w:r w:rsidRPr="00D14CD7">
              <w:rPr>
                <w:color w:val="000000" w:themeColor="text1"/>
              </w:rPr>
              <w:t>21.289</w:t>
            </w:r>
          </w:p>
        </w:tc>
        <w:tc>
          <w:tcPr>
            <w:tcW w:w="796" w:type="pct"/>
            <w:vAlign w:val="center"/>
          </w:tcPr>
          <w:p w14:paraId="38BB6380" w14:textId="77777777" w:rsidR="00BE151D" w:rsidRPr="00D14CD7" w:rsidRDefault="00BE151D" w:rsidP="00503602">
            <w:pPr>
              <w:jc w:val="right"/>
              <w:rPr>
                <w:color w:val="000000" w:themeColor="text1"/>
              </w:rPr>
            </w:pPr>
            <w:r w:rsidRPr="00D14CD7">
              <w:rPr>
                <w:color w:val="000000" w:themeColor="text1"/>
              </w:rPr>
              <w:t>8.890</w:t>
            </w:r>
          </w:p>
        </w:tc>
      </w:tr>
      <w:tr w:rsidR="00503602" w:rsidRPr="00D14CD7" w14:paraId="6BB85C73" w14:textId="77777777" w:rsidTr="00503602">
        <w:trPr>
          <w:trHeight w:val="317"/>
        </w:trPr>
        <w:tc>
          <w:tcPr>
            <w:tcW w:w="1594" w:type="pct"/>
            <w:tcBorders>
              <w:bottom w:val="single" w:sz="4" w:space="0" w:color="auto"/>
              <w:right w:val="double" w:sz="4" w:space="0" w:color="auto"/>
            </w:tcBorders>
            <w:vAlign w:val="center"/>
          </w:tcPr>
          <w:p w14:paraId="7524D54B" w14:textId="3BB9835E" w:rsidR="00BE151D" w:rsidRPr="00D14CD7" w:rsidRDefault="00BE151D" w:rsidP="00503602">
            <w:pPr>
              <w:jc w:val="left"/>
              <w:rPr>
                <w:color w:val="000000" w:themeColor="text1"/>
              </w:rPr>
            </w:pPr>
            <w:r w:rsidRPr="00D14CD7">
              <w:rPr>
                <w:rFonts w:eastAsia="Times New Roman"/>
                <w:color w:val="000000" w:themeColor="text1"/>
              </w:rPr>
              <w:t>Walkability index (/100)</w:t>
            </w:r>
            <w:r w:rsidR="00AE6ED1">
              <w:rPr>
                <w:rFonts w:eastAsia="Times New Roman"/>
                <w:color w:val="000000" w:themeColor="text1"/>
              </w:rPr>
              <w:t xml:space="preserve"> </w:t>
            </w:r>
          </w:p>
        </w:tc>
        <w:tc>
          <w:tcPr>
            <w:tcW w:w="890" w:type="pct"/>
            <w:tcBorders>
              <w:left w:val="double" w:sz="4" w:space="0" w:color="auto"/>
              <w:bottom w:val="single" w:sz="4" w:space="0" w:color="auto"/>
            </w:tcBorders>
            <w:vAlign w:val="center"/>
          </w:tcPr>
          <w:p w14:paraId="2117A2A6" w14:textId="77777777" w:rsidR="00BE151D" w:rsidRPr="00D14CD7" w:rsidRDefault="00BE151D" w:rsidP="00503602">
            <w:pPr>
              <w:jc w:val="right"/>
              <w:rPr>
                <w:color w:val="000000" w:themeColor="text1"/>
              </w:rPr>
            </w:pPr>
            <w:r w:rsidRPr="00D14CD7">
              <w:rPr>
                <w:color w:val="000000" w:themeColor="text1"/>
              </w:rPr>
              <w:t>0.093</w:t>
            </w:r>
          </w:p>
        </w:tc>
        <w:tc>
          <w:tcPr>
            <w:tcW w:w="924" w:type="pct"/>
            <w:tcBorders>
              <w:bottom w:val="single" w:sz="4" w:space="0" w:color="auto"/>
            </w:tcBorders>
            <w:vAlign w:val="center"/>
          </w:tcPr>
          <w:p w14:paraId="22C76C49" w14:textId="77777777" w:rsidR="00BE151D" w:rsidRPr="00D14CD7" w:rsidRDefault="00BE151D" w:rsidP="00503602">
            <w:pPr>
              <w:jc w:val="right"/>
              <w:rPr>
                <w:color w:val="000000" w:themeColor="text1"/>
              </w:rPr>
            </w:pPr>
            <w:r w:rsidRPr="00D14CD7">
              <w:rPr>
                <w:color w:val="000000" w:themeColor="text1"/>
              </w:rPr>
              <w:t>0.031</w:t>
            </w:r>
          </w:p>
        </w:tc>
        <w:tc>
          <w:tcPr>
            <w:tcW w:w="796" w:type="pct"/>
            <w:tcBorders>
              <w:bottom w:val="single" w:sz="4" w:space="0" w:color="auto"/>
            </w:tcBorders>
            <w:vAlign w:val="center"/>
          </w:tcPr>
          <w:p w14:paraId="5791E5EA" w14:textId="77777777" w:rsidR="00BE151D" w:rsidRPr="00D14CD7" w:rsidRDefault="00BE151D" w:rsidP="00503602">
            <w:pPr>
              <w:jc w:val="right"/>
              <w:rPr>
                <w:color w:val="000000" w:themeColor="text1"/>
              </w:rPr>
            </w:pPr>
            <w:r w:rsidRPr="00D14CD7">
              <w:rPr>
                <w:color w:val="000000" w:themeColor="text1"/>
              </w:rPr>
              <w:t>0.018</w:t>
            </w:r>
          </w:p>
        </w:tc>
        <w:tc>
          <w:tcPr>
            <w:tcW w:w="796" w:type="pct"/>
            <w:tcBorders>
              <w:bottom w:val="single" w:sz="4" w:space="0" w:color="auto"/>
            </w:tcBorders>
            <w:vAlign w:val="center"/>
          </w:tcPr>
          <w:p w14:paraId="132E2118" w14:textId="77777777" w:rsidR="00BE151D" w:rsidRPr="00D14CD7" w:rsidRDefault="00BE151D" w:rsidP="00503602">
            <w:pPr>
              <w:jc w:val="right"/>
              <w:rPr>
                <w:color w:val="000000" w:themeColor="text1"/>
              </w:rPr>
            </w:pPr>
            <w:r w:rsidRPr="00D14CD7">
              <w:rPr>
                <w:color w:val="000000" w:themeColor="text1"/>
              </w:rPr>
              <w:t>0.180</w:t>
            </w:r>
          </w:p>
        </w:tc>
      </w:tr>
      <w:tr w:rsidR="00503602" w:rsidRPr="00D14CD7" w14:paraId="61BA8D31" w14:textId="77777777" w:rsidTr="00503602">
        <w:trPr>
          <w:trHeight w:val="317"/>
        </w:trPr>
        <w:tc>
          <w:tcPr>
            <w:tcW w:w="1594" w:type="pct"/>
            <w:tcBorders>
              <w:top w:val="single" w:sz="4" w:space="0" w:color="auto"/>
              <w:bottom w:val="nil"/>
              <w:right w:val="double" w:sz="4" w:space="0" w:color="auto"/>
            </w:tcBorders>
            <w:vAlign w:val="center"/>
          </w:tcPr>
          <w:p w14:paraId="1ABF939A" w14:textId="77777777" w:rsidR="00BE151D" w:rsidRPr="00D14CD7" w:rsidRDefault="00BE151D" w:rsidP="00503602">
            <w:pPr>
              <w:jc w:val="left"/>
              <w:rPr>
                <w:color w:val="000000" w:themeColor="text1"/>
              </w:rPr>
            </w:pPr>
            <w:r w:rsidRPr="00D14CD7">
              <w:rPr>
                <w:color w:val="000000" w:themeColor="text1"/>
              </w:rPr>
              <w:t>Proportion of employment by type:</w:t>
            </w:r>
          </w:p>
        </w:tc>
        <w:tc>
          <w:tcPr>
            <w:tcW w:w="890" w:type="pct"/>
            <w:tcBorders>
              <w:top w:val="single" w:sz="4" w:space="0" w:color="auto"/>
              <w:left w:val="double" w:sz="4" w:space="0" w:color="auto"/>
              <w:bottom w:val="nil"/>
            </w:tcBorders>
            <w:vAlign w:val="center"/>
          </w:tcPr>
          <w:p w14:paraId="428E3D1B" w14:textId="77777777" w:rsidR="00BE151D" w:rsidRPr="00D14CD7" w:rsidRDefault="00BE151D" w:rsidP="00503602">
            <w:pPr>
              <w:jc w:val="right"/>
              <w:rPr>
                <w:color w:val="000000" w:themeColor="text1"/>
              </w:rPr>
            </w:pPr>
          </w:p>
        </w:tc>
        <w:tc>
          <w:tcPr>
            <w:tcW w:w="924" w:type="pct"/>
            <w:tcBorders>
              <w:top w:val="single" w:sz="4" w:space="0" w:color="auto"/>
              <w:bottom w:val="nil"/>
            </w:tcBorders>
            <w:vAlign w:val="center"/>
          </w:tcPr>
          <w:p w14:paraId="65CB1D8E" w14:textId="77777777" w:rsidR="00BE151D" w:rsidRPr="00D14CD7" w:rsidRDefault="00BE151D" w:rsidP="00503602">
            <w:pPr>
              <w:jc w:val="right"/>
              <w:rPr>
                <w:color w:val="000000" w:themeColor="text1"/>
              </w:rPr>
            </w:pPr>
          </w:p>
        </w:tc>
        <w:tc>
          <w:tcPr>
            <w:tcW w:w="796" w:type="pct"/>
            <w:tcBorders>
              <w:top w:val="single" w:sz="4" w:space="0" w:color="auto"/>
              <w:bottom w:val="nil"/>
            </w:tcBorders>
            <w:vAlign w:val="center"/>
          </w:tcPr>
          <w:p w14:paraId="3C39CE3E" w14:textId="77777777" w:rsidR="00BE151D" w:rsidRPr="00D14CD7" w:rsidRDefault="00BE151D" w:rsidP="00503602">
            <w:pPr>
              <w:jc w:val="right"/>
              <w:rPr>
                <w:color w:val="000000" w:themeColor="text1"/>
              </w:rPr>
            </w:pPr>
          </w:p>
        </w:tc>
        <w:tc>
          <w:tcPr>
            <w:tcW w:w="796" w:type="pct"/>
            <w:tcBorders>
              <w:top w:val="single" w:sz="4" w:space="0" w:color="auto"/>
              <w:bottom w:val="nil"/>
            </w:tcBorders>
            <w:vAlign w:val="center"/>
          </w:tcPr>
          <w:p w14:paraId="10A9EB74" w14:textId="77777777" w:rsidR="00BE151D" w:rsidRPr="00D14CD7" w:rsidRDefault="00BE151D" w:rsidP="00503602">
            <w:pPr>
              <w:jc w:val="right"/>
              <w:rPr>
                <w:color w:val="000000" w:themeColor="text1"/>
              </w:rPr>
            </w:pPr>
          </w:p>
        </w:tc>
      </w:tr>
      <w:tr w:rsidR="00503602" w:rsidRPr="00D14CD7" w14:paraId="6674FE56" w14:textId="77777777" w:rsidTr="00503602">
        <w:trPr>
          <w:trHeight w:val="317"/>
        </w:trPr>
        <w:tc>
          <w:tcPr>
            <w:tcW w:w="1594" w:type="pct"/>
            <w:tcBorders>
              <w:top w:val="nil"/>
              <w:bottom w:val="nil"/>
              <w:right w:val="double" w:sz="4" w:space="0" w:color="auto"/>
            </w:tcBorders>
            <w:vAlign w:val="center"/>
          </w:tcPr>
          <w:p w14:paraId="4CC778A7" w14:textId="77777777" w:rsidR="00BE151D" w:rsidRPr="00D14CD7" w:rsidRDefault="00BE151D" w:rsidP="00503602">
            <w:pPr>
              <w:ind w:left="155"/>
              <w:jc w:val="left"/>
              <w:rPr>
                <w:i/>
                <w:iCs/>
                <w:color w:val="000000" w:themeColor="text1"/>
              </w:rPr>
            </w:pPr>
            <w:r w:rsidRPr="00D14CD7">
              <w:rPr>
                <w:i/>
                <w:iCs/>
                <w:color w:val="000000" w:themeColor="text1"/>
              </w:rPr>
              <w:t>Retail</w:t>
            </w:r>
          </w:p>
        </w:tc>
        <w:tc>
          <w:tcPr>
            <w:tcW w:w="890" w:type="pct"/>
            <w:tcBorders>
              <w:top w:val="nil"/>
              <w:left w:val="double" w:sz="4" w:space="0" w:color="auto"/>
              <w:bottom w:val="nil"/>
            </w:tcBorders>
            <w:vAlign w:val="center"/>
          </w:tcPr>
          <w:p w14:paraId="1B6C6F12" w14:textId="77777777" w:rsidR="00BE151D" w:rsidRPr="00D14CD7" w:rsidRDefault="00BE151D" w:rsidP="00503602">
            <w:pPr>
              <w:jc w:val="right"/>
              <w:rPr>
                <w:color w:val="000000" w:themeColor="text1"/>
              </w:rPr>
            </w:pPr>
            <w:r w:rsidRPr="00D14CD7">
              <w:rPr>
                <w:color w:val="000000" w:themeColor="text1"/>
              </w:rPr>
              <w:t>0.141</w:t>
            </w:r>
          </w:p>
        </w:tc>
        <w:tc>
          <w:tcPr>
            <w:tcW w:w="924" w:type="pct"/>
            <w:tcBorders>
              <w:top w:val="nil"/>
              <w:bottom w:val="nil"/>
            </w:tcBorders>
            <w:vAlign w:val="center"/>
          </w:tcPr>
          <w:p w14:paraId="29EDB532" w14:textId="77777777" w:rsidR="00BE151D" w:rsidRPr="00D14CD7" w:rsidRDefault="00BE151D" w:rsidP="00503602">
            <w:pPr>
              <w:jc w:val="right"/>
              <w:rPr>
                <w:color w:val="000000" w:themeColor="text1"/>
              </w:rPr>
            </w:pPr>
            <w:r w:rsidRPr="00D14CD7">
              <w:rPr>
                <w:color w:val="000000" w:themeColor="text1"/>
              </w:rPr>
              <w:t>0.086</w:t>
            </w:r>
          </w:p>
        </w:tc>
        <w:tc>
          <w:tcPr>
            <w:tcW w:w="796" w:type="pct"/>
            <w:tcBorders>
              <w:top w:val="nil"/>
              <w:bottom w:val="nil"/>
            </w:tcBorders>
            <w:vAlign w:val="center"/>
          </w:tcPr>
          <w:p w14:paraId="1F4D06B9" w14:textId="77777777" w:rsidR="00BE151D" w:rsidRPr="00D14CD7" w:rsidRDefault="00BE151D" w:rsidP="00503602">
            <w:pPr>
              <w:jc w:val="right"/>
              <w:rPr>
                <w:color w:val="000000" w:themeColor="text1"/>
              </w:rPr>
            </w:pPr>
            <w:r w:rsidRPr="00D14CD7">
              <w:rPr>
                <w:color w:val="000000" w:themeColor="text1"/>
              </w:rPr>
              <w:t>0.000</w:t>
            </w:r>
          </w:p>
        </w:tc>
        <w:tc>
          <w:tcPr>
            <w:tcW w:w="796" w:type="pct"/>
            <w:tcBorders>
              <w:top w:val="nil"/>
              <w:bottom w:val="nil"/>
            </w:tcBorders>
            <w:vAlign w:val="center"/>
          </w:tcPr>
          <w:p w14:paraId="6907AC97" w14:textId="77777777" w:rsidR="00BE151D" w:rsidRPr="00D14CD7" w:rsidRDefault="00BE151D" w:rsidP="00503602">
            <w:pPr>
              <w:jc w:val="right"/>
              <w:rPr>
                <w:color w:val="000000" w:themeColor="text1"/>
              </w:rPr>
            </w:pPr>
            <w:r w:rsidRPr="00D14CD7">
              <w:rPr>
                <w:color w:val="000000" w:themeColor="text1"/>
              </w:rPr>
              <w:t>0.548</w:t>
            </w:r>
          </w:p>
        </w:tc>
      </w:tr>
      <w:tr w:rsidR="00503602" w:rsidRPr="00D14CD7" w14:paraId="426E4F62" w14:textId="77777777" w:rsidTr="00503602">
        <w:trPr>
          <w:trHeight w:val="317"/>
        </w:trPr>
        <w:tc>
          <w:tcPr>
            <w:tcW w:w="1594" w:type="pct"/>
            <w:tcBorders>
              <w:top w:val="nil"/>
              <w:bottom w:val="nil"/>
              <w:right w:val="double" w:sz="4" w:space="0" w:color="auto"/>
            </w:tcBorders>
            <w:vAlign w:val="center"/>
          </w:tcPr>
          <w:p w14:paraId="314E0F25" w14:textId="77777777" w:rsidR="00BE151D" w:rsidRPr="00D14CD7" w:rsidRDefault="00BE151D" w:rsidP="00503602">
            <w:pPr>
              <w:ind w:left="155"/>
              <w:jc w:val="left"/>
              <w:rPr>
                <w:i/>
                <w:iCs/>
                <w:color w:val="000000" w:themeColor="text1"/>
              </w:rPr>
            </w:pPr>
            <w:r w:rsidRPr="00D14CD7">
              <w:rPr>
                <w:i/>
                <w:iCs/>
                <w:color w:val="000000" w:themeColor="text1"/>
              </w:rPr>
              <w:t>Office</w:t>
            </w:r>
          </w:p>
        </w:tc>
        <w:tc>
          <w:tcPr>
            <w:tcW w:w="890" w:type="pct"/>
            <w:tcBorders>
              <w:top w:val="nil"/>
              <w:left w:val="double" w:sz="4" w:space="0" w:color="auto"/>
              <w:bottom w:val="nil"/>
            </w:tcBorders>
            <w:vAlign w:val="center"/>
          </w:tcPr>
          <w:p w14:paraId="1AA7D97B" w14:textId="77777777" w:rsidR="00BE151D" w:rsidRPr="00D14CD7" w:rsidRDefault="00BE151D" w:rsidP="00503602">
            <w:pPr>
              <w:jc w:val="right"/>
              <w:rPr>
                <w:color w:val="000000" w:themeColor="text1"/>
              </w:rPr>
            </w:pPr>
            <w:r w:rsidRPr="00D14CD7">
              <w:rPr>
                <w:color w:val="000000" w:themeColor="text1"/>
              </w:rPr>
              <w:t>0.110</w:t>
            </w:r>
          </w:p>
        </w:tc>
        <w:tc>
          <w:tcPr>
            <w:tcW w:w="924" w:type="pct"/>
            <w:tcBorders>
              <w:top w:val="nil"/>
              <w:bottom w:val="nil"/>
            </w:tcBorders>
            <w:vAlign w:val="center"/>
          </w:tcPr>
          <w:p w14:paraId="344F11C3" w14:textId="77777777" w:rsidR="00BE151D" w:rsidRPr="00D14CD7" w:rsidRDefault="00BE151D" w:rsidP="00503602">
            <w:pPr>
              <w:jc w:val="right"/>
              <w:rPr>
                <w:color w:val="000000" w:themeColor="text1"/>
              </w:rPr>
            </w:pPr>
            <w:r w:rsidRPr="00D14CD7">
              <w:rPr>
                <w:color w:val="000000" w:themeColor="text1"/>
              </w:rPr>
              <w:t>0.084</w:t>
            </w:r>
          </w:p>
        </w:tc>
        <w:tc>
          <w:tcPr>
            <w:tcW w:w="796" w:type="pct"/>
            <w:tcBorders>
              <w:top w:val="nil"/>
              <w:bottom w:val="nil"/>
            </w:tcBorders>
            <w:vAlign w:val="center"/>
          </w:tcPr>
          <w:p w14:paraId="586923A8" w14:textId="77777777" w:rsidR="00BE151D" w:rsidRPr="00D14CD7" w:rsidRDefault="00BE151D" w:rsidP="00503602">
            <w:pPr>
              <w:jc w:val="right"/>
              <w:rPr>
                <w:color w:val="000000" w:themeColor="text1"/>
              </w:rPr>
            </w:pPr>
            <w:r w:rsidRPr="00D14CD7">
              <w:rPr>
                <w:color w:val="000000" w:themeColor="text1"/>
              </w:rPr>
              <w:t>0.000</w:t>
            </w:r>
          </w:p>
        </w:tc>
        <w:tc>
          <w:tcPr>
            <w:tcW w:w="796" w:type="pct"/>
            <w:tcBorders>
              <w:top w:val="nil"/>
              <w:bottom w:val="nil"/>
            </w:tcBorders>
            <w:vAlign w:val="center"/>
          </w:tcPr>
          <w:p w14:paraId="5489B840" w14:textId="77777777" w:rsidR="00BE151D" w:rsidRPr="00D14CD7" w:rsidRDefault="00BE151D" w:rsidP="00503602">
            <w:pPr>
              <w:jc w:val="right"/>
              <w:rPr>
                <w:color w:val="000000" w:themeColor="text1"/>
              </w:rPr>
            </w:pPr>
            <w:r w:rsidRPr="00D14CD7">
              <w:rPr>
                <w:color w:val="000000" w:themeColor="text1"/>
              </w:rPr>
              <w:t>0.946</w:t>
            </w:r>
          </w:p>
        </w:tc>
      </w:tr>
      <w:tr w:rsidR="00503602" w:rsidRPr="00D14CD7" w14:paraId="73BCE877" w14:textId="77777777" w:rsidTr="00503602">
        <w:trPr>
          <w:trHeight w:val="317"/>
        </w:trPr>
        <w:tc>
          <w:tcPr>
            <w:tcW w:w="1594" w:type="pct"/>
            <w:tcBorders>
              <w:top w:val="nil"/>
              <w:bottom w:val="nil"/>
              <w:right w:val="double" w:sz="4" w:space="0" w:color="auto"/>
            </w:tcBorders>
            <w:vAlign w:val="center"/>
          </w:tcPr>
          <w:p w14:paraId="1CE83E2B" w14:textId="77777777" w:rsidR="00BE151D" w:rsidRPr="00D14CD7" w:rsidRDefault="00BE151D" w:rsidP="00503602">
            <w:pPr>
              <w:ind w:left="155"/>
              <w:jc w:val="left"/>
              <w:rPr>
                <w:i/>
                <w:iCs/>
                <w:color w:val="000000" w:themeColor="text1"/>
              </w:rPr>
            </w:pPr>
            <w:r w:rsidRPr="00D14CD7">
              <w:rPr>
                <w:i/>
                <w:iCs/>
                <w:color w:val="000000" w:themeColor="text1"/>
              </w:rPr>
              <w:t>Industrial</w:t>
            </w:r>
          </w:p>
        </w:tc>
        <w:tc>
          <w:tcPr>
            <w:tcW w:w="890" w:type="pct"/>
            <w:tcBorders>
              <w:top w:val="nil"/>
              <w:left w:val="double" w:sz="4" w:space="0" w:color="auto"/>
              <w:bottom w:val="nil"/>
            </w:tcBorders>
            <w:vAlign w:val="center"/>
          </w:tcPr>
          <w:p w14:paraId="14A5A9C0" w14:textId="77777777" w:rsidR="00BE151D" w:rsidRPr="00D14CD7" w:rsidRDefault="00BE151D" w:rsidP="00503602">
            <w:pPr>
              <w:jc w:val="right"/>
              <w:rPr>
                <w:color w:val="000000" w:themeColor="text1"/>
              </w:rPr>
            </w:pPr>
            <w:r w:rsidRPr="00D14CD7">
              <w:rPr>
                <w:color w:val="000000" w:themeColor="text1"/>
              </w:rPr>
              <w:t>0.227</w:t>
            </w:r>
          </w:p>
        </w:tc>
        <w:tc>
          <w:tcPr>
            <w:tcW w:w="924" w:type="pct"/>
            <w:tcBorders>
              <w:top w:val="nil"/>
              <w:bottom w:val="nil"/>
            </w:tcBorders>
            <w:vAlign w:val="center"/>
          </w:tcPr>
          <w:p w14:paraId="326DF215" w14:textId="77777777" w:rsidR="00BE151D" w:rsidRPr="00D14CD7" w:rsidRDefault="00BE151D" w:rsidP="00503602">
            <w:pPr>
              <w:jc w:val="right"/>
              <w:rPr>
                <w:color w:val="000000" w:themeColor="text1"/>
              </w:rPr>
            </w:pPr>
            <w:r w:rsidRPr="00D14CD7">
              <w:rPr>
                <w:color w:val="000000" w:themeColor="text1"/>
              </w:rPr>
              <w:t>0.167</w:t>
            </w:r>
          </w:p>
        </w:tc>
        <w:tc>
          <w:tcPr>
            <w:tcW w:w="796" w:type="pct"/>
            <w:tcBorders>
              <w:top w:val="nil"/>
              <w:bottom w:val="nil"/>
            </w:tcBorders>
            <w:vAlign w:val="center"/>
          </w:tcPr>
          <w:p w14:paraId="3EECE679" w14:textId="77777777" w:rsidR="00BE151D" w:rsidRPr="00D14CD7" w:rsidRDefault="00BE151D" w:rsidP="00503602">
            <w:pPr>
              <w:jc w:val="right"/>
              <w:rPr>
                <w:color w:val="000000" w:themeColor="text1"/>
              </w:rPr>
            </w:pPr>
            <w:r w:rsidRPr="00D14CD7">
              <w:rPr>
                <w:color w:val="000000" w:themeColor="text1"/>
              </w:rPr>
              <w:t>0.000</w:t>
            </w:r>
          </w:p>
        </w:tc>
        <w:tc>
          <w:tcPr>
            <w:tcW w:w="796" w:type="pct"/>
            <w:tcBorders>
              <w:top w:val="nil"/>
              <w:bottom w:val="nil"/>
            </w:tcBorders>
            <w:vAlign w:val="center"/>
          </w:tcPr>
          <w:p w14:paraId="21527771" w14:textId="77777777" w:rsidR="00BE151D" w:rsidRPr="00D14CD7" w:rsidRDefault="00BE151D" w:rsidP="00503602">
            <w:pPr>
              <w:jc w:val="right"/>
              <w:rPr>
                <w:color w:val="000000" w:themeColor="text1"/>
              </w:rPr>
            </w:pPr>
            <w:r w:rsidRPr="00D14CD7">
              <w:rPr>
                <w:color w:val="000000" w:themeColor="text1"/>
              </w:rPr>
              <w:t>0.915</w:t>
            </w:r>
          </w:p>
        </w:tc>
      </w:tr>
      <w:tr w:rsidR="00503602" w:rsidRPr="00D14CD7" w14:paraId="26CAA4B5" w14:textId="77777777" w:rsidTr="00503602">
        <w:trPr>
          <w:trHeight w:val="317"/>
        </w:trPr>
        <w:tc>
          <w:tcPr>
            <w:tcW w:w="1594" w:type="pct"/>
            <w:tcBorders>
              <w:top w:val="nil"/>
              <w:bottom w:val="nil"/>
              <w:right w:val="double" w:sz="4" w:space="0" w:color="auto"/>
            </w:tcBorders>
            <w:vAlign w:val="center"/>
          </w:tcPr>
          <w:p w14:paraId="312F02D6" w14:textId="77777777" w:rsidR="00BE151D" w:rsidRPr="00D14CD7" w:rsidRDefault="00BE151D" w:rsidP="00503602">
            <w:pPr>
              <w:ind w:left="155"/>
              <w:jc w:val="left"/>
              <w:rPr>
                <w:i/>
                <w:iCs/>
                <w:color w:val="000000" w:themeColor="text1"/>
              </w:rPr>
            </w:pPr>
            <w:r w:rsidRPr="00D14CD7">
              <w:rPr>
                <w:i/>
                <w:iCs/>
                <w:color w:val="000000" w:themeColor="text1"/>
              </w:rPr>
              <w:t>Service</w:t>
            </w:r>
          </w:p>
        </w:tc>
        <w:tc>
          <w:tcPr>
            <w:tcW w:w="890" w:type="pct"/>
            <w:tcBorders>
              <w:top w:val="nil"/>
              <w:left w:val="double" w:sz="4" w:space="0" w:color="auto"/>
              <w:bottom w:val="nil"/>
            </w:tcBorders>
            <w:vAlign w:val="center"/>
          </w:tcPr>
          <w:p w14:paraId="738C8AE7" w14:textId="77777777" w:rsidR="00BE151D" w:rsidRPr="00D14CD7" w:rsidRDefault="00BE151D" w:rsidP="00503602">
            <w:pPr>
              <w:jc w:val="right"/>
              <w:rPr>
                <w:color w:val="000000" w:themeColor="text1"/>
              </w:rPr>
            </w:pPr>
            <w:r w:rsidRPr="00D14CD7">
              <w:rPr>
                <w:color w:val="000000" w:themeColor="text1"/>
              </w:rPr>
              <w:t>0.386</w:t>
            </w:r>
          </w:p>
        </w:tc>
        <w:tc>
          <w:tcPr>
            <w:tcW w:w="924" w:type="pct"/>
            <w:tcBorders>
              <w:top w:val="nil"/>
              <w:bottom w:val="nil"/>
            </w:tcBorders>
            <w:vAlign w:val="center"/>
          </w:tcPr>
          <w:p w14:paraId="71B9C4D7" w14:textId="77777777" w:rsidR="00BE151D" w:rsidRPr="00D14CD7" w:rsidRDefault="00BE151D" w:rsidP="00503602">
            <w:pPr>
              <w:jc w:val="right"/>
              <w:rPr>
                <w:color w:val="000000" w:themeColor="text1"/>
              </w:rPr>
            </w:pPr>
            <w:r w:rsidRPr="00D14CD7">
              <w:rPr>
                <w:color w:val="000000" w:themeColor="text1"/>
              </w:rPr>
              <w:t>0.152</w:t>
            </w:r>
          </w:p>
        </w:tc>
        <w:tc>
          <w:tcPr>
            <w:tcW w:w="796" w:type="pct"/>
            <w:tcBorders>
              <w:top w:val="nil"/>
              <w:bottom w:val="nil"/>
            </w:tcBorders>
            <w:vAlign w:val="center"/>
          </w:tcPr>
          <w:p w14:paraId="7EC14EEF" w14:textId="77777777" w:rsidR="00BE151D" w:rsidRPr="00D14CD7" w:rsidRDefault="00BE151D" w:rsidP="00503602">
            <w:pPr>
              <w:jc w:val="right"/>
              <w:rPr>
                <w:color w:val="000000" w:themeColor="text1"/>
              </w:rPr>
            </w:pPr>
            <w:r w:rsidRPr="00D14CD7">
              <w:rPr>
                <w:color w:val="000000" w:themeColor="text1"/>
              </w:rPr>
              <w:t>0.003</w:t>
            </w:r>
          </w:p>
        </w:tc>
        <w:tc>
          <w:tcPr>
            <w:tcW w:w="796" w:type="pct"/>
            <w:tcBorders>
              <w:top w:val="nil"/>
              <w:bottom w:val="nil"/>
            </w:tcBorders>
            <w:vAlign w:val="center"/>
          </w:tcPr>
          <w:p w14:paraId="58FE1724" w14:textId="77777777" w:rsidR="00BE151D" w:rsidRPr="00D14CD7" w:rsidRDefault="00BE151D" w:rsidP="00503602">
            <w:pPr>
              <w:jc w:val="right"/>
              <w:rPr>
                <w:color w:val="000000" w:themeColor="text1"/>
              </w:rPr>
            </w:pPr>
            <w:r w:rsidRPr="00D14CD7">
              <w:rPr>
                <w:color w:val="000000" w:themeColor="text1"/>
              </w:rPr>
              <w:t>0.940</w:t>
            </w:r>
          </w:p>
        </w:tc>
      </w:tr>
      <w:tr w:rsidR="00503602" w:rsidRPr="00D14CD7" w14:paraId="096E1671" w14:textId="77777777" w:rsidTr="00503602">
        <w:trPr>
          <w:trHeight w:val="317"/>
        </w:trPr>
        <w:tc>
          <w:tcPr>
            <w:tcW w:w="1594" w:type="pct"/>
            <w:tcBorders>
              <w:top w:val="nil"/>
              <w:right w:val="double" w:sz="4" w:space="0" w:color="auto"/>
            </w:tcBorders>
            <w:vAlign w:val="center"/>
          </w:tcPr>
          <w:p w14:paraId="471D8B6B" w14:textId="77777777" w:rsidR="00BE151D" w:rsidRPr="00D14CD7" w:rsidRDefault="00BE151D" w:rsidP="00503602">
            <w:pPr>
              <w:ind w:left="155"/>
              <w:jc w:val="left"/>
              <w:rPr>
                <w:i/>
                <w:iCs/>
                <w:color w:val="000000" w:themeColor="text1"/>
              </w:rPr>
            </w:pPr>
            <w:r w:rsidRPr="00D14CD7">
              <w:rPr>
                <w:i/>
                <w:iCs/>
                <w:color w:val="000000" w:themeColor="text1"/>
              </w:rPr>
              <w:t>Entertainment</w:t>
            </w:r>
          </w:p>
        </w:tc>
        <w:tc>
          <w:tcPr>
            <w:tcW w:w="890" w:type="pct"/>
            <w:tcBorders>
              <w:top w:val="nil"/>
              <w:left w:val="double" w:sz="4" w:space="0" w:color="auto"/>
            </w:tcBorders>
            <w:vAlign w:val="center"/>
          </w:tcPr>
          <w:p w14:paraId="537A75A4" w14:textId="77777777" w:rsidR="00BE151D" w:rsidRPr="00D14CD7" w:rsidRDefault="00BE151D" w:rsidP="00503602">
            <w:pPr>
              <w:jc w:val="right"/>
              <w:rPr>
                <w:color w:val="000000" w:themeColor="text1"/>
              </w:rPr>
            </w:pPr>
            <w:r w:rsidRPr="00D14CD7">
              <w:rPr>
                <w:color w:val="000000" w:themeColor="text1"/>
              </w:rPr>
              <w:t>0.136</w:t>
            </w:r>
          </w:p>
        </w:tc>
        <w:tc>
          <w:tcPr>
            <w:tcW w:w="924" w:type="pct"/>
            <w:tcBorders>
              <w:top w:val="nil"/>
            </w:tcBorders>
            <w:vAlign w:val="center"/>
          </w:tcPr>
          <w:p w14:paraId="1BFFF264" w14:textId="77777777" w:rsidR="00BE151D" w:rsidRPr="00D14CD7" w:rsidRDefault="00BE151D" w:rsidP="00503602">
            <w:pPr>
              <w:jc w:val="right"/>
              <w:rPr>
                <w:color w:val="000000" w:themeColor="text1"/>
              </w:rPr>
            </w:pPr>
            <w:r w:rsidRPr="00D14CD7">
              <w:rPr>
                <w:color w:val="000000" w:themeColor="text1"/>
              </w:rPr>
              <w:t>0.073</w:t>
            </w:r>
          </w:p>
        </w:tc>
        <w:tc>
          <w:tcPr>
            <w:tcW w:w="796" w:type="pct"/>
            <w:tcBorders>
              <w:top w:val="nil"/>
            </w:tcBorders>
            <w:vAlign w:val="center"/>
          </w:tcPr>
          <w:p w14:paraId="4502A9B0" w14:textId="77777777" w:rsidR="00BE151D" w:rsidRPr="00D14CD7" w:rsidRDefault="00BE151D" w:rsidP="00503602">
            <w:pPr>
              <w:jc w:val="right"/>
              <w:rPr>
                <w:color w:val="000000" w:themeColor="text1"/>
              </w:rPr>
            </w:pPr>
            <w:r w:rsidRPr="00D14CD7">
              <w:rPr>
                <w:color w:val="000000" w:themeColor="text1"/>
              </w:rPr>
              <w:t>0.000</w:t>
            </w:r>
          </w:p>
        </w:tc>
        <w:tc>
          <w:tcPr>
            <w:tcW w:w="796" w:type="pct"/>
            <w:tcBorders>
              <w:top w:val="nil"/>
            </w:tcBorders>
            <w:vAlign w:val="center"/>
          </w:tcPr>
          <w:p w14:paraId="1234AA18" w14:textId="77777777" w:rsidR="00BE151D" w:rsidRPr="00D14CD7" w:rsidRDefault="00BE151D" w:rsidP="00503602">
            <w:pPr>
              <w:jc w:val="right"/>
              <w:rPr>
                <w:color w:val="000000" w:themeColor="text1"/>
              </w:rPr>
            </w:pPr>
            <w:r w:rsidRPr="00D14CD7">
              <w:rPr>
                <w:color w:val="000000" w:themeColor="text1"/>
              </w:rPr>
              <w:t>0.643</w:t>
            </w:r>
          </w:p>
        </w:tc>
      </w:tr>
      <w:tr w:rsidR="00503602" w:rsidRPr="00D14CD7" w14:paraId="7A8F4FC5" w14:textId="77777777" w:rsidTr="00503602">
        <w:trPr>
          <w:trHeight w:val="317"/>
        </w:trPr>
        <w:tc>
          <w:tcPr>
            <w:tcW w:w="1594" w:type="pct"/>
            <w:tcBorders>
              <w:right w:val="double" w:sz="4" w:space="0" w:color="auto"/>
            </w:tcBorders>
            <w:vAlign w:val="center"/>
          </w:tcPr>
          <w:p w14:paraId="5F5F979C" w14:textId="2EDB7B8D" w:rsidR="00BE151D" w:rsidRPr="00D14CD7" w:rsidRDefault="00BE151D" w:rsidP="00503602">
            <w:pPr>
              <w:jc w:val="left"/>
              <w:rPr>
                <w:color w:val="000000" w:themeColor="text1"/>
              </w:rPr>
            </w:pPr>
            <w:r w:rsidRPr="00D14CD7">
              <w:rPr>
                <w:color w:val="000000" w:themeColor="text1"/>
              </w:rPr>
              <w:t>Land-use diversity index</w:t>
            </w:r>
            <w:r w:rsidR="00AE6ED1">
              <w:rPr>
                <w:color w:val="000000" w:themeColor="text1"/>
              </w:rPr>
              <w:t xml:space="preserve"> </w:t>
            </w:r>
          </w:p>
        </w:tc>
        <w:tc>
          <w:tcPr>
            <w:tcW w:w="890" w:type="pct"/>
            <w:tcBorders>
              <w:left w:val="double" w:sz="4" w:space="0" w:color="auto"/>
            </w:tcBorders>
            <w:vAlign w:val="center"/>
          </w:tcPr>
          <w:p w14:paraId="71481C1A" w14:textId="77777777" w:rsidR="00BE151D" w:rsidRPr="00D14CD7" w:rsidRDefault="00BE151D" w:rsidP="00503602">
            <w:pPr>
              <w:jc w:val="right"/>
              <w:rPr>
                <w:color w:val="000000" w:themeColor="text1"/>
              </w:rPr>
            </w:pPr>
            <w:r w:rsidRPr="00D14CD7">
              <w:rPr>
                <w:color w:val="000000" w:themeColor="text1"/>
              </w:rPr>
              <w:t>0.622</w:t>
            </w:r>
          </w:p>
        </w:tc>
        <w:tc>
          <w:tcPr>
            <w:tcW w:w="924" w:type="pct"/>
            <w:vAlign w:val="center"/>
          </w:tcPr>
          <w:p w14:paraId="766B08E1" w14:textId="77777777" w:rsidR="00BE151D" w:rsidRPr="00D14CD7" w:rsidRDefault="00BE151D" w:rsidP="00503602">
            <w:pPr>
              <w:jc w:val="right"/>
              <w:rPr>
                <w:color w:val="000000" w:themeColor="text1"/>
              </w:rPr>
            </w:pPr>
            <w:r w:rsidRPr="00D14CD7">
              <w:rPr>
                <w:color w:val="000000" w:themeColor="text1"/>
              </w:rPr>
              <w:t>0.142</w:t>
            </w:r>
          </w:p>
        </w:tc>
        <w:tc>
          <w:tcPr>
            <w:tcW w:w="796" w:type="pct"/>
            <w:vAlign w:val="center"/>
          </w:tcPr>
          <w:p w14:paraId="03408E43" w14:textId="77777777" w:rsidR="00BE151D" w:rsidRPr="00D14CD7" w:rsidRDefault="00BE151D" w:rsidP="00503602">
            <w:pPr>
              <w:jc w:val="right"/>
              <w:rPr>
                <w:color w:val="000000" w:themeColor="text1"/>
              </w:rPr>
            </w:pPr>
            <w:r w:rsidRPr="00D14CD7">
              <w:rPr>
                <w:color w:val="000000" w:themeColor="text1"/>
              </w:rPr>
              <w:t>0.067</w:t>
            </w:r>
          </w:p>
        </w:tc>
        <w:tc>
          <w:tcPr>
            <w:tcW w:w="796" w:type="pct"/>
            <w:vAlign w:val="center"/>
          </w:tcPr>
          <w:p w14:paraId="5E9E50D1" w14:textId="77777777" w:rsidR="00BE151D" w:rsidRPr="00D14CD7" w:rsidRDefault="00BE151D" w:rsidP="00503602">
            <w:pPr>
              <w:jc w:val="right"/>
              <w:rPr>
                <w:color w:val="000000" w:themeColor="text1"/>
              </w:rPr>
            </w:pPr>
            <w:r w:rsidRPr="00D14CD7">
              <w:rPr>
                <w:color w:val="000000" w:themeColor="text1"/>
              </w:rPr>
              <w:t>0.909</w:t>
            </w:r>
          </w:p>
        </w:tc>
      </w:tr>
      <w:tr w:rsidR="00503602" w:rsidRPr="00D14CD7" w14:paraId="7279C3E7" w14:textId="77777777" w:rsidTr="00503602">
        <w:trPr>
          <w:trHeight w:val="317"/>
        </w:trPr>
        <w:tc>
          <w:tcPr>
            <w:tcW w:w="1594" w:type="pct"/>
            <w:tcBorders>
              <w:bottom w:val="single" w:sz="4" w:space="0" w:color="auto"/>
              <w:right w:val="double" w:sz="4" w:space="0" w:color="auto"/>
            </w:tcBorders>
            <w:vAlign w:val="center"/>
          </w:tcPr>
          <w:p w14:paraId="66F43459" w14:textId="77777777" w:rsidR="00BE151D" w:rsidRPr="00D14CD7" w:rsidRDefault="00BE151D" w:rsidP="00503602">
            <w:pPr>
              <w:jc w:val="left"/>
              <w:rPr>
                <w:color w:val="000000" w:themeColor="text1"/>
              </w:rPr>
            </w:pPr>
            <w:r w:rsidRPr="00D14CD7">
              <w:rPr>
                <w:rFonts w:eastAsia="Times New Roman"/>
                <w:color w:val="000000" w:themeColor="text1"/>
              </w:rPr>
              <w:t>Restaurant density (number of restaurants/100 square acres)</w:t>
            </w:r>
          </w:p>
        </w:tc>
        <w:tc>
          <w:tcPr>
            <w:tcW w:w="890" w:type="pct"/>
            <w:tcBorders>
              <w:left w:val="double" w:sz="4" w:space="0" w:color="auto"/>
              <w:bottom w:val="single" w:sz="4" w:space="0" w:color="auto"/>
            </w:tcBorders>
            <w:vAlign w:val="center"/>
          </w:tcPr>
          <w:p w14:paraId="418916DE" w14:textId="77777777" w:rsidR="00BE151D" w:rsidRPr="00D14CD7" w:rsidRDefault="00BE151D" w:rsidP="00503602">
            <w:pPr>
              <w:jc w:val="right"/>
              <w:rPr>
                <w:color w:val="000000" w:themeColor="text1"/>
              </w:rPr>
            </w:pPr>
            <w:r w:rsidRPr="00D14CD7">
              <w:rPr>
                <w:color w:val="000000" w:themeColor="text1"/>
              </w:rPr>
              <w:t>0.017</w:t>
            </w:r>
          </w:p>
        </w:tc>
        <w:tc>
          <w:tcPr>
            <w:tcW w:w="924" w:type="pct"/>
            <w:tcBorders>
              <w:bottom w:val="single" w:sz="4" w:space="0" w:color="auto"/>
            </w:tcBorders>
            <w:vAlign w:val="center"/>
          </w:tcPr>
          <w:p w14:paraId="433F2900" w14:textId="77777777" w:rsidR="00BE151D" w:rsidRPr="00D14CD7" w:rsidRDefault="00BE151D" w:rsidP="00503602">
            <w:pPr>
              <w:jc w:val="right"/>
              <w:rPr>
                <w:color w:val="000000" w:themeColor="text1"/>
              </w:rPr>
            </w:pPr>
            <w:r w:rsidRPr="00D14CD7">
              <w:rPr>
                <w:color w:val="000000" w:themeColor="text1"/>
              </w:rPr>
              <w:t>0.046</w:t>
            </w:r>
          </w:p>
        </w:tc>
        <w:tc>
          <w:tcPr>
            <w:tcW w:w="796" w:type="pct"/>
            <w:tcBorders>
              <w:bottom w:val="single" w:sz="4" w:space="0" w:color="auto"/>
            </w:tcBorders>
            <w:vAlign w:val="center"/>
          </w:tcPr>
          <w:p w14:paraId="6914C37B" w14:textId="77777777" w:rsidR="00BE151D" w:rsidRPr="00D14CD7" w:rsidRDefault="00BE151D" w:rsidP="00503602">
            <w:pPr>
              <w:jc w:val="right"/>
              <w:rPr>
                <w:color w:val="000000" w:themeColor="text1"/>
              </w:rPr>
            </w:pPr>
            <w:r w:rsidRPr="00D14CD7">
              <w:rPr>
                <w:color w:val="000000" w:themeColor="text1"/>
              </w:rPr>
              <w:t>0.000</w:t>
            </w:r>
          </w:p>
        </w:tc>
        <w:tc>
          <w:tcPr>
            <w:tcW w:w="796" w:type="pct"/>
            <w:tcBorders>
              <w:bottom w:val="single" w:sz="4" w:space="0" w:color="auto"/>
            </w:tcBorders>
            <w:vAlign w:val="center"/>
          </w:tcPr>
          <w:p w14:paraId="5C9C47C2" w14:textId="77777777" w:rsidR="00BE151D" w:rsidRPr="00D14CD7" w:rsidRDefault="00BE151D" w:rsidP="00503602">
            <w:pPr>
              <w:jc w:val="right"/>
              <w:rPr>
                <w:color w:val="000000" w:themeColor="text1"/>
              </w:rPr>
            </w:pPr>
            <w:r w:rsidRPr="00D14CD7">
              <w:rPr>
                <w:color w:val="000000" w:themeColor="text1"/>
              </w:rPr>
              <w:t>0.395</w:t>
            </w:r>
          </w:p>
        </w:tc>
      </w:tr>
      <w:tr w:rsidR="00503602" w:rsidRPr="00D14CD7" w14:paraId="5A9C87D7" w14:textId="77777777" w:rsidTr="00503602">
        <w:trPr>
          <w:trHeight w:val="317"/>
        </w:trPr>
        <w:tc>
          <w:tcPr>
            <w:tcW w:w="1594" w:type="pct"/>
            <w:tcBorders>
              <w:top w:val="single" w:sz="4" w:space="0" w:color="auto"/>
              <w:bottom w:val="nil"/>
              <w:right w:val="double" w:sz="4" w:space="0" w:color="auto"/>
            </w:tcBorders>
            <w:vAlign w:val="center"/>
          </w:tcPr>
          <w:p w14:paraId="445D5A5F" w14:textId="07EF67F0" w:rsidR="00BE151D" w:rsidRPr="00D14CD7" w:rsidRDefault="00D14CD7" w:rsidP="00503602">
            <w:pPr>
              <w:jc w:val="left"/>
              <w:rPr>
                <w:color w:val="000000" w:themeColor="text1"/>
              </w:rPr>
            </w:pPr>
            <w:r w:rsidRPr="00D14CD7">
              <w:rPr>
                <w:color w:val="000000" w:themeColor="text1"/>
              </w:rPr>
              <w:t>Proportion</w:t>
            </w:r>
            <w:r w:rsidR="00BE151D" w:rsidRPr="00D14CD7">
              <w:rPr>
                <w:color w:val="000000" w:themeColor="text1"/>
              </w:rPr>
              <w:t xml:space="preserve"> of restaurants by type:</w:t>
            </w:r>
          </w:p>
        </w:tc>
        <w:tc>
          <w:tcPr>
            <w:tcW w:w="890" w:type="pct"/>
            <w:tcBorders>
              <w:top w:val="single" w:sz="4" w:space="0" w:color="auto"/>
              <w:left w:val="double" w:sz="4" w:space="0" w:color="auto"/>
              <w:bottom w:val="nil"/>
            </w:tcBorders>
            <w:vAlign w:val="center"/>
          </w:tcPr>
          <w:p w14:paraId="4C60C641" w14:textId="77777777" w:rsidR="00BE151D" w:rsidRPr="00D14CD7" w:rsidRDefault="00BE151D" w:rsidP="00503602">
            <w:pPr>
              <w:jc w:val="right"/>
              <w:rPr>
                <w:color w:val="000000" w:themeColor="text1"/>
              </w:rPr>
            </w:pPr>
          </w:p>
        </w:tc>
        <w:tc>
          <w:tcPr>
            <w:tcW w:w="924" w:type="pct"/>
            <w:tcBorders>
              <w:top w:val="single" w:sz="4" w:space="0" w:color="auto"/>
              <w:bottom w:val="nil"/>
            </w:tcBorders>
            <w:vAlign w:val="center"/>
          </w:tcPr>
          <w:p w14:paraId="37A279FD" w14:textId="77777777" w:rsidR="00BE151D" w:rsidRPr="00D14CD7" w:rsidRDefault="00BE151D" w:rsidP="00503602">
            <w:pPr>
              <w:jc w:val="right"/>
              <w:rPr>
                <w:color w:val="000000" w:themeColor="text1"/>
              </w:rPr>
            </w:pPr>
          </w:p>
        </w:tc>
        <w:tc>
          <w:tcPr>
            <w:tcW w:w="796" w:type="pct"/>
            <w:tcBorders>
              <w:top w:val="single" w:sz="4" w:space="0" w:color="auto"/>
              <w:bottom w:val="nil"/>
            </w:tcBorders>
            <w:vAlign w:val="center"/>
          </w:tcPr>
          <w:p w14:paraId="6F2EB899" w14:textId="77777777" w:rsidR="00BE151D" w:rsidRPr="00D14CD7" w:rsidRDefault="00BE151D" w:rsidP="00503602">
            <w:pPr>
              <w:jc w:val="right"/>
              <w:rPr>
                <w:color w:val="000000" w:themeColor="text1"/>
              </w:rPr>
            </w:pPr>
          </w:p>
        </w:tc>
        <w:tc>
          <w:tcPr>
            <w:tcW w:w="796" w:type="pct"/>
            <w:tcBorders>
              <w:top w:val="single" w:sz="4" w:space="0" w:color="auto"/>
              <w:bottom w:val="nil"/>
            </w:tcBorders>
            <w:vAlign w:val="center"/>
          </w:tcPr>
          <w:p w14:paraId="6E6CAFAE" w14:textId="77777777" w:rsidR="00BE151D" w:rsidRPr="00D14CD7" w:rsidRDefault="00BE151D" w:rsidP="00503602">
            <w:pPr>
              <w:jc w:val="right"/>
              <w:rPr>
                <w:color w:val="000000" w:themeColor="text1"/>
              </w:rPr>
            </w:pPr>
          </w:p>
        </w:tc>
      </w:tr>
      <w:tr w:rsidR="00503602" w:rsidRPr="00D14CD7" w14:paraId="58BB6C7C" w14:textId="77777777" w:rsidTr="00503602">
        <w:trPr>
          <w:trHeight w:val="317"/>
        </w:trPr>
        <w:tc>
          <w:tcPr>
            <w:tcW w:w="1594" w:type="pct"/>
            <w:tcBorders>
              <w:top w:val="nil"/>
              <w:bottom w:val="nil"/>
              <w:right w:val="double" w:sz="4" w:space="0" w:color="auto"/>
            </w:tcBorders>
            <w:vAlign w:val="center"/>
          </w:tcPr>
          <w:p w14:paraId="42143705" w14:textId="77777777" w:rsidR="00BE151D" w:rsidRPr="00D14CD7" w:rsidRDefault="00BE151D" w:rsidP="00503602">
            <w:pPr>
              <w:ind w:left="155"/>
              <w:jc w:val="left"/>
              <w:rPr>
                <w:i/>
                <w:iCs/>
                <w:color w:val="000000" w:themeColor="text1"/>
              </w:rPr>
            </w:pPr>
            <w:r w:rsidRPr="00D14CD7">
              <w:rPr>
                <w:i/>
                <w:iCs/>
                <w:color w:val="000000" w:themeColor="text1"/>
              </w:rPr>
              <w:t>QSR</w:t>
            </w:r>
          </w:p>
        </w:tc>
        <w:tc>
          <w:tcPr>
            <w:tcW w:w="890" w:type="pct"/>
            <w:tcBorders>
              <w:top w:val="nil"/>
              <w:left w:val="double" w:sz="4" w:space="0" w:color="auto"/>
              <w:bottom w:val="nil"/>
            </w:tcBorders>
            <w:vAlign w:val="center"/>
          </w:tcPr>
          <w:p w14:paraId="1C8F9495" w14:textId="77777777" w:rsidR="00BE151D" w:rsidRPr="00D14CD7" w:rsidRDefault="00BE151D" w:rsidP="00503602">
            <w:pPr>
              <w:jc w:val="right"/>
              <w:rPr>
                <w:color w:val="000000" w:themeColor="text1"/>
              </w:rPr>
            </w:pPr>
            <w:r w:rsidRPr="00D14CD7">
              <w:rPr>
                <w:color w:val="000000" w:themeColor="text1"/>
              </w:rPr>
              <w:t>0.136</w:t>
            </w:r>
          </w:p>
        </w:tc>
        <w:tc>
          <w:tcPr>
            <w:tcW w:w="924" w:type="pct"/>
            <w:tcBorders>
              <w:top w:val="nil"/>
              <w:bottom w:val="nil"/>
            </w:tcBorders>
            <w:vAlign w:val="center"/>
          </w:tcPr>
          <w:p w14:paraId="4B43E2D5" w14:textId="77777777" w:rsidR="00BE151D" w:rsidRPr="00D14CD7" w:rsidRDefault="00BE151D" w:rsidP="00503602">
            <w:pPr>
              <w:jc w:val="right"/>
              <w:rPr>
                <w:color w:val="000000" w:themeColor="text1"/>
              </w:rPr>
            </w:pPr>
            <w:r w:rsidRPr="00D14CD7">
              <w:rPr>
                <w:color w:val="000000" w:themeColor="text1"/>
              </w:rPr>
              <w:t>0.122</w:t>
            </w:r>
          </w:p>
        </w:tc>
        <w:tc>
          <w:tcPr>
            <w:tcW w:w="796" w:type="pct"/>
            <w:tcBorders>
              <w:top w:val="nil"/>
              <w:bottom w:val="nil"/>
            </w:tcBorders>
            <w:vAlign w:val="center"/>
          </w:tcPr>
          <w:p w14:paraId="0661E2E5" w14:textId="77777777" w:rsidR="00BE151D" w:rsidRPr="00D14CD7" w:rsidRDefault="00BE151D" w:rsidP="00503602">
            <w:pPr>
              <w:jc w:val="right"/>
              <w:rPr>
                <w:color w:val="000000" w:themeColor="text1"/>
              </w:rPr>
            </w:pPr>
            <w:r w:rsidRPr="00D14CD7">
              <w:rPr>
                <w:color w:val="000000" w:themeColor="text1"/>
              </w:rPr>
              <w:t>0.000</w:t>
            </w:r>
          </w:p>
        </w:tc>
        <w:tc>
          <w:tcPr>
            <w:tcW w:w="796" w:type="pct"/>
            <w:tcBorders>
              <w:top w:val="nil"/>
              <w:bottom w:val="nil"/>
            </w:tcBorders>
            <w:vAlign w:val="center"/>
          </w:tcPr>
          <w:p w14:paraId="744A12AD" w14:textId="77777777" w:rsidR="00BE151D" w:rsidRPr="00D14CD7" w:rsidRDefault="00BE151D" w:rsidP="00503602">
            <w:pPr>
              <w:jc w:val="right"/>
              <w:rPr>
                <w:color w:val="000000" w:themeColor="text1"/>
              </w:rPr>
            </w:pPr>
            <w:r w:rsidRPr="00D14CD7">
              <w:rPr>
                <w:color w:val="000000" w:themeColor="text1"/>
              </w:rPr>
              <w:t>0.600</w:t>
            </w:r>
          </w:p>
        </w:tc>
      </w:tr>
      <w:tr w:rsidR="00503602" w:rsidRPr="00D14CD7" w14:paraId="22FBE8A0" w14:textId="77777777" w:rsidTr="00503602">
        <w:trPr>
          <w:trHeight w:val="317"/>
        </w:trPr>
        <w:tc>
          <w:tcPr>
            <w:tcW w:w="1594" w:type="pct"/>
            <w:tcBorders>
              <w:top w:val="nil"/>
              <w:bottom w:val="nil"/>
              <w:right w:val="double" w:sz="4" w:space="0" w:color="auto"/>
            </w:tcBorders>
            <w:vAlign w:val="center"/>
          </w:tcPr>
          <w:p w14:paraId="293DB1C8" w14:textId="77777777" w:rsidR="00BE151D" w:rsidRPr="00D14CD7" w:rsidRDefault="00BE151D" w:rsidP="00503602">
            <w:pPr>
              <w:ind w:left="155"/>
              <w:jc w:val="left"/>
              <w:rPr>
                <w:i/>
                <w:iCs/>
                <w:color w:val="000000" w:themeColor="text1"/>
              </w:rPr>
            </w:pPr>
            <w:r w:rsidRPr="00D14CD7">
              <w:rPr>
                <w:i/>
                <w:iCs/>
                <w:color w:val="000000" w:themeColor="text1"/>
              </w:rPr>
              <w:t>CH</w:t>
            </w:r>
          </w:p>
        </w:tc>
        <w:tc>
          <w:tcPr>
            <w:tcW w:w="890" w:type="pct"/>
            <w:tcBorders>
              <w:top w:val="nil"/>
              <w:left w:val="double" w:sz="4" w:space="0" w:color="auto"/>
              <w:bottom w:val="nil"/>
            </w:tcBorders>
            <w:vAlign w:val="center"/>
          </w:tcPr>
          <w:p w14:paraId="3EDA0C3D" w14:textId="77777777" w:rsidR="00BE151D" w:rsidRPr="00D14CD7" w:rsidRDefault="00BE151D" w:rsidP="00503602">
            <w:pPr>
              <w:jc w:val="right"/>
              <w:rPr>
                <w:color w:val="000000" w:themeColor="text1"/>
              </w:rPr>
            </w:pPr>
            <w:r w:rsidRPr="00D14CD7">
              <w:rPr>
                <w:color w:val="000000" w:themeColor="text1"/>
              </w:rPr>
              <w:t>0.029</w:t>
            </w:r>
          </w:p>
        </w:tc>
        <w:tc>
          <w:tcPr>
            <w:tcW w:w="924" w:type="pct"/>
            <w:tcBorders>
              <w:top w:val="nil"/>
              <w:bottom w:val="nil"/>
            </w:tcBorders>
            <w:vAlign w:val="center"/>
          </w:tcPr>
          <w:p w14:paraId="4E145E0B" w14:textId="77777777" w:rsidR="00BE151D" w:rsidRPr="00D14CD7" w:rsidRDefault="00BE151D" w:rsidP="00503602">
            <w:pPr>
              <w:jc w:val="right"/>
              <w:rPr>
                <w:color w:val="000000" w:themeColor="text1"/>
              </w:rPr>
            </w:pPr>
            <w:r w:rsidRPr="00D14CD7">
              <w:rPr>
                <w:color w:val="000000" w:themeColor="text1"/>
              </w:rPr>
              <w:t>0.034</w:t>
            </w:r>
          </w:p>
        </w:tc>
        <w:tc>
          <w:tcPr>
            <w:tcW w:w="796" w:type="pct"/>
            <w:tcBorders>
              <w:top w:val="nil"/>
              <w:bottom w:val="nil"/>
            </w:tcBorders>
            <w:vAlign w:val="center"/>
          </w:tcPr>
          <w:p w14:paraId="7E68BCAF" w14:textId="77777777" w:rsidR="00BE151D" w:rsidRPr="00D14CD7" w:rsidRDefault="00BE151D" w:rsidP="00503602">
            <w:pPr>
              <w:jc w:val="right"/>
              <w:rPr>
                <w:color w:val="000000" w:themeColor="text1"/>
              </w:rPr>
            </w:pPr>
            <w:r w:rsidRPr="00D14CD7">
              <w:rPr>
                <w:color w:val="000000" w:themeColor="text1"/>
              </w:rPr>
              <w:t>0.000</w:t>
            </w:r>
          </w:p>
        </w:tc>
        <w:tc>
          <w:tcPr>
            <w:tcW w:w="796" w:type="pct"/>
            <w:tcBorders>
              <w:top w:val="nil"/>
              <w:bottom w:val="nil"/>
            </w:tcBorders>
            <w:vAlign w:val="center"/>
          </w:tcPr>
          <w:p w14:paraId="131B8CF9" w14:textId="77777777" w:rsidR="00BE151D" w:rsidRPr="00D14CD7" w:rsidRDefault="00BE151D" w:rsidP="00503602">
            <w:pPr>
              <w:jc w:val="right"/>
              <w:rPr>
                <w:color w:val="000000" w:themeColor="text1"/>
              </w:rPr>
            </w:pPr>
            <w:r w:rsidRPr="00D14CD7">
              <w:rPr>
                <w:color w:val="000000" w:themeColor="text1"/>
              </w:rPr>
              <w:t>0.333</w:t>
            </w:r>
          </w:p>
        </w:tc>
      </w:tr>
      <w:tr w:rsidR="00503602" w:rsidRPr="00D14CD7" w14:paraId="4CF02881" w14:textId="77777777" w:rsidTr="00503602">
        <w:trPr>
          <w:trHeight w:val="317"/>
        </w:trPr>
        <w:tc>
          <w:tcPr>
            <w:tcW w:w="1594" w:type="pct"/>
            <w:tcBorders>
              <w:top w:val="nil"/>
              <w:bottom w:val="single" w:sz="4" w:space="0" w:color="auto"/>
              <w:right w:val="double" w:sz="4" w:space="0" w:color="auto"/>
            </w:tcBorders>
            <w:vAlign w:val="center"/>
          </w:tcPr>
          <w:p w14:paraId="3518167F" w14:textId="77777777" w:rsidR="00BE151D" w:rsidRPr="00D14CD7" w:rsidRDefault="00BE151D" w:rsidP="00503602">
            <w:pPr>
              <w:ind w:left="155"/>
              <w:jc w:val="left"/>
              <w:rPr>
                <w:i/>
                <w:iCs/>
                <w:color w:val="000000" w:themeColor="text1"/>
              </w:rPr>
            </w:pPr>
            <w:r w:rsidRPr="00D14CD7">
              <w:rPr>
                <w:i/>
                <w:iCs/>
                <w:color w:val="000000" w:themeColor="text1"/>
              </w:rPr>
              <w:t>FSR</w:t>
            </w:r>
          </w:p>
        </w:tc>
        <w:tc>
          <w:tcPr>
            <w:tcW w:w="890" w:type="pct"/>
            <w:tcBorders>
              <w:top w:val="nil"/>
              <w:left w:val="double" w:sz="4" w:space="0" w:color="auto"/>
              <w:bottom w:val="single" w:sz="4" w:space="0" w:color="auto"/>
            </w:tcBorders>
            <w:vAlign w:val="center"/>
          </w:tcPr>
          <w:p w14:paraId="7823CDD7" w14:textId="77777777" w:rsidR="00BE151D" w:rsidRPr="00D14CD7" w:rsidRDefault="00BE151D" w:rsidP="00503602">
            <w:pPr>
              <w:jc w:val="right"/>
              <w:rPr>
                <w:color w:val="000000" w:themeColor="text1"/>
              </w:rPr>
            </w:pPr>
            <w:r w:rsidRPr="00D14CD7">
              <w:rPr>
                <w:color w:val="000000" w:themeColor="text1"/>
              </w:rPr>
              <w:t>0.015</w:t>
            </w:r>
          </w:p>
        </w:tc>
        <w:tc>
          <w:tcPr>
            <w:tcW w:w="924" w:type="pct"/>
            <w:tcBorders>
              <w:top w:val="nil"/>
              <w:bottom w:val="single" w:sz="4" w:space="0" w:color="auto"/>
            </w:tcBorders>
            <w:vAlign w:val="center"/>
          </w:tcPr>
          <w:p w14:paraId="109CAACB" w14:textId="77777777" w:rsidR="00BE151D" w:rsidRPr="00D14CD7" w:rsidRDefault="00BE151D" w:rsidP="00503602">
            <w:pPr>
              <w:jc w:val="right"/>
              <w:rPr>
                <w:color w:val="000000" w:themeColor="text1"/>
              </w:rPr>
            </w:pPr>
            <w:r w:rsidRPr="00D14CD7">
              <w:rPr>
                <w:color w:val="000000" w:themeColor="text1"/>
              </w:rPr>
              <w:t>0.028</w:t>
            </w:r>
          </w:p>
        </w:tc>
        <w:tc>
          <w:tcPr>
            <w:tcW w:w="796" w:type="pct"/>
            <w:tcBorders>
              <w:top w:val="nil"/>
              <w:bottom w:val="single" w:sz="4" w:space="0" w:color="auto"/>
            </w:tcBorders>
            <w:vAlign w:val="center"/>
          </w:tcPr>
          <w:p w14:paraId="6550E09F" w14:textId="77777777" w:rsidR="00BE151D" w:rsidRPr="00D14CD7" w:rsidRDefault="00BE151D" w:rsidP="00503602">
            <w:pPr>
              <w:jc w:val="right"/>
              <w:rPr>
                <w:color w:val="000000" w:themeColor="text1"/>
              </w:rPr>
            </w:pPr>
            <w:r w:rsidRPr="00D14CD7">
              <w:rPr>
                <w:color w:val="000000" w:themeColor="text1"/>
              </w:rPr>
              <w:t>0.000</w:t>
            </w:r>
          </w:p>
        </w:tc>
        <w:tc>
          <w:tcPr>
            <w:tcW w:w="796" w:type="pct"/>
            <w:tcBorders>
              <w:top w:val="nil"/>
              <w:bottom w:val="single" w:sz="4" w:space="0" w:color="auto"/>
            </w:tcBorders>
            <w:vAlign w:val="center"/>
          </w:tcPr>
          <w:p w14:paraId="6AC61A69" w14:textId="77777777" w:rsidR="00BE151D" w:rsidRPr="00D14CD7" w:rsidRDefault="00BE151D" w:rsidP="00503602">
            <w:pPr>
              <w:jc w:val="right"/>
              <w:rPr>
                <w:color w:val="000000" w:themeColor="text1"/>
              </w:rPr>
            </w:pPr>
            <w:r w:rsidRPr="00D14CD7">
              <w:rPr>
                <w:color w:val="000000" w:themeColor="text1"/>
              </w:rPr>
              <w:t>0.250</w:t>
            </w:r>
          </w:p>
        </w:tc>
      </w:tr>
      <w:tr w:rsidR="00503602" w:rsidRPr="00D14CD7" w14:paraId="1D4095CC" w14:textId="77777777" w:rsidTr="00503602">
        <w:trPr>
          <w:trHeight w:val="317"/>
        </w:trPr>
        <w:tc>
          <w:tcPr>
            <w:tcW w:w="1594" w:type="pct"/>
            <w:tcBorders>
              <w:top w:val="single" w:sz="4" w:space="0" w:color="auto"/>
              <w:bottom w:val="double" w:sz="4" w:space="0" w:color="auto"/>
              <w:right w:val="double" w:sz="4" w:space="0" w:color="auto"/>
            </w:tcBorders>
            <w:vAlign w:val="center"/>
          </w:tcPr>
          <w:p w14:paraId="344EA82B" w14:textId="77777777" w:rsidR="00BE151D" w:rsidRPr="00D14CD7" w:rsidRDefault="00BE151D" w:rsidP="00503602">
            <w:pPr>
              <w:jc w:val="left"/>
              <w:rPr>
                <w:color w:val="000000" w:themeColor="text1"/>
              </w:rPr>
            </w:pPr>
            <w:r w:rsidRPr="00D14CD7">
              <w:rPr>
                <w:color w:val="000000" w:themeColor="text1"/>
              </w:rPr>
              <w:t>Livability score</w:t>
            </w:r>
          </w:p>
        </w:tc>
        <w:tc>
          <w:tcPr>
            <w:tcW w:w="890" w:type="pct"/>
            <w:tcBorders>
              <w:top w:val="single" w:sz="4" w:space="0" w:color="auto"/>
              <w:left w:val="double" w:sz="4" w:space="0" w:color="auto"/>
            </w:tcBorders>
            <w:vAlign w:val="center"/>
          </w:tcPr>
          <w:p w14:paraId="48964227" w14:textId="77777777" w:rsidR="00BE151D" w:rsidRPr="00D14CD7" w:rsidRDefault="00BE151D" w:rsidP="00503602">
            <w:pPr>
              <w:jc w:val="right"/>
              <w:rPr>
                <w:color w:val="000000" w:themeColor="text1"/>
              </w:rPr>
            </w:pPr>
            <w:r w:rsidRPr="00D14CD7">
              <w:rPr>
                <w:color w:val="000000" w:themeColor="text1"/>
              </w:rPr>
              <w:t>75.406</w:t>
            </w:r>
          </w:p>
        </w:tc>
        <w:tc>
          <w:tcPr>
            <w:tcW w:w="924" w:type="pct"/>
            <w:tcBorders>
              <w:top w:val="single" w:sz="4" w:space="0" w:color="auto"/>
            </w:tcBorders>
            <w:vAlign w:val="center"/>
          </w:tcPr>
          <w:p w14:paraId="4774A56A" w14:textId="77777777" w:rsidR="00BE151D" w:rsidRPr="00D14CD7" w:rsidRDefault="00BE151D" w:rsidP="00503602">
            <w:pPr>
              <w:jc w:val="right"/>
              <w:rPr>
                <w:color w:val="000000" w:themeColor="text1"/>
              </w:rPr>
            </w:pPr>
            <w:r w:rsidRPr="00D14CD7">
              <w:rPr>
                <w:color w:val="000000" w:themeColor="text1"/>
              </w:rPr>
              <w:t>8.305</w:t>
            </w:r>
          </w:p>
        </w:tc>
        <w:tc>
          <w:tcPr>
            <w:tcW w:w="796" w:type="pct"/>
            <w:tcBorders>
              <w:top w:val="single" w:sz="4" w:space="0" w:color="auto"/>
            </w:tcBorders>
            <w:vAlign w:val="center"/>
          </w:tcPr>
          <w:p w14:paraId="60FAA5C7" w14:textId="77777777" w:rsidR="00BE151D" w:rsidRPr="00D14CD7" w:rsidRDefault="00BE151D" w:rsidP="00503602">
            <w:pPr>
              <w:jc w:val="right"/>
              <w:rPr>
                <w:color w:val="000000" w:themeColor="text1"/>
              </w:rPr>
            </w:pPr>
            <w:r w:rsidRPr="00D14CD7">
              <w:rPr>
                <w:color w:val="000000" w:themeColor="text1"/>
              </w:rPr>
              <w:t>53.000</w:t>
            </w:r>
          </w:p>
        </w:tc>
        <w:tc>
          <w:tcPr>
            <w:tcW w:w="796" w:type="pct"/>
            <w:tcBorders>
              <w:top w:val="single" w:sz="4" w:space="0" w:color="auto"/>
            </w:tcBorders>
            <w:vAlign w:val="center"/>
          </w:tcPr>
          <w:p w14:paraId="0AB6AE12" w14:textId="77777777" w:rsidR="00BE151D" w:rsidRPr="00D14CD7" w:rsidRDefault="00BE151D" w:rsidP="00503602">
            <w:pPr>
              <w:jc w:val="right"/>
              <w:rPr>
                <w:color w:val="000000" w:themeColor="text1"/>
              </w:rPr>
            </w:pPr>
            <w:r w:rsidRPr="00D14CD7">
              <w:rPr>
                <w:color w:val="000000" w:themeColor="text1"/>
              </w:rPr>
              <w:t>93.000</w:t>
            </w:r>
          </w:p>
        </w:tc>
      </w:tr>
    </w:tbl>
    <w:p w14:paraId="20281FCA" w14:textId="00BBF9DC" w:rsidR="00BE151D" w:rsidRPr="00D14CD7" w:rsidRDefault="00BE151D">
      <w:pPr>
        <w:jc w:val="left"/>
        <w:rPr>
          <w:color w:val="000000" w:themeColor="text1"/>
        </w:rPr>
      </w:pPr>
    </w:p>
    <w:p w14:paraId="07F94440" w14:textId="77777777" w:rsidR="00503602" w:rsidRDefault="00503602" w:rsidP="005B6BB0">
      <w:pPr>
        <w:pStyle w:val="Caption"/>
        <w:keepNext/>
        <w:rPr>
          <w:b/>
          <w:i w:val="0"/>
          <w:color w:val="000000" w:themeColor="text1"/>
          <w:sz w:val="24"/>
          <w:szCs w:val="24"/>
        </w:rPr>
        <w:sectPr w:rsidR="00503602" w:rsidSect="00503602">
          <w:pgSz w:w="15840" w:h="12240" w:orient="landscape" w:code="1"/>
          <w:pgMar w:top="1440" w:right="1440" w:bottom="1440" w:left="1440" w:header="720" w:footer="720" w:gutter="0"/>
          <w:cols w:space="720"/>
          <w:docGrid w:linePitch="360"/>
        </w:sectPr>
      </w:pPr>
    </w:p>
    <w:p w14:paraId="4FD6EA84" w14:textId="1EBB069C" w:rsidR="005B6BB0" w:rsidRPr="00D14CD7" w:rsidRDefault="00BE151D" w:rsidP="00630A69">
      <w:pPr>
        <w:pStyle w:val="Caption"/>
        <w:keepNext/>
        <w:spacing w:after="120"/>
        <w:rPr>
          <w:color w:val="000000" w:themeColor="text1"/>
        </w:rPr>
      </w:pPr>
      <w:r w:rsidRPr="00D14CD7">
        <w:rPr>
          <w:b/>
          <w:i w:val="0"/>
          <w:color w:val="000000" w:themeColor="text1"/>
          <w:sz w:val="24"/>
          <w:szCs w:val="24"/>
        </w:rPr>
        <w:lastRenderedPageBreak/>
        <w:t>Table 6</w:t>
      </w:r>
      <w:r w:rsidR="00CC6E9C" w:rsidRPr="00D14CD7">
        <w:rPr>
          <w:b/>
          <w:i w:val="0"/>
          <w:color w:val="000000" w:themeColor="text1"/>
          <w:sz w:val="24"/>
          <w:szCs w:val="24"/>
        </w:rPr>
        <w:t>.</w:t>
      </w:r>
      <w:r w:rsidR="005B6BB0" w:rsidRPr="00D14CD7">
        <w:rPr>
          <w:b/>
          <w:i w:val="0"/>
          <w:color w:val="000000" w:themeColor="text1"/>
          <w:sz w:val="24"/>
          <w:szCs w:val="24"/>
        </w:rPr>
        <w:t xml:space="preserve"> Model estimation results</w:t>
      </w:r>
      <w:r w:rsidR="00CA6351" w:rsidRPr="00D14CD7">
        <w:rPr>
          <w:b/>
          <w:i w:val="0"/>
          <w:color w:val="000000" w:themeColor="text1"/>
          <w:sz w:val="24"/>
          <w:szCs w:val="24"/>
        </w:rPr>
        <w:t xml:space="preserve"> </w:t>
      </w:r>
    </w:p>
    <w:tbl>
      <w:tblPr>
        <w:tblW w:w="5000" w:type="pct"/>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CellMar>
          <w:left w:w="29" w:type="dxa"/>
          <w:right w:w="29" w:type="dxa"/>
        </w:tblCellMar>
        <w:tblLook w:val="04A0" w:firstRow="1" w:lastRow="0" w:firstColumn="1" w:lastColumn="0" w:noHBand="0" w:noVBand="1"/>
      </w:tblPr>
      <w:tblGrid>
        <w:gridCol w:w="4912"/>
        <w:gridCol w:w="651"/>
        <w:gridCol w:w="572"/>
        <w:gridCol w:w="529"/>
        <w:gridCol w:w="532"/>
        <w:gridCol w:w="529"/>
        <w:gridCol w:w="540"/>
        <w:gridCol w:w="540"/>
        <w:gridCol w:w="420"/>
        <w:gridCol w:w="529"/>
        <w:gridCol w:w="529"/>
        <w:gridCol w:w="529"/>
        <w:gridCol w:w="532"/>
        <w:gridCol w:w="532"/>
        <w:gridCol w:w="532"/>
        <w:gridCol w:w="448"/>
        <w:gridCol w:w="451"/>
        <w:gridCol w:w="537"/>
        <w:gridCol w:w="526"/>
      </w:tblGrid>
      <w:tr w:rsidR="00D14CD7" w:rsidRPr="00D14CD7" w14:paraId="3C1DFBDF" w14:textId="77777777" w:rsidTr="00286339">
        <w:trPr>
          <w:trHeight w:val="72"/>
        </w:trPr>
        <w:tc>
          <w:tcPr>
            <w:tcW w:w="1709" w:type="pct"/>
            <w:vMerge w:val="restart"/>
            <w:tcBorders>
              <w:top w:val="double" w:sz="4" w:space="0" w:color="auto"/>
              <w:bottom w:val="double" w:sz="4" w:space="0" w:color="auto"/>
              <w:right w:val="double" w:sz="4" w:space="0" w:color="auto"/>
            </w:tcBorders>
            <w:shd w:val="clear" w:color="auto" w:fill="auto"/>
            <w:noWrap/>
            <w:vAlign w:val="center"/>
            <w:hideMark/>
          </w:tcPr>
          <w:p w14:paraId="02EFA1FF" w14:textId="77777777" w:rsidR="005B6BB0" w:rsidRPr="00D14CD7" w:rsidRDefault="005B6BB0" w:rsidP="00286339">
            <w:pPr>
              <w:spacing w:after="0" w:line="240" w:lineRule="auto"/>
              <w:jc w:val="left"/>
              <w:rPr>
                <w:rFonts w:eastAsia="Times New Roman"/>
                <w:b/>
                <w:bCs/>
                <w:color w:val="000000" w:themeColor="text1"/>
                <w:sz w:val="16"/>
                <w:szCs w:val="16"/>
              </w:rPr>
            </w:pPr>
            <w:bookmarkStart w:id="63" w:name="RANGE!A1"/>
            <w:bookmarkStart w:id="64" w:name="_Hlk171456810"/>
            <w:r w:rsidRPr="00D14CD7">
              <w:rPr>
                <w:rFonts w:eastAsia="Times New Roman"/>
                <w:b/>
                <w:bCs/>
                <w:color w:val="000000" w:themeColor="text1"/>
                <w:sz w:val="16"/>
                <w:szCs w:val="22"/>
              </w:rPr>
              <w:t>Variables</w:t>
            </w:r>
            <w:bookmarkEnd w:id="63"/>
          </w:p>
        </w:tc>
        <w:tc>
          <w:tcPr>
            <w:tcW w:w="1501" w:type="pct"/>
            <w:gridSpan w:val="8"/>
            <w:tcBorders>
              <w:top w:val="double" w:sz="4" w:space="0" w:color="auto"/>
              <w:left w:val="double" w:sz="4" w:space="0" w:color="auto"/>
              <w:bottom w:val="single" w:sz="4" w:space="0" w:color="auto"/>
              <w:right w:val="double" w:sz="4" w:space="0" w:color="auto"/>
            </w:tcBorders>
            <w:shd w:val="clear" w:color="auto" w:fill="auto"/>
            <w:noWrap/>
            <w:vAlign w:val="center"/>
            <w:hideMark/>
          </w:tcPr>
          <w:p w14:paraId="3E267786" w14:textId="77777777" w:rsidR="005B6BB0" w:rsidRPr="00D14CD7" w:rsidRDefault="005B6BB0" w:rsidP="00286339">
            <w:pPr>
              <w:spacing w:after="0" w:line="240" w:lineRule="auto"/>
              <w:jc w:val="center"/>
              <w:rPr>
                <w:rFonts w:eastAsia="Times New Roman"/>
                <w:b/>
                <w:bCs/>
                <w:color w:val="000000" w:themeColor="text1"/>
                <w:sz w:val="16"/>
                <w:szCs w:val="16"/>
              </w:rPr>
            </w:pPr>
            <w:r w:rsidRPr="00D14CD7">
              <w:rPr>
                <w:rFonts w:eastAsia="Times New Roman"/>
                <w:b/>
                <w:bCs/>
                <w:color w:val="000000" w:themeColor="text1"/>
                <w:sz w:val="16"/>
                <w:szCs w:val="22"/>
              </w:rPr>
              <w:t>Baseline Marginal Utility Component of MDC Model</w:t>
            </w:r>
          </w:p>
        </w:tc>
        <w:tc>
          <w:tcPr>
            <w:tcW w:w="1420" w:type="pct"/>
            <w:gridSpan w:val="8"/>
            <w:tcBorders>
              <w:top w:val="double" w:sz="4" w:space="0" w:color="auto"/>
              <w:left w:val="double" w:sz="4" w:space="0" w:color="auto"/>
              <w:bottom w:val="single" w:sz="4" w:space="0" w:color="auto"/>
              <w:right w:val="double" w:sz="4" w:space="0" w:color="auto"/>
            </w:tcBorders>
            <w:shd w:val="clear" w:color="auto" w:fill="auto"/>
            <w:noWrap/>
            <w:vAlign w:val="center"/>
            <w:hideMark/>
          </w:tcPr>
          <w:p w14:paraId="64C418E3" w14:textId="77777777" w:rsidR="005B6BB0" w:rsidRPr="00D14CD7" w:rsidRDefault="005B6BB0" w:rsidP="00286339">
            <w:pPr>
              <w:spacing w:after="0" w:line="240" w:lineRule="auto"/>
              <w:jc w:val="center"/>
              <w:rPr>
                <w:rFonts w:eastAsia="Times New Roman"/>
                <w:b/>
                <w:bCs/>
                <w:color w:val="000000" w:themeColor="text1"/>
                <w:sz w:val="16"/>
                <w:szCs w:val="16"/>
              </w:rPr>
            </w:pPr>
            <w:r w:rsidRPr="00D14CD7">
              <w:rPr>
                <w:rFonts w:eastAsia="Times New Roman"/>
                <w:b/>
                <w:bCs/>
                <w:color w:val="000000" w:themeColor="text1"/>
                <w:sz w:val="16"/>
                <w:szCs w:val="22"/>
              </w:rPr>
              <w:t>Satiation Component of MDC Model</w:t>
            </w:r>
          </w:p>
        </w:tc>
        <w:tc>
          <w:tcPr>
            <w:tcW w:w="370" w:type="pct"/>
            <w:gridSpan w:val="2"/>
            <w:tcBorders>
              <w:top w:val="double" w:sz="4" w:space="0" w:color="auto"/>
              <w:left w:val="double" w:sz="4" w:space="0" w:color="auto"/>
              <w:bottom w:val="single" w:sz="4" w:space="0" w:color="auto"/>
            </w:tcBorders>
            <w:shd w:val="clear" w:color="auto" w:fill="auto"/>
            <w:noWrap/>
            <w:vAlign w:val="center"/>
            <w:hideMark/>
          </w:tcPr>
          <w:p w14:paraId="51FB98B3" w14:textId="77777777" w:rsidR="005B6BB0" w:rsidRPr="00D14CD7" w:rsidRDefault="005B6BB0" w:rsidP="00286339">
            <w:pPr>
              <w:spacing w:after="0" w:line="240" w:lineRule="auto"/>
              <w:jc w:val="center"/>
              <w:rPr>
                <w:rFonts w:eastAsia="Times New Roman"/>
                <w:b/>
                <w:bCs/>
                <w:color w:val="000000" w:themeColor="text1"/>
                <w:sz w:val="16"/>
                <w:szCs w:val="16"/>
              </w:rPr>
            </w:pPr>
            <w:r w:rsidRPr="00D14CD7">
              <w:rPr>
                <w:rFonts w:eastAsia="Times New Roman"/>
                <w:b/>
                <w:bCs/>
                <w:color w:val="000000" w:themeColor="text1"/>
                <w:sz w:val="16"/>
                <w:szCs w:val="22"/>
              </w:rPr>
              <w:t>Count Model</w:t>
            </w:r>
          </w:p>
        </w:tc>
      </w:tr>
      <w:tr w:rsidR="00D14CD7" w:rsidRPr="00D14CD7" w14:paraId="489C72D6" w14:textId="77777777" w:rsidTr="00286339">
        <w:trPr>
          <w:trHeight w:val="72"/>
        </w:trPr>
        <w:tc>
          <w:tcPr>
            <w:tcW w:w="1709" w:type="pct"/>
            <w:vMerge/>
            <w:tcBorders>
              <w:top w:val="single" w:sz="4" w:space="0" w:color="auto"/>
              <w:bottom w:val="double" w:sz="4" w:space="0" w:color="auto"/>
              <w:right w:val="double" w:sz="4" w:space="0" w:color="auto"/>
            </w:tcBorders>
            <w:vAlign w:val="center"/>
            <w:hideMark/>
          </w:tcPr>
          <w:p w14:paraId="6554629E" w14:textId="77777777" w:rsidR="005B6BB0" w:rsidRPr="00D14CD7" w:rsidRDefault="005B6BB0" w:rsidP="00286339">
            <w:pPr>
              <w:spacing w:after="0" w:line="240" w:lineRule="auto"/>
              <w:jc w:val="left"/>
              <w:rPr>
                <w:rFonts w:eastAsia="Times New Roman"/>
                <w:b/>
                <w:bCs/>
                <w:color w:val="000000" w:themeColor="text1"/>
                <w:sz w:val="16"/>
                <w:szCs w:val="16"/>
              </w:rPr>
            </w:pPr>
          </w:p>
        </w:tc>
        <w:tc>
          <w:tcPr>
            <w:tcW w:w="426" w:type="pct"/>
            <w:gridSpan w:val="2"/>
            <w:tcBorders>
              <w:top w:val="single" w:sz="4" w:space="0" w:color="auto"/>
              <w:left w:val="double" w:sz="4" w:space="0" w:color="auto"/>
              <w:bottom w:val="single" w:sz="4" w:space="0" w:color="auto"/>
              <w:right w:val="single" w:sz="8" w:space="0" w:color="auto"/>
            </w:tcBorders>
            <w:shd w:val="clear" w:color="auto" w:fill="auto"/>
            <w:noWrap/>
            <w:vAlign w:val="center"/>
            <w:hideMark/>
          </w:tcPr>
          <w:p w14:paraId="7158219C" w14:textId="77777777" w:rsidR="005B6BB0" w:rsidRPr="00D14CD7" w:rsidRDefault="005B6BB0" w:rsidP="00286339">
            <w:pPr>
              <w:spacing w:after="0" w:line="240" w:lineRule="auto"/>
              <w:jc w:val="center"/>
              <w:rPr>
                <w:rFonts w:eastAsia="Times New Roman"/>
                <w:b/>
                <w:bCs/>
                <w:color w:val="000000" w:themeColor="text1"/>
                <w:sz w:val="16"/>
                <w:szCs w:val="16"/>
              </w:rPr>
            </w:pPr>
            <w:r w:rsidRPr="00D14CD7">
              <w:rPr>
                <w:rFonts w:eastAsia="Times New Roman"/>
                <w:b/>
                <w:bCs/>
                <w:color w:val="000000" w:themeColor="text1"/>
                <w:sz w:val="16"/>
                <w:szCs w:val="22"/>
              </w:rPr>
              <w:t>QSR</w:t>
            </w:r>
          </w:p>
        </w:tc>
        <w:tc>
          <w:tcPr>
            <w:tcW w:w="369" w:type="pct"/>
            <w:gridSpan w:val="2"/>
            <w:tcBorders>
              <w:top w:val="single" w:sz="4" w:space="0" w:color="auto"/>
              <w:left w:val="single" w:sz="8" w:space="0" w:color="auto"/>
              <w:bottom w:val="single" w:sz="4" w:space="0" w:color="auto"/>
            </w:tcBorders>
            <w:shd w:val="clear" w:color="auto" w:fill="auto"/>
            <w:noWrap/>
            <w:vAlign w:val="center"/>
            <w:hideMark/>
          </w:tcPr>
          <w:p w14:paraId="5D0E522F" w14:textId="77777777" w:rsidR="005B6BB0" w:rsidRPr="00D14CD7" w:rsidRDefault="005B6BB0" w:rsidP="00286339">
            <w:pPr>
              <w:spacing w:after="0" w:line="240" w:lineRule="auto"/>
              <w:jc w:val="center"/>
              <w:rPr>
                <w:rFonts w:eastAsia="Times New Roman"/>
                <w:b/>
                <w:bCs/>
                <w:color w:val="000000" w:themeColor="text1"/>
                <w:sz w:val="16"/>
                <w:szCs w:val="16"/>
              </w:rPr>
            </w:pPr>
            <w:r w:rsidRPr="00D14CD7">
              <w:rPr>
                <w:rFonts w:eastAsia="Times New Roman"/>
                <w:b/>
                <w:bCs/>
                <w:color w:val="000000" w:themeColor="text1"/>
                <w:sz w:val="16"/>
                <w:szCs w:val="22"/>
              </w:rPr>
              <w:t>CH</w:t>
            </w:r>
          </w:p>
        </w:tc>
        <w:tc>
          <w:tcPr>
            <w:tcW w:w="372" w:type="pct"/>
            <w:gridSpan w:val="2"/>
            <w:tcBorders>
              <w:top w:val="single" w:sz="4" w:space="0" w:color="auto"/>
              <w:bottom w:val="single" w:sz="4" w:space="0" w:color="auto"/>
            </w:tcBorders>
            <w:shd w:val="clear" w:color="auto" w:fill="auto"/>
            <w:noWrap/>
            <w:vAlign w:val="center"/>
            <w:hideMark/>
          </w:tcPr>
          <w:p w14:paraId="0973C04D" w14:textId="77777777" w:rsidR="005B6BB0" w:rsidRPr="00D14CD7" w:rsidRDefault="005B6BB0" w:rsidP="00286339">
            <w:pPr>
              <w:spacing w:after="0" w:line="240" w:lineRule="auto"/>
              <w:jc w:val="center"/>
              <w:rPr>
                <w:rFonts w:eastAsia="Times New Roman"/>
                <w:b/>
                <w:bCs/>
                <w:color w:val="000000" w:themeColor="text1"/>
                <w:sz w:val="16"/>
                <w:szCs w:val="16"/>
              </w:rPr>
            </w:pPr>
            <w:r w:rsidRPr="00D14CD7">
              <w:rPr>
                <w:rFonts w:eastAsia="Times New Roman"/>
                <w:b/>
                <w:bCs/>
                <w:color w:val="000000" w:themeColor="text1"/>
                <w:sz w:val="16"/>
                <w:szCs w:val="22"/>
              </w:rPr>
              <w:t>CSR</w:t>
            </w:r>
          </w:p>
        </w:tc>
        <w:tc>
          <w:tcPr>
            <w:tcW w:w="334" w:type="pct"/>
            <w:gridSpan w:val="2"/>
            <w:tcBorders>
              <w:top w:val="single" w:sz="4" w:space="0" w:color="auto"/>
              <w:bottom w:val="single" w:sz="4" w:space="0" w:color="auto"/>
              <w:right w:val="double" w:sz="4" w:space="0" w:color="auto"/>
            </w:tcBorders>
            <w:shd w:val="clear" w:color="auto" w:fill="auto"/>
            <w:noWrap/>
            <w:vAlign w:val="center"/>
            <w:hideMark/>
          </w:tcPr>
          <w:p w14:paraId="38A4FAAD" w14:textId="77777777" w:rsidR="005B6BB0" w:rsidRPr="00D14CD7" w:rsidRDefault="005B6BB0" w:rsidP="00286339">
            <w:pPr>
              <w:spacing w:after="0" w:line="240" w:lineRule="auto"/>
              <w:jc w:val="center"/>
              <w:rPr>
                <w:rFonts w:eastAsia="Times New Roman"/>
                <w:b/>
                <w:bCs/>
                <w:color w:val="000000" w:themeColor="text1"/>
                <w:sz w:val="16"/>
                <w:szCs w:val="16"/>
              </w:rPr>
            </w:pPr>
            <w:r w:rsidRPr="00D14CD7">
              <w:rPr>
                <w:rFonts w:eastAsia="Times New Roman"/>
                <w:b/>
                <w:bCs/>
                <w:color w:val="000000" w:themeColor="text1"/>
                <w:sz w:val="16"/>
                <w:szCs w:val="22"/>
              </w:rPr>
              <w:t>FSR</w:t>
            </w:r>
          </w:p>
        </w:tc>
        <w:tc>
          <w:tcPr>
            <w:tcW w:w="368" w:type="pct"/>
            <w:gridSpan w:val="2"/>
            <w:tcBorders>
              <w:top w:val="single" w:sz="4" w:space="0" w:color="auto"/>
              <w:left w:val="double" w:sz="4" w:space="0" w:color="auto"/>
              <w:bottom w:val="single" w:sz="4" w:space="0" w:color="auto"/>
            </w:tcBorders>
            <w:shd w:val="clear" w:color="auto" w:fill="auto"/>
            <w:noWrap/>
            <w:vAlign w:val="center"/>
            <w:hideMark/>
          </w:tcPr>
          <w:p w14:paraId="2C319B3C" w14:textId="77777777" w:rsidR="005B6BB0" w:rsidRPr="00D14CD7" w:rsidRDefault="005B6BB0" w:rsidP="00286339">
            <w:pPr>
              <w:spacing w:after="0" w:line="240" w:lineRule="auto"/>
              <w:jc w:val="center"/>
              <w:rPr>
                <w:rFonts w:eastAsia="Times New Roman"/>
                <w:b/>
                <w:bCs/>
                <w:color w:val="000000" w:themeColor="text1"/>
                <w:sz w:val="16"/>
                <w:szCs w:val="16"/>
              </w:rPr>
            </w:pPr>
            <w:r w:rsidRPr="00D14CD7">
              <w:rPr>
                <w:rFonts w:eastAsia="Times New Roman"/>
                <w:b/>
                <w:bCs/>
                <w:color w:val="000000" w:themeColor="text1"/>
                <w:sz w:val="16"/>
                <w:szCs w:val="22"/>
              </w:rPr>
              <w:t>QSR</w:t>
            </w:r>
          </w:p>
        </w:tc>
        <w:tc>
          <w:tcPr>
            <w:tcW w:w="369" w:type="pct"/>
            <w:gridSpan w:val="2"/>
            <w:tcBorders>
              <w:top w:val="single" w:sz="4" w:space="0" w:color="auto"/>
              <w:bottom w:val="single" w:sz="4" w:space="0" w:color="auto"/>
            </w:tcBorders>
            <w:shd w:val="clear" w:color="auto" w:fill="auto"/>
            <w:noWrap/>
            <w:vAlign w:val="center"/>
            <w:hideMark/>
          </w:tcPr>
          <w:p w14:paraId="061D2537" w14:textId="77777777" w:rsidR="005B6BB0" w:rsidRPr="00D14CD7" w:rsidRDefault="005B6BB0" w:rsidP="00286339">
            <w:pPr>
              <w:spacing w:after="0" w:line="240" w:lineRule="auto"/>
              <w:jc w:val="center"/>
              <w:rPr>
                <w:rFonts w:eastAsia="Times New Roman"/>
                <w:b/>
                <w:bCs/>
                <w:color w:val="000000" w:themeColor="text1"/>
                <w:sz w:val="16"/>
                <w:szCs w:val="16"/>
              </w:rPr>
            </w:pPr>
            <w:r w:rsidRPr="00D14CD7">
              <w:rPr>
                <w:rFonts w:eastAsia="Times New Roman"/>
                <w:b/>
                <w:bCs/>
                <w:color w:val="000000" w:themeColor="text1"/>
                <w:sz w:val="16"/>
                <w:szCs w:val="22"/>
              </w:rPr>
              <w:t>CH</w:t>
            </w:r>
          </w:p>
        </w:tc>
        <w:tc>
          <w:tcPr>
            <w:tcW w:w="370" w:type="pct"/>
            <w:gridSpan w:val="2"/>
            <w:tcBorders>
              <w:top w:val="single" w:sz="4" w:space="0" w:color="auto"/>
              <w:bottom w:val="single" w:sz="4" w:space="0" w:color="auto"/>
            </w:tcBorders>
            <w:shd w:val="clear" w:color="auto" w:fill="auto"/>
            <w:noWrap/>
            <w:vAlign w:val="center"/>
            <w:hideMark/>
          </w:tcPr>
          <w:p w14:paraId="27296F59" w14:textId="77777777" w:rsidR="005B6BB0" w:rsidRPr="00D14CD7" w:rsidRDefault="005B6BB0" w:rsidP="00286339">
            <w:pPr>
              <w:spacing w:after="0" w:line="240" w:lineRule="auto"/>
              <w:jc w:val="center"/>
              <w:rPr>
                <w:rFonts w:eastAsia="Times New Roman"/>
                <w:b/>
                <w:bCs/>
                <w:color w:val="000000" w:themeColor="text1"/>
                <w:sz w:val="16"/>
                <w:szCs w:val="16"/>
              </w:rPr>
            </w:pPr>
            <w:r w:rsidRPr="00D14CD7">
              <w:rPr>
                <w:rFonts w:eastAsia="Times New Roman"/>
                <w:b/>
                <w:bCs/>
                <w:color w:val="000000" w:themeColor="text1"/>
                <w:sz w:val="16"/>
                <w:szCs w:val="22"/>
              </w:rPr>
              <w:t>CSR</w:t>
            </w:r>
          </w:p>
        </w:tc>
        <w:tc>
          <w:tcPr>
            <w:tcW w:w="313" w:type="pct"/>
            <w:gridSpan w:val="2"/>
            <w:tcBorders>
              <w:top w:val="single" w:sz="4" w:space="0" w:color="auto"/>
              <w:bottom w:val="single" w:sz="4" w:space="0" w:color="auto"/>
              <w:right w:val="double" w:sz="4" w:space="0" w:color="auto"/>
            </w:tcBorders>
            <w:shd w:val="clear" w:color="auto" w:fill="auto"/>
            <w:noWrap/>
            <w:vAlign w:val="center"/>
            <w:hideMark/>
          </w:tcPr>
          <w:p w14:paraId="7BA15DEE" w14:textId="77777777" w:rsidR="005B6BB0" w:rsidRPr="00D14CD7" w:rsidRDefault="005B6BB0" w:rsidP="00286339">
            <w:pPr>
              <w:spacing w:after="0" w:line="240" w:lineRule="auto"/>
              <w:jc w:val="center"/>
              <w:rPr>
                <w:rFonts w:eastAsia="Times New Roman"/>
                <w:b/>
                <w:bCs/>
                <w:color w:val="000000" w:themeColor="text1"/>
                <w:sz w:val="16"/>
                <w:szCs w:val="16"/>
              </w:rPr>
            </w:pPr>
            <w:r w:rsidRPr="00D14CD7">
              <w:rPr>
                <w:rFonts w:eastAsia="Times New Roman"/>
                <w:b/>
                <w:bCs/>
                <w:color w:val="000000" w:themeColor="text1"/>
                <w:sz w:val="16"/>
                <w:szCs w:val="22"/>
              </w:rPr>
              <w:t>FSR</w:t>
            </w:r>
          </w:p>
        </w:tc>
        <w:tc>
          <w:tcPr>
            <w:tcW w:w="370" w:type="pct"/>
            <w:gridSpan w:val="2"/>
            <w:tcBorders>
              <w:top w:val="single" w:sz="4" w:space="0" w:color="auto"/>
              <w:left w:val="double" w:sz="4" w:space="0" w:color="auto"/>
              <w:bottom w:val="single" w:sz="4" w:space="0" w:color="auto"/>
            </w:tcBorders>
            <w:shd w:val="clear" w:color="auto" w:fill="auto"/>
            <w:noWrap/>
            <w:vAlign w:val="center"/>
            <w:hideMark/>
          </w:tcPr>
          <w:p w14:paraId="789D60EE" w14:textId="77777777" w:rsidR="005B6BB0" w:rsidRPr="00D14CD7" w:rsidRDefault="005B6BB0" w:rsidP="00286339">
            <w:pPr>
              <w:spacing w:after="0" w:line="240" w:lineRule="auto"/>
              <w:jc w:val="center"/>
              <w:rPr>
                <w:rFonts w:eastAsia="Times New Roman"/>
                <w:b/>
                <w:bCs/>
                <w:color w:val="000000" w:themeColor="text1"/>
                <w:sz w:val="16"/>
                <w:szCs w:val="16"/>
              </w:rPr>
            </w:pPr>
            <w:r w:rsidRPr="00D14CD7">
              <w:rPr>
                <w:rFonts w:eastAsia="Times New Roman"/>
                <w:b/>
                <w:bCs/>
                <w:color w:val="000000" w:themeColor="text1"/>
                <w:sz w:val="16"/>
                <w:szCs w:val="22"/>
              </w:rPr>
              <w:t>Eat out</w:t>
            </w:r>
          </w:p>
        </w:tc>
      </w:tr>
      <w:tr w:rsidR="00D14CD7" w:rsidRPr="00D14CD7" w14:paraId="4136EFF0" w14:textId="77777777" w:rsidTr="00286339">
        <w:trPr>
          <w:trHeight w:val="503"/>
        </w:trPr>
        <w:tc>
          <w:tcPr>
            <w:tcW w:w="1709" w:type="pct"/>
            <w:vMerge/>
            <w:tcBorders>
              <w:top w:val="single" w:sz="4" w:space="0" w:color="auto"/>
              <w:bottom w:val="double" w:sz="4" w:space="0" w:color="auto"/>
              <w:right w:val="double" w:sz="4" w:space="0" w:color="auto"/>
            </w:tcBorders>
            <w:vAlign w:val="center"/>
            <w:hideMark/>
          </w:tcPr>
          <w:p w14:paraId="34EE56A2" w14:textId="77777777" w:rsidR="005B6BB0" w:rsidRPr="00D14CD7" w:rsidRDefault="005B6BB0" w:rsidP="00286339">
            <w:pPr>
              <w:spacing w:after="0" w:line="240" w:lineRule="auto"/>
              <w:jc w:val="left"/>
              <w:rPr>
                <w:rFonts w:eastAsia="Times New Roman"/>
                <w:b/>
                <w:bCs/>
                <w:color w:val="000000" w:themeColor="text1"/>
                <w:sz w:val="16"/>
                <w:szCs w:val="16"/>
              </w:rPr>
            </w:pPr>
          </w:p>
        </w:tc>
        <w:tc>
          <w:tcPr>
            <w:tcW w:w="227" w:type="pct"/>
            <w:tcBorders>
              <w:top w:val="single" w:sz="4" w:space="0" w:color="auto"/>
              <w:left w:val="double" w:sz="4" w:space="0" w:color="auto"/>
              <w:bottom w:val="double" w:sz="4" w:space="0" w:color="auto"/>
            </w:tcBorders>
            <w:shd w:val="clear" w:color="auto" w:fill="auto"/>
            <w:noWrap/>
            <w:textDirection w:val="btLr"/>
            <w:vAlign w:val="center"/>
            <w:hideMark/>
          </w:tcPr>
          <w:p w14:paraId="367E44FE" w14:textId="77777777" w:rsidR="005B6BB0" w:rsidRPr="00D14CD7" w:rsidRDefault="005B6BB0" w:rsidP="00286339">
            <w:pPr>
              <w:spacing w:after="0" w:line="240" w:lineRule="auto"/>
              <w:jc w:val="center"/>
              <w:rPr>
                <w:rFonts w:eastAsia="Times New Roman"/>
                <w:b/>
                <w:bCs/>
                <w:color w:val="000000" w:themeColor="text1"/>
                <w:sz w:val="16"/>
                <w:szCs w:val="16"/>
              </w:rPr>
            </w:pPr>
            <w:r w:rsidRPr="00D14CD7">
              <w:rPr>
                <w:rFonts w:eastAsia="Times New Roman"/>
                <w:b/>
                <w:bCs/>
                <w:color w:val="000000" w:themeColor="text1"/>
                <w:sz w:val="16"/>
                <w:szCs w:val="22"/>
              </w:rPr>
              <w:t>Coef.</w:t>
            </w:r>
          </w:p>
        </w:tc>
        <w:tc>
          <w:tcPr>
            <w:tcW w:w="199" w:type="pct"/>
            <w:tcBorders>
              <w:top w:val="single" w:sz="4" w:space="0" w:color="auto"/>
              <w:bottom w:val="double" w:sz="4" w:space="0" w:color="auto"/>
              <w:right w:val="single" w:sz="8" w:space="0" w:color="auto"/>
            </w:tcBorders>
            <w:shd w:val="clear" w:color="auto" w:fill="auto"/>
            <w:noWrap/>
            <w:textDirection w:val="btLr"/>
            <w:vAlign w:val="center"/>
            <w:hideMark/>
          </w:tcPr>
          <w:p w14:paraId="25298A55" w14:textId="77777777" w:rsidR="005B6BB0" w:rsidRPr="00D14CD7" w:rsidRDefault="005B6BB0" w:rsidP="00286339">
            <w:pPr>
              <w:spacing w:after="0" w:line="240" w:lineRule="auto"/>
              <w:jc w:val="center"/>
              <w:rPr>
                <w:rFonts w:eastAsia="Times New Roman"/>
                <w:b/>
                <w:bCs/>
                <w:color w:val="000000" w:themeColor="text1"/>
                <w:sz w:val="16"/>
                <w:szCs w:val="16"/>
              </w:rPr>
            </w:pPr>
            <w:r w:rsidRPr="00D14CD7">
              <w:rPr>
                <w:rFonts w:eastAsia="Times New Roman"/>
                <w:b/>
                <w:bCs/>
                <w:color w:val="000000" w:themeColor="text1"/>
                <w:sz w:val="16"/>
                <w:szCs w:val="22"/>
              </w:rPr>
              <w:t>t-stat</w:t>
            </w:r>
          </w:p>
        </w:tc>
        <w:tc>
          <w:tcPr>
            <w:tcW w:w="184" w:type="pct"/>
            <w:tcBorders>
              <w:top w:val="single" w:sz="4" w:space="0" w:color="auto"/>
              <w:left w:val="single" w:sz="8" w:space="0" w:color="auto"/>
              <w:bottom w:val="double" w:sz="4" w:space="0" w:color="auto"/>
            </w:tcBorders>
            <w:shd w:val="clear" w:color="auto" w:fill="auto"/>
            <w:noWrap/>
            <w:textDirection w:val="btLr"/>
            <w:vAlign w:val="center"/>
            <w:hideMark/>
          </w:tcPr>
          <w:p w14:paraId="45ACB259" w14:textId="77777777" w:rsidR="005B6BB0" w:rsidRPr="00D14CD7" w:rsidRDefault="005B6BB0" w:rsidP="00286339">
            <w:pPr>
              <w:spacing w:after="0" w:line="240" w:lineRule="auto"/>
              <w:jc w:val="center"/>
              <w:rPr>
                <w:rFonts w:eastAsia="Times New Roman"/>
                <w:b/>
                <w:bCs/>
                <w:color w:val="000000" w:themeColor="text1"/>
                <w:sz w:val="16"/>
                <w:szCs w:val="16"/>
              </w:rPr>
            </w:pPr>
            <w:r w:rsidRPr="00D14CD7">
              <w:rPr>
                <w:rFonts w:eastAsia="Times New Roman"/>
                <w:b/>
                <w:bCs/>
                <w:color w:val="000000" w:themeColor="text1"/>
                <w:sz w:val="16"/>
                <w:szCs w:val="22"/>
              </w:rPr>
              <w:t>Coef.</w:t>
            </w:r>
          </w:p>
        </w:tc>
        <w:tc>
          <w:tcPr>
            <w:tcW w:w="185" w:type="pct"/>
            <w:tcBorders>
              <w:top w:val="single" w:sz="4" w:space="0" w:color="auto"/>
              <w:bottom w:val="double" w:sz="4" w:space="0" w:color="auto"/>
            </w:tcBorders>
            <w:shd w:val="clear" w:color="auto" w:fill="auto"/>
            <w:noWrap/>
            <w:textDirection w:val="btLr"/>
            <w:vAlign w:val="center"/>
            <w:hideMark/>
          </w:tcPr>
          <w:p w14:paraId="0D42E783" w14:textId="77777777" w:rsidR="005B6BB0" w:rsidRPr="00D14CD7" w:rsidRDefault="005B6BB0" w:rsidP="00286339">
            <w:pPr>
              <w:spacing w:after="0" w:line="240" w:lineRule="auto"/>
              <w:jc w:val="center"/>
              <w:rPr>
                <w:rFonts w:eastAsia="Times New Roman"/>
                <w:b/>
                <w:bCs/>
                <w:color w:val="000000" w:themeColor="text1"/>
                <w:sz w:val="16"/>
                <w:szCs w:val="16"/>
              </w:rPr>
            </w:pPr>
            <w:r w:rsidRPr="00D14CD7">
              <w:rPr>
                <w:rFonts w:eastAsia="Times New Roman"/>
                <w:b/>
                <w:bCs/>
                <w:color w:val="000000" w:themeColor="text1"/>
                <w:sz w:val="16"/>
                <w:szCs w:val="22"/>
              </w:rPr>
              <w:t>t-stat</w:t>
            </w:r>
          </w:p>
        </w:tc>
        <w:tc>
          <w:tcPr>
            <w:tcW w:w="184" w:type="pct"/>
            <w:tcBorders>
              <w:top w:val="single" w:sz="4" w:space="0" w:color="auto"/>
              <w:bottom w:val="double" w:sz="4" w:space="0" w:color="auto"/>
            </w:tcBorders>
            <w:shd w:val="clear" w:color="auto" w:fill="auto"/>
            <w:noWrap/>
            <w:textDirection w:val="btLr"/>
            <w:vAlign w:val="center"/>
            <w:hideMark/>
          </w:tcPr>
          <w:p w14:paraId="5AB844A3" w14:textId="77777777" w:rsidR="005B6BB0" w:rsidRPr="00D14CD7" w:rsidRDefault="005B6BB0" w:rsidP="00286339">
            <w:pPr>
              <w:spacing w:after="0" w:line="240" w:lineRule="auto"/>
              <w:jc w:val="center"/>
              <w:rPr>
                <w:rFonts w:eastAsia="Times New Roman"/>
                <w:b/>
                <w:bCs/>
                <w:color w:val="000000" w:themeColor="text1"/>
                <w:sz w:val="16"/>
                <w:szCs w:val="16"/>
              </w:rPr>
            </w:pPr>
            <w:r w:rsidRPr="00D14CD7">
              <w:rPr>
                <w:rFonts w:eastAsia="Times New Roman"/>
                <w:b/>
                <w:bCs/>
                <w:color w:val="000000" w:themeColor="text1"/>
                <w:sz w:val="16"/>
                <w:szCs w:val="22"/>
              </w:rPr>
              <w:t>Coef.</w:t>
            </w:r>
          </w:p>
        </w:tc>
        <w:tc>
          <w:tcPr>
            <w:tcW w:w="188" w:type="pct"/>
            <w:tcBorders>
              <w:top w:val="single" w:sz="4" w:space="0" w:color="auto"/>
              <w:bottom w:val="double" w:sz="4" w:space="0" w:color="auto"/>
            </w:tcBorders>
            <w:shd w:val="clear" w:color="auto" w:fill="auto"/>
            <w:noWrap/>
            <w:textDirection w:val="btLr"/>
            <w:vAlign w:val="center"/>
            <w:hideMark/>
          </w:tcPr>
          <w:p w14:paraId="6A2DF5F5" w14:textId="77777777" w:rsidR="005B6BB0" w:rsidRPr="00D14CD7" w:rsidRDefault="005B6BB0" w:rsidP="00286339">
            <w:pPr>
              <w:spacing w:after="0" w:line="240" w:lineRule="auto"/>
              <w:jc w:val="center"/>
              <w:rPr>
                <w:rFonts w:eastAsia="Times New Roman"/>
                <w:b/>
                <w:bCs/>
                <w:color w:val="000000" w:themeColor="text1"/>
                <w:sz w:val="16"/>
                <w:szCs w:val="16"/>
              </w:rPr>
            </w:pPr>
            <w:r w:rsidRPr="00D14CD7">
              <w:rPr>
                <w:rFonts w:eastAsia="Times New Roman"/>
                <w:b/>
                <w:bCs/>
                <w:color w:val="000000" w:themeColor="text1"/>
                <w:sz w:val="16"/>
                <w:szCs w:val="22"/>
              </w:rPr>
              <w:t>t-stat</w:t>
            </w:r>
          </w:p>
        </w:tc>
        <w:tc>
          <w:tcPr>
            <w:tcW w:w="188" w:type="pct"/>
            <w:tcBorders>
              <w:top w:val="single" w:sz="4" w:space="0" w:color="auto"/>
              <w:bottom w:val="double" w:sz="4" w:space="0" w:color="auto"/>
            </w:tcBorders>
            <w:shd w:val="clear" w:color="auto" w:fill="auto"/>
            <w:noWrap/>
            <w:textDirection w:val="btLr"/>
            <w:vAlign w:val="center"/>
            <w:hideMark/>
          </w:tcPr>
          <w:p w14:paraId="0041A28E" w14:textId="77777777" w:rsidR="005B6BB0" w:rsidRPr="00D14CD7" w:rsidRDefault="005B6BB0" w:rsidP="00286339">
            <w:pPr>
              <w:spacing w:after="0" w:line="240" w:lineRule="auto"/>
              <w:jc w:val="center"/>
              <w:rPr>
                <w:rFonts w:eastAsia="Times New Roman"/>
                <w:b/>
                <w:bCs/>
                <w:color w:val="000000" w:themeColor="text1"/>
                <w:sz w:val="16"/>
                <w:szCs w:val="16"/>
              </w:rPr>
            </w:pPr>
            <w:r w:rsidRPr="00D14CD7">
              <w:rPr>
                <w:rFonts w:eastAsia="Times New Roman"/>
                <w:b/>
                <w:bCs/>
                <w:color w:val="000000" w:themeColor="text1"/>
                <w:sz w:val="16"/>
                <w:szCs w:val="22"/>
              </w:rPr>
              <w:t>Coef.</w:t>
            </w:r>
          </w:p>
        </w:tc>
        <w:tc>
          <w:tcPr>
            <w:tcW w:w="146" w:type="pct"/>
            <w:tcBorders>
              <w:top w:val="single" w:sz="4" w:space="0" w:color="auto"/>
              <w:bottom w:val="double" w:sz="4" w:space="0" w:color="auto"/>
              <w:right w:val="double" w:sz="4" w:space="0" w:color="auto"/>
            </w:tcBorders>
            <w:shd w:val="clear" w:color="auto" w:fill="auto"/>
            <w:noWrap/>
            <w:textDirection w:val="btLr"/>
            <w:vAlign w:val="center"/>
            <w:hideMark/>
          </w:tcPr>
          <w:p w14:paraId="7105E04C" w14:textId="77777777" w:rsidR="005B6BB0" w:rsidRPr="00D14CD7" w:rsidRDefault="005B6BB0" w:rsidP="00286339">
            <w:pPr>
              <w:spacing w:after="0" w:line="240" w:lineRule="auto"/>
              <w:jc w:val="center"/>
              <w:rPr>
                <w:rFonts w:eastAsia="Times New Roman"/>
                <w:b/>
                <w:bCs/>
                <w:color w:val="000000" w:themeColor="text1"/>
                <w:sz w:val="16"/>
                <w:szCs w:val="16"/>
              </w:rPr>
            </w:pPr>
            <w:r w:rsidRPr="00D14CD7">
              <w:rPr>
                <w:rFonts w:eastAsia="Times New Roman"/>
                <w:b/>
                <w:bCs/>
                <w:color w:val="000000" w:themeColor="text1"/>
                <w:sz w:val="16"/>
                <w:szCs w:val="22"/>
              </w:rPr>
              <w:t>t-stat</w:t>
            </w:r>
          </w:p>
        </w:tc>
        <w:tc>
          <w:tcPr>
            <w:tcW w:w="184" w:type="pct"/>
            <w:tcBorders>
              <w:top w:val="single" w:sz="4" w:space="0" w:color="auto"/>
              <w:left w:val="double" w:sz="4" w:space="0" w:color="auto"/>
              <w:bottom w:val="double" w:sz="4" w:space="0" w:color="auto"/>
            </w:tcBorders>
            <w:shd w:val="clear" w:color="auto" w:fill="auto"/>
            <w:noWrap/>
            <w:textDirection w:val="btLr"/>
            <w:vAlign w:val="center"/>
            <w:hideMark/>
          </w:tcPr>
          <w:p w14:paraId="097AC517" w14:textId="77777777" w:rsidR="005B6BB0" w:rsidRPr="00D14CD7" w:rsidRDefault="005B6BB0" w:rsidP="00286339">
            <w:pPr>
              <w:spacing w:after="0" w:line="240" w:lineRule="auto"/>
              <w:jc w:val="center"/>
              <w:rPr>
                <w:rFonts w:eastAsia="Times New Roman"/>
                <w:b/>
                <w:bCs/>
                <w:color w:val="000000" w:themeColor="text1"/>
                <w:sz w:val="16"/>
                <w:szCs w:val="16"/>
              </w:rPr>
            </w:pPr>
            <w:r w:rsidRPr="00D14CD7">
              <w:rPr>
                <w:rFonts w:eastAsia="Times New Roman"/>
                <w:b/>
                <w:bCs/>
                <w:color w:val="000000" w:themeColor="text1"/>
                <w:sz w:val="16"/>
                <w:szCs w:val="22"/>
              </w:rPr>
              <w:t>Coef.</w:t>
            </w:r>
          </w:p>
        </w:tc>
        <w:tc>
          <w:tcPr>
            <w:tcW w:w="184" w:type="pct"/>
            <w:tcBorders>
              <w:top w:val="single" w:sz="4" w:space="0" w:color="auto"/>
              <w:bottom w:val="double" w:sz="4" w:space="0" w:color="auto"/>
            </w:tcBorders>
            <w:shd w:val="clear" w:color="auto" w:fill="auto"/>
            <w:noWrap/>
            <w:textDirection w:val="btLr"/>
            <w:vAlign w:val="center"/>
            <w:hideMark/>
          </w:tcPr>
          <w:p w14:paraId="45E7C06C" w14:textId="77777777" w:rsidR="005B6BB0" w:rsidRPr="00D14CD7" w:rsidRDefault="005B6BB0" w:rsidP="00286339">
            <w:pPr>
              <w:spacing w:after="0" w:line="240" w:lineRule="auto"/>
              <w:jc w:val="center"/>
              <w:rPr>
                <w:rFonts w:eastAsia="Times New Roman"/>
                <w:b/>
                <w:bCs/>
                <w:color w:val="000000" w:themeColor="text1"/>
                <w:sz w:val="16"/>
                <w:szCs w:val="16"/>
              </w:rPr>
            </w:pPr>
            <w:r w:rsidRPr="00D14CD7">
              <w:rPr>
                <w:rFonts w:eastAsia="Times New Roman"/>
                <w:b/>
                <w:bCs/>
                <w:color w:val="000000" w:themeColor="text1"/>
                <w:sz w:val="16"/>
                <w:szCs w:val="22"/>
              </w:rPr>
              <w:t>t-stat</w:t>
            </w:r>
          </w:p>
        </w:tc>
        <w:tc>
          <w:tcPr>
            <w:tcW w:w="184" w:type="pct"/>
            <w:tcBorders>
              <w:top w:val="single" w:sz="4" w:space="0" w:color="auto"/>
              <w:bottom w:val="double" w:sz="4" w:space="0" w:color="auto"/>
            </w:tcBorders>
            <w:shd w:val="clear" w:color="auto" w:fill="auto"/>
            <w:noWrap/>
            <w:textDirection w:val="btLr"/>
            <w:vAlign w:val="center"/>
            <w:hideMark/>
          </w:tcPr>
          <w:p w14:paraId="66CDCA7F" w14:textId="77777777" w:rsidR="005B6BB0" w:rsidRPr="00D14CD7" w:rsidRDefault="005B6BB0" w:rsidP="00286339">
            <w:pPr>
              <w:spacing w:after="0" w:line="240" w:lineRule="auto"/>
              <w:jc w:val="center"/>
              <w:rPr>
                <w:rFonts w:eastAsia="Times New Roman"/>
                <w:b/>
                <w:bCs/>
                <w:color w:val="000000" w:themeColor="text1"/>
                <w:sz w:val="16"/>
                <w:szCs w:val="16"/>
              </w:rPr>
            </w:pPr>
            <w:r w:rsidRPr="00D14CD7">
              <w:rPr>
                <w:rFonts w:eastAsia="Times New Roman"/>
                <w:b/>
                <w:bCs/>
                <w:color w:val="000000" w:themeColor="text1"/>
                <w:sz w:val="16"/>
                <w:szCs w:val="22"/>
              </w:rPr>
              <w:t>Coef.</w:t>
            </w:r>
          </w:p>
        </w:tc>
        <w:tc>
          <w:tcPr>
            <w:tcW w:w="185" w:type="pct"/>
            <w:tcBorders>
              <w:top w:val="single" w:sz="4" w:space="0" w:color="auto"/>
              <w:bottom w:val="double" w:sz="4" w:space="0" w:color="auto"/>
            </w:tcBorders>
            <w:shd w:val="clear" w:color="auto" w:fill="auto"/>
            <w:noWrap/>
            <w:textDirection w:val="btLr"/>
            <w:vAlign w:val="center"/>
            <w:hideMark/>
          </w:tcPr>
          <w:p w14:paraId="7FDE4D1D" w14:textId="77777777" w:rsidR="005B6BB0" w:rsidRPr="00D14CD7" w:rsidRDefault="005B6BB0" w:rsidP="00286339">
            <w:pPr>
              <w:spacing w:after="0" w:line="240" w:lineRule="auto"/>
              <w:jc w:val="center"/>
              <w:rPr>
                <w:rFonts w:eastAsia="Times New Roman"/>
                <w:b/>
                <w:bCs/>
                <w:color w:val="000000" w:themeColor="text1"/>
                <w:sz w:val="16"/>
                <w:szCs w:val="16"/>
              </w:rPr>
            </w:pPr>
            <w:r w:rsidRPr="00D14CD7">
              <w:rPr>
                <w:rFonts w:eastAsia="Times New Roman"/>
                <w:b/>
                <w:bCs/>
                <w:color w:val="000000" w:themeColor="text1"/>
                <w:sz w:val="16"/>
                <w:szCs w:val="22"/>
              </w:rPr>
              <w:t>t-stat</w:t>
            </w:r>
          </w:p>
        </w:tc>
        <w:tc>
          <w:tcPr>
            <w:tcW w:w="185" w:type="pct"/>
            <w:tcBorders>
              <w:top w:val="single" w:sz="4" w:space="0" w:color="auto"/>
              <w:bottom w:val="double" w:sz="4" w:space="0" w:color="auto"/>
            </w:tcBorders>
            <w:shd w:val="clear" w:color="auto" w:fill="auto"/>
            <w:noWrap/>
            <w:textDirection w:val="btLr"/>
            <w:vAlign w:val="center"/>
            <w:hideMark/>
          </w:tcPr>
          <w:p w14:paraId="0E414FB8" w14:textId="77777777" w:rsidR="005B6BB0" w:rsidRPr="00D14CD7" w:rsidRDefault="005B6BB0" w:rsidP="00286339">
            <w:pPr>
              <w:spacing w:after="0" w:line="240" w:lineRule="auto"/>
              <w:jc w:val="center"/>
              <w:rPr>
                <w:rFonts w:eastAsia="Times New Roman"/>
                <w:b/>
                <w:bCs/>
                <w:color w:val="000000" w:themeColor="text1"/>
                <w:sz w:val="16"/>
                <w:szCs w:val="16"/>
              </w:rPr>
            </w:pPr>
            <w:r w:rsidRPr="00D14CD7">
              <w:rPr>
                <w:rFonts w:eastAsia="Times New Roman"/>
                <w:b/>
                <w:bCs/>
                <w:color w:val="000000" w:themeColor="text1"/>
                <w:sz w:val="16"/>
                <w:szCs w:val="22"/>
              </w:rPr>
              <w:t>Coef.</w:t>
            </w:r>
          </w:p>
        </w:tc>
        <w:tc>
          <w:tcPr>
            <w:tcW w:w="185" w:type="pct"/>
            <w:tcBorders>
              <w:top w:val="single" w:sz="4" w:space="0" w:color="auto"/>
              <w:bottom w:val="double" w:sz="4" w:space="0" w:color="auto"/>
            </w:tcBorders>
            <w:shd w:val="clear" w:color="auto" w:fill="auto"/>
            <w:noWrap/>
            <w:textDirection w:val="btLr"/>
            <w:vAlign w:val="center"/>
            <w:hideMark/>
          </w:tcPr>
          <w:p w14:paraId="7A9BF4D2" w14:textId="77777777" w:rsidR="005B6BB0" w:rsidRPr="00D14CD7" w:rsidRDefault="005B6BB0" w:rsidP="00286339">
            <w:pPr>
              <w:spacing w:after="0" w:line="240" w:lineRule="auto"/>
              <w:jc w:val="center"/>
              <w:rPr>
                <w:rFonts w:eastAsia="Times New Roman"/>
                <w:b/>
                <w:bCs/>
                <w:color w:val="000000" w:themeColor="text1"/>
                <w:sz w:val="16"/>
                <w:szCs w:val="16"/>
              </w:rPr>
            </w:pPr>
            <w:r w:rsidRPr="00D14CD7">
              <w:rPr>
                <w:rFonts w:eastAsia="Times New Roman"/>
                <w:b/>
                <w:bCs/>
                <w:color w:val="000000" w:themeColor="text1"/>
                <w:sz w:val="16"/>
                <w:szCs w:val="22"/>
              </w:rPr>
              <w:t>t-stat</w:t>
            </w:r>
          </w:p>
        </w:tc>
        <w:tc>
          <w:tcPr>
            <w:tcW w:w="156" w:type="pct"/>
            <w:tcBorders>
              <w:top w:val="single" w:sz="4" w:space="0" w:color="auto"/>
              <w:bottom w:val="double" w:sz="4" w:space="0" w:color="auto"/>
            </w:tcBorders>
            <w:shd w:val="clear" w:color="auto" w:fill="auto"/>
            <w:noWrap/>
            <w:textDirection w:val="btLr"/>
            <w:vAlign w:val="center"/>
            <w:hideMark/>
          </w:tcPr>
          <w:p w14:paraId="4C0C1838" w14:textId="77777777" w:rsidR="005B6BB0" w:rsidRPr="00D14CD7" w:rsidRDefault="005B6BB0" w:rsidP="00286339">
            <w:pPr>
              <w:spacing w:after="0" w:line="240" w:lineRule="auto"/>
              <w:jc w:val="center"/>
              <w:rPr>
                <w:rFonts w:eastAsia="Times New Roman"/>
                <w:b/>
                <w:bCs/>
                <w:color w:val="000000" w:themeColor="text1"/>
                <w:sz w:val="16"/>
                <w:szCs w:val="16"/>
              </w:rPr>
            </w:pPr>
            <w:r w:rsidRPr="00D14CD7">
              <w:rPr>
                <w:rFonts w:eastAsia="Times New Roman"/>
                <w:b/>
                <w:bCs/>
                <w:color w:val="000000" w:themeColor="text1"/>
                <w:sz w:val="16"/>
                <w:szCs w:val="22"/>
              </w:rPr>
              <w:t>Coef.</w:t>
            </w:r>
          </w:p>
        </w:tc>
        <w:tc>
          <w:tcPr>
            <w:tcW w:w="157" w:type="pct"/>
            <w:tcBorders>
              <w:top w:val="single" w:sz="4" w:space="0" w:color="auto"/>
              <w:bottom w:val="double" w:sz="4" w:space="0" w:color="auto"/>
              <w:right w:val="double" w:sz="4" w:space="0" w:color="auto"/>
            </w:tcBorders>
            <w:shd w:val="clear" w:color="auto" w:fill="auto"/>
            <w:noWrap/>
            <w:textDirection w:val="btLr"/>
            <w:vAlign w:val="center"/>
            <w:hideMark/>
          </w:tcPr>
          <w:p w14:paraId="070A06F8" w14:textId="77777777" w:rsidR="005B6BB0" w:rsidRPr="00D14CD7" w:rsidRDefault="005B6BB0" w:rsidP="00286339">
            <w:pPr>
              <w:spacing w:after="0" w:line="240" w:lineRule="auto"/>
              <w:jc w:val="center"/>
              <w:rPr>
                <w:rFonts w:eastAsia="Times New Roman"/>
                <w:b/>
                <w:bCs/>
                <w:color w:val="000000" w:themeColor="text1"/>
                <w:sz w:val="16"/>
                <w:szCs w:val="16"/>
              </w:rPr>
            </w:pPr>
            <w:r w:rsidRPr="00D14CD7">
              <w:rPr>
                <w:rFonts w:eastAsia="Times New Roman"/>
                <w:b/>
                <w:bCs/>
                <w:color w:val="000000" w:themeColor="text1"/>
                <w:sz w:val="16"/>
                <w:szCs w:val="22"/>
              </w:rPr>
              <w:t>t-stat</w:t>
            </w:r>
          </w:p>
        </w:tc>
        <w:tc>
          <w:tcPr>
            <w:tcW w:w="187" w:type="pct"/>
            <w:tcBorders>
              <w:top w:val="single" w:sz="4" w:space="0" w:color="auto"/>
              <w:left w:val="double" w:sz="4" w:space="0" w:color="auto"/>
              <w:bottom w:val="double" w:sz="4" w:space="0" w:color="auto"/>
            </w:tcBorders>
            <w:shd w:val="clear" w:color="auto" w:fill="auto"/>
            <w:noWrap/>
            <w:textDirection w:val="btLr"/>
            <w:vAlign w:val="center"/>
            <w:hideMark/>
          </w:tcPr>
          <w:p w14:paraId="26BA1DC7" w14:textId="77777777" w:rsidR="005B6BB0" w:rsidRPr="00D14CD7" w:rsidRDefault="005B6BB0" w:rsidP="00286339">
            <w:pPr>
              <w:spacing w:after="0" w:line="240" w:lineRule="auto"/>
              <w:jc w:val="center"/>
              <w:rPr>
                <w:rFonts w:eastAsia="Times New Roman"/>
                <w:b/>
                <w:bCs/>
                <w:color w:val="000000" w:themeColor="text1"/>
                <w:sz w:val="16"/>
                <w:szCs w:val="16"/>
              </w:rPr>
            </w:pPr>
            <w:r w:rsidRPr="00D14CD7">
              <w:rPr>
                <w:rFonts w:eastAsia="Times New Roman"/>
                <w:b/>
                <w:bCs/>
                <w:color w:val="000000" w:themeColor="text1"/>
                <w:sz w:val="16"/>
                <w:szCs w:val="22"/>
              </w:rPr>
              <w:t>Coef.</w:t>
            </w:r>
          </w:p>
        </w:tc>
        <w:tc>
          <w:tcPr>
            <w:tcW w:w="183" w:type="pct"/>
            <w:tcBorders>
              <w:top w:val="single" w:sz="4" w:space="0" w:color="auto"/>
              <w:bottom w:val="double" w:sz="4" w:space="0" w:color="auto"/>
            </w:tcBorders>
            <w:shd w:val="clear" w:color="auto" w:fill="auto"/>
            <w:noWrap/>
            <w:textDirection w:val="btLr"/>
            <w:vAlign w:val="center"/>
            <w:hideMark/>
          </w:tcPr>
          <w:p w14:paraId="4D153249" w14:textId="77777777" w:rsidR="005B6BB0" w:rsidRPr="00D14CD7" w:rsidRDefault="005B6BB0" w:rsidP="00286339">
            <w:pPr>
              <w:spacing w:after="0" w:line="240" w:lineRule="auto"/>
              <w:jc w:val="center"/>
              <w:rPr>
                <w:rFonts w:eastAsia="Times New Roman"/>
                <w:b/>
                <w:bCs/>
                <w:color w:val="000000" w:themeColor="text1"/>
                <w:sz w:val="16"/>
                <w:szCs w:val="16"/>
              </w:rPr>
            </w:pPr>
            <w:r w:rsidRPr="00D14CD7">
              <w:rPr>
                <w:rFonts w:eastAsia="Times New Roman"/>
                <w:b/>
                <w:bCs/>
                <w:color w:val="000000" w:themeColor="text1"/>
                <w:sz w:val="16"/>
                <w:szCs w:val="22"/>
              </w:rPr>
              <w:t>t-stat</w:t>
            </w:r>
          </w:p>
        </w:tc>
      </w:tr>
      <w:tr w:rsidR="00D14CD7" w:rsidRPr="00D14CD7" w14:paraId="4ECBED8F" w14:textId="77777777" w:rsidTr="00286339">
        <w:trPr>
          <w:trHeight w:val="72"/>
        </w:trPr>
        <w:tc>
          <w:tcPr>
            <w:tcW w:w="5000" w:type="pct"/>
            <w:gridSpan w:val="19"/>
            <w:tcBorders>
              <w:top w:val="single" w:sz="4" w:space="0" w:color="auto"/>
              <w:bottom w:val="single" w:sz="8" w:space="0" w:color="auto"/>
            </w:tcBorders>
            <w:shd w:val="clear" w:color="auto" w:fill="auto"/>
            <w:noWrap/>
            <w:vAlign w:val="center"/>
            <w:hideMark/>
          </w:tcPr>
          <w:p w14:paraId="739FA6B9" w14:textId="77777777" w:rsidR="005B6BB0" w:rsidRPr="00D14CD7" w:rsidRDefault="005B6BB0" w:rsidP="00286339">
            <w:pPr>
              <w:spacing w:after="0" w:line="240" w:lineRule="auto"/>
              <w:jc w:val="left"/>
              <w:rPr>
                <w:rFonts w:eastAsia="Times New Roman"/>
                <w:color w:val="000000" w:themeColor="text1"/>
                <w:sz w:val="20"/>
                <w:szCs w:val="20"/>
              </w:rPr>
            </w:pPr>
            <w:r w:rsidRPr="00D14CD7">
              <w:rPr>
                <w:rFonts w:eastAsia="Times New Roman"/>
                <w:b/>
                <w:bCs/>
                <w:color w:val="000000" w:themeColor="text1"/>
                <w:sz w:val="16"/>
                <w:szCs w:val="22"/>
              </w:rPr>
              <w:t>Exogenous Variables</w:t>
            </w:r>
          </w:p>
        </w:tc>
      </w:tr>
      <w:tr w:rsidR="00D14CD7" w:rsidRPr="00D14CD7" w14:paraId="4CF6EEC7" w14:textId="77777777" w:rsidTr="00286339">
        <w:trPr>
          <w:trHeight w:val="72"/>
        </w:trPr>
        <w:tc>
          <w:tcPr>
            <w:tcW w:w="5000" w:type="pct"/>
            <w:gridSpan w:val="19"/>
            <w:tcBorders>
              <w:top w:val="single" w:sz="8" w:space="0" w:color="auto"/>
              <w:bottom w:val="single" w:sz="8" w:space="0" w:color="auto"/>
            </w:tcBorders>
            <w:shd w:val="clear" w:color="auto" w:fill="auto"/>
            <w:noWrap/>
            <w:vAlign w:val="center"/>
            <w:hideMark/>
          </w:tcPr>
          <w:p w14:paraId="00656596" w14:textId="77777777" w:rsidR="005B6BB0" w:rsidRPr="00D14CD7" w:rsidRDefault="005B6BB0" w:rsidP="00286339">
            <w:pPr>
              <w:spacing w:after="0" w:line="240" w:lineRule="auto"/>
              <w:jc w:val="left"/>
              <w:rPr>
                <w:rFonts w:eastAsia="Times New Roman"/>
                <w:color w:val="000000" w:themeColor="text1"/>
                <w:sz w:val="20"/>
                <w:szCs w:val="20"/>
              </w:rPr>
            </w:pPr>
            <w:r w:rsidRPr="00D14CD7">
              <w:rPr>
                <w:rFonts w:eastAsia="Times New Roman"/>
                <w:b/>
                <w:bCs/>
                <w:color w:val="000000" w:themeColor="text1"/>
                <w:sz w:val="16"/>
                <w:szCs w:val="22"/>
              </w:rPr>
              <w:t>Individual Demographics</w:t>
            </w:r>
          </w:p>
        </w:tc>
      </w:tr>
      <w:tr w:rsidR="00D14CD7" w:rsidRPr="00D14CD7" w14:paraId="1D580AE9" w14:textId="77777777" w:rsidTr="00286339">
        <w:trPr>
          <w:trHeight w:val="72"/>
        </w:trPr>
        <w:tc>
          <w:tcPr>
            <w:tcW w:w="5000" w:type="pct"/>
            <w:gridSpan w:val="19"/>
            <w:tcBorders>
              <w:top w:val="single" w:sz="8" w:space="0" w:color="auto"/>
              <w:bottom w:val="single" w:sz="4" w:space="0" w:color="auto"/>
            </w:tcBorders>
            <w:shd w:val="clear" w:color="auto" w:fill="auto"/>
            <w:noWrap/>
            <w:vAlign w:val="center"/>
            <w:hideMark/>
          </w:tcPr>
          <w:p w14:paraId="3833267B" w14:textId="77777777" w:rsidR="005B6BB0" w:rsidRPr="00D14CD7" w:rsidRDefault="005B6BB0" w:rsidP="00286339">
            <w:pPr>
              <w:spacing w:after="0" w:line="240" w:lineRule="auto"/>
              <w:jc w:val="left"/>
              <w:rPr>
                <w:rFonts w:eastAsia="Times New Roman"/>
                <w:color w:val="000000" w:themeColor="text1"/>
                <w:sz w:val="20"/>
                <w:szCs w:val="20"/>
              </w:rPr>
            </w:pPr>
            <w:r w:rsidRPr="00D14CD7">
              <w:rPr>
                <w:rFonts w:eastAsia="Times New Roman"/>
                <w:b/>
                <w:bCs/>
                <w:i/>
                <w:iCs/>
                <w:color w:val="000000" w:themeColor="text1"/>
                <w:sz w:val="16"/>
                <w:szCs w:val="16"/>
              </w:rPr>
              <w:t>Age (base: 18 to 29 years old)</w:t>
            </w:r>
          </w:p>
        </w:tc>
      </w:tr>
      <w:tr w:rsidR="00D14CD7" w:rsidRPr="00D14CD7" w14:paraId="4771B364" w14:textId="77777777" w:rsidTr="00286339">
        <w:trPr>
          <w:trHeight w:val="72"/>
        </w:trPr>
        <w:tc>
          <w:tcPr>
            <w:tcW w:w="1709" w:type="pct"/>
            <w:tcBorders>
              <w:top w:val="single" w:sz="4" w:space="0" w:color="auto"/>
              <w:bottom w:val="single" w:sz="4" w:space="0" w:color="auto"/>
              <w:right w:val="double" w:sz="4" w:space="0" w:color="auto"/>
            </w:tcBorders>
            <w:shd w:val="clear" w:color="auto" w:fill="auto"/>
            <w:noWrap/>
            <w:vAlign w:val="center"/>
            <w:hideMark/>
          </w:tcPr>
          <w:p w14:paraId="55A75865" w14:textId="77777777" w:rsidR="005B6BB0" w:rsidRPr="00D14CD7" w:rsidRDefault="005B6BB0" w:rsidP="00286339">
            <w:pPr>
              <w:spacing w:after="0" w:line="240" w:lineRule="auto"/>
              <w:ind w:firstLine="140"/>
              <w:jc w:val="left"/>
              <w:rPr>
                <w:rFonts w:eastAsia="Times New Roman"/>
                <w:color w:val="000000" w:themeColor="text1"/>
                <w:sz w:val="16"/>
                <w:szCs w:val="16"/>
              </w:rPr>
            </w:pPr>
            <w:r w:rsidRPr="00D14CD7">
              <w:rPr>
                <w:rFonts w:eastAsia="Times New Roman"/>
                <w:color w:val="000000" w:themeColor="text1"/>
                <w:sz w:val="16"/>
                <w:szCs w:val="22"/>
              </w:rPr>
              <w:t>30 to 49 years old</w:t>
            </w:r>
          </w:p>
        </w:tc>
        <w:tc>
          <w:tcPr>
            <w:tcW w:w="227" w:type="pct"/>
            <w:tcBorders>
              <w:top w:val="single" w:sz="4" w:space="0" w:color="auto"/>
              <w:left w:val="double" w:sz="4" w:space="0" w:color="auto"/>
              <w:bottom w:val="single" w:sz="4" w:space="0" w:color="auto"/>
            </w:tcBorders>
            <w:shd w:val="clear" w:color="auto" w:fill="auto"/>
            <w:noWrap/>
            <w:vAlign w:val="center"/>
            <w:hideMark/>
          </w:tcPr>
          <w:p w14:paraId="0FF70D09" w14:textId="77777777" w:rsidR="005B6BB0" w:rsidRPr="00D14CD7" w:rsidRDefault="005B6BB0" w:rsidP="00286339">
            <w:pPr>
              <w:spacing w:after="0" w:line="240" w:lineRule="auto"/>
              <w:jc w:val="right"/>
              <w:rPr>
                <w:rFonts w:eastAsia="Times New Roman"/>
                <w:color w:val="000000" w:themeColor="text1"/>
                <w:sz w:val="16"/>
                <w:szCs w:val="16"/>
              </w:rPr>
            </w:pPr>
            <w:r w:rsidRPr="00D14CD7">
              <w:rPr>
                <w:rFonts w:eastAsia="Times New Roman"/>
                <w:color w:val="000000" w:themeColor="text1"/>
                <w:sz w:val="16"/>
                <w:szCs w:val="22"/>
              </w:rPr>
              <w:t>—</w:t>
            </w:r>
          </w:p>
        </w:tc>
        <w:tc>
          <w:tcPr>
            <w:tcW w:w="199" w:type="pct"/>
            <w:tcBorders>
              <w:top w:val="single" w:sz="4" w:space="0" w:color="auto"/>
              <w:bottom w:val="single" w:sz="4" w:space="0" w:color="auto"/>
              <w:right w:val="single" w:sz="8" w:space="0" w:color="auto"/>
            </w:tcBorders>
            <w:shd w:val="clear" w:color="auto" w:fill="auto"/>
            <w:noWrap/>
            <w:vAlign w:val="center"/>
            <w:hideMark/>
          </w:tcPr>
          <w:p w14:paraId="13BBCCCB" w14:textId="77777777" w:rsidR="005B6BB0" w:rsidRPr="00D14CD7" w:rsidRDefault="005B6BB0" w:rsidP="00286339">
            <w:pPr>
              <w:spacing w:after="0" w:line="240" w:lineRule="auto"/>
              <w:jc w:val="right"/>
              <w:rPr>
                <w:rFonts w:eastAsia="Times New Roman"/>
                <w:color w:val="000000" w:themeColor="text1"/>
                <w:sz w:val="16"/>
                <w:szCs w:val="16"/>
              </w:rPr>
            </w:pPr>
            <w:r w:rsidRPr="00D14CD7">
              <w:rPr>
                <w:rFonts w:eastAsia="Times New Roman"/>
                <w:color w:val="000000" w:themeColor="text1"/>
                <w:sz w:val="16"/>
                <w:szCs w:val="22"/>
              </w:rPr>
              <w:t>—</w:t>
            </w:r>
          </w:p>
        </w:tc>
        <w:tc>
          <w:tcPr>
            <w:tcW w:w="184" w:type="pct"/>
            <w:tcBorders>
              <w:top w:val="single" w:sz="4" w:space="0" w:color="auto"/>
              <w:left w:val="single" w:sz="8" w:space="0" w:color="auto"/>
              <w:bottom w:val="single" w:sz="4" w:space="0" w:color="auto"/>
            </w:tcBorders>
            <w:shd w:val="clear" w:color="auto" w:fill="auto"/>
            <w:noWrap/>
            <w:vAlign w:val="center"/>
            <w:hideMark/>
          </w:tcPr>
          <w:p w14:paraId="26AC35E7" w14:textId="77777777" w:rsidR="005B6BB0" w:rsidRPr="00D14CD7" w:rsidRDefault="005B6BB0" w:rsidP="00286339">
            <w:pPr>
              <w:spacing w:after="0" w:line="240" w:lineRule="auto"/>
              <w:jc w:val="right"/>
              <w:rPr>
                <w:rFonts w:eastAsia="Times New Roman"/>
                <w:color w:val="000000" w:themeColor="text1"/>
                <w:sz w:val="16"/>
                <w:szCs w:val="16"/>
              </w:rPr>
            </w:pPr>
            <w:r w:rsidRPr="00D14CD7">
              <w:rPr>
                <w:rFonts w:eastAsia="Times New Roman"/>
                <w:color w:val="000000" w:themeColor="text1"/>
                <w:sz w:val="16"/>
                <w:szCs w:val="16"/>
              </w:rPr>
              <w:t>-0.163</w:t>
            </w:r>
          </w:p>
        </w:tc>
        <w:tc>
          <w:tcPr>
            <w:tcW w:w="185" w:type="pct"/>
            <w:tcBorders>
              <w:top w:val="single" w:sz="4" w:space="0" w:color="auto"/>
              <w:bottom w:val="single" w:sz="4" w:space="0" w:color="auto"/>
              <w:right w:val="single" w:sz="8" w:space="0" w:color="auto"/>
            </w:tcBorders>
            <w:shd w:val="clear" w:color="auto" w:fill="auto"/>
            <w:noWrap/>
            <w:vAlign w:val="center"/>
            <w:hideMark/>
          </w:tcPr>
          <w:p w14:paraId="379CB490" w14:textId="77777777" w:rsidR="005B6BB0" w:rsidRPr="00D14CD7" w:rsidRDefault="005B6BB0" w:rsidP="00286339">
            <w:pPr>
              <w:spacing w:after="0" w:line="240" w:lineRule="auto"/>
              <w:jc w:val="right"/>
              <w:rPr>
                <w:rFonts w:eastAsia="Times New Roman"/>
                <w:color w:val="000000" w:themeColor="text1"/>
                <w:sz w:val="16"/>
                <w:szCs w:val="16"/>
              </w:rPr>
            </w:pPr>
            <w:r w:rsidRPr="00D14CD7">
              <w:rPr>
                <w:rFonts w:eastAsia="Times New Roman"/>
                <w:color w:val="000000" w:themeColor="text1"/>
                <w:sz w:val="16"/>
                <w:szCs w:val="16"/>
              </w:rPr>
              <w:t>-1.77</w:t>
            </w:r>
          </w:p>
        </w:tc>
        <w:tc>
          <w:tcPr>
            <w:tcW w:w="184" w:type="pct"/>
            <w:tcBorders>
              <w:top w:val="single" w:sz="4" w:space="0" w:color="auto"/>
              <w:left w:val="single" w:sz="8" w:space="0" w:color="auto"/>
              <w:bottom w:val="single" w:sz="4" w:space="0" w:color="auto"/>
            </w:tcBorders>
            <w:shd w:val="clear" w:color="auto" w:fill="auto"/>
            <w:noWrap/>
            <w:vAlign w:val="center"/>
            <w:hideMark/>
          </w:tcPr>
          <w:p w14:paraId="11C7C365" w14:textId="77777777" w:rsidR="005B6BB0" w:rsidRPr="00D14CD7" w:rsidRDefault="005B6BB0" w:rsidP="00286339">
            <w:pPr>
              <w:spacing w:after="0" w:line="240" w:lineRule="auto"/>
              <w:jc w:val="right"/>
              <w:rPr>
                <w:rFonts w:eastAsia="Times New Roman"/>
                <w:color w:val="000000" w:themeColor="text1"/>
                <w:sz w:val="16"/>
                <w:szCs w:val="16"/>
              </w:rPr>
            </w:pPr>
            <w:r w:rsidRPr="00D14CD7">
              <w:rPr>
                <w:rFonts w:eastAsia="Times New Roman"/>
                <w:color w:val="000000" w:themeColor="text1"/>
                <w:sz w:val="16"/>
                <w:szCs w:val="22"/>
              </w:rPr>
              <w:t>—</w:t>
            </w:r>
          </w:p>
        </w:tc>
        <w:tc>
          <w:tcPr>
            <w:tcW w:w="188" w:type="pct"/>
            <w:tcBorders>
              <w:top w:val="single" w:sz="4" w:space="0" w:color="auto"/>
              <w:bottom w:val="single" w:sz="4" w:space="0" w:color="auto"/>
              <w:right w:val="single" w:sz="8" w:space="0" w:color="auto"/>
            </w:tcBorders>
            <w:shd w:val="clear" w:color="auto" w:fill="auto"/>
            <w:noWrap/>
            <w:vAlign w:val="center"/>
            <w:hideMark/>
          </w:tcPr>
          <w:p w14:paraId="379FAD51" w14:textId="77777777" w:rsidR="005B6BB0" w:rsidRPr="00D14CD7" w:rsidRDefault="005B6BB0" w:rsidP="00286339">
            <w:pPr>
              <w:spacing w:after="0" w:line="240" w:lineRule="auto"/>
              <w:jc w:val="right"/>
              <w:rPr>
                <w:rFonts w:eastAsia="Times New Roman"/>
                <w:color w:val="000000" w:themeColor="text1"/>
                <w:sz w:val="16"/>
                <w:szCs w:val="16"/>
              </w:rPr>
            </w:pPr>
            <w:r w:rsidRPr="00D14CD7">
              <w:rPr>
                <w:rFonts w:eastAsia="Times New Roman"/>
                <w:color w:val="000000" w:themeColor="text1"/>
                <w:sz w:val="16"/>
                <w:szCs w:val="22"/>
              </w:rPr>
              <w:t>—</w:t>
            </w:r>
          </w:p>
        </w:tc>
        <w:tc>
          <w:tcPr>
            <w:tcW w:w="188" w:type="pct"/>
            <w:tcBorders>
              <w:top w:val="single" w:sz="4" w:space="0" w:color="auto"/>
              <w:left w:val="single" w:sz="8" w:space="0" w:color="auto"/>
              <w:bottom w:val="single" w:sz="4" w:space="0" w:color="auto"/>
            </w:tcBorders>
            <w:shd w:val="clear" w:color="auto" w:fill="auto"/>
            <w:noWrap/>
            <w:vAlign w:val="center"/>
            <w:hideMark/>
          </w:tcPr>
          <w:p w14:paraId="03C8DC0A" w14:textId="77777777" w:rsidR="005B6BB0" w:rsidRPr="00D14CD7" w:rsidRDefault="005B6BB0" w:rsidP="00286339">
            <w:pPr>
              <w:spacing w:after="0" w:line="240" w:lineRule="auto"/>
              <w:jc w:val="right"/>
              <w:rPr>
                <w:rFonts w:eastAsia="Times New Roman"/>
                <w:color w:val="000000" w:themeColor="text1"/>
                <w:sz w:val="16"/>
                <w:szCs w:val="16"/>
              </w:rPr>
            </w:pPr>
            <w:proofErr w:type="spellStart"/>
            <w:r w:rsidRPr="00D14CD7">
              <w:rPr>
                <w:rFonts w:eastAsia="Times New Roman"/>
                <w:color w:val="000000" w:themeColor="text1"/>
                <w:sz w:val="16"/>
                <w:szCs w:val="22"/>
              </w:rPr>
              <w:t>na</w:t>
            </w:r>
            <w:proofErr w:type="spellEnd"/>
          </w:p>
        </w:tc>
        <w:tc>
          <w:tcPr>
            <w:tcW w:w="146" w:type="pct"/>
            <w:tcBorders>
              <w:top w:val="single" w:sz="4" w:space="0" w:color="auto"/>
              <w:bottom w:val="single" w:sz="4" w:space="0" w:color="auto"/>
              <w:right w:val="double" w:sz="4" w:space="0" w:color="auto"/>
            </w:tcBorders>
            <w:shd w:val="clear" w:color="auto" w:fill="auto"/>
            <w:noWrap/>
            <w:vAlign w:val="center"/>
            <w:hideMark/>
          </w:tcPr>
          <w:p w14:paraId="4BAE166B" w14:textId="77777777" w:rsidR="005B6BB0" w:rsidRPr="00D14CD7" w:rsidRDefault="005B6BB0" w:rsidP="00286339">
            <w:pPr>
              <w:spacing w:after="0" w:line="240" w:lineRule="auto"/>
              <w:jc w:val="right"/>
              <w:rPr>
                <w:rFonts w:eastAsia="Times New Roman"/>
                <w:color w:val="000000" w:themeColor="text1"/>
                <w:sz w:val="16"/>
                <w:szCs w:val="16"/>
              </w:rPr>
            </w:pPr>
            <w:proofErr w:type="spellStart"/>
            <w:r w:rsidRPr="00D14CD7">
              <w:rPr>
                <w:rFonts w:eastAsia="Times New Roman"/>
                <w:color w:val="000000" w:themeColor="text1"/>
                <w:sz w:val="16"/>
                <w:szCs w:val="22"/>
              </w:rPr>
              <w:t>na</w:t>
            </w:r>
            <w:proofErr w:type="spellEnd"/>
          </w:p>
        </w:tc>
        <w:tc>
          <w:tcPr>
            <w:tcW w:w="184" w:type="pct"/>
            <w:tcBorders>
              <w:left w:val="double" w:sz="4" w:space="0" w:color="auto"/>
            </w:tcBorders>
            <w:shd w:val="clear" w:color="auto" w:fill="auto"/>
            <w:noWrap/>
            <w:vAlign w:val="center"/>
            <w:hideMark/>
          </w:tcPr>
          <w:p w14:paraId="709ED5D8" w14:textId="77777777" w:rsidR="005B6BB0" w:rsidRPr="00D14CD7" w:rsidRDefault="005B6BB0" w:rsidP="00286339">
            <w:pPr>
              <w:spacing w:after="0" w:line="240" w:lineRule="auto"/>
              <w:jc w:val="right"/>
              <w:rPr>
                <w:rFonts w:eastAsia="Times New Roman"/>
                <w:color w:val="000000" w:themeColor="text1"/>
                <w:sz w:val="16"/>
                <w:szCs w:val="16"/>
              </w:rPr>
            </w:pPr>
            <w:r w:rsidRPr="00D14CD7">
              <w:rPr>
                <w:rFonts w:eastAsia="Times New Roman"/>
                <w:color w:val="000000" w:themeColor="text1"/>
                <w:sz w:val="16"/>
                <w:szCs w:val="22"/>
              </w:rPr>
              <w:t>—</w:t>
            </w:r>
          </w:p>
        </w:tc>
        <w:tc>
          <w:tcPr>
            <w:tcW w:w="184" w:type="pct"/>
            <w:tcBorders>
              <w:top w:val="single" w:sz="4" w:space="0" w:color="auto"/>
              <w:bottom w:val="single" w:sz="4" w:space="0" w:color="auto"/>
              <w:right w:val="single" w:sz="8" w:space="0" w:color="auto"/>
            </w:tcBorders>
            <w:shd w:val="clear" w:color="auto" w:fill="auto"/>
            <w:noWrap/>
            <w:vAlign w:val="center"/>
            <w:hideMark/>
          </w:tcPr>
          <w:p w14:paraId="187EAA8B" w14:textId="77777777" w:rsidR="005B6BB0" w:rsidRPr="00D14CD7" w:rsidRDefault="005B6BB0" w:rsidP="00286339">
            <w:pPr>
              <w:spacing w:after="0" w:line="240" w:lineRule="auto"/>
              <w:jc w:val="right"/>
              <w:rPr>
                <w:rFonts w:eastAsia="Times New Roman"/>
                <w:color w:val="000000" w:themeColor="text1"/>
                <w:sz w:val="16"/>
                <w:szCs w:val="16"/>
              </w:rPr>
            </w:pPr>
            <w:r w:rsidRPr="00D14CD7">
              <w:rPr>
                <w:rFonts w:eastAsia="Times New Roman"/>
                <w:color w:val="000000" w:themeColor="text1"/>
                <w:sz w:val="16"/>
                <w:szCs w:val="22"/>
              </w:rPr>
              <w:t>—</w:t>
            </w:r>
          </w:p>
        </w:tc>
        <w:tc>
          <w:tcPr>
            <w:tcW w:w="184" w:type="pct"/>
            <w:tcBorders>
              <w:top w:val="single" w:sz="4" w:space="0" w:color="auto"/>
              <w:left w:val="single" w:sz="8" w:space="0" w:color="auto"/>
              <w:bottom w:val="single" w:sz="4" w:space="0" w:color="auto"/>
            </w:tcBorders>
            <w:shd w:val="clear" w:color="auto" w:fill="auto"/>
            <w:noWrap/>
            <w:vAlign w:val="center"/>
            <w:hideMark/>
          </w:tcPr>
          <w:p w14:paraId="4E615FB3" w14:textId="77777777" w:rsidR="005B6BB0" w:rsidRPr="00D14CD7" w:rsidRDefault="005B6BB0" w:rsidP="00286339">
            <w:pPr>
              <w:spacing w:after="0" w:line="240" w:lineRule="auto"/>
              <w:jc w:val="right"/>
              <w:rPr>
                <w:rFonts w:eastAsia="Times New Roman"/>
                <w:color w:val="000000" w:themeColor="text1"/>
                <w:sz w:val="16"/>
                <w:szCs w:val="16"/>
              </w:rPr>
            </w:pPr>
            <w:r w:rsidRPr="00D14CD7">
              <w:rPr>
                <w:rFonts w:eastAsia="Times New Roman"/>
                <w:color w:val="000000" w:themeColor="text1"/>
                <w:sz w:val="16"/>
                <w:szCs w:val="22"/>
              </w:rPr>
              <w:t>—</w:t>
            </w:r>
          </w:p>
        </w:tc>
        <w:tc>
          <w:tcPr>
            <w:tcW w:w="185" w:type="pct"/>
            <w:tcBorders>
              <w:top w:val="single" w:sz="4" w:space="0" w:color="auto"/>
              <w:bottom w:val="single" w:sz="4" w:space="0" w:color="auto"/>
              <w:right w:val="single" w:sz="8" w:space="0" w:color="auto"/>
            </w:tcBorders>
            <w:shd w:val="clear" w:color="auto" w:fill="auto"/>
            <w:noWrap/>
            <w:vAlign w:val="center"/>
            <w:hideMark/>
          </w:tcPr>
          <w:p w14:paraId="08A141A1" w14:textId="77777777" w:rsidR="005B6BB0" w:rsidRPr="00D14CD7" w:rsidRDefault="005B6BB0" w:rsidP="00286339">
            <w:pPr>
              <w:spacing w:after="0" w:line="240" w:lineRule="auto"/>
              <w:jc w:val="right"/>
              <w:rPr>
                <w:rFonts w:eastAsia="Times New Roman"/>
                <w:color w:val="000000" w:themeColor="text1"/>
                <w:sz w:val="16"/>
                <w:szCs w:val="16"/>
              </w:rPr>
            </w:pPr>
            <w:r w:rsidRPr="00D14CD7">
              <w:rPr>
                <w:rFonts w:eastAsia="Times New Roman"/>
                <w:color w:val="000000" w:themeColor="text1"/>
                <w:sz w:val="16"/>
                <w:szCs w:val="22"/>
              </w:rPr>
              <w:t>—</w:t>
            </w:r>
          </w:p>
        </w:tc>
        <w:tc>
          <w:tcPr>
            <w:tcW w:w="185" w:type="pct"/>
            <w:tcBorders>
              <w:top w:val="single" w:sz="4" w:space="0" w:color="auto"/>
              <w:left w:val="single" w:sz="8" w:space="0" w:color="auto"/>
              <w:bottom w:val="single" w:sz="4" w:space="0" w:color="auto"/>
            </w:tcBorders>
            <w:shd w:val="clear" w:color="auto" w:fill="auto"/>
            <w:noWrap/>
            <w:vAlign w:val="center"/>
            <w:hideMark/>
          </w:tcPr>
          <w:p w14:paraId="2D5F6AAC" w14:textId="77777777" w:rsidR="005B6BB0" w:rsidRPr="00D14CD7" w:rsidRDefault="005B6BB0" w:rsidP="00286339">
            <w:pPr>
              <w:spacing w:after="0" w:line="240" w:lineRule="auto"/>
              <w:jc w:val="right"/>
              <w:rPr>
                <w:rFonts w:eastAsia="Times New Roman"/>
                <w:color w:val="000000" w:themeColor="text1"/>
                <w:sz w:val="16"/>
                <w:szCs w:val="16"/>
              </w:rPr>
            </w:pPr>
            <w:r w:rsidRPr="00D14CD7">
              <w:rPr>
                <w:rFonts w:eastAsia="Times New Roman"/>
                <w:color w:val="000000" w:themeColor="text1"/>
                <w:sz w:val="16"/>
                <w:szCs w:val="22"/>
              </w:rPr>
              <w:t>—</w:t>
            </w:r>
          </w:p>
        </w:tc>
        <w:tc>
          <w:tcPr>
            <w:tcW w:w="185" w:type="pct"/>
            <w:tcBorders>
              <w:top w:val="single" w:sz="4" w:space="0" w:color="auto"/>
              <w:bottom w:val="single" w:sz="4" w:space="0" w:color="auto"/>
              <w:right w:val="single" w:sz="8" w:space="0" w:color="auto"/>
            </w:tcBorders>
            <w:shd w:val="clear" w:color="auto" w:fill="auto"/>
            <w:noWrap/>
            <w:vAlign w:val="center"/>
            <w:hideMark/>
          </w:tcPr>
          <w:p w14:paraId="408C1044" w14:textId="77777777" w:rsidR="005B6BB0" w:rsidRPr="00D14CD7" w:rsidRDefault="005B6BB0" w:rsidP="00286339">
            <w:pPr>
              <w:spacing w:after="0" w:line="240" w:lineRule="auto"/>
              <w:jc w:val="right"/>
              <w:rPr>
                <w:rFonts w:eastAsia="Times New Roman"/>
                <w:color w:val="000000" w:themeColor="text1"/>
                <w:sz w:val="16"/>
                <w:szCs w:val="16"/>
              </w:rPr>
            </w:pPr>
            <w:r w:rsidRPr="00D14CD7">
              <w:rPr>
                <w:rFonts w:eastAsia="Times New Roman"/>
                <w:color w:val="000000" w:themeColor="text1"/>
                <w:sz w:val="16"/>
                <w:szCs w:val="22"/>
              </w:rPr>
              <w:t>—</w:t>
            </w:r>
          </w:p>
        </w:tc>
        <w:tc>
          <w:tcPr>
            <w:tcW w:w="156" w:type="pct"/>
            <w:tcBorders>
              <w:left w:val="single" w:sz="8" w:space="0" w:color="auto"/>
            </w:tcBorders>
            <w:shd w:val="clear" w:color="auto" w:fill="auto"/>
            <w:noWrap/>
            <w:vAlign w:val="center"/>
            <w:hideMark/>
          </w:tcPr>
          <w:p w14:paraId="5858DAFE" w14:textId="77777777" w:rsidR="005B6BB0" w:rsidRPr="00D14CD7" w:rsidRDefault="005B6BB0" w:rsidP="00286339">
            <w:pPr>
              <w:spacing w:after="0" w:line="240" w:lineRule="auto"/>
              <w:jc w:val="right"/>
              <w:rPr>
                <w:rFonts w:eastAsia="Times New Roman"/>
                <w:color w:val="000000" w:themeColor="text1"/>
                <w:sz w:val="16"/>
                <w:szCs w:val="16"/>
              </w:rPr>
            </w:pPr>
            <w:proofErr w:type="spellStart"/>
            <w:r w:rsidRPr="00D14CD7">
              <w:rPr>
                <w:rFonts w:eastAsia="Times New Roman"/>
                <w:color w:val="000000" w:themeColor="text1"/>
                <w:sz w:val="16"/>
                <w:szCs w:val="22"/>
              </w:rPr>
              <w:t>na</w:t>
            </w:r>
            <w:proofErr w:type="spellEnd"/>
          </w:p>
        </w:tc>
        <w:tc>
          <w:tcPr>
            <w:tcW w:w="157" w:type="pct"/>
            <w:tcBorders>
              <w:right w:val="double" w:sz="4" w:space="0" w:color="auto"/>
            </w:tcBorders>
            <w:shd w:val="clear" w:color="auto" w:fill="auto"/>
            <w:noWrap/>
            <w:vAlign w:val="center"/>
            <w:hideMark/>
          </w:tcPr>
          <w:p w14:paraId="63D61764" w14:textId="77777777" w:rsidR="005B6BB0" w:rsidRPr="00D14CD7" w:rsidRDefault="005B6BB0" w:rsidP="00286339">
            <w:pPr>
              <w:spacing w:after="0" w:line="240" w:lineRule="auto"/>
              <w:jc w:val="right"/>
              <w:rPr>
                <w:rFonts w:eastAsia="Times New Roman"/>
                <w:color w:val="000000" w:themeColor="text1"/>
                <w:sz w:val="16"/>
                <w:szCs w:val="16"/>
              </w:rPr>
            </w:pPr>
            <w:proofErr w:type="spellStart"/>
            <w:r w:rsidRPr="00D14CD7">
              <w:rPr>
                <w:rFonts w:eastAsia="Times New Roman"/>
                <w:color w:val="000000" w:themeColor="text1"/>
                <w:sz w:val="16"/>
                <w:szCs w:val="22"/>
              </w:rPr>
              <w:t>na</w:t>
            </w:r>
            <w:proofErr w:type="spellEnd"/>
          </w:p>
        </w:tc>
        <w:tc>
          <w:tcPr>
            <w:tcW w:w="187" w:type="pct"/>
            <w:tcBorders>
              <w:top w:val="single" w:sz="4" w:space="0" w:color="auto"/>
              <w:left w:val="double" w:sz="4" w:space="0" w:color="auto"/>
              <w:bottom w:val="single" w:sz="4" w:space="0" w:color="auto"/>
            </w:tcBorders>
            <w:shd w:val="clear" w:color="auto" w:fill="auto"/>
            <w:noWrap/>
            <w:vAlign w:val="center"/>
            <w:hideMark/>
          </w:tcPr>
          <w:p w14:paraId="274C3E5B" w14:textId="77777777" w:rsidR="005B6BB0" w:rsidRPr="00D14CD7" w:rsidRDefault="005B6BB0" w:rsidP="00286339">
            <w:pPr>
              <w:spacing w:after="0" w:line="240" w:lineRule="auto"/>
              <w:jc w:val="right"/>
              <w:rPr>
                <w:rFonts w:eastAsia="Times New Roman"/>
                <w:color w:val="000000" w:themeColor="text1"/>
                <w:sz w:val="16"/>
                <w:szCs w:val="16"/>
              </w:rPr>
            </w:pPr>
            <w:r w:rsidRPr="00D14CD7">
              <w:rPr>
                <w:rFonts w:eastAsia="Times New Roman"/>
                <w:color w:val="000000" w:themeColor="text1"/>
                <w:sz w:val="16"/>
                <w:szCs w:val="22"/>
              </w:rPr>
              <w:t>—</w:t>
            </w:r>
          </w:p>
        </w:tc>
        <w:tc>
          <w:tcPr>
            <w:tcW w:w="183" w:type="pct"/>
            <w:tcBorders>
              <w:top w:val="single" w:sz="4" w:space="0" w:color="auto"/>
              <w:bottom w:val="single" w:sz="4" w:space="0" w:color="auto"/>
            </w:tcBorders>
            <w:shd w:val="clear" w:color="auto" w:fill="auto"/>
            <w:noWrap/>
            <w:vAlign w:val="center"/>
            <w:hideMark/>
          </w:tcPr>
          <w:p w14:paraId="3300F988" w14:textId="77777777" w:rsidR="005B6BB0" w:rsidRPr="00D14CD7" w:rsidRDefault="005B6BB0" w:rsidP="00286339">
            <w:pPr>
              <w:spacing w:after="0" w:line="240" w:lineRule="auto"/>
              <w:jc w:val="right"/>
              <w:rPr>
                <w:rFonts w:eastAsia="Times New Roman"/>
                <w:color w:val="000000" w:themeColor="text1"/>
                <w:sz w:val="16"/>
                <w:szCs w:val="16"/>
              </w:rPr>
            </w:pPr>
            <w:r w:rsidRPr="00D14CD7">
              <w:rPr>
                <w:rFonts w:eastAsia="Times New Roman"/>
                <w:color w:val="000000" w:themeColor="text1"/>
                <w:sz w:val="16"/>
                <w:szCs w:val="22"/>
              </w:rPr>
              <w:t>—</w:t>
            </w:r>
          </w:p>
        </w:tc>
      </w:tr>
      <w:tr w:rsidR="00D14CD7" w:rsidRPr="00D14CD7" w14:paraId="13338109" w14:textId="77777777" w:rsidTr="00286339">
        <w:trPr>
          <w:trHeight w:val="72"/>
        </w:trPr>
        <w:tc>
          <w:tcPr>
            <w:tcW w:w="1709" w:type="pct"/>
            <w:tcBorders>
              <w:top w:val="single" w:sz="4" w:space="0" w:color="auto"/>
              <w:bottom w:val="single" w:sz="4" w:space="0" w:color="auto"/>
              <w:right w:val="double" w:sz="4" w:space="0" w:color="auto"/>
            </w:tcBorders>
            <w:shd w:val="clear" w:color="auto" w:fill="auto"/>
            <w:noWrap/>
            <w:vAlign w:val="center"/>
            <w:hideMark/>
          </w:tcPr>
          <w:p w14:paraId="6FFBED20" w14:textId="77777777" w:rsidR="005B6BB0" w:rsidRPr="00D14CD7" w:rsidRDefault="005B6BB0" w:rsidP="00286339">
            <w:pPr>
              <w:spacing w:after="0" w:line="240" w:lineRule="auto"/>
              <w:ind w:firstLine="140"/>
              <w:jc w:val="left"/>
              <w:rPr>
                <w:rFonts w:eastAsia="Times New Roman"/>
                <w:color w:val="000000" w:themeColor="text1"/>
                <w:sz w:val="16"/>
                <w:szCs w:val="16"/>
              </w:rPr>
            </w:pPr>
            <w:r w:rsidRPr="00D14CD7">
              <w:rPr>
                <w:rFonts w:eastAsia="Times New Roman"/>
                <w:color w:val="000000" w:themeColor="text1"/>
                <w:sz w:val="16"/>
                <w:szCs w:val="22"/>
              </w:rPr>
              <w:t>49 to 64 years old</w:t>
            </w:r>
          </w:p>
        </w:tc>
        <w:tc>
          <w:tcPr>
            <w:tcW w:w="227" w:type="pct"/>
            <w:tcBorders>
              <w:top w:val="single" w:sz="4" w:space="0" w:color="auto"/>
              <w:left w:val="double" w:sz="4" w:space="0" w:color="auto"/>
              <w:bottom w:val="single" w:sz="4" w:space="0" w:color="auto"/>
            </w:tcBorders>
            <w:shd w:val="clear" w:color="auto" w:fill="auto"/>
            <w:noWrap/>
            <w:vAlign w:val="center"/>
            <w:hideMark/>
          </w:tcPr>
          <w:p w14:paraId="2EC4D0BF" w14:textId="77777777" w:rsidR="005B6BB0" w:rsidRPr="00D14CD7" w:rsidRDefault="005B6BB0" w:rsidP="00286339">
            <w:pPr>
              <w:spacing w:after="0" w:line="240" w:lineRule="auto"/>
              <w:jc w:val="right"/>
              <w:rPr>
                <w:rFonts w:eastAsia="Times New Roman"/>
                <w:color w:val="000000" w:themeColor="text1"/>
                <w:sz w:val="16"/>
                <w:szCs w:val="16"/>
              </w:rPr>
            </w:pPr>
            <w:r w:rsidRPr="00D14CD7">
              <w:rPr>
                <w:rFonts w:eastAsia="Times New Roman"/>
                <w:color w:val="000000" w:themeColor="text1"/>
                <w:sz w:val="16"/>
                <w:szCs w:val="16"/>
              </w:rPr>
              <w:t>-0.085</w:t>
            </w:r>
          </w:p>
        </w:tc>
        <w:tc>
          <w:tcPr>
            <w:tcW w:w="199" w:type="pct"/>
            <w:tcBorders>
              <w:top w:val="single" w:sz="4" w:space="0" w:color="auto"/>
              <w:bottom w:val="single" w:sz="4" w:space="0" w:color="auto"/>
              <w:right w:val="single" w:sz="8" w:space="0" w:color="auto"/>
            </w:tcBorders>
            <w:shd w:val="clear" w:color="auto" w:fill="auto"/>
            <w:noWrap/>
            <w:vAlign w:val="center"/>
            <w:hideMark/>
          </w:tcPr>
          <w:p w14:paraId="4F890D6C" w14:textId="77777777" w:rsidR="005B6BB0" w:rsidRPr="00D14CD7" w:rsidRDefault="005B6BB0" w:rsidP="00286339">
            <w:pPr>
              <w:spacing w:after="0" w:line="240" w:lineRule="auto"/>
              <w:jc w:val="right"/>
              <w:rPr>
                <w:rFonts w:eastAsia="Times New Roman"/>
                <w:color w:val="000000" w:themeColor="text1"/>
                <w:sz w:val="16"/>
                <w:szCs w:val="16"/>
              </w:rPr>
            </w:pPr>
            <w:r w:rsidRPr="00D14CD7">
              <w:rPr>
                <w:rFonts w:eastAsia="Times New Roman"/>
                <w:color w:val="000000" w:themeColor="text1"/>
                <w:sz w:val="16"/>
                <w:szCs w:val="16"/>
              </w:rPr>
              <w:t>-2.00</w:t>
            </w:r>
          </w:p>
        </w:tc>
        <w:tc>
          <w:tcPr>
            <w:tcW w:w="184" w:type="pct"/>
            <w:tcBorders>
              <w:top w:val="single" w:sz="4" w:space="0" w:color="auto"/>
              <w:left w:val="single" w:sz="8" w:space="0" w:color="auto"/>
              <w:bottom w:val="single" w:sz="4" w:space="0" w:color="auto"/>
            </w:tcBorders>
            <w:shd w:val="clear" w:color="auto" w:fill="auto"/>
            <w:noWrap/>
            <w:vAlign w:val="center"/>
            <w:hideMark/>
          </w:tcPr>
          <w:p w14:paraId="57D4C080" w14:textId="77777777" w:rsidR="005B6BB0" w:rsidRPr="00D14CD7" w:rsidRDefault="005B6BB0" w:rsidP="00286339">
            <w:pPr>
              <w:spacing w:after="0" w:line="240" w:lineRule="auto"/>
              <w:jc w:val="right"/>
              <w:rPr>
                <w:rFonts w:eastAsia="Times New Roman"/>
                <w:color w:val="000000" w:themeColor="text1"/>
                <w:sz w:val="16"/>
                <w:szCs w:val="16"/>
              </w:rPr>
            </w:pPr>
            <w:r w:rsidRPr="00D14CD7">
              <w:rPr>
                <w:rFonts w:eastAsia="Times New Roman"/>
                <w:color w:val="000000" w:themeColor="text1"/>
                <w:sz w:val="16"/>
                <w:szCs w:val="16"/>
              </w:rPr>
              <w:t>-0.163</w:t>
            </w:r>
          </w:p>
        </w:tc>
        <w:tc>
          <w:tcPr>
            <w:tcW w:w="185" w:type="pct"/>
            <w:tcBorders>
              <w:top w:val="single" w:sz="4" w:space="0" w:color="auto"/>
              <w:bottom w:val="single" w:sz="4" w:space="0" w:color="auto"/>
              <w:right w:val="single" w:sz="8" w:space="0" w:color="auto"/>
            </w:tcBorders>
            <w:shd w:val="clear" w:color="auto" w:fill="auto"/>
            <w:noWrap/>
            <w:vAlign w:val="center"/>
            <w:hideMark/>
          </w:tcPr>
          <w:p w14:paraId="17E9C74B" w14:textId="77777777" w:rsidR="005B6BB0" w:rsidRPr="00D14CD7" w:rsidRDefault="005B6BB0" w:rsidP="00286339">
            <w:pPr>
              <w:spacing w:after="0" w:line="240" w:lineRule="auto"/>
              <w:jc w:val="right"/>
              <w:rPr>
                <w:rFonts w:eastAsia="Times New Roman"/>
                <w:color w:val="000000" w:themeColor="text1"/>
                <w:sz w:val="16"/>
                <w:szCs w:val="16"/>
              </w:rPr>
            </w:pPr>
            <w:r w:rsidRPr="00D14CD7">
              <w:rPr>
                <w:rFonts w:eastAsia="Times New Roman"/>
                <w:color w:val="000000" w:themeColor="text1"/>
                <w:sz w:val="16"/>
                <w:szCs w:val="16"/>
              </w:rPr>
              <w:t>-1.77</w:t>
            </w:r>
          </w:p>
        </w:tc>
        <w:tc>
          <w:tcPr>
            <w:tcW w:w="184" w:type="pct"/>
            <w:tcBorders>
              <w:top w:val="single" w:sz="4" w:space="0" w:color="auto"/>
              <w:left w:val="single" w:sz="8" w:space="0" w:color="auto"/>
              <w:bottom w:val="single" w:sz="4" w:space="0" w:color="auto"/>
            </w:tcBorders>
            <w:shd w:val="clear" w:color="auto" w:fill="auto"/>
            <w:noWrap/>
            <w:vAlign w:val="center"/>
            <w:hideMark/>
          </w:tcPr>
          <w:p w14:paraId="7E8F4516" w14:textId="77777777" w:rsidR="005B6BB0" w:rsidRPr="00D14CD7" w:rsidRDefault="005B6BB0" w:rsidP="00286339">
            <w:pPr>
              <w:spacing w:after="0" w:line="240" w:lineRule="auto"/>
              <w:jc w:val="right"/>
              <w:rPr>
                <w:rFonts w:eastAsia="Times New Roman"/>
                <w:color w:val="000000" w:themeColor="text1"/>
                <w:sz w:val="16"/>
                <w:szCs w:val="16"/>
              </w:rPr>
            </w:pPr>
            <w:r w:rsidRPr="00D14CD7">
              <w:rPr>
                <w:rFonts w:eastAsia="Times New Roman"/>
                <w:color w:val="000000" w:themeColor="text1"/>
                <w:sz w:val="16"/>
                <w:szCs w:val="22"/>
              </w:rPr>
              <w:t>—</w:t>
            </w:r>
          </w:p>
        </w:tc>
        <w:tc>
          <w:tcPr>
            <w:tcW w:w="188" w:type="pct"/>
            <w:tcBorders>
              <w:top w:val="single" w:sz="4" w:space="0" w:color="auto"/>
              <w:bottom w:val="single" w:sz="4" w:space="0" w:color="auto"/>
              <w:right w:val="single" w:sz="8" w:space="0" w:color="auto"/>
            </w:tcBorders>
            <w:shd w:val="clear" w:color="auto" w:fill="auto"/>
            <w:noWrap/>
            <w:vAlign w:val="center"/>
            <w:hideMark/>
          </w:tcPr>
          <w:p w14:paraId="595A49B6" w14:textId="77777777" w:rsidR="005B6BB0" w:rsidRPr="00D14CD7" w:rsidRDefault="005B6BB0" w:rsidP="00286339">
            <w:pPr>
              <w:spacing w:after="0" w:line="240" w:lineRule="auto"/>
              <w:jc w:val="right"/>
              <w:rPr>
                <w:rFonts w:eastAsia="Times New Roman"/>
                <w:color w:val="000000" w:themeColor="text1"/>
                <w:sz w:val="16"/>
                <w:szCs w:val="16"/>
              </w:rPr>
            </w:pPr>
            <w:r w:rsidRPr="00D14CD7">
              <w:rPr>
                <w:rFonts w:eastAsia="Times New Roman"/>
                <w:color w:val="000000" w:themeColor="text1"/>
                <w:sz w:val="16"/>
                <w:szCs w:val="22"/>
              </w:rPr>
              <w:t>—</w:t>
            </w:r>
          </w:p>
        </w:tc>
        <w:tc>
          <w:tcPr>
            <w:tcW w:w="188" w:type="pct"/>
            <w:tcBorders>
              <w:top w:val="single" w:sz="4" w:space="0" w:color="auto"/>
              <w:left w:val="single" w:sz="8" w:space="0" w:color="auto"/>
              <w:bottom w:val="single" w:sz="4" w:space="0" w:color="auto"/>
            </w:tcBorders>
            <w:shd w:val="clear" w:color="auto" w:fill="auto"/>
            <w:noWrap/>
            <w:vAlign w:val="center"/>
            <w:hideMark/>
          </w:tcPr>
          <w:p w14:paraId="77CABA88" w14:textId="77777777" w:rsidR="005B6BB0" w:rsidRPr="00D14CD7" w:rsidRDefault="005B6BB0" w:rsidP="00286339">
            <w:pPr>
              <w:spacing w:after="0" w:line="240" w:lineRule="auto"/>
              <w:jc w:val="right"/>
              <w:rPr>
                <w:rFonts w:eastAsia="Times New Roman"/>
                <w:color w:val="000000" w:themeColor="text1"/>
                <w:sz w:val="16"/>
                <w:szCs w:val="16"/>
              </w:rPr>
            </w:pPr>
            <w:proofErr w:type="spellStart"/>
            <w:r w:rsidRPr="00D14CD7">
              <w:rPr>
                <w:rFonts w:eastAsia="Times New Roman"/>
                <w:color w:val="000000" w:themeColor="text1"/>
                <w:sz w:val="16"/>
                <w:szCs w:val="22"/>
              </w:rPr>
              <w:t>na</w:t>
            </w:r>
            <w:proofErr w:type="spellEnd"/>
          </w:p>
        </w:tc>
        <w:tc>
          <w:tcPr>
            <w:tcW w:w="146" w:type="pct"/>
            <w:tcBorders>
              <w:top w:val="single" w:sz="4" w:space="0" w:color="auto"/>
              <w:bottom w:val="single" w:sz="4" w:space="0" w:color="auto"/>
              <w:right w:val="double" w:sz="4" w:space="0" w:color="auto"/>
            </w:tcBorders>
            <w:shd w:val="clear" w:color="auto" w:fill="auto"/>
            <w:noWrap/>
            <w:vAlign w:val="center"/>
            <w:hideMark/>
          </w:tcPr>
          <w:p w14:paraId="3762F76E" w14:textId="77777777" w:rsidR="005B6BB0" w:rsidRPr="00D14CD7" w:rsidRDefault="005B6BB0" w:rsidP="00286339">
            <w:pPr>
              <w:spacing w:after="0" w:line="240" w:lineRule="auto"/>
              <w:jc w:val="right"/>
              <w:rPr>
                <w:rFonts w:eastAsia="Times New Roman"/>
                <w:color w:val="000000" w:themeColor="text1"/>
                <w:sz w:val="16"/>
                <w:szCs w:val="16"/>
              </w:rPr>
            </w:pPr>
            <w:proofErr w:type="spellStart"/>
            <w:r w:rsidRPr="00D14CD7">
              <w:rPr>
                <w:rFonts w:eastAsia="Times New Roman"/>
                <w:color w:val="000000" w:themeColor="text1"/>
                <w:sz w:val="16"/>
                <w:szCs w:val="22"/>
              </w:rPr>
              <w:t>na</w:t>
            </w:r>
            <w:proofErr w:type="spellEnd"/>
          </w:p>
        </w:tc>
        <w:tc>
          <w:tcPr>
            <w:tcW w:w="184" w:type="pct"/>
            <w:tcBorders>
              <w:left w:val="double" w:sz="4" w:space="0" w:color="auto"/>
            </w:tcBorders>
            <w:shd w:val="clear" w:color="auto" w:fill="auto"/>
            <w:noWrap/>
            <w:vAlign w:val="center"/>
            <w:hideMark/>
          </w:tcPr>
          <w:p w14:paraId="6ABB12E5" w14:textId="77777777" w:rsidR="005B6BB0" w:rsidRPr="00D14CD7" w:rsidRDefault="005B6BB0" w:rsidP="00286339">
            <w:pPr>
              <w:spacing w:after="0" w:line="240" w:lineRule="auto"/>
              <w:jc w:val="right"/>
              <w:rPr>
                <w:rFonts w:eastAsia="Times New Roman"/>
                <w:color w:val="000000" w:themeColor="text1"/>
                <w:sz w:val="16"/>
                <w:szCs w:val="16"/>
              </w:rPr>
            </w:pPr>
            <w:r w:rsidRPr="00D14CD7">
              <w:rPr>
                <w:rFonts w:eastAsia="Times New Roman"/>
                <w:color w:val="000000" w:themeColor="text1"/>
                <w:sz w:val="16"/>
                <w:szCs w:val="22"/>
              </w:rPr>
              <w:t>—</w:t>
            </w:r>
          </w:p>
        </w:tc>
        <w:tc>
          <w:tcPr>
            <w:tcW w:w="184" w:type="pct"/>
            <w:tcBorders>
              <w:top w:val="single" w:sz="4" w:space="0" w:color="auto"/>
              <w:bottom w:val="single" w:sz="4" w:space="0" w:color="auto"/>
              <w:right w:val="single" w:sz="8" w:space="0" w:color="auto"/>
            </w:tcBorders>
            <w:shd w:val="clear" w:color="auto" w:fill="auto"/>
            <w:noWrap/>
            <w:vAlign w:val="center"/>
            <w:hideMark/>
          </w:tcPr>
          <w:p w14:paraId="25D0D686" w14:textId="77777777" w:rsidR="005B6BB0" w:rsidRPr="00D14CD7" w:rsidRDefault="005B6BB0" w:rsidP="00286339">
            <w:pPr>
              <w:spacing w:after="0" w:line="240" w:lineRule="auto"/>
              <w:jc w:val="right"/>
              <w:rPr>
                <w:rFonts w:eastAsia="Times New Roman"/>
                <w:color w:val="000000" w:themeColor="text1"/>
                <w:sz w:val="16"/>
                <w:szCs w:val="16"/>
              </w:rPr>
            </w:pPr>
            <w:r w:rsidRPr="00D14CD7">
              <w:rPr>
                <w:rFonts w:eastAsia="Times New Roman"/>
                <w:color w:val="000000" w:themeColor="text1"/>
                <w:sz w:val="16"/>
                <w:szCs w:val="22"/>
              </w:rPr>
              <w:t>—</w:t>
            </w:r>
          </w:p>
        </w:tc>
        <w:tc>
          <w:tcPr>
            <w:tcW w:w="184" w:type="pct"/>
            <w:tcBorders>
              <w:top w:val="single" w:sz="4" w:space="0" w:color="auto"/>
              <w:left w:val="single" w:sz="8" w:space="0" w:color="auto"/>
              <w:bottom w:val="single" w:sz="4" w:space="0" w:color="auto"/>
            </w:tcBorders>
            <w:shd w:val="clear" w:color="auto" w:fill="auto"/>
            <w:noWrap/>
            <w:vAlign w:val="center"/>
            <w:hideMark/>
          </w:tcPr>
          <w:p w14:paraId="57C2ABC5" w14:textId="77777777" w:rsidR="005B6BB0" w:rsidRPr="00D14CD7" w:rsidRDefault="005B6BB0" w:rsidP="00286339">
            <w:pPr>
              <w:spacing w:after="0" w:line="240" w:lineRule="auto"/>
              <w:jc w:val="right"/>
              <w:rPr>
                <w:rFonts w:eastAsia="Times New Roman"/>
                <w:color w:val="000000" w:themeColor="text1"/>
                <w:sz w:val="16"/>
                <w:szCs w:val="16"/>
              </w:rPr>
            </w:pPr>
            <w:r w:rsidRPr="00D14CD7">
              <w:rPr>
                <w:rFonts w:eastAsia="Times New Roman"/>
                <w:color w:val="000000" w:themeColor="text1"/>
                <w:sz w:val="16"/>
                <w:szCs w:val="22"/>
              </w:rPr>
              <w:t>—</w:t>
            </w:r>
          </w:p>
        </w:tc>
        <w:tc>
          <w:tcPr>
            <w:tcW w:w="185" w:type="pct"/>
            <w:tcBorders>
              <w:top w:val="single" w:sz="4" w:space="0" w:color="auto"/>
              <w:bottom w:val="single" w:sz="4" w:space="0" w:color="auto"/>
              <w:right w:val="single" w:sz="8" w:space="0" w:color="auto"/>
            </w:tcBorders>
            <w:shd w:val="clear" w:color="auto" w:fill="auto"/>
            <w:noWrap/>
            <w:vAlign w:val="center"/>
            <w:hideMark/>
          </w:tcPr>
          <w:p w14:paraId="62447D48" w14:textId="77777777" w:rsidR="005B6BB0" w:rsidRPr="00D14CD7" w:rsidRDefault="005B6BB0" w:rsidP="00286339">
            <w:pPr>
              <w:spacing w:after="0" w:line="240" w:lineRule="auto"/>
              <w:jc w:val="right"/>
              <w:rPr>
                <w:rFonts w:eastAsia="Times New Roman"/>
                <w:color w:val="000000" w:themeColor="text1"/>
                <w:sz w:val="16"/>
                <w:szCs w:val="16"/>
              </w:rPr>
            </w:pPr>
            <w:r w:rsidRPr="00D14CD7">
              <w:rPr>
                <w:rFonts w:eastAsia="Times New Roman"/>
                <w:color w:val="000000" w:themeColor="text1"/>
                <w:sz w:val="16"/>
                <w:szCs w:val="22"/>
              </w:rPr>
              <w:t>—</w:t>
            </w:r>
          </w:p>
        </w:tc>
        <w:tc>
          <w:tcPr>
            <w:tcW w:w="185" w:type="pct"/>
            <w:tcBorders>
              <w:top w:val="single" w:sz="4" w:space="0" w:color="auto"/>
              <w:left w:val="single" w:sz="8" w:space="0" w:color="auto"/>
              <w:bottom w:val="single" w:sz="4" w:space="0" w:color="auto"/>
            </w:tcBorders>
            <w:shd w:val="clear" w:color="auto" w:fill="auto"/>
            <w:noWrap/>
            <w:vAlign w:val="center"/>
            <w:hideMark/>
          </w:tcPr>
          <w:p w14:paraId="78870F64" w14:textId="77777777" w:rsidR="005B6BB0" w:rsidRPr="00D14CD7" w:rsidRDefault="005B6BB0" w:rsidP="00286339">
            <w:pPr>
              <w:spacing w:after="0" w:line="240" w:lineRule="auto"/>
              <w:jc w:val="right"/>
              <w:rPr>
                <w:rFonts w:eastAsia="Times New Roman"/>
                <w:color w:val="000000" w:themeColor="text1"/>
                <w:sz w:val="16"/>
                <w:szCs w:val="16"/>
              </w:rPr>
            </w:pPr>
            <w:r w:rsidRPr="00D14CD7">
              <w:rPr>
                <w:rFonts w:eastAsia="Times New Roman"/>
                <w:color w:val="000000" w:themeColor="text1"/>
                <w:sz w:val="16"/>
                <w:szCs w:val="16"/>
              </w:rPr>
              <w:t>0.635</w:t>
            </w:r>
          </w:p>
        </w:tc>
        <w:tc>
          <w:tcPr>
            <w:tcW w:w="185" w:type="pct"/>
            <w:tcBorders>
              <w:top w:val="single" w:sz="4" w:space="0" w:color="auto"/>
              <w:bottom w:val="single" w:sz="4" w:space="0" w:color="auto"/>
              <w:right w:val="single" w:sz="8" w:space="0" w:color="auto"/>
            </w:tcBorders>
            <w:shd w:val="clear" w:color="auto" w:fill="auto"/>
            <w:noWrap/>
            <w:vAlign w:val="center"/>
            <w:hideMark/>
          </w:tcPr>
          <w:p w14:paraId="7066602B" w14:textId="77777777" w:rsidR="005B6BB0" w:rsidRPr="00D14CD7" w:rsidRDefault="005B6BB0" w:rsidP="00286339">
            <w:pPr>
              <w:spacing w:after="0" w:line="240" w:lineRule="auto"/>
              <w:jc w:val="right"/>
              <w:rPr>
                <w:rFonts w:eastAsia="Times New Roman"/>
                <w:color w:val="000000" w:themeColor="text1"/>
                <w:sz w:val="16"/>
                <w:szCs w:val="16"/>
              </w:rPr>
            </w:pPr>
            <w:r w:rsidRPr="00D14CD7">
              <w:rPr>
                <w:rFonts w:eastAsia="Times New Roman"/>
                <w:color w:val="000000" w:themeColor="text1"/>
                <w:sz w:val="16"/>
                <w:szCs w:val="16"/>
              </w:rPr>
              <w:t>4.47</w:t>
            </w:r>
          </w:p>
        </w:tc>
        <w:tc>
          <w:tcPr>
            <w:tcW w:w="156" w:type="pct"/>
            <w:tcBorders>
              <w:left w:val="single" w:sz="8" w:space="0" w:color="auto"/>
            </w:tcBorders>
            <w:shd w:val="clear" w:color="auto" w:fill="auto"/>
            <w:noWrap/>
            <w:vAlign w:val="center"/>
            <w:hideMark/>
          </w:tcPr>
          <w:p w14:paraId="228440BE" w14:textId="77777777" w:rsidR="005B6BB0" w:rsidRPr="00D14CD7" w:rsidRDefault="005B6BB0" w:rsidP="00286339">
            <w:pPr>
              <w:spacing w:after="0" w:line="240" w:lineRule="auto"/>
              <w:jc w:val="right"/>
              <w:rPr>
                <w:rFonts w:eastAsia="Times New Roman"/>
                <w:color w:val="000000" w:themeColor="text1"/>
                <w:sz w:val="16"/>
                <w:szCs w:val="16"/>
              </w:rPr>
            </w:pPr>
            <w:proofErr w:type="spellStart"/>
            <w:r w:rsidRPr="00D14CD7">
              <w:rPr>
                <w:rFonts w:eastAsia="Times New Roman"/>
                <w:color w:val="000000" w:themeColor="text1"/>
                <w:sz w:val="16"/>
                <w:szCs w:val="22"/>
              </w:rPr>
              <w:t>na</w:t>
            </w:r>
            <w:proofErr w:type="spellEnd"/>
          </w:p>
        </w:tc>
        <w:tc>
          <w:tcPr>
            <w:tcW w:w="157" w:type="pct"/>
            <w:tcBorders>
              <w:right w:val="double" w:sz="4" w:space="0" w:color="auto"/>
            </w:tcBorders>
            <w:shd w:val="clear" w:color="auto" w:fill="auto"/>
            <w:noWrap/>
            <w:vAlign w:val="center"/>
            <w:hideMark/>
          </w:tcPr>
          <w:p w14:paraId="46B47AE3" w14:textId="77777777" w:rsidR="005B6BB0" w:rsidRPr="00D14CD7" w:rsidRDefault="005B6BB0" w:rsidP="00286339">
            <w:pPr>
              <w:spacing w:after="0" w:line="240" w:lineRule="auto"/>
              <w:jc w:val="right"/>
              <w:rPr>
                <w:rFonts w:eastAsia="Times New Roman"/>
                <w:color w:val="000000" w:themeColor="text1"/>
                <w:sz w:val="16"/>
                <w:szCs w:val="16"/>
              </w:rPr>
            </w:pPr>
            <w:proofErr w:type="spellStart"/>
            <w:r w:rsidRPr="00D14CD7">
              <w:rPr>
                <w:rFonts w:eastAsia="Times New Roman"/>
                <w:color w:val="000000" w:themeColor="text1"/>
                <w:sz w:val="16"/>
                <w:szCs w:val="22"/>
              </w:rPr>
              <w:t>na</w:t>
            </w:r>
            <w:proofErr w:type="spellEnd"/>
          </w:p>
        </w:tc>
        <w:tc>
          <w:tcPr>
            <w:tcW w:w="187" w:type="pct"/>
            <w:tcBorders>
              <w:top w:val="single" w:sz="4" w:space="0" w:color="auto"/>
              <w:left w:val="double" w:sz="4" w:space="0" w:color="auto"/>
              <w:bottom w:val="single" w:sz="4" w:space="0" w:color="auto"/>
            </w:tcBorders>
            <w:shd w:val="clear" w:color="auto" w:fill="auto"/>
            <w:noWrap/>
            <w:vAlign w:val="center"/>
            <w:hideMark/>
          </w:tcPr>
          <w:p w14:paraId="14DB2358" w14:textId="77777777" w:rsidR="005B6BB0" w:rsidRPr="00D14CD7" w:rsidRDefault="005B6BB0" w:rsidP="00286339">
            <w:pPr>
              <w:spacing w:after="0" w:line="240" w:lineRule="auto"/>
              <w:jc w:val="right"/>
              <w:rPr>
                <w:rFonts w:eastAsia="Times New Roman"/>
                <w:color w:val="000000" w:themeColor="text1"/>
                <w:sz w:val="16"/>
                <w:szCs w:val="16"/>
              </w:rPr>
            </w:pPr>
            <w:r w:rsidRPr="00D14CD7">
              <w:rPr>
                <w:rFonts w:eastAsia="Times New Roman"/>
                <w:color w:val="000000" w:themeColor="text1"/>
                <w:sz w:val="16"/>
                <w:szCs w:val="22"/>
              </w:rPr>
              <w:t>—</w:t>
            </w:r>
          </w:p>
        </w:tc>
        <w:tc>
          <w:tcPr>
            <w:tcW w:w="183" w:type="pct"/>
            <w:tcBorders>
              <w:top w:val="single" w:sz="4" w:space="0" w:color="auto"/>
              <w:bottom w:val="single" w:sz="4" w:space="0" w:color="auto"/>
            </w:tcBorders>
            <w:shd w:val="clear" w:color="auto" w:fill="auto"/>
            <w:noWrap/>
            <w:vAlign w:val="center"/>
            <w:hideMark/>
          </w:tcPr>
          <w:p w14:paraId="35E7A862" w14:textId="77777777" w:rsidR="005B6BB0" w:rsidRPr="00D14CD7" w:rsidRDefault="005B6BB0" w:rsidP="00286339">
            <w:pPr>
              <w:spacing w:after="0" w:line="240" w:lineRule="auto"/>
              <w:jc w:val="right"/>
              <w:rPr>
                <w:rFonts w:eastAsia="Times New Roman"/>
                <w:color w:val="000000" w:themeColor="text1"/>
                <w:sz w:val="16"/>
                <w:szCs w:val="16"/>
              </w:rPr>
            </w:pPr>
            <w:r w:rsidRPr="00D14CD7">
              <w:rPr>
                <w:rFonts w:eastAsia="Times New Roman"/>
                <w:color w:val="000000" w:themeColor="text1"/>
                <w:sz w:val="16"/>
                <w:szCs w:val="22"/>
              </w:rPr>
              <w:t>—</w:t>
            </w:r>
          </w:p>
        </w:tc>
      </w:tr>
      <w:tr w:rsidR="00D14CD7" w:rsidRPr="00D14CD7" w14:paraId="6542AE03" w14:textId="77777777" w:rsidTr="00286339">
        <w:trPr>
          <w:trHeight w:val="72"/>
        </w:trPr>
        <w:tc>
          <w:tcPr>
            <w:tcW w:w="1709" w:type="pct"/>
            <w:tcBorders>
              <w:top w:val="single" w:sz="4" w:space="0" w:color="auto"/>
              <w:bottom w:val="single" w:sz="8" w:space="0" w:color="auto"/>
              <w:right w:val="double" w:sz="4" w:space="0" w:color="auto"/>
            </w:tcBorders>
            <w:shd w:val="clear" w:color="auto" w:fill="auto"/>
            <w:noWrap/>
            <w:vAlign w:val="center"/>
            <w:hideMark/>
          </w:tcPr>
          <w:p w14:paraId="39E9EA0C" w14:textId="77777777" w:rsidR="005B6BB0" w:rsidRPr="00D14CD7" w:rsidRDefault="005B6BB0" w:rsidP="00286339">
            <w:pPr>
              <w:spacing w:after="0" w:line="240" w:lineRule="auto"/>
              <w:ind w:firstLine="140"/>
              <w:jc w:val="left"/>
              <w:rPr>
                <w:rFonts w:eastAsia="Times New Roman"/>
                <w:color w:val="000000" w:themeColor="text1"/>
                <w:sz w:val="16"/>
                <w:szCs w:val="16"/>
              </w:rPr>
            </w:pPr>
            <w:r w:rsidRPr="00D14CD7">
              <w:rPr>
                <w:rFonts w:eastAsia="Times New Roman"/>
                <w:color w:val="000000" w:themeColor="text1"/>
                <w:sz w:val="16"/>
                <w:szCs w:val="22"/>
              </w:rPr>
              <w:t>65 and older</w:t>
            </w:r>
          </w:p>
        </w:tc>
        <w:tc>
          <w:tcPr>
            <w:tcW w:w="227" w:type="pct"/>
            <w:tcBorders>
              <w:top w:val="single" w:sz="4" w:space="0" w:color="auto"/>
              <w:left w:val="double" w:sz="4" w:space="0" w:color="auto"/>
              <w:bottom w:val="single" w:sz="8" w:space="0" w:color="auto"/>
            </w:tcBorders>
            <w:shd w:val="clear" w:color="auto" w:fill="auto"/>
            <w:noWrap/>
            <w:vAlign w:val="center"/>
            <w:hideMark/>
          </w:tcPr>
          <w:p w14:paraId="5DC4958A" w14:textId="77777777" w:rsidR="005B6BB0" w:rsidRPr="00D14CD7" w:rsidRDefault="005B6BB0" w:rsidP="00286339">
            <w:pPr>
              <w:spacing w:after="0" w:line="240" w:lineRule="auto"/>
              <w:jc w:val="right"/>
              <w:rPr>
                <w:rFonts w:eastAsia="Times New Roman"/>
                <w:color w:val="000000" w:themeColor="text1"/>
                <w:sz w:val="16"/>
                <w:szCs w:val="16"/>
              </w:rPr>
            </w:pPr>
            <w:r w:rsidRPr="00D14CD7">
              <w:rPr>
                <w:rFonts w:eastAsia="Times New Roman"/>
                <w:color w:val="000000" w:themeColor="text1"/>
                <w:sz w:val="16"/>
                <w:szCs w:val="16"/>
              </w:rPr>
              <w:t>-0.090</w:t>
            </w:r>
          </w:p>
        </w:tc>
        <w:tc>
          <w:tcPr>
            <w:tcW w:w="199" w:type="pct"/>
            <w:tcBorders>
              <w:top w:val="single" w:sz="4" w:space="0" w:color="auto"/>
              <w:bottom w:val="single" w:sz="8" w:space="0" w:color="auto"/>
              <w:right w:val="single" w:sz="8" w:space="0" w:color="auto"/>
            </w:tcBorders>
            <w:shd w:val="clear" w:color="auto" w:fill="auto"/>
            <w:noWrap/>
            <w:vAlign w:val="center"/>
            <w:hideMark/>
          </w:tcPr>
          <w:p w14:paraId="59A9BE66" w14:textId="77777777" w:rsidR="005B6BB0" w:rsidRPr="00D14CD7" w:rsidRDefault="005B6BB0" w:rsidP="00286339">
            <w:pPr>
              <w:spacing w:after="0" w:line="240" w:lineRule="auto"/>
              <w:jc w:val="right"/>
              <w:rPr>
                <w:rFonts w:eastAsia="Times New Roman"/>
                <w:color w:val="000000" w:themeColor="text1"/>
                <w:sz w:val="16"/>
                <w:szCs w:val="16"/>
              </w:rPr>
            </w:pPr>
            <w:r w:rsidRPr="00D14CD7">
              <w:rPr>
                <w:rFonts w:eastAsia="Times New Roman"/>
                <w:color w:val="000000" w:themeColor="text1"/>
                <w:sz w:val="16"/>
                <w:szCs w:val="16"/>
              </w:rPr>
              <w:t>-1.75</w:t>
            </w:r>
          </w:p>
        </w:tc>
        <w:tc>
          <w:tcPr>
            <w:tcW w:w="184" w:type="pct"/>
            <w:tcBorders>
              <w:top w:val="single" w:sz="4" w:space="0" w:color="auto"/>
              <w:left w:val="single" w:sz="8" w:space="0" w:color="auto"/>
              <w:bottom w:val="single" w:sz="8" w:space="0" w:color="auto"/>
            </w:tcBorders>
            <w:shd w:val="clear" w:color="auto" w:fill="auto"/>
            <w:noWrap/>
            <w:vAlign w:val="center"/>
            <w:hideMark/>
          </w:tcPr>
          <w:p w14:paraId="5FFA4524" w14:textId="77777777" w:rsidR="005B6BB0" w:rsidRPr="00D14CD7" w:rsidRDefault="005B6BB0" w:rsidP="00286339">
            <w:pPr>
              <w:spacing w:after="0" w:line="240" w:lineRule="auto"/>
              <w:jc w:val="right"/>
              <w:rPr>
                <w:rFonts w:eastAsia="Times New Roman"/>
                <w:color w:val="000000" w:themeColor="text1"/>
                <w:sz w:val="16"/>
                <w:szCs w:val="16"/>
              </w:rPr>
            </w:pPr>
            <w:r w:rsidRPr="00D14CD7">
              <w:rPr>
                <w:rFonts w:eastAsia="Times New Roman"/>
                <w:color w:val="000000" w:themeColor="text1"/>
                <w:sz w:val="16"/>
                <w:szCs w:val="16"/>
              </w:rPr>
              <w:t>-0.247</w:t>
            </w:r>
          </w:p>
        </w:tc>
        <w:tc>
          <w:tcPr>
            <w:tcW w:w="185" w:type="pct"/>
            <w:tcBorders>
              <w:top w:val="single" w:sz="4" w:space="0" w:color="auto"/>
              <w:bottom w:val="single" w:sz="8" w:space="0" w:color="auto"/>
              <w:right w:val="single" w:sz="8" w:space="0" w:color="auto"/>
            </w:tcBorders>
            <w:shd w:val="clear" w:color="auto" w:fill="auto"/>
            <w:noWrap/>
            <w:vAlign w:val="center"/>
            <w:hideMark/>
          </w:tcPr>
          <w:p w14:paraId="1F3B5A1C" w14:textId="77777777" w:rsidR="005B6BB0" w:rsidRPr="00D14CD7" w:rsidRDefault="005B6BB0" w:rsidP="00286339">
            <w:pPr>
              <w:spacing w:after="0" w:line="240" w:lineRule="auto"/>
              <w:jc w:val="right"/>
              <w:rPr>
                <w:rFonts w:eastAsia="Times New Roman"/>
                <w:color w:val="000000" w:themeColor="text1"/>
                <w:sz w:val="16"/>
                <w:szCs w:val="16"/>
              </w:rPr>
            </w:pPr>
            <w:r w:rsidRPr="00D14CD7">
              <w:rPr>
                <w:rFonts w:eastAsia="Times New Roman"/>
                <w:color w:val="000000" w:themeColor="text1"/>
                <w:sz w:val="16"/>
                <w:szCs w:val="16"/>
              </w:rPr>
              <w:t>-2.22</w:t>
            </w:r>
          </w:p>
        </w:tc>
        <w:tc>
          <w:tcPr>
            <w:tcW w:w="184" w:type="pct"/>
            <w:tcBorders>
              <w:top w:val="single" w:sz="4" w:space="0" w:color="auto"/>
              <w:left w:val="single" w:sz="8" w:space="0" w:color="auto"/>
              <w:bottom w:val="single" w:sz="8" w:space="0" w:color="auto"/>
            </w:tcBorders>
            <w:shd w:val="clear" w:color="auto" w:fill="auto"/>
            <w:noWrap/>
            <w:vAlign w:val="center"/>
            <w:hideMark/>
          </w:tcPr>
          <w:p w14:paraId="42FCAA74" w14:textId="77777777" w:rsidR="005B6BB0" w:rsidRPr="00D14CD7" w:rsidRDefault="005B6BB0" w:rsidP="00286339">
            <w:pPr>
              <w:spacing w:after="0" w:line="240" w:lineRule="auto"/>
              <w:jc w:val="right"/>
              <w:rPr>
                <w:rFonts w:eastAsia="Times New Roman"/>
                <w:color w:val="000000" w:themeColor="text1"/>
                <w:sz w:val="16"/>
                <w:szCs w:val="16"/>
              </w:rPr>
            </w:pPr>
            <w:r w:rsidRPr="00D14CD7">
              <w:rPr>
                <w:rFonts w:eastAsia="Times New Roman"/>
                <w:color w:val="000000" w:themeColor="text1"/>
                <w:sz w:val="16"/>
                <w:szCs w:val="16"/>
              </w:rPr>
              <w:t>-0.171</w:t>
            </w:r>
          </w:p>
        </w:tc>
        <w:tc>
          <w:tcPr>
            <w:tcW w:w="188" w:type="pct"/>
            <w:tcBorders>
              <w:top w:val="single" w:sz="4" w:space="0" w:color="auto"/>
              <w:bottom w:val="single" w:sz="8" w:space="0" w:color="auto"/>
              <w:right w:val="single" w:sz="8" w:space="0" w:color="auto"/>
            </w:tcBorders>
            <w:shd w:val="clear" w:color="auto" w:fill="auto"/>
            <w:noWrap/>
            <w:vAlign w:val="center"/>
            <w:hideMark/>
          </w:tcPr>
          <w:p w14:paraId="72240C83" w14:textId="77777777" w:rsidR="005B6BB0" w:rsidRPr="00D14CD7" w:rsidRDefault="005B6BB0" w:rsidP="00286339">
            <w:pPr>
              <w:spacing w:after="0" w:line="240" w:lineRule="auto"/>
              <w:jc w:val="right"/>
              <w:rPr>
                <w:rFonts w:eastAsia="Times New Roman"/>
                <w:color w:val="000000" w:themeColor="text1"/>
                <w:sz w:val="16"/>
                <w:szCs w:val="16"/>
              </w:rPr>
            </w:pPr>
            <w:r w:rsidRPr="00D14CD7">
              <w:rPr>
                <w:rFonts w:eastAsia="Times New Roman"/>
                <w:color w:val="000000" w:themeColor="text1"/>
                <w:sz w:val="16"/>
                <w:szCs w:val="16"/>
              </w:rPr>
              <w:t>-2.09</w:t>
            </w:r>
          </w:p>
        </w:tc>
        <w:tc>
          <w:tcPr>
            <w:tcW w:w="188" w:type="pct"/>
            <w:tcBorders>
              <w:top w:val="single" w:sz="4" w:space="0" w:color="auto"/>
              <w:left w:val="single" w:sz="8" w:space="0" w:color="auto"/>
              <w:bottom w:val="single" w:sz="8" w:space="0" w:color="auto"/>
            </w:tcBorders>
            <w:shd w:val="clear" w:color="auto" w:fill="auto"/>
            <w:noWrap/>
            <w:vAlign w:val="center"/>
            <w:hideMark/>
          </w:tcPr>
          <w:p w14:paraId="6C00FEC4" w14:textId="77777777" w:rsidR="005B6BB0" w:rsidRPr="00D14CD7" w:rsidRDefault="005B6BB0" w:rsidP="00286339">
            <w:pPr>
              <w:spacing w:after="0" w:line="240" w:lineRule="auto"/>
              <w:jc w:val="right"/>
              <w:rPr>
                <w:rFonts w:eastAsia="Times New Roman"/>
                <w:color w:val="000000" w:themeColor="text1"/>
                <w:sz w:val="16"/>
                <w:szCs w:val="16"/>
              </w:rPr>
            </w:pPr>
            <w:proofErr w:type="spellStart"/>
            <w:r w:rsidRPr="00D14CD7">
              <w:rPr>
                <w:rFonts w:eastAsia="Times New Roman"/>
                <w:color w:val="000000" w:themeColor="text1"/>
                <w:sz w:val="16"/>
                <w:szCs w:val="22"/>
              </w:rPr>
              <w:t>na</w:t>
            </w:r>
            <w:proofErr w:type="spellEnd"/>
          </w:p>
        </w:tc>
        <w:tc>
          <w:tcPr>
            <w:tcW w:w="146" w:type="pct"/>
            <w:tcBorders>
              <w:top w:val="single" w:sz="4" w:space="0" w:color="auto"/>
              <w:bottom w:val="single" w:sz="8" w:space="0" w:color="auto"/>
              <w:right w:val="double" w:sz="4" w:space="0" w:color="auto"/>
            </w:tcBorders>
            <w:shd w:val="clear" w:color="auto" w:fill="auto"/>
            <w:noWrap/>
            <w:vAlign w:val="center"/>
            <w:hideMark/>
          </w:tcPr>
          <w:p w14:paraId="7D3A84BC" w14:textId="77777777" w:rsidR="005B6BB0" w:rsidRPr="00D14CD7" w:rsidRDefault="005B6BB0" w:rsidP="00286339">
            <w:pPr>
              <w:spacing w:after="0" w:line="240" w:lineRule="auto"/>
              <w:jc w:val="right"/>
              <w:rPr>
                <w:rFonts w:eastAsia="Times New Roman"/>
                <w:color w:val="000000" w:themeColor="text1"/>
                <w:sz w:val="16"/>
                <w:szCs w:val="16"/>
              </w:rPr>
            </w:pPr>
            <w:proofErr w:type="spellStart"/>
            <w:r w:rsidRPr="00D14CD7">
              <w:rPr>
                <w:rFonts w:eastAsia="Times New Roman"/>
                <w:color w:val="000000" w:themeColor="text1"/>
                <w:sz w:val="16"/>
                <w:szCs w:val="22"/>
              </w:rPr>
              <w:t>na</w:t>
            </w:r>
            <w:proofErr w:type="spellEnd"/>
          </w:p>
        </w:tc>
        <w:tc>
          <w:tcPr>
            <w:tcW w:w="184" w:type="pct"/>
            <w:tcBorders>
              <w:left w:val="double" w:sz="4" w:space="0" w:color="auto"/>
              <w:bottom w:val="single" w:sz="8" w:space="0" w:color="auto"/>
            </w:tcBorders>
            <w:shd w:val="clear" w:color="auto" w:fill="auto"/>
            <w:noWrap/>
            <w:vAlign w:val="center"/>
            <w:hideMark/>
          </w:tcPr>
          <w:p w14:paraId="490310EA" w14:textId="77777777" w:rsidR="005B6BB0" w:rsidRPr="00D14CD7" w:rsidRDefault="005B6BB0" w:rsidP="00286339">
            <w:pPr>
              <w:spacing w:after="0" w:line="240" w:lineRule="auto"/>
              <w:jc w:val="right"/>
              <w:rPr>
                <w:rFonts w:eastAsia="Times New Roman"/>
                <w:color w:val="000000" w:themeColor="text1"/>
                <w:sz w:val="16"/>
                <w:szCs w:val="16"/>
              </w:rPr>
            </w:pPr>
            <w:r w:rsidRPr="00D14CD7">
              <w:rPr>
                <w:rFonts w:eastAsia="Times New Roman"/>
                <w:color w:val="000000" w:themeColor="text1"/>
                <w:sz w:val="16"/>
                <w:szCs w:val="22"/>
              </w:rPr>
              <w:t>—</w:t>
            </w:r>
          </w:p>
        </w:tc>
        <w:tc>
          <w:tcPr>
            <w:tcW w:w="184" w:type="pct"/>
            <w:tcBorders>
              <w:top w:val="single" w:sz="4" w:space="0" w:color="auto"/>
              <w:bottom w:val="single" w:sz="8" w:space="0" w:color="auto"/>
              <w:right w:val="single" w:sz="8" w:space="0" w:color="auto"/>
            </w:tcBorders>
            <w:shd w:val="clear" w:color="auto" w:fill="auto"/>
            <w:noWrap/>
            <w:vAlign w:val="center"/>
            <w:hideMark/>
          </w:tcPr>
          <w:p w14:paraId="15ACBB26" w14:textId="77777777" w:rsidR="005B6BB0" w:rsidRPr="00D14CD7" w:rsidRDefault="005B6BB0" w:rsidP="00286339">
            <w:pPr>
              <w:spacing w:after="0" w:line="240" w:lineRule="auto"/>
              <w:jc w:val="right"/>
              <w:rPr>
                <w:rFonts w:eastAsia="Times New Roman"/>
                <w:color w:val="000000" w:themeColor="text1"/>
                <w:sz w:val="16"/>
                <w:szCs w:val="16"/>
              </w:rPr>
            </w:pPr>
            <w:r w:rsidRPr="00D14CD7">
              <w:rPr>
                <w:rFonts w:eastAsia="Times New Roman"/>
                <w:color w:val="000000" w:themeColor="text1"/>
                <w:sz w:val="16"/>
                <w:szCs w:val="22"/>
              </w:rPr>
              <w:t>—</w:t>
            </w:r>
          </w:p>
        </w:tc>
        <w:tc>
          <w:tcPr>
            <w:tcW w:w="184" w:type="pct"/>
            <w:tcBorders>
              <w:top w:val="single" w:sz="4" w:space="0" w:color="auto"/>
              <w:left w:val="single" w:sz="8" w:space="0" w:color="auto"/>
              <w:bottom w:val="single" w:sz="8" w:space="0" w:color="auto"/>
            </w:tcBorders>
            <w:shd w:val="clear" w:color="auto" w:fill="auto"/>
            <w:noWrap/>
            <w:vAlign w:val="center"/>
            <w:hideMark/>
          </w:tcPr>
          <w:p w14:paraId="1E9467FD" w14:textId="77777777" w:rsidR="005B6BB0" w:rsidRPr="00D14CD7" w:rsidRDefault="005B6BB0" w:rsidP="00286339">
            <w:pPr>
              <w:spacing w:after="0" w:line="240" w:lineRule="auto"/>
              <w:jc w:val="right"/>
              <w:rPr>
                <w:rFonts w:eastAsia="Times New Roman"/>
                <w:color w:val="000000" w:themeColor="text1"/>
                <w:sz w:val="16"/>
                <w:szCs w:val="16"/>
              </w:rPr>
            </w:pPr>
            <w:r w:rsidRPr="00D14CD7">
              <w:rPr>
                <w:rFonts w:eastAsia="Times New Roman"/>
                <w:color w:val="000000" w:themeColor="text1"/>
                <w:sz w:val="16"/>
                <w:szCs w:val="22"/>
              </w:rPr>
              <w:t>—</w:t>
            </w:r>
          </w:p>
        </w:tc>
        <w:tc>
          <w:tcPr>
            <w:tcW w:w="185" w:type="pct"/>
            <w:tcBorders>
              <w:top w:val="single" w:sz="4" w:space="0" w:color="auto"/>
              <w:bottom w:val="single" w:sz="8" w:space="0" w:color="auto"/>
              <w:right w:val="single" w:sz="8" w:space="0" w:color="auto"/>
            </w:tcBorders>
            <w:shd w:val="clear" w:color="auto" w:fill="auto"/>
            <w:noWrap/>
            <w:vAlign w:val="center"/>
            <w:hideMark/>
          </w:tcPr>
          <w:p w14:paraId="3E661DD1" w14:textId="77777777" w:rsidR="005B6BB0" w:rsidRPr="00D14CD7" w:rsidRDefault="005B6BB0" w:rsidP="00286339">
            <w:pPr>
              <w:spacing w:after="0" w:line="240" w:lineRule="auto"/>
              <w:jc w:val="right"/>
              <w:rPr>
                <w:rFonts w:eastAsia="Times New Roman"/>
                <w:color w:val="000000" w:themeColor="text1"/>
                <w:sz w:val="16"/>
                <w:szCs w:val="16"/>
              </w:rPr>
            </w:pPr>
            <w:r w:rsidRPr="00D14CD7">
              <w:rPr>
                <w:rFonts w:eastAsia="Times New Roman"/>
                <w:color w:val="000000" w:themeColor="text1"/>
                <w:sz w:val="16"/>
                <w:szCs w:val="22"/>
              </w:rPr>
              <w:t>—</w:t>
            </w:r>
          </w:p>
        </w:tc>
        <w:tc>
          <w:tcPr>
            <w:tcW w:w="185" w:type="pct"/>
            <w:tcBorders>
              <w:top w:val="single" w:sz="4" w:space="0" w:color="auto"/>
              <w:left w:val="single" w:sz="8" w:space="0" w:color="auto"/>
              <w:bottom w:val="single" w:sz="8" w:space="0" w:color="auto"/>
            </w:tcBorders>
            <w:shd w:val="clear" w:color="auto" w:fill="auto"/>
            <w:noWrap/>
            <w:vAlign w:val="center"/>
            <w:hideMark/>
          </w:tcPr>
          <w:p w14:paraId="6E92AAA6" w14:textId="77777777" w:rsidR="005B6BB0" w:rsidRPr="00D14CD7" w:rsidRDefault="005B6BB0" w:rsidP="00286339">
            <w:pPr>
              <w:spacing w:after="0" w:line="240" w:lineRule="auto"/>
              <w:jc w:val="right"/>
              <w:rPr>
                <w:rFonts w:eastAsia="Times New Roman"/>
                <w:color w:val="000000" w:themeColor="text1"/>
                <w:sz w:val="16"/>
                <w:szCs w:val="16"/>
              </w:rPr>
            </w:pPr>
            <w:r w:rsidRPr="00D14CD7">
              <w:rPr>
                <w:rFonts w:eastAsia="Times New Roman"/>
                <w:color w:val="000000" w:themeColor="text1"/>
                <w:sz w:val="16"/>
                <w:szCs w:val="16"/>
              </w:rPr>
              <w:t>1.244</w:t>
            </w:r>
          </w:p>
        </w:tc>
        <w:tc>
          <w:tcPr>
            <w:tcW w:w="185" w:type="pct"/>
            <w:tcBorders>
              <w:top w:val="single" w:sz="4" w:space="0" w:color="auto"/>
              <w:bottom w:val="single" w:sz="8" w:space="0" w:color="auto"/>
              <w:right w:val="single" w:sz="8" w:space="0" w:color="auto"/>
            </w:tcBorders>
            <w:shd w:val="clear" w:color="auto" w:fill="auto"/>
            <w:noWrap/>
            <w:vAlign w:val="center"/>
            <w:hideMark/>
          </w:tcPr>
          <w:p w14:paraId="0BA98656" w14:textId="77777777" w:rsidR="005B6BB0" w:rsidRPr="00D14CD7" w:rsidRDefault="005B6BB0" w:rsidP="00286339">
            <w:pPr>
              <w:spacing w:after="0" w:line="240" w:lineRule="auto"/>
              <w:jc w:val="right"/>
              <w:rPr>
                <w:rFonts w:eastAsia="Times New Roman"/>
                <w:color w:val="000000" w:themeColor="text1"/>
                <w:sz w:val="16"/>
                <w:szCs w:val="16"/>
              </w:rPr>
            </w:pPr>
            <w:r w:rsidRPr="00D14CD7">
              <w:rPr>
                <w:rFonts w:eastAsia="Times New Roman"/>
                <w:color w:val="000000" w:themeColor="text1"/>
                <w:sz w:val="16"/>
                <w:szCs w:val="16"/>
              </w:rPr>
              <w:t>4.97</w:t>
            </w:r>
          </w:p>
        </w:tc>
        <w:tc>
          <w:tcPr>
            <w:tcW w:w="156" w:type="pct"/>
            <w:tcBorders>
              <w:left w:val="single" w:sz="8" w:space="0" w:color="auto"/>
              <w:bottom w:val="single" w:sz="8" w:space="0" w:color="auto"/>
            </w:tcBorders>
            <w:shd w:val="clear" w:color="auto" w:fill="auto"/>
            <w:noWrap/>
            <w:vAlign w:val="center"/>
            <w:hideMark/>
          </w:tcPr>
          <w:p w14:paraId="0193579B" w14:textId="77777777" w:rsidR="005B6BB0" w:rsidRPr="00D14CD7" w:rsidRDefault="005B6BB0" w:rsidP="00286339">
            <w:pPr>
              <w:spacing w:after="0" w:line="240" w:lineRule="auto"/>
              <w:jc w:val="right"/>
              <w:rPr>
                <w:rFonts w:eastAsia="Times New Roman"/>
                <w:color w:val="000000" w:themeColor="text1"/>
                <w:sz w:val="16"/>
                <w:szCs w:val="16"/>
              </w:rPr>
            </w:pPr>
            <w:proofErr w:type="spellStart"/>
            <w:r w:rsidRPr="00D14CD7">
              <w:rPr>
                <w:rFonts w:eastAsia="Times New Roman"/>
                <w:color w:val="000000" w:themeColor="text1"/>
                <w:sz w:val="16"/>
                <w:szCs w:val="22"/>
              </w:rPr>
              <w:t>na</w:t>
            </w:r>
            <w:proofErr w:type="spellEnd"/>
          </w:p>
        </w:tc>
        <w:tc>
          <w:tcPr>
            <w:tcW w:w="157" w:type="pct"/>
            <w:tcBorders>
              <w:bottom w:val="single" w:sz="8" w:space="0" w:color="auto"/>
              <w:right w:val="double" w:sz="4" w:space="0" w:color="auto"/>
            </w:tcBorders>
            <w:shd w:val="clear" w:color="auto" w:fill="auto"/>
            <w:noWrap/>
            <w:vAlign w:val="center"/>
            <w:hideMark/>
          </w:tcPr>
          <w:p w14:paraId="0C9477EE" w14:textId="77777777" w:rsidR="005B6BB0" w:rsidRPr="00D14CD7" w:rsidRDefault="005B6BB0" w:rsidP="00286339">
            <w:pPr>
              <w:spacing w:after="0" w:line="240" w:lineRule="auto"/>
              <w:jc w:val="right"/>
              <w:rPr>
                <w:rFonts w:eastAsia="Times New Roman"/>
                <w:color w:val="000000" w:themeColor="text1"/>
                <w:sz w:val="16"/>
                <w:szCs w:val="16"/>
              </w:rPr>
            </w:pPr>
            <w:proofErr w:type="spellStart"/>
            <w:r w:rsidRPr="00D14CD7">
              <w:rPr>
                <w:rFonts w:eastAsia="Times New Roman"/>
                <w:color w:val="000000" w:themeColor="text1"/>
                <w:sz w:val="16"/>
                <w:szCs w:val="22"/>
              </w:rPr>
              <w:t>na</w:t>
            </w:r>
            <w:proofErr w:type="spellEnd"/>
          </w:p>
        </w:tc>
        <w:tc>
          <w:tcPr>
            <w:tcW w:w="187" w:type="pct"/>
            <w:tcBorders>
              <w:top w:val="single" w:sz="4" w:space="0" w:color="auto"/>
              <w:left w:val="double" w:sz="4" w:space="0" w:color="auto"/>
              <w:bottom w:val="single" w:sz="8" w:space="0" w:color="auto"/>
            </w:tcBorders>
            <w:shd w:val="clear" w:color="auto" w:fill="auto"/>
            <w:noWrap/>
            <w:vAlign w:val="center"/>
            <w:hideMark/>
          </w:tcPr>
          <w:p w14:paraId="36C995CB" w14:textId="77777777" w:rsidR="005B6BB0" w:rsidRPr="00D14CD7" w:rsidRDefault="005B6BB0" w:rsidP="00286339">
            <w:pPr>
              <w:spacing w:after="0" w:line="240" w:lineRule="auto"/>
              <w:jc w:val="right"/>
              <w:rPr>
                <w:rFonts w:eastAsia="Times New Roman"/>
                <w:color w:val="000000" w:themeColor="text1"/>
                <w:sz w:val="16"/>
                <w:szCs w:val="16"/>
              </w:rPr>
            </w:pPr>
            <w:r w:rsidRPr="00D14CD7">
              <w:rPr>
                <w:rFonts w:eastAsia="Times New Roman"/>
                <w:color w:val="000000" w:themeColor="text1"/>
                <w:sz w:val="16"/>
                <w:szCs w:val="22"/>
              </w:rPr>
              <w:t>—</w:t>
            </w:r>
          </w:p>
        </w:tc>
        <w:tc>
          <w:tcPr>
            <w:tcW w:w="183" w:type="pct"/>
            <w:tcBorders>
              <w:top w:val="single" w:sz="4" w:space="0" w:color="auto"/>
              <w:bottom w:val="single" w:sz="8" w:space="0" w:color="auto"/>
            </w:tcBorders>
            <w:shd w:val="clear" w:color="auto" w:fill="auto"/>
            <w:noWrap/>
            <w:vAlign w:val="center"/>
            <w:hideMark/>
          </w:tcPr>
          <w:p w14:paraId="6E8451CA" w14:textId="77777777" w:rsidR="005B6BB0" w:rsidRPr="00D14CD7" w:rsidRDefault="005B6BB0" w:rsidP="00286339">
            <w:pPr>
              <w:spacing w:after="0" w:line="240" w:lineRule="auto"/>
              <w:jc w:val="right"/>
              <w:rPr>
                <w:rFonts w:eastAsia="Times New Roman"/>
                <w:color w:val="000000" w:themeColor="text1"/>
                <w:sz w:val="16"/>
                <w:szCs w:val="16"/>
              </w:rPr>
            </w:pPr>
            <w:r w:rsidRPr="00D14CD7">
              <w:rPr>
                <w:rFonts w:eastAsia="Times New Roman"/>
                <w:color w:val="000000" w:themeColor="text1"/>
                <w:sz w:val="16"/>
                <w:szCs w:val="22"/>
              </w:rPr>
              <w:t>—</w:t>
            </w:r>
          </w:p>
        </w:tc>
      </w:tr>
      <w:tr w:rsidR="00D14CD7" w:rsidRPr="00D14CD7" w14:paraId="7A34070E" w14:textId="77777777" w:rsidTr="00286339">
        <w:trPr>
          <w:trHeight w:val="72"/>
        </w:trPr>
        <w:tc>
          <w:tcPr>
            <w:tcW w:w="5000" w:type="pct"/>
            <w:gridSpan w:val="19"/>
            <w:tcBorders>
              <w:top w:val="single" w:sz="8" w:space="0" w:color="auto"/>
              <w:bottom w:val="single" w:sz="4" w:space="0" w:color="auto"/>
            </w:tcBorders>
            <w:shd w:val="clear" w:color="auto" w:fill="auto"/>
            <w:noWrap/>
            <w:vAlign w:val="center"/>
            <w:hideMark/>
          </w:tcPr>
          <w:p w14:paraId="4A1A9E34" w14:textId="77777777" w:rsidR="005B6BB0" w:rsidRPr="00D14CD7" w:rsidRDefault="005B6BB0" w:rsidP="00286339">
            <w:pPr>
              <w:spacing w:after="0" w:line="240" w:lineRule="auto"/>
              <w:jc w:val="left"/>
              <w:rPr>
                <w:rFonts w:eastAsia="Times New Roman"/>
                <w:color w:val="000000" w:themeColor="text1"/>
                <w:sz w:val="20"/>
                <w:szCs w:val="20"/>
              </w:rPr>
            </w:pPr>
            <w:r w:rsidRPr="00D14CD7">
              <w:rPr>
                <w:rFonts w:eastAsia="Times New Roman"/>
                <w:b/>
                <w:bCs/>
                <w:i/>
                <w:iCs/>
                <w:color w:val="000000" w:themeColor="text1"/>
                <w:sz w:val="16"/>
                <w:szCs w:val="16"/>
              </w:rPr>
              <w:t>Race (base: White)</w:t>
            </w:r>
            <w:r w:rsidRPr="00D14CD7">
              <w:rPr>
                <w:rFonts w:eastAsia="Times New Roman"/>
                <w:color w:val="000000" w:themeColor="text1"/>
                <w:sz w:val="16"/>
                <w:szCs w:val="16"/>
              </w:rPr>
              <w:t> </w:t>
            </w:r>
          </w:p>
        </w:tc>
      </w:tr>
      <w:tr w:rsidR="00D14CD7" w:rsidRPr="00D14CD7" w14:paraId="7CC7AEFC" w14:textId="77777777" w:rsidTr="00286339">
        <w:trPr>
          <w:trHeight w:val="72"/>
        </w:trPr>
        <w:tc>
          <w:tcPr>
            <w:tcW w:w="1709" w:type="pct"/>
            <w:tcBorders>
              <w:top w:val="single" w:sz="4" w:space="0" w:color="auto"/>
              <w:bottom w:val="single" w:sz="4" w:space="0" w:color="auto"/>
              <w:right w:val="double" w:sz="4" w:space="0" w:color="auto"/>
            </w:tcBorders>
            <w:shd w:val="clear" w:color="auto" w:fill="auto"/>
            <w:noWrap/>
            <w:vAlign w:val="center"/>
            <w:hideMark/>
          </w:tcPr>
          <w:p w14:paraId="38FF9FF1" w14:textId="77777777" w:rsidR="005B6BB0" w:rsidRPr="00D14CD7" w:rsidRDefault="005B6BB0" w:rsidP="00286339">
            <w:pPr>
              <w:spacing w:after="0" w:line="240" w:lineRule="auto"/>
              <w:ind w:firstLine="140"/>
              <w:jc w:val="left"/>
              <w:rPr>
                <w:rFonts w:eastAsia="Times New Roman"/>
                <w:color w:val="000000" w:themeColor="text1"/>
                <w:sz w:val="16"/>
                <w:szCs w:val="16"/>
              </w:rPr>
            </w:pPr>
            <w:r w:rsidRPr="00D14CD7">
              <w:rPr>
                <w:rFonts w:eastAsia="Times New Roman"/>
                <w:color w:val="000000" w:themeColor="text1"/>
                <w:sz w:val="16"/>
                <w:szCs w:val="22"/>
              </w:rPr>
              <w:t>Not White</w:t>
            </w:r>
          </w:p>
        </w:tc>
        <w:tc>
          <w:tcPr>
            <w:tcW w:w="227" w:type="pct"/>
            <w:tcBorders>
              <w:top w:val="single" w:sz="4" w:space="0" w:color="auto"/>
              <w:left w:val="double" w:sz="4" w:space="0" w:color="auto"/>
              <w:bottom w:val="single" w:sz="4" w:space="0" w:color="auto"/>
            </w:tcBorders>
            <w:shd w:val="clear" w:color="auto" w:fill="auto"/>
            <w:noWrap/>
            <w:vAlign w:val="center"/>
            <w:hideMark/>
          </w:tcPr>
          <w:p w14:paraId="41A7C421" w14:textId="77777777" w:rsidR="005B6BB0" w:rsidRPr="00D14CD7" w:rsidRDefault="005B6BB0" w:rsidP="00286339">
            <w:pPr>
              <w:spacing w:after="0" w:line="240" w:lineRule="auto"/>
              <w:jc w:val="right"/>
              <w:rPr>
                <w:rFonts w:eastAsia="Times New Roman"/>
                <w:color w:val="000000" w:themeColor="text1"/>
                <w:sz w:val="16"/>
                <w:szCs w:val="16"/>
              </w:rPr>
            </w:pPr>
            <w:r w:rsidRPr="00D14CD7">
              <w:rPr>
                <w:rFonts w:eastAsia="Times New Roman"/>
                <w:color w:val="000000" w:themeColor="text1"/>
                <w:sz w:val="16"/>
                <w:szCs w:val="22"/>
              </w:rPr>
              <w:t>—</w:t>
            </w:r>
          </w:p>
        </w:tc>
        <w:tc>
          <w:tcPr>
            <w:tcW w:w="199" w:type="pct"/>
            <w:tcBorders>
              <w:top w:val="single" w:sz="4" w:space="0" w:color="auto"/>
              <w:bottom w:val="single" w:sz="4" w:space="0" w:color="auto"/>
              <w:right w:val="single" w:sz="8" w:space="0" w:color="auto"/>
            </w:tcBorders>
            <w:shd w:val="clear" w:color="auto" w:fill="auto"/>
            <w:noWrap/>
            <w:vAlign w:val="center"/>
            <w:hideMark/>
          </w:tcPr>
          <w:p w14:paraId="5C1C0F30" w14:textId="77777777" w:rsidR="005B6BB0" w:rsidRPr="00D14CD7" w:rsidRDefault="005B6BB0" w:rsidP="00286339">
            <w:pPr>
              <w:spacing w:after="0" w:line="240" w:lineRule="auto"/>
              <w:jc w:val="right"/>
              <w:rPr>
                <w:rFonts w:eastAsia="Times New Roman"/>
                <w:color w:val="000000" w:themeColor="text1"/>
                <w:sz w:val="16"/>
                <w:szCs w:val="16"/>
              </w:rPr>
            </w:pPr>
            <w:r w:rsidRPr="00D14CD7">
              <w:rPr>
                <w:rFonts w:eastAsia="Times New Roman"/>
                <w:color w:val="000000" w:themeColor="text1"/>
                <w:sz w:val="16"/>
                <w:szCs w:val="22"/>
              </w:rPr>
              <w:t>—</w:t>
            </w:r>
          </w:p>
        </w:tc>
        <w:tc>
          <w:tcPr>
            <w:tcW w:w="184" w:type="pct"/>
            <w:tcBorders>
              <w:top w:val="single" w:sz="4" w:space="0" w:color="auto"/>
              <w:left w:val="single" w:sz="8" w:space="0" w:color="auto"/>
              <w:bottom w:val="single" w:sz="4" w:space="0" w:color="auto"/>
            </w:tcBorders>
            <w:shd w:val="clear" w:color="auto" w:fill="auto"/>
            <w:noWrap/>
            <w:vAlign w:val="center"/>
            <w:hideMark/>
          </w:tcPr>
          <w:p w14:paraId="3B7F7F2D" w14:textId="77777777" w:rsidR="005B6BB0" w:rsidRPr="00D14CD7" w:rsidRDefault="005B6BB0" w:rsidP="00286339">
            <w:pPr>
              <w:spacing w:after="0" w:line="240" w:lineRule="auto"/>
              <w:jc w:val="right"/>
              <w:rPr>
                <w:rFonts w:eastAsia="Times New Roman"/>
                <w:color w:val="000000" w:themeColor="text1"/>
                <w:sz w:val="16"/>
                <w:szCs w:val="16"/>
              </w:rPr>
            </w:pPr>
            <w:r w:rsidRPr="00D14CD7">
              <w:rPr>
                <w:rFonts w:eastAsia="Times New Roman"/>
                <w:color w:val="000000" w:themeColor="text1"/>
                <w:sz w:val="16"/>
                <w:szCs w:val="22"/>
              </w:rPr>
              <w:t>—</w:t>
            </w:r>
          </w:p>
        </w:tc>
        <w:tc>
          <w:tcPr>
            <w:tcW w:w="185" w:type="pct"/>
            <w:tcBorders>
              <w:top w:val="single" w:sz="4" w:space="0" w:color="auto"/>
              <w:bottom w:val="single" w:sz="4" w:space="0" w:color="auto"/>
              <w:right w:val="single" w:sz="8" w:space="0" w:color="auto"/>
            </w:tcBorders>
            <w:shd w:val="clear" w:color="auto" w:fill="auto"/>
            <w:noWrap/>
            <w:vAlign w:val="center"/>
            <w:hideMark/>
          </w:tcPr>
          <w:p w14:paraId="253EB9EA" w14:textId="77777777" w:rsidR="005B6BB0" w:rsidRPr="00D14CD7" w:rsidRDefault="005B6BB0" w:rsidP="00286339">
            <w:pPr>
              <w:spacing w:after="0" w:line="240" w:lineRule="auto"/>
              <w:jc w:val="right"/>
              <w:rPr>
                <w:rFonts w:eastAsia="Times New Roman"/>
                <w:color w:val="000000" w:themeColor="text1"/>
                <w:sz w:val="16"/>
                <w:szCs w:val="16"/>
              </w:rPr>
            </w:pPr>
            <w:r w:rsidRPr="00D14CD7">
              <w:rPr>
                <w:rFonts w:eastAsia="Times New Roman"/>
                <w:color w:val="000000" w:themeColor="text1"/>
                <w:sz w:val="16"/>
                <w:szCs w:val="22"/>
              </w:rPr>
              <w:t>—</w:t>
            </w:r>
          </w:p>
        </w:tc>
        <w:tc>
          <w:tcPr>
            <w:tcW w:w="184" w:type="pct"/>
            <w:tcBorders>
              <w:top w:val="single" w:sz="4" w:space="0" w:color="auto"/>
              <w:left w:val="single" w:sz="8" w:space="0" w:color="auto"/>
              <w:bottom w:val="single" w:sz="4" w:space="0" w:color="auto"/>
            </w:tcBorders>
            <w:shd w:val="clear" w:color="auto" w:fill="auto"/>
            <w:noWrap/>
            <w:vAlign w:val="center"/>
            <w:hideMark/>
          </w:tcPr>
          <w:p w14:paraId="726F144E" w14:textId="77777777" w:rsidR="005B6BB0" w:rsidRPr="00D14CD7" w:rsidRDefault="005B6BB0" w:rsidP="00286339">
            <w:pPr>
              <w:spacing w:after="0" w:line="240" w:lineRule="auto"/>
              <w:jc w:val="right"/>
              <w:rPr>
                <w:rFonts w:eastAsia="Times New Roman"/>
                <w:color w:val="000000" w:themeColor="text1"/>
                <w:sz w:val="16"/>
                <w:szCs w:val="16"/>
              </w:rPr>
            </w:pPr>
            <w:r w:rsidRPr="00D14CD7">
              <w:rPr>
                <w:rFonts w:eastAsia="Times New Roman"/>
                <w:color w:val="000000" w:themeColor="text1"/>
                <w:sz w:val="16"/>
                <w:szCs w:val="16"/>
              </w:rPr>
              <w:t>-0.253</w:t>
            </w:r>
          </w:p>
        </w:tc>
        <w:tc>
          <w:tcPr>
            <w:tcW w:w="188" w:type="pct"/>
            <w:tcBorders>
              <w:top w:val="single" w:sz="4" w:space="0" w:color="auto"/>
              <w:bottom w:val="single" w:sz="4" w:space="0" w:color="auto"/>
              <w:right w:val="single" w:sz="8" w:space="0" w:color="auto"/>
            </w:tcBorders>
            <w:shd w:val="clear" w:color="auto" w:fill="auto"/>
            <w:noWrap/>
            <w:vAlign w:val="center"/>
            <w:hideMark/>
          </w:tcPr>
          <w:p w14:paraId="2A6AED6C" w14:textId="77777777" w:rsidR="005B6BB0" w:rsidRPr="00D14CD7" w:rsidRDefault="005B6BB0" w:rsidP="00286339">
            <w:pPr>
              <w:spacing w:after="0" w:line="240" w:lineRule="auto"/>
              <w:jc w:val="right"/>
              <w:rPr>
                <w:rFonts w:eastAsia="Times New Roman"/>
                <w:color w:val="000000" w:themeColor="text1"/>
                <w:sz w:val="16"/>
                <w:szCs w:val="16"/>
              </w:rPr>
            </w:pPr>
            <w:r w:rsidRPr="00D14CD7">
              <w:rPr>
                <w:rFonts w:eastAsia="Times New Roman"/>
                <w:color w:val="000000" w:themeColor="text1"/>
                <w:sz w:val="16"/>
                <w:szCs w:val="16"/>
              </w:rPr>
              <w:t>-1.71</w:t>
            </w:r>
          </w:p>
        </w:tc>
        <w:tc>
          <w:tcPr>
            <w:tcW w:w="188" w:type="pct"/>
            <w:tcBorders>
              <w:top w:val="single" w:sz="4" w:space="0" w:color="auto"/>
              <w:left w:val="single" w:sz="8" w:space="0" w:color="auto"/>
              <w:bottom w:val="single" w:sz="4" w:space="0" w:color="auto"/>
            </w:tcBorders>
            <w:shd w:val="clear" w:color="auto" w:fill="auto"/>
            <w:noWrap/>
            <w:vAlign w:val="center"/>
            <w:hideMark/>
          </w:tcPr>
          <w:p w14:paraId="63231017" w14:textId="77777777" w:rsidR="005B6BB0" w:rsidRPr="00D14CD7" w:rsidRDefault="005B6BB0" w:rsidP="00286339">
            <w:pPr>
              <w:spacing w:after="0" w:line="240" w:lineRule="auto"/>
              <w:jc w:val="right"/>
              <w:rPr>
                <w:rFonts w:eastAsia="Times New Roman"/>
                <w:color w:val="000000" w:themeColor="text1"/>
                <w:sz w:val="16"/>
                <w:szCs w:val="16"/>
              </w:rPr>
            </w:pPr>
            <w:proofErr w:type="spellStart"/>
            <w:r w:rsidRPr="00D14CD7">
              <w:rPr>
                <w:rFonts w:eastAsia="Times New Roman"/>
                <w:color w:val="000000" w:themeColor="text1"/>
                <w:sz w:val="16"/>
                <w:szCs w:val="22"/>
              </w:rPr>
              <w:t>na</w:t>
            </w:r>
            <w:proofErr w:type="spellEnd"/>
          </w:p>
        </w:tc>
        <w:tc>
          <w:tcPr>
            <w:tcW w:w="146" w:type="pct"/>
            <w:tcBorders>
              <w:top w:val="single" w:sz="4" w:space="0" w:color="auto"/>
              <w:bottom w:val="single" w:sz="4" w:space="0" w:color="auto"/>
              <w:right w:val="double" w:sz="4" w:space="0" w:color="auto"/>
            </w:tcBorders>
            <w:shd w:val="clear" w:color="auto" w:fill="auto"/>
            <w:noWrap/>
            <w:vAlign w:val="center"/>
            <w:hideMark/>
          </w:tcPr>
          <w:p w14:paraId="532D239D" w14:textId="77777777" w:rsidR="005B6BB0" w:rsidRPr="00D14CD7" w:rsidRDefault="005B6BB0" w:rsidP="00286339">
            <w:pPr>
              <w:spacing w:after="0" w:line="240" w:lineRule="auto"/>
              <w:jc w:val="right"/>
              <w:rPr>
                <w:rFonts w:eastAsia="Times New Roman"/>
                <w:color w:val="000000" w:themeColor="text1"/>
                <w:sz w:val="16"/>
                <w:szCs w:val="16"/>
              </w:rPr>
            </w:pPr>
            <w:proofErr w:type="spellStart"/>
            <w:r w:rsidRPr="00D14CD7">
              <w:rPr>
                <w:rFonts w:eastAsia="Times New Roman"/>
                <w:color w:val="000000" w:themeColor="text1"/>
                <w:sz w:val="16"/>
                <w:szCs w:val="22"/>
              </w:rPr>
              <w:t>na</w:t>
            </w:r>
            <w:proofErr w:type="spellEnd"/>
          </w:p>
        </w:tc>
        <w:tc>
          <w:tcPr>
            <w:tcW w:w="184" w:type="pct"/>
            <w:tcBorders>
              <w:left w:val="double" w:sz="4" w:space="0" w:color="auto"/>
            </w:tcBorders>
            <w:shd w:val="clear" w:color="auto" w:fill="auto"/>
            <w:noWrap/>
            <w:vAlign w:val="center"/>
            <w:hideMark/>
          </w:tcPr>
          <w:p w14:paraId="05BC0F09" w14:textId="77777777" w:rsidR="005B6BB0" w:rsidRPr="00D14CD7" w:rsidRDefault="005B6BB0" w:rsidP="00286339">
            <w:pPr>
              <w:spacing w:after="0" w:line="240" w:lineRule="auto"/>
              <w:jc w:val="right"/>
              <w:rPr>
                <w:rFonts w:eastAsia="Times New Roman"/>
                <w:color w:val="000000" w:themeColor="text1"/>
                <w:sz w:val="16"/>
                <w:szCs w:val="16"/>
              </w:rPr>
            </w:pPr>
            <w:r w:rsidRPr="00D14CD7">
              <w:rPr>
                <w:rFonts w:eastAsia="Times New Roman"/>
                <w:color w:val="000000" w:themeColor="text1"/>
                <w:sz w:val="16"/>
                <w:szCs w:val="22"/>
              </w:rPr>
              <w:t>—</w:t>
            </w:r>
          </w:p>
        </w:tc>
        <w:tc>
          <w:tcPr>
            <w:tcW w:w="184" w:type="pct"/>
            <w:tcBorders>
              <w:top w:val="single" w:sz="4" w:space="0" w:color="auto"/>
              <w:bottom w:val="single" w:sz="4" w:space="0" w:color="auto"/>
              <w:right w:val="single" w:sz="8" w:space="0" w:color="auto"/>
            </w:tcBorders>
            <w:shd w:val="clear" w:color="auto" w:fill="auto"/>
            <w:noWrap/>
            <w:vAlign w:val="center"/>
            <w:hideMark/>
          </w:tcPr>
          <w:p w14:paraId="1A998D4F" w14:textId="77777777" w:rsidR="005B6BB0" w:rsidRPr="00D14CD7" w:rsidRDefault="005B6BB0" w:rsidP="00286339">
            <w:pPr>
              <w:spacing w:after="0" w:line="240" w:lineRule="auto"/>
              <w:jc w:val="right"/>
              <w:rPr>
                <w:rFonts w:eastAsia="Times New Roman"/>
                <w:color w:val="000000" w:themeColor="text1"/>
                <w:sz w:val="16"/>
                <w:szCs w:val="16"/>
              </w:rPr>
            </w:pPr>
            <w:r w:rsidRPr="00D14CD7">
              <w:rPr>
                <w:rFonts w:eastAsia="Times New Roman"/>
                <w:color w:val="000000" w:themeColor="text1"/>
                <w:sz w:val="16"/>
                <w:szCs w:val="22"/>
              </w:rPr>
              <w:t>—</w:t>
            </w:r>
          </w:p>
        </w:tc>
        <w:tc>
          <w:tcPr>
            <w:tcW w:w="184" w:type="pct"/>
            <w:tcBorders>
              <w:top w:val="single" w:sz="4" w:space="0" w:color="auto"/>
              <w:left w:val="single" w:sz="8" w:space="0" w:color="auto"/>
              <w:bottom w:val="single" w:sz="4" w:space="0" w:color="auto"/>
            </w:tcBorders>
            <w:shd w:val="clear" w:color="auto" w:fill="auto"/>
            <w:noWrap/>
            <w:vAlign w:val="center"/>
            <w:hideMark/>
          </w:tcPr>
          <w:p w14:paraId="0FCEDCA7" w14:textId="77777777" w:rsidR="005B6BB0" w:rsidRPr="00D14CD7" w:rsidRDefault="005B6BB0" w:rsidP="00286339">
            <w:pPr>
              <w:spacing w:after="0" w:line="240" w:lineRule="auto"/>
              <w:jc w:val="right"/>
              <w:rPr>
                <w:rFonts w:eastAsia="Times New Roman"/>
                <w:color w:val="000000" w:themeColor="text1"/>
                <w:sz w:val="16"/>
                <w:szCs w:val="16"/>
              </w:rPr>
            </w:pPr>
            <w:r w:rsidRPr="00D14CD7">
              <w:rPr>
                <w:rFonts w:eastAsia="Times New Roman"/>
                <w:color w:val="000000" w:themeColor="text1"/>
                <w:sz w:val="16"/>
                <w:szCs w:val="22"/>
              </w:rPr>
              <w:t>—</w:t>
            </w:r>
          </w:p>
        </w:tc>
        <w:tc>
          <w:tcPr>
            <w:tcW w:w="185" w:type="pct"/>
            <w:tcBorders>
              <w:top w:val="single" w:sz="4" w:space="0" w:color="auto"/>
              <w:bottom w:val="single" w:sz="4" w:space="0" w:color="auto"/>
              <w:right w:val="single" w:sz="8" w:space="0" w:color="auto"/>
            </w:tcBorders>
            <w:shd w:val="clear" w:color="auto" w:fill="auto"/>
            <w:noWrap/>
            <w:vAlign w:val="center"/>
            <w:hideMark/>
          </w:tcPr>
          <w:p w14:paraId="0DF3BB0D" w14:textId="77777777" w:rsidR="005B6BB0" w:rsidRPr="00D14CD7" w:rsidRDefault="005B6BB0" w:rsidP="00286339">
            <w:pPr>
              <w:spacing w:after="0" w:line="240" w:lineRule="auto"/>
              <w:jc w:val="right"/>
              <w:rPr>
                <w:rFonts w:eastAsia="Times New Roman"/>
                <w:color w:val="000000" w:themeColor="text1"/>
                <w:sz w:val="16"/>
                <w:szCs w:val="16"/>
              </w:rPr>
            </w:pPr>
            <w:r w:rsidRPr="00D14CD7">
              <w:rPr>
                <w:rFonts w:eastAsia="Times New Roman"/>
                <w:color w:val="000000" w:themeColor="text1"/>
                <w:sz w:val="16"/>
                <w:szCs w:val="22"/>
              </w:rPr>
              <w:t>—</w:t>
            </w:r>
          </w:p>
        </w:tc>
        <w:tc>
          <w:tcPr>
            <w:tcW w:w="185" w:type="pct"/>
            <w:tcBorders>
              <w:left w:val="single" w:sz="8" w:space="0" w:color="auto"/>
            </w:tcBorders>
            <w:shd w:val="clear" w:color="auto" w:fill="auto"/>
            <w:noWrap/>
            <w:vAlign w:val="center"/>
            <w:hideMark/>
          </w:tcPr>
          <w:p w14:paraId="5A5BA708" w14:textId="77777777" w:rsidR="005B6BB0" w:rsidRPr="00D14CD7" w:rsidRDefault="005B6BB0" w:rsidP="00286339">
            <w:pPr>
              <w:spacing w:after="0" w:line="240" w:lineRule="auto"/>
              <w:jc w:val="right"/>
              <w:rPr>
                <w:rFonts w:eastAsia="Times New Roman"/>
                <w:color w:val="000000" w:themeColor="text1"/>
                <w:sz w:val="16"/>
                <w:szCs w:val="16"/>
              </w:rPr>
            </w:pPr>
            <w:r w:rsidRPr="00D14CD7">
              <w:rPr>
                <w:rFonts w:eastAsia="Times New Roman"/>
                <w:color w:val="000000" w:themeColor="text1"/>
                <w:sz w:val="16"/>
                <w:szCs w:val="22"/>
              </w:rPr>
              <w:t>—</w:t>
            </w:r>
          </w:p>
        </w:tc>
        <w:tc>
          <w:tcPr>
            <w:tcW w:w="185" w:type="pct"/>
            <w:tcBorders>
              <w:top w:val="single" w:sz="4" w:space="0" w:color="auto"/>
              <w:bottom w:val="single" w:sz="4" w:space="0" w:color="auto"/>
              <w:right w:val="single" w:sz="8" w:space="0" w:color="auto"/>
            </w:tcBorders>
            <w:shd w:val="clear" w:color="auto" w:fill="auto"/>
            <w:noWrap/>
            <w:vAlign w:val="center"/>
            <w:hideMark/>
          </w:tcPr>
          <w:p w14:paraId="0923B86C" w14:textId="77777777" w:rsidR="005B6BB0" w:rsidRPr="00D14CD7" w:rsidRDefault="005B6BB0" w:rsidP="00286339">
            <w:pPr>
              <w:spacing w:after="0" w:line="240" w:lineRule="auto"/>
              <w:jc w:val="right"/>
              <w:rPr>
                <w:rFonts w:eastAsia="Times New Roman"/>
                <w:color w:val="000000" w:themeColor="text1"/>
                <w:sz w:val="16"/>
                <w:szCs w:val="16"/>
              </w:rPr>
            </w:pPr>
            <w:r w:rsidRPr="00D14CD7">
              <w:rPr>
                <w:rFonts w:eastAsia="Times New Roman"/>
                <w:color w:val="000000" w:themeColor="text1"/>
                <w:sz w:val="16"/>
                <w:szCs w:val="22"/>
              </w:rPr>
              <w:t>—</w:t>
            </w:r>
          </w:p>
        </w:tc>
        <w:tc>
          <w:tcPr>
            <w:tcW w:w="156" w:type="pct"/>
            <w:tcBorders>
              <w:left w:val="single" w:sz="8" w:space="0" w:color="auto"/>
            </w:tcBorders>
            <w:shd w:val="clear" w:color="auto" w:fill="auto"/>
            <w:noWrap/>
            <w:vAlign w:val="center"/>
            <w:hideMark/>
          </w:tcPr>
          <w:p w14:paraId="3A66CAE5" w14:textId="77777777" w:rsidR="005B6BB0" w:rsidRPr="00D14CD7" w:rsidRDefault="005B6BB0" w:rsidP="00286339">
            <w:pPr>
              <w:spacing w:after="0" w:line="240" w:lineRule="auto"/>
              <w:jc w:val="right"/>
              <w:rPr>
                <w:rFonts w:eastAsia="Times New Roman"/>
                <w:color w:val="000000" w:themeColor="text1"/>
                <w:sz w:val="16"/>
                <w:szCs w:val="16"/>
              </w:rPr>
            </w:pPr>
            <w:r w:rsidRPr="00D14CD7">
              <w:rPr>
                <w:rFonts w:eastAsia="Times New Roman"/>
                <w:color w:val="000000" w:themeColor="text1"/>
                <w:sz w:val="16"/>
                <w:szCs w:val="22"/>
              </w:rPr>
              <w:t>—</w:t>
            </w:r>
          </w:p>
        </w:tc>
        <w:tc>
          <w:tcPr>
            <w:tcW w:w="157" w:type="pct"/>
            <w:tcBorders>
              <w:right w:val="double" w:sz="4" w:space="0" w:color="auto"/>
            </w:tcBorders>
            <w:shd w:val="clear" w:color="auto" w:fill="auto"/>
            <w:noWrap/>
            <w:vAlign w:val="center"/>
            <w:hideMark/>
          </w:tcPr>
          <w:p w14:paraId="14828DDC" w14:textId="77777777" w:rsidR="005B6BB0" w:rsidRPr="00D14CD7" w:rsidRDefault="005B6BB0" w:rsidP="00286339">
            <w:pPr>
              <w:spacing w:after="0" w:line="240" w:lineRule="auto"/>
              <w:jc w:val="right"/>
              <w:rPr>
                <w:rFonts w:eastAsia="Times New Roman"/>
                <w:color w:val="000000" w:themeColor="text1"/>
                <w:sz w:val="16"/>
                <w:szCs w:val="16"/>
              </w:rPr>
            </w:pPr>
            <w:r w:rsidRPr="00D14CD7">
              <w:rPr>
                <w:rFonts w:eastAsia="Times New Roman"/>
                <w:color w:val="000000" w:themeColor="text1"/>
                <w:sz w:val="16"/>
                <w:szCs w:val="22"/>
              </w:rPr>
              <w:t>—</w:t>
            </w:r>
          </w:p>
        </w:tc>
        <w:tc>
          <w:tcPr>
            <w:tcW w:w="187" w:type="pct"/>
            <w:tcBorders>
              <w:top w:val="single" w:sz="4" w:space="0" w:color="auto"/>
              <w:left w:val="double" w:sz="4" w:space="0" w:color="auto"/>
              <w:bottom w:val="single" w:sz="4" w:space="0" w:color="auto"/>
            </w:tcBorders>
            <w:shd w:val="clear" w:color="auto" w:fill="auto"/>
            <w:noWrap/>
            <w:vAlign w:val="center"/>
            <w:hideMark/>
          </w:tcPr>
          <w:p w14:paraId="6F88DC27" w14:textId="77777777" w:rsidR="005B6BB0" w:rsidRPr="00D14CD7" w:rsidRDefault="005B6BB0" w:rsidP="00286339">
            <w:pPr>
              <w:spacing w:after="0" w:line="240" w:lineRule="auto"/>
              <w:jc w:val="right"/>
              <w:rPr>
                <w:rFonts w:eastAsia="Times New Roman"/>
                <w:color w:val="000000" w:themeColor="text1"/>
                <w:sz w:val="16"/>
                <w:szCs w:val="16"/>
              </w:rPr>
            </w:pPr>
            <w:r w:rsidRPr="00D14CD7">
              <w:rPr>
                <w:rFonts w:eastAsia="Times New Roman"/>
                <w:color w:val="000000" w:themeColor="text1"/>
                <w:sz w:val="16"/>
                <w:szCs w:val="16"/>
              </w:rPr>
              <w:t>-0.064</w:t>
            </w:r>
          </w:p>
        </w:tc>
        <w:tc>
          <w:tcPr>
            <w:tcW w:w="183" w:type="pct"/>
            <w:tcBorders>
              <w:top w:val="single" w:sz="4" w:space="0" w:color="auto"/>
              <w:bottom w:val="single" w:sz="4" w:space="0" w:color="auto"/>
            </w:tcBorders>
            <w:shd w:val="clear" w:color="auto" w:fill="auto"/>
            <w:noWrap/>
            <w:vAlign w:val="center"/>
            <w:hideMark/>
          </w:tcPr>
          <w:p w14:paraId="7072BCF3" w14:textId="77777777" w:rsidR="005B6BB0" w:rsidRPr="00D14CD7" w:rsidRDefault="005B6BB0" w:rsidP="00286339">
            <w:pPr>
              <w:spacing w:after="0" w:line="240" w:lineRule="auto"/>
              <w:jc w:val="right"/>
              <w:rPr>
                <w:rFonts w:eastAsia="Times New Roman"/>
                <w:color w:val="000000" w:themeColor="text1"/>
                <w:sz w:val="16"/>
                <w:szCs w:val="16"/>
              </w:rPr>
            </w:pPr>
            <w:r w:rsidRPr="00D14CD7">
              <w:rPr>
                <w:rFonts w:eastAsia="Times New Roman"/>
                <w:color w:val="000000" w:themeColor="text1"/>
                <w:sz w:val="16"/>
                <w:szCs w:val="16"/>
              </w:rPr>
              <w:t>-1.79</w:t>
            </w:r>
          </w:p>
        </w:tc>
      </w:tr>
      <w:tr w:rsidR="00D14CD7" w:rsidRPr="00D14CD7" w14:paraId="234011AA" w14:textId="77777777" w:rsidTr="00286339">
        <w:trPr>
          <w:trHeight w:val="72"/>
        </w:trPr>
        <w:tc>
          <w:tcPr>
            <w:tcW w:w="1709" w:type="pct"/>
            <w:tcBorders>
              <w:top w:val="single" w:sz="4" w:space="0" w:color="auto"/>
              <w:bottom w:val="single" w:sz="8" w:space="0" w:color="auto"/>
              <w:right w:val="double" w:sz="4" w:space="0" w:color="auto"/>
            </w:tcBorders>
            <w:shd w:val="clear" w:color="auto" w:fill="auto"/>
            <w:noWrap/>
            <w:vAlign w:val="center"/>
            <w:hideMark/>
          </w:tcPr>
          <w:p w14:paraId="1390EB5E" w14:textId="27875979" w:rsidR="005B6BB0" w:rsidRPr="00D14CD7" w:rsidRDefault="005B6BB0" w:rsidP="00286339">
            <w:pPr>
              <w:spacing w:after="0" w:line="240" w:lineRule="auto"/>
              <w:ind w:firstLine="140"/>
              <w:jc w:val="left"/>
              <w:rPr>
                <w:rFonts w:eastAsia="Times New Roman"/>
                <w:color w:val="000000" w:themeColor="text1"/>
                <w:sz w:val="16"/>
                <w:szCs w:val="16"/>
              </w:rPr>
            </w:pPr>
            <w:r w:rsidRPr="00D14CD7">
              <w:rPr>
                <w:rFonts w:eastAsia="Times New Roman"/>
                <w:color w:val="000000" w:themeColor="text1"/>
                <w:sz w:val="16"/>
                <w:szCs w:val="22"/>
              </w:rPr>
              <w:t xml:space="preserve">Not White </w:t>
            </w:r>
            <w:r w:rsidR="00306BFA">
              <w:rPr>
                <w:rFonts w:eastAsia="Times New Roman"/>
                <w:color w:val="000000" w:themeColor="text1"/>
                <w:sz w:val="16"/>
                <w:szCs w:val="22"/>
              </w:rPr>
              <w:t>×</w:t>
            </w:r>
            <w:r w:rsidRPr="00D14CD7">
              <w:rPr>
                <w:rFonts w:eastAsia="Times New Roman"/>
                <w:color w:val="000000" w:themeColor="text1"/>
                <w:sz w:val="16"/>
                <w:szCs w:val="22"/>
              </w:rPr>
              <w:t xml:space="preserve"> (Walkability Index/100)</w:t>
            </w:r>
          </w:p>
        </w:tc>
        <w:tc>
          <w:tcPr>
            <w:tcW w:w="227" w:type="pct"/>
            <w:tcBorders>
              <w:top w:val="single" w:sz="4" w:space="0" w:color="auto"/>
              <w:left w:val="double" w:sz="4" w:space="0" w:color="auto"/>
              <w:bottom w:val="single" w:sz="8" w:space="0" w:color="auto"/>
            </w:tcBorders>
            <w:shd w:val="clear" w:color="auto" w:fill="auto"/>
            <w:noWrap/>
            <w:vAlign w:val="center"/>
            <w:hideMark/>
          </w:tcPr>
          <w:p w14:paraId="39A22554" w14:textId="77777777" w:rsidR="005B6BB0" w:rsidRPr="00D14CD7" w:rsidRDefault="005B6BB0" w:rsidP="00286339">
            <w:pPr>
              <w:spacing w:after="0" w:line="240" w:lineRule="auto"/>
              <w:jc w:val="right"/>
              <w:rPr>
                <w:rFonts w:eastAsia="Times New Roman"/>
                <w:color w:val="000000" w:themeColor="text1"/>
                <w:sz w:val="16"/>
                <w:szCs w:val="16"/>
              </w:rPr>
            </w:pPr>
            <w:r w:rsidRPr="00D14CD7">
              <w:rPr>
                <w:rFonts w:eastAsia="Times New Roman"/>
                <w:color w:val="000000" w:themeColor="text1"/>
                <w:sz w:val="16"/>
                <w:szCs w:val="22"/>
              </w:rPr>
              <w:t>—</w:t>
            </w:r>
          </w:p>
        </w:tc>
        <w:tc>
          <w:tcPr>
            <w:tcW w:w="199" w:type="pct"/>
            <w:tcBorders>
              <w:top w:val="single" w:sz="4" w:space="0" w:color="auto"/>
              <w:bottom w:val="single" w:sz="8" w:space="0" w:color="auto"/>
              <w:right w:val="single" w:sz="8" w:space="0" w:color="auto"/>
            </w:tcBorders>
            <w:shd w:val="clear" w:color="auto" w:fill="auto"/>
            <w:noWrap/>
            <w:vAlign w:val="center"/>
            <w:hideMark/>
          </w:tcPr>
          <w:p w14:paraId="1C7ED97D" w14:textId="77777777" w:rsidR="005B6BB0" w:rsidRPr="00D14CD7" w:rsidRDefault="005B6BB0" w:rsidP="00286339">
            <w:pPr>
              <w:spacing w:after="0" w:line="240" w:lineRule="auto"/>
              <w:jc w:val="right"/>
              <w:rPr>
                <w:rFonts w:eastAsia="Times New Roman"/>
                <w:color w:val="000000" w:themeColor="text1"/>
                <w:sz w:val="16"/>
                <w:szCs w:val="16"/>
              </w:rPr>
            </w:pPr>
            <w:r w:rsidRPr="00D14CD7">
              <w:rPr>
                <w:rFonts w:eastAsia="Times New Roman"/>
                <w:color w:val="000000" w:themeColor="text1"/>
                <w:sz w:val="16"/>
                <w:szCs w:val="22"/>
              </w:rPr>
              <w:t>—</w:t>
            </w:r>
          </w:p>
        </w:tc>
        <w:tc>
          <w:tcPr>
            <w:tcW w:w="184" w:type="pct"/>
            <w:tcBorders>
              <w:top w:val="single" w:sz="4" w:space="0" w:color="auto"/>
              <w:left w:val="single" w:sz="8" w:space="0" w:color="auto"/>
              <w:bottom w:val="single" w:sz="8" w:space="0" w:color="auto"/>
            </w:tcBorders>
            <w:shd w:val="clear" w:color="auto" w:fill="auto"/>
            <w:noWrap/>
            <w:vAlign w:val="center"/>
            <w:hideMark/>
          </w:tcPr>
          <w:p w14:paraId="496A5F4F" w14:textId="77777777" w:rsidR="005B6BB0" w:rsidRPr="00D14CD7" w:rsidRDefault="005B6BB0" w:rsidP="00286339">
            <w:pPr>
              <w:spacing w:after="0" w:line="240" w:lineRule="auto"/>
              <w:jc w:val="right"/>
              <w:rPr>
                <w:rFonts w:eastAsia="Times New Roman"/>
                <w:color w:val="000000" w:themeColor="text1"/>
                <w:sz w:val="16"/>
                <w:szCs w:val="16"/>
              </w:rPr>
            </w:pPr>
            <w:r w:rsidRPr="00D14CD7">
              <w:rPr>
                <w:rFonts w:eastAsia="Times New Roman"/>
                <w:color w:val="000000" w:themeColor="text1"/>
                <w:sz w:val="16"/>
                <w:szCs w:val="22"/>
              </w:rPr>
              <w:t>—</w:t>
            </w:r>
          </w:p>
        </w:tc>
        <w:tc>
          <w:tcPr>
            <w:tcW w:w="185" w:type="pct"/>
            <w:tcBorders>
              <w:top w:val="single" w:sz="4" w:space="0" w:color="auto"/>
              <w:bottom w:val="single" w:sz="8" w:space="0" w:color="auto"/>
              <w:right w:val="single" w:sz="8" w:space="0" w:color="auto"/>
            </w:tcBorders>
            <w:shd w:val="clear" w:color="auto" w:fill="auto"/>
            <w:noWrap/>
            <w:vAlign w:val="center"/>
            <w:hideMark/>
          </w:tcPr>
          <w:p w14:paraId="10D73DCE" w14:textId="77777777" w:rsidR="005B6BB0" w:rsidRPr="00D14CD7" w:rsidRDefault="005B6BB0" w:rsidP="00286339">
            <w:pPr>
              <w:spacing w:after="0" w:line="240" w:lineRule="auto"/>
              <w:jc w:val="right"/>
              <w:rPr>
                <w:rFonts w:eastAsia="Times New Roman"/>
                <w:color w:val="000000" w:themeColor="text1"/>
                <w:sz w:val="16"/>
                <w:szCs w:val="16"/>
              </w:rPr>
            </w:pPr>
            <w:r w:rsidRPr="00D14CD7">
              <w:rPr>
                <w:rFonts w:eastAsia="Times New Roman"/>
                <w:color w:val="000000" w:themeColor="text1"/>
                <w:sz w:val="16"/>
                <w:szCs w:val="22"/>
              </w:rPr>
              <w:t>—</w:t>
            </w:r>
          </w:p>
        </w:tc>
        <w:tc>
          <w:tcPr>
            <w:tcW w:w="184" w:type="pct"/>
            <w:tcBorders>
              <w:top w:val="single" w:sz="4" w:space="0" w:color="auto"/>
              <w:left w:val="single" w:sz="8" w:space="0" w:color="auto"/>
              <w:bottom w:val="single" w:sz="8" w:space="0" w:color="auto"/>
            </w:tcBorders>
            <w:shd w:val="clear" w:color="auto" w:fill="auto"/>
            <w:noWrap/>
            <w:vAlign w:val="center"/>
            <w:hideMark/>
          </w:tcPr>
          <w:p w14:paraId="2C6AD517" w14:textId="77777777" w:rsidR="005B6BB0" w:rsidRPr="00D14CD7" w:rsidRDefault="005B6BB0" w:rsidP="00286339">
            <w:pPr>
              <w:spacing w:after="0" w:line="240" w:lineRule="auto"/>
              <w:jc w:val="right"/>
              <w:rPr>
                <w:rFonts w:eastAsia="Times New Roman"/>
                <w:color w:val="000000" w:themeColor="text1"/>
                <w:sz w:val="16"/>
                <w:szCs w:val="16"/>
              </w:rPr>
            </w:pPr>
            <w:r w:rsidRPr="00D14CD7">
              <w:rPr>
                <w:rFonts w:eastAsia="Times New Roman"/>
                <w:color w:val="000000" w:themeColor="text1"/>
                <w:sz w:val="16"/>
                <w:szCs w:val="16"/>
              </w:rPr>
              <w:t>0.203</w:t>
            </w:r>
          </w:p>
        </w:tc>
        <w:tc>
          <w:tcPr>
            <w:tcW w:w="188" w:type="pct"/>
            <w:tcBorders>
              <w:top w:val="single" w:sz="4" w:space="0" w:color="auto"/>
              <w:bottom w:val="single" w:sz="8" w:space="0" w:color="auto"/>
              <w:right w:val="single" w:sz="8" w:space="0" w:color="auto"/>
            </w:tcBorders>
            <w:shd w:val="clear" w:color="auto" w:fill="auto"/>
            <w:noWrap/>
            <w:vAlign w:val="center"/>
            <w:hideMark/>
          </w:tcPr>
          <w:p w14:paraId="197D9140" w14:textId="77777777" w:rsidR="005B6BB0" w:rsidRPr="00D14CD7" w:rsidRDefault="005B6BB0" w:rsidP="00286339">
            <w:pPr>
              <w:spacing w:after="0" w:line="240" w:lineRule="auto"/>
              <w:jc w:val="right"/>
              <w:rPr>
                <w:rFonts w:eastAsia="Times New Roman"/>
                <w:color w:val="000000" w:themeColor="text1"/>
                <w:sz w:val="16"/>
                <w:szCs w:val="16"/>
              </w:rPr>
            </w:pPr>
            <w:r w:rsidRPr="00D14CD7">
              <w:rPr>
                <w:rFonts w:eastAsia="Times New Roman"/>
                <w:color w:val="000000" w:themeColor="text1"/>
                <w:sz w:val="16"/>
                <w:szCs w:val="16"/>
              </w:rPr>
              <w:t>1.52</w:t>
            </w:r>
          </w:p>
        </w:tc>
        <w:tc>
          <w:tcPr>
            <w:tcW w:w="188" w:type="pct"/>
            <w:tcBorders>
              <w:top w:val="single" w:sz="4" w:space="0" w:color="auto"/>
              <w:left w:val="single" w:sz="8" w:space="0" w:color="auto"/>
              <w:bottom w:val="single" w:sz="8" w:space="0" w:color="auto"/>
            </w:tcBorders>
            <w:shd w:val="clear" w:color="auto" w:fill="auto"/>
            <w:noWrap/>
            <w:vAlign w:val="center"/>
            <w:hideMark/>
          </w:tcPr>
          <w:p w14:paraId="0139F914" w14:textId="77777777" w:rsidR="005B6BB0" w:rsidRPr="00D14CD7" w:rsidRDefault="005B6BB0" w:rsidP="00286339">
            <w:pPr>
              <w:spacing w:after="0" w:line="240" w:lineRule="auto"/>
              <w:jc w:val="right"/>
              <w:rPr>
                <w:rFonts w:eastAsia="Times New Roman"/>
                <w:color w:val="000000" w:themeColor="text1"/>
                <w:sz w:val="16"/>
                <w:szCs w:val="16"/>
              </w:rPr>
            </w:pPr>
            <w:proofErr w:type="spellStart"/>
            <w:r w:rsidRPr="00D14CD7">
              <w:rPr>
                <w:rFonts w:eastAsia="Times New Roman"/>
                <w:color w:val="000000" w:themeColor="text1"/>
                <w:sz w:val="16"/>
                <w:szCs w:val="22"/>
              </w:rPr>
              <w:t>na</w:t>
            </w:r>
            <w:proofErr w:type="spellEnd"/>
          </w:p>
        </w:tc>
        <w:tc>
          <w:tcPr>
            <w:tcW w:w="146" w:type="pct"/>
            <w:tcBorders>
              <w:top w:val="single" w:sz="4" w:space="0" w:color="auto"/>
              <w:bottom w:val="single" w:sz="8" w:space="0" w:color="auto"/>
              <w:right w:val="double" w:sz="4" w:space="0" w:color="auto"/>
            </w:tcBorders>
            <w:shd w:val="clear" w:color="auto" w:fill="auto"/>
            <w:noWrap/>
            <w:vAlign w:val="center"/>
            <w:hideMark/>
          </w:tcPr>
          <w:p w14:paraId="281529EB" w14:textId="77777777" w:rsidR="005B6BB0" w:rsidRPr="00D14CD7" w:rsidRDefault="005B6BB0" w:rsidP="00286339">
            <w:pPr>
              <w:spacing w:after="0" w:line="240" w:lineRule="auto"/>
              <w:jc w:val="right"/>
              <w:rPr>
                <w:rFonts w:eastAsia="Times New Roman"/>
                <w:color w:val="000000" w:themeColor="text1"/>
                <w:sz w:val="16"/>
                <w:szCs w:val="16"/>
              </w:rPr>
            </w:pPr>
            <w:proofErr w:type="spellStart"/>
            <w:r w:rsidRPr="00D14CD7">
              <w:rPr>
                <w:rFonts w:eastAsia="Times New Roman"/>
                <w:color w:val="000000" w:themeColor="text1"/>
                <w:sz w:val="16"/>
                <w:szCs w:val="22"/>
              </w:rPr>
              <w:t>na</w:t>
            </w:r>
            <w:proofErr w:type="spellEnd"/>
          </w:p>
        </w:tc>
        <w:tc>
          <w:tcPr>
            <w:tcW w:w="184" w:type="pct"/>
            <w:tcBorders>
              <w:left w:val="double" w:sz="4" w:space="0" w:color="auto"/>
              <w:bottom w:val="single" w:sz="8" w:space="0" w:color="auto"/>
            </w:tcBorders>
            <w:shd w:val="clear" w:color="auto" w:fill="auto"/>
            <w:noWrap/>
            <w:vAlign w:val="center"/>
            <w:hideMark/>
          </w:tcPr>
          <w:p w14:paraId="4EF5D1F2" w14:textId="77777777" w:rsidR="005B6BB0" w:rsidRPr="00D14CD7" w:rsidRDefault="005B6BB0" w:rsidP="00286339">
            <w:pPr>
              <w:spacing w:after="0" w:line="240" w:lineRule="auto"/>
              <w:jc w:val="right"/>
              <w:rPr>
                <w:rFonts w:eastAsia="Times New Roman"/>
                <w:color w:val="000000" w:themeColor="text1"/>
                <w:sz w:val="16"/>
                <w:szCs w:val="16"/>
              </w:rPr>
            </w:pPr>
            <w:r w:rsidRPr="00D14CD7">
              <w:rPr>
                <w:rFonts w:eastAsia="Times New Roman"/>
                <w:color w:val="000000" w:themeColor="text1"/>
                <w:sz w:val="16"/>
                <w:szCs w:val="22"/>
              </w:rPr>
              <w:t>—</w:t>
            </w:r>
          </w:p>
        </w:tc>
        <w:tc>
          <w:tcPr>
            <w:tcW w:w="184" w:type="pct"/>
            <w:tcBorders>
              <w:top w:val="single" w:sz="4" w:space="0" w:color="auto"/>
              <w:bottom w:val="single" w:sz="8" w:space="0" w:color="auto"/>
              <w:right w:val="single" w:sz="8" w:space="0" w:color="auto"/>
            </w:tcBorders>
            <w:shd w:val="clear" w:color="auto" w:fill="auto"/>
            <w:noWrap/>
            <w:vAlign w:val="center"/>
            <w:hideMark/>
          </w:tcPr>
          <w:p w14:paraId="47841162" w14:textId="77777777" w:rsidR="005B6BB0" w:rsidRPr="00D14CD7" w:rsidRDefault="005B6BB0" w:rsidP="00286339">
            <w:pPr>
              <w:spacing w:after="0" w:line="240" w:lineRule="auto"/>
              <w:jc w:val="right"/>
              <w:rPr>
                <w:rFonts w:eastAsia="Times New Roman"/>
                <w:color w:val="000000" w:themeColor="text1"/>
                <w:sz w:val="16"/>
                <w:szCs w:val="16"/>
              </w:rPr>
            </w:pPr>
            <w:r w:rsidRPr="00D14CD7">
              <w:rPr>
                <w:rFonts w:eastAsia="Times New Roman"/>
                <w:color w:val="000000" w:themeColor="text1"/>
                <w:sz w:val="16"/>
                <w:szCs w:val="22"/>
              </w:rPr>
              <w:t>—</w:t>
            </w:r>
          </w:p>
        </w:tc>
        <w:tc>
          <w:tcPr>
            <w:tcW w:w="184" w:type="pct"/>
            <w:tcBorders>
              <w:top w:val="single" w:sz="4" w:space="0" w:color="auto"/>
              <w:left w:val="single" w:sz="8" w:space="0" w:color="auto"/>
              <w:bottom w:val="single" w:sz="8" w:space="0" w:color="auto"/>
            </w:tcBorders>
            <w:shd w:val="clear" w:color="auto" w:fill="auto"/>
            <w:noWrap/>
            <w:vAlign w:val="center"/>
            <w:hideMark/>
          </w:tcPr>
          <w:p w14:paraId="309BC44E" w14:textId="77777777" w:rsidR="005B6BB0" w:rsidRPr="00D14CD7" w:rsidRDefault="005B6BB0" w:rsidP="00286339">
            <w:pPr>
              <w:spacing w:after="0" w:line="240" w:lineRule="auto"/>
              <w:jc w:val="right"/>
              <w:rPr>
                <w:rFonts w:eastAsia="Times New Roman"/>
                <w:color w:val="000000" w:themeColor="text1"/>
                <w:sz w:val="16"/>
                <w:szCs w:val="16"/>
              </w:rPr>
            </w:pPr>
            <w:r w:rsidRPr="00D14CD7">
              <w:rPr>
                <w:rFonts w:eastAsia="Times New Roman"/>
                <w:color w:val="000000" w:themeColor="text1"/>
                <w:sz w:val="16"/>
                <w:szCs w:val="22"/>
              </w:rPr>
              <w:t>—</w:t>
            </w:r>
          </w:p>
        </w:tc>
        <w:tc>
          <w:tcPr>
            <w:tcW w:w="185" w:type="pct"/>
            <w:tcBorders>
              <w:top w:val="single" w:sz="4" w:space="0" w:color="auto"/>
              <w:bottom w:val="single" w:sz="8" w:space="0" w:color="auto"/>
              <w:right w:val="single" w:sz="8" w:space="0" w:color="auto"/>
            </w:tcBorders>
            <w:shd w:val="clear" w:color="auto" w:fill="auto"/>
            <w:noWrap/>
            <w:vAlign w:val="center"/>
            <w:hideMark/>
          </w:tcPr>
          <w:p w14:paraId="62C6A6CC" w14:textId="77777777" w:rsidR="005B6BB0" w:rsidRPr="00D14CD7" w:rsidRDefault="005B6BB0" w:rsidP="00286339">
            <w:pPr>
              <w:spacing w:after="0" w:line="240" w:lineRule="auto"/>
              <w:jc w:val="right"/>
              <w:rPr>
                <w:rFonts w:eastAsia="Times New Roman"/>
                <w:color w:val="000000" w:themeColor="text1"/>
                <w:sz w:val="16"/>
                <w:szCs w:val="16"/>
              </w:rPr>
            </w:pPr>
            <w:r w:rsidRPr="00D14CD7">
              <w:rPr>
                <w:rFonts w:eastAsia="Times New Roman"/>
                <w:color w:val="000000" w:themeColor="text1"/>
                <w:sz w:val="16"/>
                <w:szCs w:val="22"/>
              </w:rPr>
              <w:t>—</w:t>
            </w:r>
          </w:p>
        </w:tc>
        <w:tc>
          <w:tcPr>
            <w:tcW w:w="185" w:type="pct"/>
            <w:tcBorders>
              <w:left w:val="single" w:sz="8" w:space="0" w:color="auto"/>
              <w:bottom w:val="single" w:sz="8" w:space="0" w:color="auto"/>
            </w:tcBorders>
            <w:shd w:val="clear" w:color="auto" w:fill="auto"/>
            <w:noWrap/>
            <w:vAlign w:val="center"/>
            <w:hideMark/>
          </w:tcPr>
          <w:p w14:paraId="79F9BE5E" w14:textId="77777777" w:rsidR="005B6BB0" w:rsidRPr="00D14CD7" w:rsidRDefault="005B6BB0" w:rsidP="00286339">
            <w:pPr>
              <w:spacing w:after="0" w:line="240" w:lineRule="auto"/>
              <w:jc w:val="right"/>
              <w:rPr>
                <w:rFonts w:eastAsia="Times New Roman"/>
                <w:color w:val="000000" w:themeColor="text1"/>
                <w:sz w:val="16"/>
                <w:szCs w:val="16"/>
              </w:rPr>
            </w:pPr>
            <w:r w:rsidRPr="00D14CD7">
              <w:rPr>
                <w:rFonts w:eastAsia="Times New Roman"/>
                <w:color w:val="000000" w:themeColor="text1"/>
                <w:sz w:val="16"/>
                <w:szCs w:val="22"/>
              </w:rPr>
              <w:t>—</w:t>
            </w:r>
          </w:p>
        </w:tc>
        <w:tc>
          <w:tcPr>
            <w:tcW w:w="185" w:type="pct"/>
            <w:tcBorders>
              <w:top w:val="single" w:sz="4" w:space="0" w:color="auto"/>
              <w:bottom w:val="single" w:sz="8" w:space="0" w:color="auto"/>
              <w:right w:val="single" w:sz="8" w:space="0" w:color="auto"/>
            </w:tcBorders>
            <w:shd w:val="clear" w:color="auto" w:fill="auto"/>
            <w:noWrap/>
            <w:vAlign w:val="center"/>
            <w:hideMark/>
          </w:tcPr>
          <w:p w14:paraId="7D090951" w14:textId="77777777" w:rsidR="005B6BB0" w:rsidRPr="00D14CD7" w:rsidRDefault="005B6BB0" w:rsidP="00286339">
            <w:pPr>
              <w:spacing w:after="0" w:line="240" w:lineRule="auto"/>
              <w:jc w:val="right"/>
              <w:rPr>
                <w:rFonts w:eastAsia="Times New Roman"/>
                <w:color w:val="000000" w:themeColor="text1"/>
                <w:sz w:val="16"/>
                <w:szCs w:val="16"/>
              </w:rPr>
            </w:pPr>
            <w:r w:rsidRPr="00D14CD7">
              <w:rPr>
                <w:rFonts w:eastAsia="Times New Roman"/>
                <w:color w:val="000000" w:themeColor="text1"/>
                <w:sz w:val="16"/>
                <w:szCs w:val="22"/>
              </w:rPr>
              <w:t>—</w:t>
            </w:r>
          </w:p>
        </w:tc>
        <w:tc>
          <w:tcPr>
            <w:tcW w:w="156" w:type="pct"/>
            <w:tcBorders>
              <w:left w:val="single" w:sz="8" w:space="0" w:color="auto"/>
              <w:bottom w:val="single" w:sz="8" w:space="0" w:color="auto"/>
            </w:tcBorders>
            <w:shd w:val="clear" w:color="auto" w:fill="auto"/>
            <w:noWrap/>
            <w:vAlign w:val="center"/>
            <w:hideMark/>
          </w:tcPr>
          <w:p w14:paraId="5EB75B4A" w14:textId="77777777" w:rsidR="005B6BB0" w:rsidRPr="00D14CD7" w:rsidRDefault="005B6BB0" w:rsidP="00286339">
            <w:pPr>
              <w:spacing w:after="0" w:line="240" w:lineRule="auto"/>
              <w:jc w:val="right"/>
              <w:rPr>
                <w:rFonts w:eastAsia="Times New Roman"/>
                <w:color w:val="000000" w:themeColor="text1"/>
                <w:sz w:val="16"/>
                <w:szCs w:val="16"/>
              </w:rPr>
            </w:pPr>
            <w:proofErr w:type="spellStart"/>
            <w:r w:rsidRPr="00D14CD7">
              <w:rPr>
                <w:rFonts w:eastAsia="Times New Roman"/>
                <w:color w:val="000000" w:themeColor="text1"/>
                <w:sz w:val="16"/>
                <w:szCs w:val="22"/>
              </w:rPr>
              <w:t>na</w:t>
            </w:r>
            <w:proofErr w:type="spellEnd"/>
          </w:p>
        </w:tc>
        <w:tc>
          <w:tcPr>
            <w:tcW w:w="157" w:type="pct"/>
            <w:tcBorders>
              <w:bottom w:val="single" w:sz="8" w:space="0" w:color="auto"/>
              <w:right w:val="double" w:sz="4" w:space="0" w:color="auto"/>
            </w:tcBorders>
            <w:shd w:val="clear" w:color="auto" w:fill="auto"/>
            <w:noWrap/>
            <w:vAlign w:val="center"/>
            <w:hideMark/>
          </w:tcPr>
          <w:p w14:paraId="3B361141" w14:textId="77777777" w:rsidR="005B6BB0" w:rsidRPr="00D14CD7" w:rsidRDefault="005B6BB0" w:rsidP="00286339">
            <w:pPr>
              <w:spacing w:after="0" w:line="240" w:lineRule="auto"/>
              <w:jc w:val="right"/>
              <w:rPr>
                <w:rFonts w:eastAsia="Times New Roman"/>
                <w:color w:val="000000" w:themeColor="text1"/>
                <w:sz w:val="16"/>
                <w:szCs w:val="16"/>
              </w:rPr>
            </w:pPr>
            <w:proofErr w:type="spellStart"/>
            <w:r w:rsidRPr="00D14CD7">
              <w:rPr>
                <w:rFonts w:eastAsia="Times New Roman"/>
                <w:color w:val="000000" w:themeColor="text1"/>
                <w:sz w:val="16"/>
                <w:szCs w:val="22"/>
              </w:rPr>
              <w:t>na</w:t>
            </w:r>
            <w:proofErr w:type="spellEnd"/>
          </w:p>
        </w:tc>
        <w:tc>
          <w:tcPr>
            <w:tcW w:w="187" w:type="pct"/>
            <w:tcBorders>
              <w:top w:val="single" w:sz="4" w:space="0" w:color="auto"/>
              <w:left w:val="double" w:sz="4" w:space="0" w:color="auto"/>
              <w:bottom w:val="single" w:sz="8" w:space="0" w:color="auto"/>
            </w:tcBorders>
            <w:shd w:val="clear" w:color="auto" w:fill="auto"/>
            <w:noWrap/>
            <w:vAlign w:val="center"/>
            <w:hideMark/>
          </w:tcPr>
          <w:p w14:paraId="2440CF9E" w14:textId="77777777" w:rsidR="005B6BB0" w:rsidRPr="00D14CD7" w:rsidRDefault="005B6BB0" w:rsidP="00286339">
            <w:pPr>
              <w:spacing w:after="0" w:line="240" w:lineRule="auto"/>
              <w:jc w:val="right"/>
              <w:rPr>
                <w:rFonts w:eastAsia="Times New Roman"/>
                <w:color w:val="000000" w:themeColor="text1"/>
                <w:sz w:val="16"/>
                <w:szCs w:val="16"/>
              </w:rPr>
            </w:pPr>
            <w:r w:rsidRPr="00D14CD7">
              <w:rPr>
                <w:rFonts w:eastAsia="Times New Roman"/>
                <w:color w:val="000000" w:themeColor="text1"/>
                <w:sz w:val="16"/>
                <w:szCs w:val="22"/>
              </w:rPr>
              <w:t>—</w:t>
            </w:r>
          </w:p>
        </w:tc>
        <w:tc>
          <w:tcPr>
            <w:tcW w:w="183" w:type="pct"/>
            <w:tcBorders>
              <w:top w:val="single" w:sz="4" w:space="0" w:color="auto"/>
              <w:bottom w:val="single" w:sz="8" w:space="0" w:color="auto"/>
            </w:tcBorders>
            <w:shd w:val="clear" w:color="auto" w:fill="auto"/>
            <w:noWrap/>
            <w:vAlign w:val="center"/>
            <w:hideMark/>
          </w:tcPr>
          <w:p w14:paraId="6569B48A" w14:textId="77777777" w:rsidR="005B6BB0" w:rsidRPr="00D14CD7" w:rsidRDefault="005B6BB0" w:rsidP="00286339">
            <w:pPr>
              <w:spacing w:after="0" w:line="240" w:lineRule="auto"/>
              <w:jc w:val="right"/>
              <w:rPr>
                <w:rFonts w:eastAsia="Times New Roman"/>
                <w:color w:val="000000" w:themeColor="text1"/>
                <w:sz w:val="16"/>
                <w:szCs w:val="16"/>
              </w:rPr>
            </w:pPr>
            <w:r w:rsidRPr="00D14CD7">
              <w:rPr>
                <w:rFonts w:eastAsia="Times New Roman"/>
                <w:color w:val="000000" w:themeColor="text1"/>
                <w:sz w:val="16"/>
                <w:szCs w:val="22"/>
              </w:rPr>
              <w:t>—</w:t>
            </w:r>
          </w:p>
        </w:tc>
      </w:tr>
      <w:tr w:rsidR="00D14CD7" w:rsidRPr="00D14CD7" w14:paraId="4C5CB762" w14:textId="77777777" w:rsidTr="00286339">
        <w:trPr>
          <w:trHeight w:val="72"/>
        </w:trPr>
        <w:tc>
          <w:tcPr>
            <w:tcW w:w="5000" w:type="pct"/>
            <w:gridSpan w:val="19"/>
            <w:tcBorders>
              <w:top w:val="single" w:sz="8" w:space="0" w:color="auto"/>
              <w:bottom w:val="single" w:sz="4" w:space="0" w:color="auto"/>
            </w:tcBorders>
            <w:shd w:val="clear" w:color="auto" w:fill="auto"/>
            <w:noWrap/>
            <w:vAlign w:val="center"/>
            <w:hideMark/>
          </w:tcPr>
          <w:p w14:paraId="6BF26013" w14:textId="77777777" w:rsidR="005B6BB0" w:rsidRPr="00D14CD7" w:rsidRDefault="005B6BB0" w:rsidP="00286339">
            <w:pPr>
              <w:spacing w:after="0" w:line="240" w:lineRule="auto"/>
              <w:jc w:val="left"/>
              <w:rPr>
                <w:rFonts w:eastAsia="Times New Roman"/>
                <w:color w:val="000000" w:themeColor="text1"/>
                <w:sz w:val="20"/>
                <w:szCs w:val="20"/>
              </w:rPr>
            </w:pPr>
            <w:r w:rsidRPr="00D14CD7">
              <w:rPr>
                <w:rFonts w:eastAsia="Times New Roman"/>
                <w:b/>
                <w:bCs/>
                <w:i/>
                <w:iCs/>
                <w:color w:val="000000" w:themeColor="text1"/>
                <w:sz w:val="16"/>
                <w:szCs w:val="16"/>
              </w:rPr>
              <w:t>Educational level (base: below graduate degree)</w:t>
            </w:r>
          </w:p>
        </w:tc>
      </w:tr>
      <w:tr w:rsidR="00D14CD7" w:rsidRPr="00D14CD7" w14:paraId="616E7A47" w14:textId="77777777" w:rsidTr="00286339">
        <w:trPr>
          <w:trHeight w:val="72"/>
        </w:trPr>
        <w:tc>
          <w:tcPr>
            <w:tcW w:w="1709" w:type="pct"/>
            <w:tcBorders>
              <w:top w:val="single" w:sz="4" w:space="0" w:color="auto"/>
              <w:bottom w:val="single" w:sz="8" w:space="0" w:color="auto"/>
              <w:right w:val="double" w:sz="4" w:space="0" w:color="auto"/>
            </w:tcBorders>
            <w:shd w:val="clear" w:color="auto" w:fill="auto"/>
            <w:noWrap/>
            <w:vAlign w:val="center"/>
            <w:hideMark/>
          </w:tcPr>
          <w:p w14:paraId="1BF3F575" w14:textId="77777777" w:rsidR="005B6BB0" w:rsidRPr="00D14CD7" w:rsidRDefault="005B6BB0" w:rsidP="00286339">
            <w:pPr>
              <w:spacing w:after="0" w:line="240" w:lineRule="auto"/>
              <w:ind w:firstLine="140"/>
              <w:jc w:val="left"/>
              <w:rPr>
                <w:rFonts w:eastAsia="Times New Roman"/>
                <w:color w:val="000000" w:themeColor="text1"/>
                <w:sz w:val="16"/>
                <w:szCs w:val="16"/>
              </w:rPr>
            </w:pPr>
            <w:r w:rsidRPr="00D14CD7">
              <w:rPr>
                <w:rFonts w:eastAsia="Times New Roman"/>
                <w:color w:val="000000" w:themeColor="text1"/>
                <w:sz w:val="16"/>
                <w:szCs w:val="22"/>
              </w:rPr>
              <w:t>Graduate</w:t>
            </w:r>
          </w:p>
        </w:tc>
        <w:tc>
          <w:tcPr>
            <w:tcW w:w="227" w:type="pct"/>
            <w:tcBorders>
              <w:top w:val="single" w:sz="4" w:space="0" w:color="auto"/>
              <w:left w:val="double" w:sz="4" w:space="0" w:color="auto"/>
              <w:bottom w:val="single" w:sz="8" w:space="0" w:color="auto"/>
            </w:tcBorders>
            <w:shd w:val="clear" w:color="auto" w:fill="auto"/>
            <w:noWrap/>
            <w:vAlign w:val="center"/>
            <w:hideMark/>
          </w:tcPr>
          <w:p w14:paraId="791C4E96" w14:textId="77777777" w:rsidR="005B6BB0" w:rsidRPr="00D14CD7" w:rsidRDefault="005B6BB0" w:rsidP="00286339">
            <w:pPr>
              <w:spacing w:after="0" w:line="240" w:lineRule="auto"/>
              <w:jc w:val="right"/>
              <w:rPr>
                <w:rFonts w:eastAsia="Times New Roman"/>
                <w:color w:val="000000" w:themeColor="text1"/>
                <w:sz w:val="16"/>
                <w:szCs w:val="16"/>
              </w:rPr>
            </w:pPr>
            <w:r w:rsidRPr="00D14CD7">
              <w:rPr>
                <w:rFonts w:eastAsia="Times New Roman"/>
                <w:color w:val="000000" w:themeColor="text1"/>
                <w:sz w:val="16"/>
                <w:szCs w:val="22"/>
              </w:rPr>
              <w:t>—</w:t>
            </w:r>
          </w:p>
        </w:tc>
        <w:tc>
          <w:tcPr>
            <w:tcW w:w="199" w:type="pct"/>
            <w:tcBorders>
              <w:top w:val="single" w:sz="4" w:space="0" w:color="auto"/>
              <w:bottom w:val="single" w:sz="8" w:space="0" w:color="auto"/>
              <w:right w:val="single" w:sz="8" w:space="0" w:color="auto"/>
            </w:tcBorders>
            <w:shd w:val="clear" w:color="auto" w:fill="auto"/>
            <w:noWrap/>
            <w:vAlign w:val="center"/>
            <w:hideMark/>
          </w:tcPr>
          <w:p w14:paraId="4DFFBC77" w14:textId="77777777" w:rsidR="005B6BB0" w:rsidRPr="00D14CD7" w:rsidRDefault="005B6BB0" w:rsidP="00286339">
            <w:pPr>
              <w:spacing w:after="0" w:line="240" w:lineRule="auto"/>
              <w:jc w:val="right"/>
              <w:rPr>
                <w:rFonts w:eastAsia="Times New Roman"/>
                <w:color w:val="000000" w:themeColor="text1"/>
                <w:sz w:val="16"/>
                <w:szCs w:val="16"/>
              </w:rPr>
            </w:pPr>
            <w:r w:rsidRPr="00D14CD7">
              <w:rPr>
                <w:rFonts w:eastAsia="Times New Roman"/>
                <w:color w:val="000000" w:themeColor="text1"/>
                <w:sz w:val="16"/>
                <w:szCs w:val="22"/>
              </w:rPr>
              <w:t>—</w:t>
            </w:r>
          </w:p>
        </w:tc>
        <w:tc>
          <w:tcPr>
            <w:tcW w:w="184" w:type="pct"/>
            <w:tcBorders>
              <w:top w:val="single" w:sz="4" w:space="0" w:color="auto"/>
              <w:left w:val="single" w:sz="8" w:space="0" w:color="auto"/>
              <w:bottom w:val="single" w:sz="8" w:space="0" w:color="auto"/>
            </w:tcBorders>
            <w:shd w:val="clear" w:color="auto" w:fill="auto"/>
            <w:noWrap/>
            <w:vAlign w:val="center"/>
            <w:hideMark/>
          </w:tcPr>
          <w:p w14:paraId="66EDF154" w14:textId="77777777" w:rsidR="005B6BB0" w:rsidRPr="00D14CD7" w:rsidRDefault="005B6BB0" w:rsidP="00286339">
            <w:pPr>
              <w:spacing w:after="0" w:line="240" w:lineRule="auto"/>
              <w:jc w:val="right"/>
              <w:rPr>
                <w:rFonts w:eastAsia="Times New Roman"/>
                <w:color w:val="000000" w:themeColor="text1"/>
                <w:sz w:val="16"/>
                <w:szCs w:val="16"/>
              </w:rPr>
            </w:pPr>
            <w:r w:rsidRPr="00D14CD7">
              <w:rPr>
                <w:rFonts w:eastAsia="Times New Roman"/>
                <w:color w:val="000000" w:themeColor="text1"/>
                <w:sz w:val="16"/>
                <w:szCs w:val="22"/>
              </w:rPr>
              <w:t>—</w:t>
            </w:r>
          </w:p>
        </w:tc>
        <w:tc>
          <w:tcPr>
            <w:tcW w:w="185" w:type="pct"/>
            <w:tcBorders>
              <w:top w:val="single" w:sz="4" w:space="0" w:color="auto"/>
              <w:bottom w:val="single" w:sz="8" w:space="0" w:color="auto"/>
              <w:right w:val="single" w:sz="8" w:space="0" w:color="auto"/>
            </w:tcBorders>
            <w:shd w:val="clear" w:color="auto" w:fill="auto"/>
            <w:noWrap/>
            <w:vAlign w:val="center"/>
            <w:hideMark/>
          </w:tcPr>
          <w:p w14:paraId="51500406" w14:textId="77777777" w:rsidR="005B6BB0" w:rsidRPr="00D14CD7" w:rsidRDefault="005B6BB0" w:rsidP="00286339">
            <w:pPr>
              <w:spacing w:after="0" w:line="240" w:lineRule="auto"/>
              <w:jc w:val="right"/>
              <w:rPr>
                <w:rFonts w:eastAsia="Times New Roman"/>
                <w:color w:val="000000" w:themeColor="text1"/>
                <w:sz w:val="16"/>
                <w:szCs w:val="16"/>
              </w:rPr>
            </w:pPr>
            <w:r w:rsidRPr="00D14CD7">
              <w:rPr>
                <w:rFonts w:eastAsia="Times New Roman"/>
                <w:color w:val="000000" w:themeColor="text1"/>
                <w:sz w:val="16"/>
                <w:szCs w:val="22"/>
              </w:rPr>
              <w:t>—</w:t>
            </w:r>
          </w:p>
        </w:tc>
        <w:tc>
          <w:tcPr>
            <w:tcW w:w="184" w:type="pct"/>
            <w:tcBorders>
              <w:top w:val="single" w:sz="4" w:space="0" w:color="auto"/>
              <w:left w:val="single" w:sz="8" w:space="0" w:color="auto"/>
              <w:bottom w:val="single" w:sz="8" w:space="0" w:color="auto"/>
            </w:tcBorders>
            <w:shd w:val="clear" w:color="auto" w:fill="auto"/>
            <w:noWrap/>
            <w:vAlign w:val="center"/>
            <w:hideMark/>
          </w:tcPr>
          <w:p w14:paraId="05B73239" w14:textId="77777777" w:rsidR="005B6BB0" w:rsidRPr="00D14CD7" w:rsidRDefault="005B6BB0" w:rsidP="00286339">
            <w:pPr>
              <w:spacing w:after="0" w:line="240" w:lineRule="auto"/>
              <w:jc w:val="right"/>
              <w:rPr>
                <w:rFonts w:eastAsia="Times New Roman"/>
                <w:color w:val="000000" w:themeColor="text1"/>
                <w:sz w:val="16"/>
                <w:szCs w:val="16"/>
              </w:rPr>
            </w:pPr>
            <w:r w:rsidRPr="00D14CD7">
              <w:rPr>
                <w:rFonts w:eastAsia="Times New Roman"/>
                <w:color w:val="000000" w:themeColor="text1"/>
                <w:sz w:val="16"/>
                <w:szCs w:val="22"/>
              </w:rPr>
              <w:t>—</w:t>
            </w:r>
          </w:p>
        </w:tc>
        <w:tc>
          <w:tcPr>
            <w:tcW w:w="188" w:type="pct"/>
            <w:tcBorders>
              <w:top w:val="single" w:sz="4" w:space="0" w:color="auto"/>
              <w:bottom w:val="single" w:sz="8" w:space="0" w:color="auto"/>
              <w:right w:val="single" w:sz="8" w:space="0" w:color="auto"/>
            </w:tcBorders>
            <w:shd w:val="clear" w:color="auto" w:fill="auto"/>
            <w:noWrap/>
            <w:vAlign w:val="center"/>
            <w:hideMark/>
          </w:tcPr>
          <w:p w14:paraId="600E7897" w14:textId="77777777" w:rsidR="005B6BB0" w:rsidRPr="00D14CD7" w:rsidRDefault="005B6BB0" w:rsidP="00286339">
            <w:pPr>
              <w:spacing w:after="0" w:line="240" w:lineRule="auto"/>
              <w:jc w:val="right"/>
              <w:rPr>
                <w:rFonts w:eastAsia="Times New Roman"/>
                <w:color w:val="000000" w:themeColor="text1"/>
                <w:sz w:val="16"/>
                <w:szCs w:val="16"/>
              </w:rPr>
            </w:pPr>
            <w:r w:rsidRPr="00D14CD7">
              <w:rPr>
                <w:rFonts w:eastAsia="Times New Roman"/>
                <w:color w:val="000000" w:themeColor="text1"/>
                <w:sz w:val="16"/>
                <w:szCs w:val="22"/>
              </w:rPr>
              <w:t>—</w:t>
            </w:r>
          </w:p>
        </w:tc>
        <w:tc>
          <w:tcPr>
            <w:tcW w:w="188" w:type="pct"/>
            <w:tcBorders>
              <w:top w:val="single" w:sz="4" w:space="0" w:color="auto"/>
              <w:left w:val="single" w:sz="8" w:space="0" w:color="auto"/>
              <w:bottom w:val="single" w:sz="8" w:space="0" w:color="auto"/>
            </w:tcBorders>
            <w:shd w:val="clear" w:color="auto" w:fill="auto"/>
            <w:noWrap/>
            <w:vAlign w:val="center"/>
            <w:hideMark/>
          </w:tcPr>
          <w:p w14:paraId="2635286D" w14:textId="77777777" w:rsidR="005B6BB0" w:rsidRPr="00D14CD7" w:rsidRDefault="005B6BB0" w:rsidP="00286339">
            <w:pPr>
              <w:spacing w:after="0" w:line="240" w:lineRule="auto"/>
              <w:jc w:val="right"/>
              <w:rPr>
                <w:rFonts w:eastAsia="Times New Roman"/>
                <w:color w:val="000000" w:themeColor="text1"/>
                <w:sz w:val="16"/>
                <w:szCs w:val="16"/>
              </w:rPr>
            </w:pPr>
            <w:proofErr w:type="spellStart"/>
            <w:r w:rsidRPr="00D14CD7">
              <w:rPr>
                <w:rFonts w:eastAsia="Times New Roman"/>
                <w:color w:val="000000" w:themeColor="text1"/>
                <w:sz w:val="16"/>
                <w:szCs w:val="22"/>
              </w:rPr>
              <w:t>na</w:t>
            </w:r>
            <w:proofErr w:type="spellEnd"/>
          </w:p>
        </w:tc>
        <w:tc>
          <w:tcPr>
            <w:tcW w:w="146" w:type="pct"/>
            <w:tcBorders>
              <w:top w:val="single" w:sz="4" w:space="0" w:color="auto"/>
              <w:bottom w:val="single" w:sz="8" w:space="0" w:color="auto"/>
              <w:right w:val="double" w:sz="4" w:space="0" w:color="auto"/>
            </w:tcBorders>
            <w:shd w:val="clear" w:color="auto" w:fill="auto"/>
            <w:noWrap/>
            <w:vAlign w:val="center"/>
            <w:hideMark/>
          </w:tcPr>
          <w:p w14:paraId="605CA2D4" w14:textId="77777777" w:rsidR="005B6BB0" w:rsidRPr="00D14CD7" w:rsidRDefault="005B6BB0" w:rsidP="00286339">
            <w:pPr>
              <w:spacing w:after="0" w:line="240" w:lineRule="auto"/>
              <w:jc w:val="right"/>
              <w:rPr>
                <w:rFonts w:eastAsia="Times New Roman"/>
                <w:color w:val="000000" w:themeColor="text1"/>
                <w:sz w:val="16"/>
                <w:szCs w:val="16"/>
              </w:rPr>
            </w:pPr>
            <w:proofErr w:type="spellStart"/>
            <w:r w:rsidRPr="00D14CD7">
              <w:rPr>
                <w:rFonts w:eastAsia="Times New Roman"/>
                <w:color w:val="000000" w:themeColor="text1"/>
                <w:sz w:val="16"/>
                <w:szCs w:val="22"/>
              </w:rPr>
              <w:t>na</w:t>
            </w:r>
            <w:proofErr w:type="spellEnd"/>
          </w:p>
        </w:tc>
        <w:tc>
          <w:tcPr>
            <w:tcW w:w="184" w:type="pct"/>
            <w:tcBorders>
              <w:left w:val="double" w:sz="4" w:space="0" w:color="auto"/>
              <w:bottom w:val="single" w:sz="8" w:space="0" w:color="auto"/>
            </w:tcBorders>
            <w:shd w:val="clear" w:color="auto" w:fill="auto"/>
            <w:noWrap/>
            <w:vAlign w:val="center"/>
            <w:hideMark/>
          </w:tcPr>
          <w:p w14:paraId="5CDF98EC" w14:textId="77777777" w:rsidR="005B6BB0" w:rsidRPr="00D14CD7" w:rsidRDefault="005B6BB0" w:rsidP="00286339">
            <w:pPr>
              <w:spacing w:after="0" w:line="240" w:lineRule="auto"/>
              <w:jc w:val="right"/>
              <w:rPr>
                <w:rFonts w:eastAsia="Times New Roman"/>
                <w:color w:val="000000" w:themeColor="text1"/>
                <w:sz w:val="16"/>
                <w:szCs w:val="16"/>
              </w:rPr>
            </w:pPr>
            <w:r w:rsidRPr="00D14CD7">
              <w:rPr>
                <w:rFonts w:eastAsia="Times New Roman"/>
                <w:color w:val="000000" w:themeColor="text1"/>
                <w:sz w:val="16"/>
                <w:szCs w:val="22"/>
              </w:rPr>
              <w:t>—</w:t>
            </w:r>
          </w:p>
        </w:tc>
        <w:tc>
          <w:tcPr>
            <w:tcW w:w="184" w:type="pct"/>
            <w:tcBorders>
              <w:top w:val="single" w:sz="4" w:space="0" w:color="auto"/>
              <w:bottom w:val="single" w:sz="8" w:space="0" w:color="auto"/>
              <w:right w:val="single" w:sz="8" w:space="0" w:color="auto"/>
            </w:tcBorders>
            <w:shd w:val="clear" w:color="auto" w:fill="auto"/>
            <w:noWrap/>
            <w:vAlign w:val="center"/>
            <w:hideMark/>
          </w:tcPr>
          <w:p w14:paraId="08FA83E2" w14:textId="77777777" w:rsidR="005B6BB0" w:rsidRPr="00D14CD7" w:rsidRDefault="005B6BB0" w:rsidP="00286339">
            <w:pPr>
              <w:spacing w:after="0" w:line="240" w:lineRule="auto"/>
              <w:jc w:val="right"/>
              <w:rPr>
                <w:rFonts w:eastAsia="Times New Roman"/>
                <w:color w:val="000000" w:themeColor="text1"/>
                <w:sz w:val="16"/>
                <w:szCs w:val="16"/>
              </w:rPr>
            </w:pPr>
            <w:r w:rsidRPr="00D14CD7">
              <w:rPr>
                <w:rFonts w:eastAsia="Times New Roman"/>
                <w:color w:val="000000" w:themeColor="text1"/>
                <w:sz w:val="16"/>
                <w:szCs w:val="22"/>
              </w:rPr>
              <w:t>—</w:t>
            </w:r>
          </w:p>
        </w:tc>
        <w:tc>
          <w:tcPr>
            <w:tcW w:w="184" w:type="pct"/>
            <w:tcBorders>
              <w:left w:val="single" w:sz="8" w:space="0" w:color="auto"/>
              <w:bottom w:val="single" w:sz="8" w:space="0" w:color="auto"/>
            </w:tcBorders>
            <w:shd w:val="clear" w:color="auto" w:fill="auto"/>
            <w:noWrap/>
            <w:vAlign w:val="center"/>
            <w:hideMark/>
          </w:tcPr>
          <w:p w14:paraId="0DA22908" w14:textId="77777777" w:rsidR="005B6BB0" w:rsidRPr="00D14CD7" w:rsidRDefault="005B6BB0" w:rsidP="00286339">
            <w:pPr>
              <w:spacing w:after="0" w:line="240" w:lineRule="auto"/>
              <w:jc w:val="right"/>
              <w:rPr>
                <w:rFonts w:eastAsia="Times New Roman"/>
                <w:color w:val="000000" w:themeColor="text1"/>
                <w:sz w:val="16"/>
                <w:szCs w:val="16"/>
              </w:rPr>
            </w:pPr>
            <w:r w:rsidRPr="00D14CD7">
              <w:rPr>
                <w:rFonts w:eastAsia="Times New Roman"/>
                <w:color w:val="000000" w:themeColor="text1"/>
                <w:sz w:val="16"/>
                <w:szCs w:val="22"/>
              </w:rPr>
              <w:t>—</w:t>
            </w:r>
          </w:p>
        </w:tc>
        <w:tc>
          <w:tcPr>
            <w:tcW w:w="185" w:type="pct"/>
            <w:tcBorders>
              <w:top w:val="single" w:sz="4" w:space="0" w:color="auto"/>
              <w:bottom w:val="single" w:sz="8" w:space="0" w:color="auto"/>
              <w:right w:val="single" w:sz="8" w:space="0" w:color="auto"/>
            </w:tcBorders>
            <w:shd w:val="clear" w:color="auto" w:fill="auto"/>
            <w:noWrap/>
            <w:vAlign w:val="center"/>
            <w:hideMark/>
          </w:tcPr>
          <w:p w14:paraId="210CC6AA" w14:textId="77777777" w:rsidR="005B6BB0" w:rsidRPr="00D14CD7" w:rsidRDefault="005B6BB0" w:rsidP="00286339">
            <w:pPr>
              <w:spacing w:after="0" w:line="240" w:lineRule="auto"/>
              <w:jc w:val="right"/>
              <w:rPr>
                <w:rFonts w:eastAsia="Times New Roman"/>
                <w:color w:val="000000" w:themeColor="text1"/>
                <w:sz w:val="16"/>
                <w:szCs w:val="16"/>
              </w:rPr>
            </w:pPr>
            <w:r w:rsidRPr="00D14CD7">
              <w:rPr>
                <w:rFonts w:eastAsia="Times New Roman"/>
                <w:color w:val="000000" w:themeColor="text1"/>
                <w:sz w:val="16"/>
                <w:szCs w:val="22"/>
              </w:rPr>
              <w:t>—</w:t>
            </w:r>
          </w:p>
        </w:tc>
        <w:tc>
          <w:tcPr>
            <w:tcW w:w="185" w:type="pct"/>
            <w:tcBorders>
              <w:left w:val="single" w:sz="8" w:space="0" w:color="auto"/>
              <w:bottom w:val="single" w:sz="8" w:space="0" w:color="auto"/>
            </w:tcBorders>
            <w:shd w:val="clear" w:color="auto" w:fill="auto"/>
            <w:noWrap/>
            <w:vAlign w:val="center"/>
            <w:hideMark/>
          </w:tcPr>
          <w:p w14:paraId="022E286D" w14:textId="77777777" w:rsidR="005B6BB0" w:rsidRPr="00D14CD7" w:rsidRDefault="005B6BB0" w:rsidP="00286339">
            <w:pPr>
              <w:spacing w:after="0" w:line="240" w:lineRule="auto"/>
              <w:jc w:val="right"/>
              <w:rPr>
                <w:rFonts w:eastAsia="Times New Roman"/>
                <w:color w:val="000000" w:themeColor="text1"/>
                <w:sz w:val="16"/>
                <w:szCs w:val="16"/>
              </w:rPr>
            </w:pPr>
            <w:r w:rsidRPr="00D14CD7">
              <w:rPr>
                <w:rFonts w:eastAsia="Times New Roman"/>
                <w:color w:val="000000" w:themeColor="text1"/>
                <w:sz w:val="16"/>
                <w:szCs w:val="22"/>
              </w:rPr>
              <w:t>—</w:t>
            </w:r>
          </w:p>
        </w:tc>
        <w:tc>
          <w:tcPr>
            <w:tcW w:w="185" w:type="pct"/>
            <w:tcBorders>
              <w:top w:val="single" w:sz="4" w:space="0" w:color="auto"/>
              <w:bottom w:val="single" w:sz="8" w:space="0" w:color="auto"/>
              <w:right w:val="single" w:sz="8" w:space="0" w:color="auto"/>
            </w:tcBorders>
            <w:shd w:val="clear" w:color="auto" w:fill="auto"/>
            <w:noWrap/>
            <w:vAlign w:val="center"/>
            <w:hideMark/>
          </w:tcPr>
          <w:p w14:paraId="3FD187B5" w14:textId="77777777" w:rsidR="005B6BB0" w:rsidRPr="00D14CD7" w:rsidRDefault="005B6BB0" w:rsidP="00286339">
            <w:pPr>
              <w:spacing w:after="0" w:line="240" w:lineRule="auto"/>
              <w:jc w:val="right"/>
              <w:rPr>
                <w:rFonts w:eastAsia="Times New Roman"/>
                <w:color w:val="000000" w:themeColor="text1"/>
                <w:sz w:val="16"/>
                <w:szCs w:val="16"/>
              </w:rPr>
            </w:pPr>
            <w:r w:rsidRPr="00D14CD7">
              <w:rPr>
                <w:rFonts w:eastAsia="Times New Roman"/>
                <w:color w:val="000000" w:themeColor="text1"/>
                <w:sz w:val="16"/>
                <w:szCs w:val="22"/>
              </w:rPr>
              <w:t>—</w:t>
            </w:r>
          </w:p>
        </w:tc>
        <w:tc>
          <w:tcPr>
            <w:tcW w:w="156" w:type="pct"/>
            <w:tcBorders>
              <w:left w:val="single" w:sz="8" w:space="0" w:color="auto"/>
              <w:bottom w:val="single" w:sz="8" w:space="0" w:color="auto"/>
            </w:tcBorders>
            <w:shd w:val="clear" w:color="auto" w:fill="auto"/>
            <w:noWrap/>
            <w:vAlign w:val="center"/>
            <w:hideMark/>
          </w:tcPr>
          <w:p w14:paraId="645007BE" w14:textId="77777777" w:rsidR="005B6BB0" w:rsidRPr="00D14CD7" w:rsidRDefault="005B6BB0" w:rsidP="00286339">
            <w:pPr>
              <w:spacing w:after="0" w:line="240" w:lineRule="auto"/>
              <w:jc w:val="right"/>
              <w:rPr>
                <w:rFonts w:eastAsia="Times New Roman"/>
                <w:color w:val="000000" w:themeColor="text1"/>
                <w:sz w:val="16"/>
                <w:szCs w:val="16"/>
              </w:rPr>
            </w:pPr>
            <w:proofErr w:type="spellStart"/>
            <w:r w:rsidRPr="00D14CD7">
              <w:rPr>
                <w:rFonts w:eastAsia="Times New Roman"/>
                <w:color w:val="000000" w:themeColor="text1"/>
                <w:sz w:val="16"/>
                <w:szCs w:val="22"/>
              </w:rPr>
              <w:t>na</w:t>
            </w:r>
            <w:proofErr w:type="spellEnd"/>
          </w:p>
        </w:tc>
        <w:tc>
          <w:tcPr>
            <w:tcW w:w="157" w:type="pct"/>
            <w:tcBorders>
              <w:bottom w:val="single" w:sz="8" w:space="0" w:color="auto"/>
              <w:right w:val="double" w:sz="4" w:space="0" w:color="auto"/>
            </w:tcBorders>
            <w:shd w:val="clear" w:color="auto" w:fill="auto"/>
            <w:noWrap/>
            <w:vAlign w:val="center"/>
            <w:hideMark/>
          </w:tcPr>
          <w:p w14:paraId="6D45DE76" w14:textId="77777777" w:rsidR="005B6BB0" w:rsidRPr="00D14CD7" w:rsidRDefault="005B6BB0" w:rsidP="00286339">
            <w:pPr>
              <w:spacing w:after="0" w:line="240" w:lineRule="auto"/>
              <w:jc w:val="right"/>
              <w:rPr>
                <w:rFonts w:eastAsia="Times New Roman"/>
                <w:color w:val="000000" w:themeColor="text1"/>
                <w:sz w:val="16"/>
                <w:szCs w:val="16"/>
              </w:rPr>
            </w:pPr>
            <w:proofErr w:type="spellStart"/>
            <w:r w:rsidRPr="00D14CD7">
              <w:rPr>
                <w:rFonts w:eastAsia="Times New Roman"/>
                <w:color w:val="000000" w:themeColor="text1"/>
                <w:sz w:val="16"/>
                <w:szCs w:val="22"/>
              </w:rPr>
              <w:t>na</w:t>
            </w:r>
            <w:proofErr w:type="spellEnd"/>
          </w:p>
        </w:tc>
        <w:tc>
          <w:tcPr>
            <w:tcW w:w="187" w:type="pct"/>
            <w:tcBorders>
              <w:top w:val="single" w:sz="4" w:space="0" w:color="auto"/>
              <w:left w:val="double" w:sz="4" w:space="0" w:color="auto"/>
              <w:bottom w:val="single" w:sz="8" w:space="0" w:color="auto"/>
            </w:tcBorders>
            <w:shd w:val="clear" w:color="auto" w:fill="auto"/>
            <w:noWrap/>
            <w:vAlign w:val="center"/>
            <w:hideMark/>
          </w:tcPr>
          <w:p w14:paraId="2C7437ED" w14:textId="77777777" w:rsidR="005B6BB0" w:rsidRPr="00D14CD7" w:rsidRDefault="005B6BB0" w:rsidP="00286339">
            <w:pPr>
              <w:spacing w:after="0" w:line="240" w:lineRule="auto"/>
              <w:jc w:val="right"/>
              <w:rPr>
                <w:rFonts w:eastAsia="Times New Roman"/>
                <w:color w:val="000000" w:themeColor="text1"/>
                <w:sz w:val="16"/>
                <w:szCs w:val="16"/>
              </w:rPr>
            </w:pPr>
            <w:r w:rsidRPr="00D14CD7">
              <w:rPr>
                <w:rFonts w:eastAsia="Times New Roman"/>
                <w:color w:val="000000" w:themeColor="text1"/>
                <w:sz w:val="16"/>
                <w:szCs w:val="16"/>
              </w:rPr>
              <w:t>-0.061</w:t>
            </w:r>
          </w:p>
        </w:tc>
        <w:tc>
          <w:tcPr>
            <w:tcW w:w="183" w:type="pct"/>
            <w:tcBorders>
              <w:bottom w:val="single" w:sz="8" w:space="0" w:color="auto"/>
            </w:tcBorders>
            <w:shd w:val="clear" w:color="auto" w:fill="auto"/>
            <w:noWrap/>
            <w:vAlign w:val="center"/>
            <w:hideMark/>
          </w:tcPr>
          <w:p w14:paraId="019237AC" w14:textId="77777777" w:rsidR="005B6BB0" w:rsidRPr="00D14CD7" w:rsidRDefault="005B6BB0" w:rsidP="00286339">
            <w:pPr>
              <w:spacing w:after="0" w:line="240" w:lineRule="auto"/>
              <w:jc w:val="right"/>
              <w:rPr>
                <w:rFonts w:eastAsia="Times New Roman"/>
                <w:color w:val="000000" w:themeColor="text1"/>
                <w:sz w:val="16"/>
                <w:szCs w:val="16"/>
              </w:rPr>
            </w:pPr>
            <w:r w:rsidRPr="00D14CD7">
              <w:rPr>
                <w:rFonts w:eastAsia="Times New Roman"/>
                <w:color w:val="000000" w:themeColor="text1"/>
                <w:sz w:val="16"/>
                <w:szCs w:val="16"/>
              </w:rPr>
              <w:t>-2.51</w:t>
            </w:r>
          </w:p>
        </w:tc>
      </w:tr>
      <w:tr w:rsidR="00D14CD7" w:rsidRPr="00D14CD7" w14:paraId="08F969BA" w14:textId="77777777" w:rsidTr="00286339">
        <w:trPr>
          <w:trHeight w:val="72"/>
        </w:trPr>
        <w:tc>
          <w:tcPr>
            <w:tcW w:w="5000" w:type="pct"/>
            <w:gridSpan w:val="19"/>
            <w:tcBorders>
              <w:top w:val="single" w:sz="8" w:space="0" w:color="auto"/>
              <w:bottom w:val="single" w:sz="8" w:space="0" w:color="auto"/>
            </w:tcBorders>
            <w:shd w:val="clear" w:color="auto" w:fill="auto"/>
            <w:noWrap/>
            <w:vAlign w:val="center"/>
            <w:hideMark/>
          </w:tcPr>
          <w:p w14:paraId="6655E9DB" w14:textId="77777777" w:rsidR="005B6BB0" w:rsidRPr="00D14CD7" w:rsidRDefault="005B6BB0" w:rsidP="00286339">
            <w:pPr>
              <w:spacing w:after="0" w:line="240" w:lineRule="auto"/>
              <w:jc w:val="left"/>
              <w:rPr>
                <w:rFonts w:eastAsia="Times New Roman"/>
                <w:color w:val="000000" w:themeColor="text1"/>
                <w:sz w:val="20"/>
                <w:szCs w:val="20"/>
              </w:rPr>
            </w:pPr>
            <w:r w:rsidRPr="00D14CD7">
              <w:rPr>
                <w:rFonts w:eastAsia="Times New Roman"/>
                <w:b/>
                <w:bCs/>
                <w:color w:val="000000" w:themeColor="text1"/>
                <w:sz w:val="16"/>
                <w:szCs w:val="16"/>
              </w:rPr>
              <w:t>Household Characteristics</w:t>
            </w:r>
          </w:p>
        </w:tc>
      </w:tr>
      <w:tr w:rsidR="00D14CD7" w:rsidRPr="00D14CD7" w14:paraId="0501CA02" w14:textId="77777777" w:rsidTr="00286339">
        <w:trPr>
          <w:trHeight w:val="72"/>
        </w:trPr>
        <w:tc>
          <w:tcPr>
            <w:tcW w:w="5000" w:type="pct"/>
            <w:gridSpan w:val="19"/>
            <w:tcBorders>
              <w:top w:val="single" w:sz="8" w:space="0" w:color="auto"/>
              <w:bottom w:val="single" w:sz="4" w:space="0" w:color="auto"/>
            </w:tcBorders>
            <w:shd w:val="clear" w:color="auto" w:fill="auto"/>
            <w:noWrap/>
            <w:vAlign w:val="center"/>
            <w:hideMark/>
          </w:tcPr>
          <w:p w14:paraId="6359BF03" w14:textId="77777777" w:rsidR="005B6BB0" w:rsidRPr="00D14CD7" w:rsidRDefault="005B6BB0" w:rsidP="00286339">
            <w:pPr>
              <w:spacing w:after="0" w:line="240" w:lineRule="auto"/>
              <w:jc w:val="left"/>
              <w:rPr>
                <w:rFonts w:eastAsia="Times New Roman"/>
                <w:color w:val="000000" w:themeColor="text1"/>
                <w:sz w:val="20"/>
                <w:szCs w:val="20"/>
              </w:rPr>
            </w:pPr>
            <w:r w:rsidRPr="00D14CD7">
              <w:rPr>
                <w:rFonts w:eastAsia="Times New Roman"/>
                <w:b/>
                <w:bCs/>
                <w:i/>
                <w:iCs/>
                <w:color w:val="000000" w:themeColor="text1"/>
                <w:sz w:val="16"/>
                <w:szCs w:val="16"/>
              </w:rPr>
              <w:t>Income (base: &lt;$25,000)</w:t>
            </w:r>
          </w:p>
        </w:tc>
      </w:tr>
      <w:tr w:rsidR="00D14CD7" w:rsidRPr="00D14CD7" w14:paraId="24447554" w14:textId="77777777" w:rsidTr="00286339">
        <w:trPr>
          <w:trHeight w:val="72"/>
        </w:trPr>
        <w:tc>
          <w:tcPr>
            <w:tcW w:w="1709" w:type="pct"/>
            <w:tcBorders>
              <w:top w:val="single" w:sz="4" w:space="0" w:color="auto"/>
              <w:bottom w:val="single" w:sz="4" w:space="0" w:color="auto"/>
              <w:right w:val="double" w:sz="4" w:space="0" w:color="auto"/>
            </w:tcBorders>
            <w:shd w:val="clear" w:color="auto" w:fill="auto"/>
            <w:noWrap/>
            <w:vAlign w:val="center"/>
            <w:hideMark/>
          </w:tcPr>
          <w:p w14:paraId="30AF6221" w14:textId="77777777" w:rsidR="005B6BB0" w:rsidRPr="00D14CD7" w:rsidRDefault="005B6BB0" w:rsidP="00286339">
            <w:pPr>
              <w:spacing w:after="0" w:line="240" w:lineRule="auto"/>
              <w:ind w:firstLine="140"/>
              <w:jc w:val="left"/>
              <w:rPr>
                <w:rFonts w:eastAsia="Times New Roman"/>
                <w:color w:val="000000" w:themeColor="text1"/>
                <w:sz w:val="16"/>
                <w:szCs w:val="16"/>
              </w:rPr>
            </w:pPr>
            <w:r w:rsidRPr="00D14CD7">
              <w:rPr>
                <w:rFonts w:eastAsia="Times New Roman"/>
                <w:color w:val="000000" w:themeColor="text1"/>
                <w:sz w:val="16"/>
                <w:szCs w:val="22"/>
              </w:rPr>
              <w:t>$25,000 - $49,999</w:t>
            </w:r>
          </w:p>
        </w:tc>
        <w:tc>
          <w:tcPr>
            <w:tcW w:w="227" w:type="pct"/>
            <w:tcBorders>
              <w:top w:val="single" w:sz="4" w:space="0" w:color="auto"/>
              <w:left w:val="double" w:sz="4" w:space="0" w:color="auto"/>
              <w:bottom w:val="single" w:sz="4" w:space="0" w:color="auto"/>
            </w:tcBorders>
            <w:shd w:val="clear" w:color="auto" w:fill="auto"/>
            <w:noWrap/>
            <w:vAlign w:val="center"/>
            <w:hideMark/>
          </w:tcPr>
          <w:p w14:paraId="535456B1" w14:textId="77777777" w:rsidR="005B6BB0" w:rsidRPr="00D14CD7" w:rsidRDefault="005B6BB0" w:rsidP="00286339">
            <w:pPr>
              <w:spacing w:after="0" w:line="240" w:lineRule="auto"/>
              <w:jc w:val="right"/>
              <w:rPr>
                <w:rFonts w:eastAsia="Times New Roman"/>
                <w:color w:val="000000" w:themeColor="text1"/>
                <w:sz w:val="16"/>
                <w:szCs w:val="16"/>
              </w:rPr>
            </w:pPr>
            <w:r w:rsidRPr="00D14CD7">
              <w:rPr>
                <w:rFonts w:eastAsia="Times New Roman"/>
                <w:color w:val="000000" w:themeColor="text1"/>
                <w:sz w:val="16"/>
                <w:szCs w:val="22"/>
              </w:rPr>
              <w:t>—</w:t>
            </w:r>
          </w:p>
        </w:tc>
        <w:tc>
          <w:tcPr>
            <w:tcW w:w="199" w:type="pct"/>
            <w:tcBorders>
              <w:top w:val="single" w:sz="4" w:space="0" w:color="auto"/>
              <w:bottom w:val="single" w:sz="4" w:space="0" w:color="auto"/>
              <w:right w:val="single" w:sz="8" w:space="0" w:color="auto"/>
            </w:tcBorders>
            <w:shd w:val="clear" w:color="auto" w:fill="auto"/>
            <w:noWrap/>
            <w:vAlign w:val="center"/>
            <w:hideMark/>
          </w:tcPr>
          <w:p w14:paraId="658EA1CF" w14:textId="77777777" w:rsidR="005B6BB0" w:rsidRPr="00D14CD7" w:rsidRDefault="005B6BB0" w:rsidP="00286339">
            <w:pPr>
              <w:spacing w:after="0" w:line="240" w:lineRule="auto"/>
              <w:jc w:val="right"/>
              <w:rPr>
                <w:rFonts w:eastAsia="Times New Roman"/>
                <w:color w:val="000000" w:themeColor="text1"/>
                <w:sz w:val="16"/>
                <w:szCs w:val="16"/>
              </w:rPr>
            </w:pPr>
            <w:r w:rsidRPr="00D14CD7">
              <w:rPr>
                <w:rFonts w:eastAsia="Times New Roman"/>
                <w:color w:val="000000" w:themeColor="text1"/>
                <w:sz w:val="16"/>
                <w:szCs w:val="22"/>
              </w:rPr>
              <w:t>—</w:t>
            </w:r>
          </w:p>
        </w:tc>
        <w:tc>
          <w:tcPr>
            <w:tcW w:w="184" w:type="pct"/>
            <w:tcBorders>
              <w:top w:val="single" w:sz="4" w:space="0" w:color="auto"/>
              <w:left w:val="single" w:sz="8" w:space="0" w:color="auto"/>
              <w:bottom w:val="single" w:sz="4" w:space="0" w:color="auto"/>
            </w:tcBorders>
            <w:shd w:val="clear" w:color="auto" w:fill="auto"/>
            <w:noWrap/>
            <w:vAlign w:val="center"/>
            <w:hideMark/>
          </w:tcPr>
          <w:p w14:paraId="2BE2766A" w14:textId="77777777" w:rsidR="005B6BB0" w:rsidRPr="00D14CD7" w:rsidRDefault="005B6BB0" w:rsidP="00286339">
            <w:pPr>
              <w:spacing w:after="0" w:line="240" w:lineRule="auto"/>
              <w:jc w:val="right"/>
              <w:rPr>
                <w:rFonts w:eastAsia="Times New Roman"/>
                <w:color w:val="000000" w:themeColor="text1"/>
                <w:sz w:val="16"/>
                <w:szCs w:val="16"/>
              </w:rPr>
            </w:pPr>
            <w:r w:rsidRPr="00D14CD7">
              <w:rPr>
                <w:rFonts w:eastAsia="Times New Roman"/>
                <w:color w:val="000000" w:themeColor="text1"/>
                <w:sz w:val="16"/>
                <w:szCs w:val="22"/>
              </w:rPr>
              <w:t>—</w:t>
            </w:r>
          </w:p>
        </w:tc>
        <w:tc>
          <w:tcPr>
            <w:tcW w:w="185" w:type="pct"/>
            <w:tcBorders>
              <w:top w:val="single" w:sz="4" w:space="0" w:color="auto"/>
              <w:bottom w:val="single" w:sz="4" w:space="0" w:color="auto"/>
              <w:right w:val="single" w:sz="8" w:space="0" w:color="auto"/>
            </w:tcBorders>
            <w:shd w:val="clear" w:color="auto" w:fill="auto"/>
            <w:noWrap/>
            <w:vAlign w:val="center"/>
            <w:hideMark/>
          </w:tcPr>
          <w:p w14:paraId="29E58FC9" w14:textId="77777777" w:rsidR="005B6BB0" w:rsidRPr="00D14CD7" w:rsidRDefault="005B6BB0" w:rsidP="00286339">
            <w:pPr>
              <w:spacing w:after="0" w:line="240" w:lineRule="auto"/>
              <w:jc w:val="right"/>
              <w:rPr>
                <w:rFonts w:eastAsia="Times New Roman"/>
                <w:color w:val="000000" w:themeColor="text1"/>
                <w:sz w:val="16"/>
                <w:szCs w:val="16"/>
              </w:rPr>
            </w:pPr>
            <w:r w:rsidRPr="00D14CD7">
              <w:rPr>
                <w:rFonts w:eastAsia="Times New Roman"/>
                <w:color w:val="000000" w:themeColor="text1"/>
                <w:sz w:val="16"/>
                <w:szCs w:val="22"/>
              </w:rPr>
              <w:t>—</w:t>
            </w:r>
          </w:p>
        </w:tc>
        <w:tc>
          <w:tcPr>
            <w:tcW w:w="184" w:type="pct"/>
            <w:tcBorders>
              <w:top w:val="single" w:sz="4" w:space="0" w:color="auto"/>
              <w:left w:val="single" w:sz="8" w:space="0" w:color="auto"/>
              <w:bottom w:val="single" w:sz="4" w:space="0" w:color="auto"/>
            </w:tcBorders>
            <w:shd w:val="clear" w:color="auto" w:fill="auto"/>
            <w:noWrap/>
            <w:vAlign w:val="center"/>
            <w:hideMark/>
          </w:tcPr>
          <w:p w14:paraId="66C9CC3D" w14:textId="77777777" w:rsidR="005B6BB0" w:rsidRPr="00D14CD7" w:rsidRDefault="005B6BB0" w:rsidP="00286339">
            <w:pPr>
              <w:spacing w:after="0" w:line="240" w:lineRule="auto"/>
              <w:jc w:val="right"/>
              <w:rPr>
                <w:rFonts w:eastAsia="Times New Roman"/>
                <w:color w:val="000000" w:themeColor="text1"/>
                <w:sz w:val="16"/>
                <w:szCs w:val="16"/>
              </w:rPr>
            </w:pPr>
            <w:r w:rsidRPr="00D14CD7">
              <w:rPr>
                <w:rFonts w:eastAsia="Times New Roman"/>
                <w:color w:val="000000" w:themeColor="text1"/>
                <w:sz w:val="16"/>
                <w:szCs w:val="22"/>
              </w:rPr>
              <w:t>—</w:t>
            </w:r>
          </w:p>
        </w:tc>
        <w:tc>
          <w:tcPr>
            <w:tcW w:w="188" w:type="pct"/>
            <w:tcBorders>
              <w:top w:val="single" w:sz="4" w:space="0" w:color="auto"/>
              <w:bottom w:val="single" w:sz="4" w:space="0" w:color="auto"/>
              <w:right w:val="single" w:sz="8" w:space="0" w:color="auto"/>
            </w:tcBorders>
            <w:shd w:val="clear" w:color="auto" w:fill="auto"/>
            <w:noWrap/>
            <w:vAlign w:val="center"/>
            <w:hideMark/>
          </w:tcPr>
          <w:p w14:paraId="66AD1F2B" w14:textId="77777777" w:rsidR="005B6BB0" w:rsidRPr="00D14CD7" w:rsidRDefault="005B6BB0" w:rsidP="00286339">
            <w:pPr>
              <w:spacing w:after="0" w:line="240" w:lineRule="auto"/>
              <w:jc w:val="right"/>
              <w:rPr>
                <w:rFonts w:eastAsia="Times New Roman"/>
                <w:color w:val="000000" w:themeColor="text1"/>
                <w:sz w:val="16"/>
                <w:szCs w:val="16"/>
              </w:rPr>
            </w:pPr>
            <w:r w:rsidRPr="00D14CD7">
              <w:rPr>
                <w:rFonts w:eastAsia="Times New Roman"/>
                <w:color w:val="000000" w:themeColor="text1"/>
                <w:sz w:val="16"/>
                <w:szCs w:val="22"/>
              </w:rPr>
              <w:t>—</w:t>
            </w:r>
          </w:p>
        </w:tc>
        <w:tc>
          <w:tcPr>
            <w:tcW w:w="188" w:type="pct"/>
            <w:tcBorders>
              <w:top w:val="single" w:sz="4" w:space="0" w:color="auto"/>
              <w:left w:val="single" w:sz="8" w:space="0" w:color="auto"/>
              <w:bottom w:val="single" w:sz="4" w:space="0" w:color="auto"/>
            </w:tcBorders>
            <w:shd w:val="clear" w:color="auto" w:fill="auto"/>
            <w:noWrap/>
            <w:vAlign w:val="center"/>
            <w:hideMark/>
          </w:tcPr>
          <w:p w14:paraId="1A919AC0" w14:textId="77777777" w:rsidR="005B6BB0" w:rsidRPr="00D14CD7" w:rsidRDefault="005B6BB0" w:rsidP="00286339">
            <w:pPr>
              <w:spacing w:after="0" w:line="240" w:lineRule="auto"/>
              <w:jc w:val="right"/>
              <w:rPr>
                <w:rFonts w:eastAsia="Times New Roman"/>
                <w:color w:val="000000" w:themeColor="text1"/>
                <w:sz w:val="16"/>
                <w:szCs w:val="16"/>
              </w:rPr>
            </w:pPr>
            <w:proofErr w:type="spellStart"/>
            <w:r w:rsidRPr="00D14CD7">
              <w:rPr>
                <w:rFonts w:eastAsia="Times New Roman"/>
                <w:color w:val="000000" w:themeColor="text1"/>
                <w:sz w:val="16"/>
                <w:szCs w:val="22"/>
              </w:rPr>
              <w:t>na</w:t>
            </w:r>
            <w:proofErr w:type="spellEnd"/>
          </w:p>
        </w:tc>
        <w:tc>
          <w:tcPr>
            <w:tcW w:w="146" w:type="pct"/>
            <w:tcBorders>
              <w:top w:val="single" w:sz="4" w:space="0" w:color="auto"/>
              <w:bottom w:val="single" w:sz="4" w:space="0" w:color="auto"/>
              <w:right w:val="double" w:sz="4" w:space="0" w:color="auto"/>
            </w:tcBorders>
            <w:shd w:val="clear" w:color="auto" w:fill="auto"/>
            <w:noWrap/>
            <w:vAlign w:val="center"/>
            <w:hideMark/>
          </w:tcPr>
          <w:p w14:paraId="5EEA8154" w14:textId="77777777" w:rsidR="005B6BB0" w:rsidRPr="00D14CD7" w:rsidRDefault="005B6BB0" w:rsidP="00286339">
            <w:pPr>
              <w:spacing w:after="0" w:line="240" w:lineRule="auto"/>
              <w:jc w:val="right"/>
              <w:rPr>
                <w:rFonts w:eastAsia="Times New Roman"/>
                <w:color w:val="000000" w:themeColor="text1"/>
                <w:sz w:val="16"/>
                <w:szCs w:val="16"/>
              </w:rPr>
            </w:pPr>
            <w:proofErr w:type="spellStart"/>
            <w:r w:rsidRPr="00D14CD7">
              <w:rPr>
                <w:rFonts w:eastAsia="Times New Roman"/>
                <w:color w:val="000000" w:themeColor="text1"/>
                <w:sz w:val="16"/>
                <w:szCs w:val="22"/>
              </w:rPr>
              <w:t>na</w:t>
            </w:r>
            <w:proofErr w:type="spellEnd"/>
          </w:p>
        </w:tc>
        <w:tc>
          <w:tcPr>
            <w:tcW w:w="184" w:type="pct"/>
            <w:tcBorders>
              <w:left w:val="double" w:sz="4" w:space="0" w:color="auto"/>
            </w:tcBorders>
            <w:shd w:val="clear" w:color="auto" w:fill="auto"/>
            <w:noWrap/>
            <w:vAlign w:val="center"/>
            <w:hideMark/>
          </w:tcPr>
          <w:p w14:paraId="65705B97" w14:textId="77777777" w:rsidR="005B6BB0" w:rsidRPr="00D14CD7" w:rsidRDefault="005B6BB0" w:rsidP="00286339">
            <w:pPr>
              <w:spacing w:after="0" w:line="240" w:lineRule="auto"/>
              <w:jc w:val="right"/>
              <w:rPr>
                <w:rFonts w:eastAsia="Times New Roman"/>
                <w:color w:val="000000" w:themeColor="text1"/>
                <w:sz w:val="16"/>
                <w:szCs w:val="16"/>
              </w:rPr>
            </w:pPr>
            <w:r w:rsidRPr="00D14CD7">
              <w:rPr>
                <w:rFonts w:eastAsia="Times New Roman"/>
                <w:color w:val="000000" w:themeColor="text1"/>
                <w:sz w:val="16"/>
                <w:szCs w:val="22"/>
              </w:rPr>
              <w:t>—</w:t>
            </w:r>
          </w:p>
        </w:tc>
        <w:tc>
          <w:tcPr>
            <w:tcW w:w="184" w:type="pct"/>
            <w:tcBorders>
              <w:top w:val="single" w:sz="4" w:space="0" w:color="auto"/>
              <w:bottom w:val="single" w:sz="4" w:space="0" w:color="auto"/>
              <w:right w:val="single" w:sz="8" w:space="0" w:color="auto"/>
            </w:tcBorders>
            <w:shd w:val="clear" w:color="auto" w:fill="auto"/>
            <w:noWrap/>
            <w:vAlign w:val="center"/>
            <w:hideMark/>
          </w:tcPr>
          <w:p w14:paraId="22769529" w14:textId="77777777" w:rsidR="005B6BB0" w:rsidRPr="00D14CD7" w:rsidRDefault="005B6BB0" w:rsidP="00286339">
            <w:pPr>
              <w:spacing w:after="0" w:line="240" w:lineRule="auto"/>
              <w:jc w:val="right"/>
              <w:rPr>
                <w:rFonts w:eastAsia="Times New Roman"/>
                <w:color w:val="000000" w:themeColor="text1"/>
                <w:sz w:val="16"/>
                <w:szCs w:val="16"/>
              </w:rPr>
            </w:pPr>
            <w:r w:rsidRPr="00D14CD7">
              <w:rPr>
                <w:rFonts w:eastAsia="Times New Roman"/>
                <w:color w:val="000000" w:themeColor="text1"/>
                <w:sz w:val="16"/>
                <w:szCs w:val="22"/>
              </w:rPr>
              <w:t>—</w:t>
            </w:r>
          </w:p>
        </w:tc>
        <w:tc>
          <w:tcPr>
            <w:tcW w:w="184" w:type="pct"/>
            <w:tcBorders>
              <w:top w:val="single" w:sz="4" w:space="0" w:color="auto"/>
              <w:left w:val="single" w:sz="8" w:space="0" w:color="auto"/>
              <w:bottom w:val="single" w:sz="4" w:space="0" w:color="auto"/>
            </w:tcBorders>
            <w:shd w:val="clear" w:color="auto" w:fill="auto"/>
            <w:noWrap/>
            <w:vAlign w:val="center"/>
            <w:hideMark/>
          </w:tcPr>
          <w:p w14:paraId="3A450F8D" w14:textId="77777777" w:rsidR="005B6BB0" w:rsidRPr="00D14CD7" w:rsidRDefault="005B6BB0" w:rsidP="00286339">
            <w:pPr>
              <w:spacing w:after="0" w:line="240" w:lineRule="auto"/>
              <w:jc w:val="right"/>
              <w:rPr>
                <w:rFonts w:eastAsia="Times New Roman"/>
                <w:color w:val="000000" w:themeColor="text1"/>
                <w:sz w:val="16"/>
                <w:szCs w:val="16"/>
              </w:rPr>
            </w:pPr>
            <w:r w:rsidRPr="00D14CD7">
              <w:rPr>
                <w:rFonts w:eastAsia="Times New Roman"/>
                <w:color w:val="000000" w:themeColor="text1"/>
                <w:sz w:val="16"/>
                <w:szCs w:val="22"/>
              </w:rPr>
              <w:t>—</w:t>
            </w:r>
          </w:p>
        </w:tc>
        <w:tc>
          <w:tcPr>
            <w:tcW w:w="185" w:type="pct"/>
            <w:tcBorders>
              <w:top w:val="single" w:sz="4" w:space="0" w:color="auto"/>
              <w:bottom w:val="single" w:sz="4" w:space="0" w:color="auto"/>
              <w:right w:val="single" w:sz="8" w:space="0" w:color="auto"/>
            </w:tcBorders>
            <w:shd w:val="clear" w:color="auto" w:fill="auto"/>
            <w:noWrap/>
            <w:vAlign w:val="center"/>
            <w:hideMark/>
          </w:tcPr>
          <w:p w14:paraId="06725CE8" w14:textId="77777777" w:rsidR="005B6BB0" w:rsidRPr="00D14CD7" w:rsidRDefault="005B6BB0" w:rsidP="00286339">
            <w:pPr>
              <w:spacing w:after="0" w:line="240" w:lineRule="auto"/>
              <w:jc w:val="right"/>
              <w:rPr>
                <w:rFonts w:eastAsia="Times New Roman"/>
                <w:color w:val="000000" w:themeColor="text1"/>
                <w:sz w:val="16"/>
                <w:szCs w:val="16"/>
              </w:rPr>
            </w:pPr>
            <w:r w:rsidRPr="00D14CD7">
              <w:rPr>
                <w:rFonts w:eastAsia="Times New Roman"/>
                <w:color w:val="000000" w:themeColor="text1"/>
                <w:sz w:val="16"/>
                <w:szCs w:val="22"/>
              </w:rPr>
              <w:t>—</w:t>
            </w:r>
          </w:p>
        </w:tc>
        <w:tc>
          <w:tcPr>
            <w:tcW w:w="185" w:type="pct"/>
            <w:tcBorders>
              <w:top w:val="single" w:sz="4" w:space="0" w:color="auto"/>
              <w:left w:val="single" w:sz="8" w:space="0" w:color="auto"/>
              <w:bottom w:val="single" w:sz="4" w:space="0" w:color="auto"/>
            </w:tcBorders>
            <w:shd w:val="clear" w:color="auto" w:fill="auto"/>
            <w:noWrap/>
            <w:vAlign w:val="center"/>
            <w:hideMark/>
          </w:tcPr>
          <w:p w14:paraId="6C62EB19" w14:textId="77777777" w:rsidR="005B6BB0" w:rsidRPr="00D14CD7" w:rsidRDefault="005B6BB0" w:rsidP="00286339">
            <w:pPr>
              <w:spacing w:after="0" w:line="240" w:lineRule="auto"/>
              <w:jc w:val="right"/>
              <w:rPr>
                <w:rFonts w:eastAsia="Times New Roman"/>
                <w:color w:val="000000" w:themeColor="text1"/>
                <w:sz w:val="16"/>
                <w:szCs w:val="16"/>
              </w:rPr>
            </w:pPr>
            <w:r w:rsidRPr="00D14CD7">
              <w:rPr>
                <w:rFonts w:eastAsia="Times New Roman"/>
                <w:color w:val="000000" w:themeColor="text1"/>
                <w:sz w:val="16"/>
                <w:szCs w:val="22"/>
              </w:rPr>
              <w:t>—</w:t>
            </w:r>
          </w:p>
        </w:tc>
        <w:tc>
          <w:tcPr>
            <w:tcW w:w="185" w:type="pct"/>
            <w:tcBorders>
              <w:top w:val="single" w:sz="4" w:space="0" w:color="auto"/>
              <w:bottom w:val="single" w:sz="4" w:space="0" w:color="auto"/>
              <w:right w:val="single" w:sz="8" w:space="0" w:color="auto"/>
            </w:tcBorders>
            <w:shd w:val="clear" w:color="auto" w:fill="auto"/>
            <w:noWrap/>
            <w:vAlign w:val="center"/>
            <w:hideMark/>
          </w:tcPr>
          <w:p w14:paraId="29E20E7A" w14:textId="77777777" w:rsidR="005B6BB0" w:rsidRPr="00D14CD7" w:rsidRDefault="005B6BB0" w:rsidP="00286339">
            <w:pPr>
              <w:spacing w:after="0" w:line="240" w:lineRule="auto"/>
              <w:jc w:val="right"/>
              <w:rPr>
                <w:rFonts w:eastAsia="Times New Roman"/>
                <w:color w:val="000000" w:themeColor="text1"/>
                <w:sz w:val="16"/>
                <w:szCs w:val="16"/>
              </w:rPr>
            </w:pPr>
            <w:r w:rsidRPr="00D14CD7">
              <w:rPr>
                <w:rFonts w:eastAsia="Times New Roman"/>
                <w:color w:val="000000" w:themeColor="text1"/>
                <w:sz w:val="16"/>
                <w:szCs w:val="22"/>
              </w:rPr>
              <w:t>—</w:t>
            </w:r>
          </w:p>
        </w:tc>
        <w:tc>
          <w:tcPr>
            <w:tcW w:w="156" w:type="pct"/>
            <w:tcBorders>
              <w:left w:val="single" w:sz="8" w:space="0" w:color="auto"/>
            </w:tcBorders>
            <w:shd w:val="clear" w:color="auto" w:fill="auto"/>
            <w:noWrap/>
            <w:vAlign w:val="center"/>
            <w:hideMark/>
          </w:tcPr>
          <w:p w14:paraId="6052237A" w14:textId="77777777" w:rsidR="005B6BB0" w:rsidRPr="00D14CD7" w:rsidRDefault="005B6BB0" w:rsidP="00286339">
            <w:pPr>
              <w:spacing w:after="0" w:line="240" w:lineRule="auto"/>
              <w:jc w:val="right"/>
              <w:rPr>
                <w:rFonts w:eastAsia="Times New Roman"/>
                <w:color w:val="000000" w:themeColor="text1"/>
                <w:sz w:val="16"/>
                <w:szCs w:val="16"/>
              </w:rPr>
            </w:pPr>
            <w:proofErr w:type="spellStart"/>
            <w:r w:rsidRPr="00D14CD7">
              <w:rPr>
                <w:rFonts w:eastAsia="Times New Roman"/>
                <w:color w:val="000000" w:themeColor="text1"/>
                <w:sz w:val="16"/>
                <w:szCs w:val="22"/>
              </w:rPr>
              <w:t>na</w:t>
            </w:r>
            <w:proofErr w:type="spellEnd"/>
          </w:p>
        </w:tc>
        <w:tc>
          <w:tcPr>
            <w:tcW w:w="157" w:type="pct"/>
            <w:tcBorders>
              <w:right w:val="double" w:sz="4" w:space="0" w:color="auto"/>
            </w:tcBorders>
            <w:shd w:val="clear" w:color="auto" w:fill="auto"/>
            <w:noWrap/>
            <w:vAlign w:val="center"/>
            <w:hideMark/>
          </w:tcPr>
          <w:p w14:paraId="4A27F243" w14:textId="77777777" w:rsidR="005B6BB0" w:rsidRPr="00D14CD7" w:rsidRDefault="005B6BB0" w:rsidP="00286339">
            <w:pPr>
              <w:spacing w:after="0" w:line="240" w:lineRule="auto"/>
              <w:jc w:val="right"/>
              <w:rPr>
                <w:rFonts w:eastAsia="Times New Roman"/>
                <w:color w:val="000000" w:themeColor="text1"/>
                <w:sz w:val="16"/>
                <w:szCs w:val="16"/>
              </w:rPr>
            </w:pPr>
            <w:proofErr w:type="spellStart"/>
            <w:r w:rsidRPr="00D14CD7">
              <w:rPr>
                <w:rFonts w:eastAsia="Times New Roman"/>
                <w:color w:val="000000" w:themeColor="text1"/>
                <w:sz w:val="16"/>
                <w:szCs w:val="22"/>
              </w:rPr>
              <w:t>na</w:t>
            </w:r>
            <w:proofErr w:type="spellEnd"/>
          </w:p>
        </w:tc>
        <w:tc>
          <w:tcPr>
            <w:tcW w:w="187" w:type="pct"/>
            <w:tcBorders>
              <w:top w:val="single" w:sz="4" w:space="0" w:color="auto"/>
              <w:left w:val="double" w:sz="4" w:space="0" w:color="auto"/>
              <w:bottom w:val="single" w:sz="4" w:space="0" w:color="auto"/>
            </w:tcBorders>
            <w:shd w:val="clear" w:color="auto" w:fill="auto"/>
            <w:noWrap/>
            <w:vAlign w:val="center"/>
            <w:hideMark/>
          </w:tcPr>
          <w:p w14:paraId="7985C03D" w14:textId="77777777" w:rsidR="005B6BB0" w:rsidRPr="00D14CD7" w:rsidRDefault="005B6BB0" w:rsidP="00286339">
            <w:pPr>
              <w:spacing w:after="0" w:line="240" w:lineRule="auto"/>
              <w:jc w:val="right"/>
              <w:rPr>
                <w:rFonts w:eastAsia="Times New Roman"/>
                <w:color w:val="000000" w:themeColor="text1"/>
                <w:sz w:val="16"/>
                <w:szCs w:val="16"/>
              </w:rPr>
            </w:pPr>
            <w:r w:rsidRPr="00D14CD7">
              <w:rPr>
                <w:rFonts w:eastAsia="Times New Roman"/>
                <w:color w:val="000000" w:themeColor="text1"/>
                <w:sz w:val="16"/>
                <w:szCs w:val="16"/>
              </w:rPr>
              <w:t>0.184</w:t>
            </w:r>
          </w:p>
        </w:tc>
        <w:tc>
          <w:tcPr>
            <w:tcW w:w="183" w:type="pct"/>
            <w:shd w:val="clear" w:color="auto" w:fill="auto"/>
            <w:noWrap/>
            <w:vAlign w:val="center"/>
            <w:hideMark/>
          </w:tcPr>
          <w:p w14:paraId="1B2CE471" w14:textId="77777777" w:rsidR="005B6BB0" w:rsidRPr="00D14CD7" w:rsidRDefault="005B6BB0" w:rsidP="00286339">
            <w:pPr>
              <w:spacing w:after="0" w:line="240" w:lineRule="auto"/>
              <w:jc w:val="right"/>
              <w:rPr>
                <w:rFonts w:eastAsia="Times New Roman"/>
                <w:color w:val="000000" w:themeColor="text1"/>
                <w:sz w:val="16"/>
                <w:szCs w:val="16"/>
              </w:rPr>
            </w:pPr>
            <w:r w:rsidRPr="00D14CD7">
              <w:rPr>
                <w:rFonts w:eastAsia="Times New Roman"/>
                <w:color w:val="000000" w:themeColor="text1"/>
                <w:sz w:val="16"/>
                <w:szCs w:val="16"/>
              </w:rPr>
              <w:t>2.12</w:t>
            </w:r>
          </w:p>
        </w:tc>
      </w:tr>
      <w:tr w:rsidR="00D14CD7" w:rsidRPr="00D14CD7" w14:paraId="7E78B6D0" w14:textId="77777777" w:rsidTr="00286339">
        <w:trPr>
          <w:trHeight w:val="72"/>
        </w:trPr>
        <w:tc>
          <w:tcPr>
            <w:tcW w:w="1709" w:type="pct"/>
            <w:tcBorders>
              <w:top w:val="single" w:sz="4" w:space="0" w:color="auto"/>
              <w:bottom w:val="single" w:sz="4" w:space="0" w:color="auto"/>
              <w:right w:val="double" w:sz="4" w:space="0" w:color="auto"/>
            </w:tcBorders>
            <w:shd w:val="clear" w:color="auto" w:fill="auto"/>
            <w:noWrap/>
            <w:vAlign w:val="center"/>
            <w:hideMark/>
          </w:tcPr>
          <w:p w14:paraId="7155ECC8" w14:textId="77777777" w:rsidR="005B6BB0" w:rsidRPr="00D14CD7" w:rsidRDefault="005B6BB0" w:rsidP="00286339">
            <w:pPr>
              <w:spacing w:after="0" w:line="240" w:lineRule="auto"/>
              <w:ind w:firstLine="140"/>
              <w:jc w:val="left"/>
              <w:rPr>
                <w:rFonts w:eastAsia="Times New Roman"/>
                <w:color w:val="000000" w:themeColor="text1"/>
                <w:sz w:val="16"/>
                <w:szCs w:val="16"/>
              </w:rPr>
            </w:pPr>
            <w:r w:rsidRPr="00D14CD7">
              <w:rPr>
                <w:rFonts w:eastAsia="Times New Roman"/>
                <w:color w:val="000000" w:themeColor="text1"/>
                <w:sz w:val="16"/>
                <w:szCs w:val="22"/>
              </w:rPr>
              <w:t>$50,000 - $99,999</w:t>
            </w:r>
          </w:p>
        </w:tc>
        <w:tc>
          <w:tcPr>
            <w:tcW w:w="227" w:type="pct"/>
            <w:tcBorders>
              <w:top w:val="single" w:sz="4" w:space="0" w:color="auto"/>
              <w:left w:val="double" w:sz="4" w:space="0" w:color="auto"/>
              <w:bottom w:val="single" w:sz="4" w:space="0" w:color="auto"/>
            </w:tcBorders>
            <w:shd w:val="clear" w:color="auto" w:fill="auto"/>
            <w:noWrap/>
            <w:vAlign w:val="center"/>
            <w:hideMark/>
          </w:tcPr>
          <w:p w14:paraId="0869A99F" w14:textId="77777777" w:rsidR="005B6BB0" w:rsidRPr="00D14CD7" w:rsidRDefault="005B6BB0" w:rsidP="00286339">
            <w:pPr>
              <w:spacing w:after="0" w:line="240" w:lineRule="auto"/>
              <w:jc w:val="right"/>
              <w:rPr>
                <w:rFonts w:eastAsia="Times New Roman"/>
                <w:color w:val="000000" w:themeColor="text1"/>
                <w:sz w:val="16"/>
                <w:szCs w:val="16"/>
              </w:rPr>
            </w:pPr>
            <w:r w:rsidRPr="00D14CD7">
              <w:rPr>
                <w:rFonts w:eastAsia="Times New Roman"/>
                <w:color w:val="000000" w:themeColor="text1"/>
                <w:sz w:val="16"/>
                <w:szCs w:val="22"/>
              </w:rPr>
              <w:t>—</w:t>
            </w:r>
          </w:p>
        </w:tc>
        <w:tc>
          <w:tcPr>
            <w:tcW w:w="199" w:type="pct"/>
            <w:tcBorders>
              <w:top w:val="single" w:sz="4" w:space="0" w:color="auto"/>
              <w:bottom w:val="single" w:sz="4" w:space="0" w:color="auto"/>
              <w:right w:val="single" w:sz="8" w:space="0" w:color="auto"/>
            </w:tcBorders>
            <w:shd w:val="clear" w:color="auto" w:fill="auto"/>
            <w:noWrap/>
            <w:vAlign w:val="center"/>
            <w:hideMark/>
          </w:tcPr>
          <w:p w14:paraId="589D0111" w14:textId="77777777" w:rsidR="005B6BB0" w:rsidRPr="00D14CD7" w:rsidRDefault="005B6BB0" w:rsidP="00286339">
            <w:pPr>
              <w:spacing w:after="0" w:line="240" w:lineRule="auto"/>
              <w:jc w:val="right"/>
              <w:rPr>
                <w:rFonts w:eastAsia="Times New Roman"/>
                <w:color w:val="000000" w:themeColor="text1"/>
                <w:sz w:val="16"/>
                <w:szCs w:val="16"/>
              </w:rPr>
            </w:pPr>
            <w:r w:rsidRPr="00D14CD7">
              <w:rPr>
                <w:rFonts w:eastAsia="Times New Roman"/>
                <w:color w:val="000000" w:themeColor="text1"/>
                <w:sz w:val="16"/>
                <w:szCs w:val="22"/>
              </w:rPr>
              <w:t>—</w:t>
            </w:r>
          </w:p>
        </w:tc>
        <w:tc>
          <w:tcPr>
            <w:tcW w:w="184" w:type="pct"/>
            <w:tcBorders>
              <w:top w:val="single" w:sz="4" w:space="0" w:color="auto"/>
              <w:left w:val="single" w:sz="8" w:space="0" w:color="auto"/>
              <w:bottom w:val="single" w:sz="4" w:space="0" w:color="auto"/>
            </w:tcBorders>
            <w:shd w:val="clear" w:color="auto" w:fill="auto"/>
            <w:noWrap/>
            <w:vAlign w:val="center"/>
            <w:hideMark/>
          </w:tcPr>
          <w:p w14:paraId="1A3ECDE2" w14:textId="77777777" w:rsidR="005B6BB0" w:rsidRPr="00D14CD7" w:rsidRDefault="005B6BB0" w:rsidP="00286339">
            <w:pPr>
              <w:spacing w:after="0" w:line="240" w:lineRule="auto"/>
              <w:jc w:val="right"/>
              <w:rPr>
                <w:rFonts w:eastAsia="Times New Roman"/>
                <w:color w:val="000000" w:themeColor="text1"/>
                <w:sz w:val="16"/>
                <w:szCs w:val="16"/>
              </w:rPr>
            </w:pPr>
            <w:r w:rsidRPr="00D14CD7">
              <w:rPr>
                <w:rFonts w:eastAsia="Times New Roman"/>
                <w:color w:val="000000" w:themeColor="text1"/>
                <w:sz w:val="16"/>
                <w:szCs w:val="22"/>
              </w:rPr>
              <w:t>—</w:t>
            </w:r>
          </w:p>
        </w:tc>
        <w:tc>
          <w:tcPr>
            <w:tcW w:w="185" w:type="pct"/>
            <w:tcBorders>
              <w:top w:val="single" w:sz="4" w:space="0" w:color="auto"/>
              <w:bottom w:val="single" w:sz="4" w:space="0" w:color="auto"/>
              <w:right w:val="single" w:sz="8" w:space="0" w:color="auto"/>
            </w:tcBorders>
            <w:shd w:val="clear" w:color="auto" w:fill="auto"/>
            <w:noWrap/>
            <w:vAlign w:val="center"/>
            <w:hideMark/>
          </w:tcPr>
          <w:p w14:paraId="766D0F5F" w14:textId="77777777" w:rsidR="005B6BB0" w:rsidRPr="00D14CD7" w:rsidRDefault="005B6BB0" w:rsidP="00286339">
            <w:pPr>
              <w:spacing w:after="0" w:line="240" w:lineRule="auto"/>
              <w:jc w:val="right"/>
              <w:rPr>
                <w:rFonts w:eastAsia="Times New Roman"/>
                <w:color w:val="000000" w:themeColor="text1"/>
                <w:sz w:val="16"/>
                <w:szCs w:val="16"/>
              </w:rPr>
            </w:pPr>
            <w:r w:rsidRPr="00D14CD7">
              <w:rPr>
                <w:rFonts w:eastAsia="Times New Roman"/>
                <w:color w:val="000000" w:themeColor="text1"/>
                <w:sz w:val="16"/>
                <w:szCs w:val="22"/>
              </w:rPr>
              <w:t>—</w:t>
            </w:r>
          </w:p>
        </w:tc>
        <w:tc>
          <w:tcPr>
            <w:tcW w:w="184" w:type="pct"/>
            <w:tcBorders>
              <w:top w:val="single" w:sz="4" w:space="0" w:color="auto"/>
              <w:left w:val="single" w:sz="8" w:space="0" w:color="auto"/>
              <w:bottom w:val="single" w:sz="4" w:space="0" w:color="auto"/>
            </w:tcBorders>
            <w:shd w:val="clear" w:color="auto" w:fill="auto"/>
            <w:noWrap/>
            <w:vAlign w:val="center"/>
            <w:hideMark/>
          </w:tcPr>
          <w:p w14:paraId="50F39929" w14:textId="77777777" w:rsidR="005B6BB0" w:rsidRPr="00D14CD7" w:rsidRDefault="005B6BB0" w:rsidP="00286339">
            <w:pPr>
              <w:spacing w:after="0" w:line="240" w:lineRule="auto"/>
              <w:jc w:val="right"/>
              <w:rPr>
                <w:rFonts w:eastAsia="Times New Roman"/>
                <w:color w:val="000000" w:themeColor="text1"/>
                <w:sz w:val="16"/>
                <w:szCs w:val="16"/>
              </w:rPr>
            </w:pPr>
            <w:r w:rsidRPr="00D14CD7">
              <w:rPr>
                <w:rFonts w:eastAsia="Times New Roman"/>
                <w:color w:val="000000" w:themeColor="text1"/>
                <w:sz w:val="16"/>
                <w:szCs w:val="22"/>
              </w:rPr>
              <w:t>—</w:t>
            </w:r>
          </w:p>
        </w:tc>
        <w:tc>
          <w:tcPr>
            <w:tcW w:w="188" w:type="pct"/>
            <w:tcBorders>
              <w:top w:val="single" w:sz="4" w:space="0" w:color="auto"/>
              <w:bottom w:val="single" w:sz="4" w:space="0" w:color="auto"/>
              <w:right w:val="single" w:sz="8" w:space="0" w:color="auto"/>
            </w:tcBorders>
            <w:shd w:val="clear" w:color="auto" w:fill="auto"/>
            <w:noWrap/>
            <w:vAlign w:val="center"/>
            <w:hideMark/>
          </w:tcPr>
          <w:p w14:paraId="2C47983B" w14:textId="77777777" w:rsidR="005B6BB0" w:rsidRPr="00D14CD7" w:rsidRDefault="005B6BB0" w:rsidP="00286339">
            <w:pPr>
              <w:spacing w:after="0" w:line="240" w:lineRule="auto"/>
              <w:jc w:val="right"/>
              <w:rPr>
                <w:rFonts w:eastAsia="Times New Roman"/>
                <w:color w:val="000000" w:themeColor="text1"/>
                <w:sz w:val="16"/>
                <w:szCs w:val="16"/>
              </w:rPr>
            </w:pPr>
            <w:r w:rsidRPr="00D14CD7">
              <w:rPr>
                <w:rFonts w:eastAsia="Times New Roman"/>
                <w:color w:val="000000" w:themeColor="text1"/>
                <w:sz w:val="16"/>
                <w:szCs w:val="22"/>
              </w:rPr>
              <w:t>—</w:t>
            </w:r>
          </w:p>
        </w:tc>
        <w:tc>
          <w:tcPr>
            <w:tcW w:w="188" w:type="pct"/>
            <w:tcBorders>
              <w:top w:val="single" w:sz="4" w:space="0" w:color="auto"/>
              <w:left w:val="single" w:sz="8" w:space="0" w:color="auto"/>
              <w:bottom w:val="single" w:sz="4" w:space="0" w:color="auto"/>
            </w:tcBorders>
            <w:shd w:val="clear" w:color="auto" w:fill="auto"/>
            <w:noWrap/>
            <w:vAlign w:val="center"/>
            <w:hideMark/>
          </w:tcPr>
          <w:p w14:paraId="51A7DD35" w14:textId="77777777" w:rsidR="005B6BB0" w:rsidRPr="00D14CD7" w:rsidRDefault="005B6BB0" w:rsidP="00286339">
            <w:pPr>
              <w:spacing w:after="0" w:line="240" w:lineRule="auto"/>
              <w:jc w:val="right"/>
              <w:rPr>
                <w:rFonts w:eastAsia="Times New Roman"/>
                <w:color w:val="000000" w:themeColor="text1"/>
                <w:sz w:val="16"/>
                <w:szCs w:val="16"/>
              </w:rPr>
            </w:pPr>
            <w:proofErr w:type="spellStart"/>
            <w:r w:rsidRPr="00D14CD7">
              <w:rPr>
                <w:rFonts w:eastAsia="Times New Roman"/>
                <w:color w:val="000000" w:themeColor="text1"/>
                <w:sz w:val="16"/>
                <w:szCs w:val="22"/>
              </w:rPr>
              <w:t>na</w:t>
            </w:r>
            <w:proofErr w:type="spellEnd"/>
          </w:p>
        </w:tc>
        <w:tc>
          <w:tcPr>
            <w:tcW w:w="146" w:type="pct"/>
            <w:tcBorders>
              <w:top w:val="single" w:sz="4" w:space="0" w:color="auto"/>
              <w:bottom w:val="single" w:sz="4" w:space="0" w:color="auto"/>
              <w:right w:val="double" w:sz="4" w:space="0" w:color="auto"/>
            </w:tcBorders>
            <w:shd w:val="clear" w:color="auto" w:fill="auto"/>
            <w:noWrap/>
            <w:vAlign w:val="center"/>
            <w:hideMark/>
          </w:tcPr>
          <w:p w14:paraId="2FDE28ED" w14:textId="77777777" w:rsidR="005B6BB0" w:rsidRPr="00D14CD7" w:rsidRDefault="005B6BB0" w:rsidP="00286339">
            <w:pPr>
              <w:spacing w:after="0" w:line="240" w:lineRule="auto"/>
              <w:jc w:val="right"/>
              <w:rPr>
                <w:rFonts w:eastAsia="Times New Roman"/>
                <w:color w:val="000000" w:themeColor="text1"/>
                <w:sz w:val="16"/>
                <w:szCs w:val="16"/>
              </w:rPr>
            </w:pPr>
            <w:proofErr w:type="spellStart"/>
            <w:r w:rsidRPr="00D14CD7">
              <w:rPr>
                <w:rFonts w:eastAsia="Times New Roman"/>
                <w:color w:val="000000" w:themeColor="text1"/>
                <w:sz w:val="16"/>
                <w:szCs w:val="22"/>
              </w:rPr>
              <w:t>na</w:t>
            </w:r>
            <w:proofErr w:type="spellEnd"/>
          </w:p>
        </w:tc>
        <w:tc>
          <w:tcPr>
            <w:tcW w:w="184" w:type="pct"/>
            <w:tcBorders>
              <w:left w:val="double" w:sz="4" w:space="0" w:color="auto"/>
            </w:tcBorders>
            <w:shd w:val="clear" w:color="auto" w:fill="auto"/>
            <w:noWrap/>
            <w:vAlign w:val="center"/>
            <w:hideMark/>
          </w:tcPr>
          <w:p w14:paraId="78D4CA6F" w14:textId="77777777" w:rsidR="005B6BB0" w:rsidRPr="00D14CD7" w:rsidRDefault="005B6BB0" w:rsidP="00286339">
            <w:pPr>
              <w:spacing w:after="0" w:line="240" w:lineRule="auto"/>
              <w:jc w:val="right"/>
              <w:rPr>
                <w:rFonts w:eastAsia="Times New Roman"/>
                <w:color w:val="000000" w:themeColor="text1"/>
                <w:sz w:val="16"/>
                <w:szCs w:val="16"/>
              </w:rPr>
            </w:pPr>
            <w:r w:rsidRPr="00D14CD7">
              <w:rPr>
                <w:rFonts w:eastAsia="Times New Roman"/>
                <w:color w:val="000000" w:themeColor="text1"/>
                <w:sz w:val="16"/>
                <w:szCs w:val="22"/>
              </w:rPr>
              <w:t>—</w:t>
            </w:r>
          </w:p>
        </w:tc>
        <w:tc>
          <w:tcPr>
            <w:tcW w:w="184" w:type="pct"/>
            <w:tcBorders>
              <w:top w:val="single" w:sz="4" w:space="0" w:color="auto"/>
              <w:bottom w:val="single" w:sz="4" w:space="0" w:color="auto"/>
              <w:right w:val="single" w:sz="8" w:space="0" w:color="auto"/>
            </w:tcBorders>
            <w:shd w:val="clear" w:color="auto" w:fill="auto"/>
            <w:noWrap/>
            <w:vAlign w:val="center"/>
            <w:hideMark/>
          </w:tcPr>
          <w:p w14:paraId="16670953" w14:textId="77777777" w:rsidR="005B6BB0" w:rsidRPr="00D14CD7" w:rsidRDefault="005B6BB0" w:rsidP="00286339">
            <w:pPr>
              <w:spacing w:after="0" w:line="240" w:lineRule="auto"/>
              <w:jc w:val="right"/>
              <w:rPr>
                <w:rFonts w:eastAsia="Times New Roman"/>
                <w:color w:val="000000" w:themeColor="text1"/>
                <w:sz w:val="16"/>
                <w:szCs w:val="16"/>
              </w:rPr>
            </w:pPr>
            <w:r w:rsidRPr="00D14CD7">
              <w:rPr>
                <w:rFonts w:eastAsia="Times New Roman"/>
                <w:color w:val="000000" w:themeColor="text1"/>
                <w:sz w:val="16"/>
                <w:szCs w:val="22"/>
              </w:rPr>
              <w:t>—</w:t>
            </w:r>
          </w:p>
        </w:tc>
        <w:tc>
          <w:tcPr>
            <w:tcW w:w="184" w:type="pct"/>
            <w:tcBorders>
              <w:top w:val="single" w:sz="4" w:space="0" w:color="auto"/>
              <w:left w:val="single" w:sz="8" w:space="0" w:color="auto"/>
              <w:bottom w:val="single" w:sz="4" w:space="0" w:color="auto"/>
            </w:tcBorders>
            <w:shd w:val="clear" w:color="auto" w:fill="auto"/>
            <w:noWrap/>
            <w:vAlign w:val="center"/>
            <w:hideMark/>
          </w:tcPr>
          <w:p w14:paraId="09DD7884" w14:textId="77777777" w:rsidR="005B6BB0" w:rsidRPr="00D14CD7" w:rsidRDefault="005B6BB0" w:rsidP="00286339">
            <w:pPr>
              <w:spacing w:after="0" w:line="240" w:lineRule="auto"/>
              <w:jc w:val="right"/>
              <w:rPr>
                <w:rFonts w:eastAsia="Times New Roman"/>
                <w:color w:val="000000" w:themeColor="text1"/>
                <w:sz w:val="16"/>
                <w:szCs w:val="16"/>
              </w:rPr>
            </w:pPr>
            <w:r w:rsidRPr="00D14CD7">
              <w:rPr>
                <w:rFonts w:eastAsia="Times New Roman"/>
                <w:color w:val="000000" w:themeColor="text1"/>
                <w:sz w:val="16"/>
                <w:szCs w:val="22"/>
              </w:rPr>
              <w:t>—</w:t>
            </w:r>
          </w:p>
        </w:tc>
        <w:tc>
          <w:tcPr>
            <w:tcW w:w="185" w:type="pct"/>
            <w:tcBorders>
              <w:top w:val="single" w:sz="4" w:space="0" w:color="auto"/>
              <w:bottom w:val="single" w:sz="4" w:space="0" w:color="auto"/>
              <w:right w:val="single" w:sz="8" w:space="0" w:color="auto"/>
            </w:tcBorders>
            <w:shd w:val="clear" w:color="auto" w:fill="auto"/>
            <w:noWrap/>
            <w:vAlign w:val="center"/>
            <w:hideMark/>
          </w:tcPr>
          <w:p w14:paraId="10651EBF" w14:textId="77777777" w:rsidR="005B6BB0" w:rsidRPr="00D14CD7" w:rsidRDefault="005B6BB0" w:rsidP="00286339">
            <w:pPr>
              <w:spacing w:after="0" w:line="240" w:lineRule="auto"/>
              <w:jc w:val="right"/>
              <w:rPr>
                <w:rFonts w:eastAsia="Times New Roman"/>
                <w:color w:val="000000" w:themeColor="text1"/>
                <w:sz w:val="16"/>
                <w:szCs w:val="16"/>
              </w:rPr>
            </w:pPr>
            <w:r w:rsidRPr="00D14CD7">
              <w:rPr>
                <w:rFonts w:eastAsia="Times New Roman"/>
                <w:color w:val="000000" w:themeColor="text1"/>
                <w:sz w:val="16"/>
                <w:szCs w:val="22"/>
              </w:rPr>
              <w:t>—</w:t>
            </w:r>
          </w:p>
        </w:tc>
        <w:tc>
          <w:tcPr>
            <w:tcW w:w="185" w:type="pct"/>
            <w:tcBorders>
              <w:top w:val="single" w:sz="4" w:space="0" w:color="auto"/>
              <w:left w:val="single" w:sz="8" w:space="0" w:color="auto"/>
              <w:bottom w:val="single" w:sz="4" w:space="0" w:color="auto"/>
            </w:tcBorders>
            <w:shd w:val="clear" w:color="auto" w:fill="auto"/>
            <w:noWrap/>
            <w:vAlign w:val="center"/>
            <w:hideMark/>
          </w:tcPr>
          <w:p w14:paraId="1259411C" w14:textId="77777777" w:rsidR="005B6BB0" w:rsidRPr="00D14CD7" w:rsidRDefault="005B6BB0" w:rsidP="00286339">
            <w:pPr>
              <w:spacing w:after="0" w:line="240" w:lineRule="auto"/>
              <w:jc w:val="right"/>
              <w:rPr>
                <w:rFonts w:eastAsia="Times New Roman"/>
                <w:color w:val="000000" w:themeColor="text1"/>
                <w:sz w:val="16"/>
                <w:szCs w:val="16"/>
              </w:rPr>
            </w:pPr>
            <w:r w:rsidRPr="00D14CD7">
              <w:rPr>
                <w:rFonts w:eastAsia="Times New Roman"/>
                <w:color w:val="000000" w:themeColor="text1"/>
                <w:sz w:val="16"/>
                <w:szCs w:val="22"/>
              </w:rPr>
              <w:t>—</w:t>
            </w:r>
          </w:p>
        </w:tc>
        <w:tc>
          <w:tcPr>
            <w:tcW w:w="185" w:type="pct"/>
            <w:tcBorders>
              <w:top w:val="single" w:sz="4" w:space="0" w:color="auto"/>
              <w:bottom w:val="single" w:sz="4" w:space="0" w:color="auto"/>
              <w:right w:val="single" w:sz="8" w:space="0" w:color="auto"/>
            </w:tcBorders>
            <w:shd w:val="clear" w:color="auto" w:fill="auto"/>
            <w:noWrap/>
            <w:vAlign w:val="center"/>
            <w:hideMark/>
          </w:tcPr>
          <w:p w14:paraId="052379BC" w14:textId="77777777" w:rsidR="005B6BB0" w:rsidRPr="00D14CD7" w:rsidRDefault="005B6BB0" w:rsidP="00286339">
            <w:pPr>
              <w:spacing w:after="0" w:line="240" w:lineRule="auto"/>
              <w:jc w:val="right"/>
              <w:rPr>
                <w:rFonts w:eastAsia="Times New Roman"/>
                <w:color w:val="000000" w:themeColor="text1"/>
                <w:sz w:val="16"/>
                <w:szCs w:val="16"/>
              </w:rPr>
            </w:pPr>
            <w:r w:rsidRPr="00D14CD7">
              <w:rPr>
                <w:rFonts w:eastAsia="Times New Roman"/>
                <w:color w:val="000000" w:themeColor="text1"/>
                <w:sz w:val="16"/>
                <w:szCs w:val="22"/>
              </w:rPr>
              <w:t>—</w:t>
            </w:r>
          </w:p>
        </w:tc>
        <w:tc>
          <w:tcPr>
            <w:tcW w:w="156" w:type="pct"/>
            <w:tcBorders>
              <w:left w:val="single" w:sz="8" w:space="0" w:color="auto"/>
            </w:tcBorders>
            <w:shd w:val="clear" w:color="auto" w:fill="auto"/>
            <w:noWrap/>
            <w:vAlign w:val="center"/>
            <w:hideMark/>
          </w:tcPr>
          <w:p w14:paraId="3D01DB5E" w14:textId="77777777" w:rsidR="005B6BB0" w:rsidRPr="00D14CD7" w:rsidRDefault="005B6BB0" w:rsidP="00286339">
            <w:pPr>
              <w:spacing w:after="0" w:line="240" w:lineRule="auto"/>
              <w:jc w:val="right"/>
              <w:rPr>
                <w:rFonts w:eastAsia="Times New Roman"/>
                <w:color w:val="000000" w:themeColor="text1"/>
                <w:sz w:val="16"/>
                <w:szCs w:val="16"/>
              </w:rPr>
            </w:pPr>
            <w:proofErr w:type="spellStart"/>
            <w:r w:rsidRPr="00D14CD7">
              <w:rPr>
                <w:rFonts w:eastAsia="Times New Roman"/>
                <w:color w:val="000000" w:themeColor="text1"/>
                <w:sz w:val="16"/>
                <w:szCs w:val="22"/>
              </w:rPr>
              <w:t>na</w:t>
            </w:r>
            <w:proofErr w:type="spellEnd"/>
          </w:p>
        </w:tc>
        <w:tc>
          <w:tcPr>
            <w:tcW w:w="157" w:type="pct"/>
            <w:tcBorders>
              <w:right w:val="double" w:sz="4" w:space="0" w:color="auto"/>
            </w:tcBorders>
            <w:shd w:val="clear" w:color="auto" w:fill="auto"/>
            <w:noWrap/>
            <w:vAlign w:val="center"/>
            <w:hideMark/>
          </w:tcPr>
          <w:p w14:paraId="0B497639" w14:textId="77777777" w:rsidR="005B6BB0" w:rsidRPr="00D14CD7" w:rsidRDefault="005B6BB0" w:rsidP="00286339">
            <w:pPr>
              <w:spacing w:after="0" w:line="240" w:lineRule="auto"/>
              <w:jc w:val="right"/>
              <w:rPr>
                <w:rFonts w:eastAsia="Times New Roman"/>
                <w:color w:val="000000" w:themeColor="text1"/>
                <w:sz w:val="16"/>
                <w:szCs w:val="16"/>
              </w:rPr>
            </w:pPr>
            <w:proofErr w:type="spellStart"/>
            <w:r w:rsidRPr="00D14CD7">
              <w:rPr>
                <w:rFonts w:eastAsia="Times New Roman"/>
                <w:color w:val="000000" w:themeColor="text1"/>
                <w:sz w:val="16"/>
                <w:szCs w:val="22"/>
              </w:rPr>
              <w:t>na</w:t>
            </w:r>
            <w:proofErr w:type="spellEnd"/>
          </w:p>
        </w:tc>
        <w:tc>
          <w:tcPr>
            <w:tcW w:w="187" w:type="pct"/>
            <w:tcBorders>
              <w:top w:val="single" w:sz="4" w:space="0" w:color="auto"/>
              <w:left w:val="double" w:sz="4" w:space="0" w:color="auto"/>
              <w:bottom w:val="single" w:sz="4" w:space="0" w:color="auto"/>
            </w:tcBorders>
            <w:shd w:val="clear" w:color="auto" w:fill="auto"/>
            <w:noWrap/>
            <w:vAlign w:val="center"/>
            <w:hideMark/>
          </w:tcPr>
          <w:p w14:paraId="1C4930B7" w14:textId="77777777" w:rsidR="005B6BB0" w:rsidRPr="00D14CD7" w:rsidRDefault="005B6BB0" w:rsidP="00286339">
            <w:pPr>
              <w:spacing w:after="0" w:line="240" w:lineRule="auto"/>
              <w:jc w:val="right"/>
              <w:rPr>
                <w:rFonts w:eastAsia="Times New Roman"/>
                <w:color w:val="000000" w:themeColor="text1"/>
                <w:sz w:val="16"/>
                <w:szCs w:val="16"/>
              </w:rPr>
            </w:pPr>
            <w:r w:rsidRPr="00D14CD7">
              <w:rPr>
                <w:rFonts w:eastAsia="Times New Roman"/>
                <w:color w:val="000000" w:themeColor="text1"/>
                <w:sz w:val="16"/>
                <w:szCs w:val="16"/>
              </w:rPr>
              <w:t>0.214</w:t>
            </w:r>
          </w:p>
        </w:tc>
        <w:tc>
          <w:tcPr>
            <w:tcW w:w="183" w:type="pct"/>
            <w:shd w:val="clear" w:color="auto" w:fill="auto"/>
            <w:noWrap/>
            <w:vAlign w:val="center"/>
            <w:hideMark/>
          </w:tcPr>
          <w:p w14:paraId="3EDEA550" w14:textId="77777777" w:rsidR="005B6BB0" w:rsidRPr="00D14CD7" w:rsidRDefault="005B6BB0" w:rsidP="00286339">
            <w:pPr>
              <w:spacing w:after="0" w:line="240" w:lineRule="auto"/>
              <w:jc w:val="right"/>
              <w:rPr>
                <w:rFonts w:eastAsia="Times New Roman"/>
                <w:color w:val="000000" w:themeColor="text1"/>
                <w:sz w:val="16"/>
                <w:szCs w:val="16"/>
              </w:rPr>
            </w:pPr>
            <w:r w:rsidRPr="00D14CD7">
              <w:rPr>
                <w:rFonts w:eastAsia="Times New Roman"/>
                <w:color w:val="000000" w:themeColor="text1"/>
                <w:sz w:val="16"/>
                <w:szCs w:val="16"/>
              </w:rPr>
              <w:t>2.53</w:t>
            </w:r>
          </w:p>
        </w:tc>
      </w:tr>
      <w:tr w:rsidR="00D14CD7" w:rsidRPr="00D14CD7" w14:paraId="62943113" w14:textId="77777777" w:rsidTr="00286339">
        <w:trPr>
          <w:trHeight w:val="72"/>
        </w:trPr>
        <w:tc>
          <w:tcPr>
            <w:tcW w:w="1709" w:type="pct"/>
            <w:tcBorders>
              <w:top w:val="single" w:sz="4" w:space="0" w:color="auto"/>
              <w:bottom w:val="single" w:sz="4" w:space="0" w:color="auto"/>
              <w:right w:val="double" w:sz="4" w:space="0" w:color="auto"/>
            </w:tcBorders>
            <w:shd w:val="clear" w:color="auto" w:fill="auto"/>
            <w:noWrap/>
            <w:vAlign w:val="center"/>
            <w:hideMark/>
          </w:tcPr>
          <w:p w14:paraId="780A5813" w14:textId="77777777" w:rsidR="005B6BB0" w:rsidRPr="00D14CD7" w:rsidRDefault="005B6BB0" w:rsidP="00286339">
            <w:pPr>
              <w:spacing w:after="0" w:line="240" w:lineRule="auto"/>
              <w:ind w:firstLine="140"/>
              <w:jc w:val="left"/>
              <w:rPr>
                <w:rFonts w:eastAsia="Times New Roman"/>
                <w:color w:val="000000" w:themeColor="text1"/>
                <w:sz w:val="16"/>
                <w:szCs w:val="16"/>
              </w:rPr>
            </w:pPr>
            <w:r w:rsidRPr="00D14CD7">
              <w:rPr>
                <w:rFonts w:eastAsia="Times New Roman"/>
                <w:color w:val="000000" w:themeColor="text1"/>
                <w:sz w:val="16"/>
                <w:szCs w:val="22"/>
              </w:rPr>
              <w:t>$100,000 - $149,999</w:t>
            </w:r>
          </w:p>
        </w:tc>
        <w:tc>
          <w:tcPr>
            <w:tcW w:w="227" w:type="pct"/>
            <w:tcBorders>
              <w:top w:val="single" w:sz="4" w:space="0" w:color="auto"/>
              <w:left w:val="double" w:sz="4" w:space="0" w:color="auto"/>
              <w:bottom w:val="single" w:sz="4" w:space="0" w:color="auto"/>
            </w:tcBorders>
            <w:shd w:val="clear" w:color="auto" w:fill="auto"/>
            <w:noWrap/>
            <w:vAlign w:val="center"/>
            <w:hideMark/>
          </w:tcPr>
          <w:p w14:paraId="3FE1BD53" w14:textId="77777777" w:rsidR="005B6BB0" w:rsidRPr="00D14CD7" w:rsidRDefault="005B6BB0" w:rsidP="00286339">
            <w:pPr>
              <w:spacing w:after="0" w:line="240" w:lineRule="auto"/>
              <w:jc w:val="right"/>
              <w:rPr>
                <w:rFonts w:eastAsia="Times New Roman"/>
                <w:color w:val="000000" w:themeColor="text1"/>
                <w:sz w:val="16"/>
                <w:szCs w:val="16"/>
              </w:rPr>
            </w:pPr>
            <w:r w:rsidRPr="00D14CD7">
              <w:rPr>
                <w:rFonts w:eastAsia="Times New Roman"/>
                <w:color w:val="000000" w:themeColor="text1"/>
                <w:sz w:val="16"/>
                <w:szCs w:val="16"/>
              </w:rPr>
              <w:t>-0.148</w:t>
            </w:r>
          </w:p>
        </w:tc>
        <w:tc>
          <w:tcPr>
            <w:tcW w:w="199" w:type="pct"/>
            <w:tcBorders>
              <w:top w:val="single" w:sz="4" w:space="0" w:color="auto"/>
              <w:bottom w:val="single" w:sz="4" w:space="0" w:color="auto"/>
              <w:right w:val="single" w:sz="8" w:space="0" w:color="auto"/>
            </w:tcBorders>
            <w:shd w:val="clear" w:color="auto" w:fill="auto"/>
            <w:noWrap/>
            <w:vAlign w:val="center"/>
            <w:hideMark/>
          </w:tcPr>
          <w:p w14:paraId="5228ECB2" w14:textId="77777777" w:rsidR="005B6BB0" w:rsidRPr="00D14CD7" w:rsidRDefault="005B6BB0" w:rsidP="00286339">
            <w:pPr>
              <w:spacing w:after="0" w:line="240" w:lineRule="auto"/>
              <w:jc w:val="right"/>
              <w:rPr>
                <w:rFonts w:eastAsia="Times New Roman"/>
                <w:color w:val="000000" w:themeColor="text1"/>
                <w:sz w:val="16"/>
                <w:szCs w:val="16"/>
              </w:rPr>
            </w:pPr>
            <w:r w:rsidRPr="00D14CD7">
              <w:rPr>
                <w:rFonts w:eastAsia="Times New Roman"/>
                <w:color w:val="000000" w:themeColor="text1"/>
                <w:sz w:val="16"/>
                <w:szCs w:val="16"/>
              </w:rPr>
              <w:t>-2.63</w:t>
            </w:r>
          </w:p>
        </w:tc>
        <w:tc>
          <w:tcPr>
            <w:tcW w:w="184" w:type="pct"/>
            <w:tcBorders>
              <w:top w:val="single" w:sz="4" w:space="0" w:color="auto"/>
              <w:left w:val="single" w:sz="8" w:space="0" w:color="auto"/>
              <w:bottom w:val="single" w:sz="4" w:space="0" w:color="auto"/>
            </w:tcBorders>
            <w:shd w:val="clear" w:color="auto" w:fill="auto"/>
            <w:noWrap/>
            <w:vAlign w:val="center"/>
            <w:hideMark/>
          </w:tcPr>
          <w:p w14:paraId="070D56D0" w14:textId="77777777" w:rsidR="005B6BB0" w:rsidRPr="00D14CD7" w:rsidRDefault="005B6BB0" w:rsidP="00286339">
            <w:pPr>
              <w:spacing w:after="0" w:line="240" w:lineRule="auto"/>
              <w:jc w:val="right"/>
              <w:rPr>
                <w:rFonts w:eastAsia="Times New Roman"/>
                <w:color w:val="000000" w:themeColor="text1"/>
                <w:sz w:val="16"/>
                <w:szCs w:val="16"/>
              </w:rPr>
            </w:pPr>
            <w:r w:rsidRPr="00D14CD7">
              <w:rPr>
                <w:rFonts w:eastAsia="Times New Roman"/>
                <w:color w:val="000000" w:themeColor="text1"/>
                <w:sz w:val="16"/>
                <w:szCs w:val="16"/>
              </w:rPr>
              <w:t>-0.139</w:t>
            </w:r>
          </w:p>
        </w:tc>
        <w:tc>
          <w:tcPr>
            <w:tcW w:w="185" w:type="pct"/>
            <w:tcBorders>
              <w:top w:val="single" w:sz="4" w:space="0" w:color="auto"/>
              <w:bottom w:val="single" w:sz="4" w:space="0" w:color="auto"/>
              <w:right w:val="single" w:sz="8" w:space="0" w:color="auto"/>
            </w:tcBorders>
            <w:shd w:val="clear" w:color="auto" w:fill="auto"/>
            <w:noWrap/>
            <w:vAlign w:val="center"/>
            <w:hideMark/>
          </w:tcPr>
          <w:p w14:paraId="25C81D7D" w14:textId="77777777" w:rsidR="005B6BB0" w:rsidRPr="00D14CD7" w:rsidRDefault="005B6BB0" w:rsidP="00286339">
            <w:pPr>
              <w:spacing w:after="0" w:line="240" w:lineRule="auto"/>
              <w:jc w:val="right"/>
              <w:rPr>
                <w:rFonts w:eastAsia="Times New Roman"/>
                <w:color w:val="000000" w:themeColor="text1"/>
                <w:sz w:val="16"/>
                <w:szCs w:val="16"/>
              </w:rPr>
            </w:pPr>
            <w:r w:rsidRPr="00D14CD7">
              <w:rPr>
                <w:rFonts w:eastAsia="Times New Roman"/>
                <w:color w:val="000000" w:themeColor="text1"/>
                <w:sz w:val="16"/>
                <w:szCs w:val="16"/>
              </w:rPr>
              <w:t>-2.39</w:t>
            </w:r>
          </w:p>
        </w:tc>
        <w:tc>
          <w:tcPr>
            <w:tcW w:w="184" w:type="pct"/>
            <w:tcBorders>
              <w:top w:val="single" w:sz="4" w:space="0" w:color="auto"/>
              <w:left w:val="single" w:sz="8" w:space="0" w:color="auto"/>
              <w:bottom w:val="single" w:sz="4" w:space="0" w:color="auto"/>
            </w:tcBorders>
            <w:shd w:val="clear" w:color="auto" w:fill="auto"/>
            <w:noWrap/>
            <w:vAlign w:val="center"/>
            <w:hideMark/>
          </w:tcPr>
          <w:p w14:paraId="09201988" w14:textId="77777777" w:rsidR="005B6BB0" w:rsidRPr="00D14CD7" w:rsidRDefault="005B6BB0" w:rsidP="00286339">
            <w:pPr>
              <w:spacing w:after="0" w:line="240" w:lineRule="auto"/>
              <w:jc w:val="right"/>
              <w:rPr>
                <w:rFonts w:eastAsia="Times New Roman"/>
                <w:color w:val="000000" w:themeColor="text1"/>
                <w:sz w:val="16"/>
                <w:szCs w:val="16"/>
              </w:rPr>
            </w:pPr>
            <w:r w:rsidRPr="00D14CD7">
              <w:rPr>
                <w:rFonts w:eastAsia="Times New Roman"/>
                <w:color w:val="000000" w:themeColor="text1"/>
                <w:sz w:val="16"/>
                <w:szCs w:val="22"/>
              </w:rPr>
              <w:t>—</w:t>
            </w:r>
          </w:p>
        </w:tc>
        <w:tc>
          <w:tcPr>
            <w:tcW w:w="188" w:type="pct"/>
            <w:tcBorders>
              <w:top w:val="single" w:sz="4" w:space="0" w:color="auto"/>
              <w:bottom w:val="single" w:sz="4" w:space="0" w:color="auto"/>
              <w:right w:val="single" w:sz="8" w:space="0" w:color="auto"/>
            </w:tcBorders>
            <w:shd w:val="clear" w:color="auto" w:fill="auto"/>
            <w:noWrap/>
            <w:vAlign w:val="center"/>
            <w:hideMark/>
          </w:tcPr>
          <w:p w14:paraId="2F803712" w14:textId="77777777" w:rsidR="005B6BB0" w:rsidRPr="00D14CD7" w:rsidRDefault="005B6BB0" w:rsidP="00286339">
            <w:pPr>
              <w:spacing w:after="0" w:line="240" w:lineRule="auto"/>
              <w:jc w:val="right"/>
              <w:rPr>
                <w:rFonts w:eastAsia="Times New Roman"/>
                <w:color w:val="000000" w:themeColor="text1"/>
                <w:sz w:val="16"/>
                <w:szCs w:val="16"/>
              </w:rPr>
            </w:pPr>
            <w:r w:rsidRPr="00D14CD7">
              <w:rPr>
                <w:rFonts w:eastAsia="Times New Roman"/>
                <w:color w:val="000000" w:themeColor="text1"/>
                <w:sz w:val="16"/>
                <w:szCs w:val="22"/>
              </w:rPr>
              <w:t>—</w:t>
            </w:r>
          </w:p>
        </w:tc>
        <w:tc>
          <w:tcPr>
            <w:tcW w:w="188" w:type="pct"/>
            <w:tcBorders>
              <w:top w:val="single" w:sz="4" w:space="0" w:color="auto"/>
              <w:left w:val="single" w:sz="8" w:space="0" w:color="auto"/>
              <w:bottom w:val="single" w:sz="4" w:space="0" w:color="auto"/>
            </w:tcBorders>
            <w:shd w:val="clear" w:color="auto" w:fill="auto"/>
            <w:noWrap/>
            <w:vAlign w:val="center"/>
            <w:hideMark/>
          </w:tcPr>
          <w:p w14:paraId="64CD7E03" w14:textId="77777777" w:rsidR="005B6BB0" w:rsidRPr="00D14CD7" w:rsidRDefault="005B6BB0" w:rsidP="00286339">
            <w:pPr>
              <w:spacing w:after="0" w:line="240" w:lineRule="auto"/>
              <w:jc w:val="right"/>
              <w:rPr>
                <w:rFonts w:eastAsia="Times New Roman"/>
                <w:color w:val="000000" w:themeColor="text1"/>
                <w:sz w:val="16"/>
                <w:szCs w:val="16"/>
              </w:rPr>
            </w:pPr>
            <w:proofErr w:type="spellStart"/>
            <w:r w:rsidRPr="00D14CD7">
              <w:rPr>
                <w:rFonts w:eastAsia="Times New Roman"/>
                <w:color w:val="000000" w:themeColor="text1"/>
                <w:sz w:val="16"/>
                <w:szCs w:val="22"/>
              </w:rPr>
              <w:t>na</w:t>
            </w:r>
            <w:proofErr w:type="spellEnd"/>
          </w:p>
        </w:tc>
        <w:tc>
          <w:tcPr>
            <w:tcW w:w="146" w:type="pct"/>
            <w:tcBorders>
              <w:top w:val="single" w:sz="4" w:space="0" w:color="auto"/>
              <w:bottom w:val="single" w:sz="4" w:space="0" w:color="auto"/>
              <w:right w:val="double" w:sz="4" w:space="0" w:color="auto"/>
            </w:tcBorders>
            <w:shd w:val="clear" w:color="auto" w:fill="auto"/>
            <w:noWrap/>
            <w:vAlign w:val="center"/>
            <w:hideMark/>
          </w:tcPr>
          <w:p w14:paraId="3A681614" w14:textId="77777777" w:rsidR="005B6BB0" w:rsidRPr="00D14CD7" w:rsidRDefault="005B6BB0" w:rsidP="00286339">
            <w:pPr>
              <w:spacing w:after="0" w:line="240" w:lineRule="auto"/>
              <w:jc w:val="right"/>
              <w:rPr>
                <w:rFonts w:eastAsia="Times New Roman"/>
                <w:color w:val="000000" w:themeColor="text1"/>
                <w:sz w:val="16"/>
                <w:szCs w:val="16"/>
              </w:rPr>
            </w:pPr>
            <w:proofErr w:type="spellStart"/>
            <w:r w:rsidRPr="00D14CD7">
              <w:rPr>
                <w:rFonts w:eastAsia="Times New Roman"/>
                <w:color w:val="000000" w:themeColor="text1"/>
                <w:sz w:val="16"/>
                <w:szCs w:val="22"/>
              </w:rPr>
              <w:t>na</w:t>
            </w:r>
            <w:proofErr w:type="spellEnd"/>
          </w:p>
        </w:tc>
        <w:tc>
          <w:tcPr>
            <w:tcW w:w="184" w:type="pct"/>
            <w:tcBorders>
              <w:left w:val="double" w:sz="4" w:space="0" w:color="auto"/>
            </w:tcBorders>
            <w:shd w:val="clear" w:color="auto" w:fill="auto"/>
            <w:noWrap/>
            <w:vAlign w:val="center"/>
            <w:hideMark/>
          </w:tcPr>
          <w:p w14:paraId="4623C0B3" w14:textId="77777777" w:rsidR="005B6BB0" w:rsidRPr="00D14CD7" w:rsidRDefault="005B6BB0" w:rsidP="00286339">
            <w:pPr>
              <w:spacing w:after="0" w:line="240" w:lineRule="auto"/>
              <w:jc w:val="right"/>
              <w:rPr>
                <w:rFonts w:eastAsia="Times New Roman"/>
                <w:color w:val="000000" w:themeColor="text1"/>
                <w:sz w:val="16"/>
                <w:szCs w:val="16"/>
              </w:rPr>
            </w:pPr>
            <w:r w:rsidRPr="00D14CD7">
              <w:rPr>
                <w:rFonts w:eastAsia="Times New Roman"/>
                <w:color w:val="000000" w:themeColor="text1"/>
                <w:sz w:val="16"/>
                <w:szCs w:val="22"/>
              </w:rPr>
              <w:t>—</w:t>
            </w:r>
          </w:p>
        </w:tc>
        <w:tc>
          <w:tcPr>
            <w:tcW w:w="184" w:type="pct"/>
            <w:tcBorders>
              <w:top w:val="single" w:sz="4" w:space="0" w:color="auto"/>
              <w:bottom w:val="single" w:sz="4" w:space="0" w:color="auto"/>
              <w:right w:val="single" w:sz="8" w:space="0" w:color="auto"/>
            </w:tcBorders>
            <w:shd w:val="clear" w:color="auto" w:fill="auto"/>
            <w:noWrap/>
            <w:vAlign w:val="center"/>
            <w:hideMark/>
          </w:tcPr>
          <w:p w14:paraId="64A47F26" w14:textId="77777777" w:rsidR="005B6BB0" w:rsidRPr="00D14CD7" w:rsidRDefault="005B6BB0" w:rsidP="00286339">
            <w:pPr>
              <w:spacing w:after="0" w:line="240" w:lineRule="auto"/>
              <w:jc w:val="right"/>
              <w:rPr>
                <w:rFonts w:eastAsia="Times New Roman"/>
                <w:color w:val="000000" w:themeColor="text1"/>
                <w:sz w:val="16"/>
                <w:szCs w:val="16"/>
              </w:rPr>
            </w:pPr>
            <w:r w:rsidRPr="00D14CD7">
              <w:rPr>
                <w:rFonts w:eastAsia="Times New Roman"/>
                <w:color w:val="000000" w:themeColor="text1"/>
                <w:sz w:val="16"/>
                <w:szCs w:val="22"/>
              </w:rPr>
              <w:t>—</w:t>
            </w:r>
          </w:p>
        </w:tc>
        <w:tc>
          <w:tcPr>
            <w:tcW w:w="184" w:type="pct"/>
            <w:tcBorders>
              <w:top w:val="single" w:sz="4" w:space="0" w:color="auto"/>
              <w:left w:val="single" w:sz="8" w:space="0" w:color="auto"/>
              <w:bottom w:val="single" w:sz="4" w:space="0" w:color="auto"/>
            </w:tcBorders>
            <w:shd w:val="clear" w:color="auto" w:fill="auto"/>
            <w:noWrap/>
            <w:vAlign w:val="center"/>
            <w:hideMark/>
          </w:tcPr>
          <w:p w14:paraId="15AEB2C5" w14:textId="77777777" w:rsidR="005B6BB0" w:rsidRPr="00D14CD7" w:rsidRDefault="005B6BB0" w:rsidP="00286339">
            <w:pPr>
              <w:spacing w:after="0" w:line="240" w:lineRule="auto"/>
              <w:jc w:val="right"/>
              <w:rPr>
                <w:rFonts w:eastAsia="Times New Roman"/>
                <w:color w:val="000000" w:themeColor="text1"/>
                <w:sz w:val="16"/>
                <w:szCs w:val="16"/>
              </w:rPr>
            </w:pPr>
            <w:r w:rsidRPr="00D14CD7">
              <w:rPr>
                <w:rFonts w:eastAsia="Times New Roman"/>
                <w:color w:val="000000" w:themeColor="text1"/>
                <w:sz w:val="16"/>
                <w:szCs w:val="22"/>
              </w:rPr>
              <w:t>—</w:t>
            </w:r>
          </w:p>
        </w:tc>
        <w:tc>
          <w:tcPr>
            <w:tcW w:w="185" w:type="pct"/>
            <w:tcBorders>
              <w:top w:val="single" w:sz="4" w:space="0" w:color="auto"/>
              <w:bottom w:val="single" w:sz="4" w:space="0" w:color="auto"/>
              <w:right w:val="single" w:sz="8" w:space="0" w:color="auto"/>
            </w:tcBorders>
            <w:shd w:val="clear" w:color="auto" w:fill="auto"/>
            <w:noWrap/>
            <w:vAlign w:val="center"/>
            <w:hideMark/>
          </w:tcPr>
          <w:p w14:paraId="6A0CDA80" w14:textId="77777777" w:rsidR="005B6BB0" w:rsidRPr="00D14CD7" w:rsidRDefault="005B6BB0" w:rsidP="00286339">
            <w:pPr>
              <w:spacing w:after="0" w:line="240" w:lineRule="auto"/>
              <w:jc w:val="right"/>
              <w:rPr>
                <w:rFonts w:eastAsia="Times New Roman"/>
                <w:color w:val="000000" w:themeColor="text1"/>
                <w:sz w:val="16"/>
                <w:szCs w:val="16"/>
              </w:rPr>
            </w:pPr>
            <w:r w:rsidRPr="00D14CD7">
              <w:rPr>
                <w:rFonts w:eastAsia="Times New Roman"/>
                <w:color w:val="000000" w:themeColor="text1"/>
                <w:sz w:val="16"/>
                <w:szCs w:val="22"/>
              </w:rPr>
              <w:t>—</w:t>
            </w:r>
          </w:p>
        </w:tc>
        <w:tc>
          <w:tcPr>
            <w:tcW w:w="185" w:type="pct"/>
            <w:tcBorders>
              <w:top w:val="single" w:sz="4" w:space="0" w:color="auto"/>
              <w:left w:val="single" w:sz="8" w:space="0" w:color="auto"/>
              <w:bottom w:val="single" w:sz="4" w:space="0" w:color="auto"/>
            </w:tcBorders>
            <w:shd w:val="clear" w:color="auto" w:fill="auto"/>
            <w:noWrap/>
            <w:vAlign w:val="center"/>
            <w:hideMark/>
          </w:tcPr>
          <w:p w14:paraId="0A273D6A" w14:textId="77777777" w:rsidR="005B6BB0" w:rsidRPr="00D14CD7" w:rsidRDefault="005B6BB0" w:rsidP="00286339">
            <w:pPr>
              <w:spacing w:after="0" w:line="240" w:lineRule="auto"/>
              <w:jc w:val="right"/>
              <w:rPr>
                <w:rFonts w:eastAsia="Times New Roman"/>
                <w:color w:val="000000" w:themeColor="text1"/>
                <w:sz w:val="16"/>
                <w:szCs w:val="16"/>
              </w:rPr>
            </w:pPr>
            <w:r w:rsidRPr="00D14CD7">
              <w:rPr>
                <w:rFonts w:eastAsia="Times New Roman"/>
                <w:color w:val="000000" w:themeColor="text1"/>
                <w:sz w:val="16"/>
                <w:szCs w:val="22"/>
              </w:rPr>
              <w:t>—</w:t>
            </w:r>
          </w:p>
        </w:tc>
        <w:tc>
          <w:tcPr>
            <w:tcW w:w="185" w:type="pct"/>
            <w:tcBorders>
              <w:top w:val="single" w:sz="4" w:space="0" w:color="auto"/>
              <w:bottom w:val="single" w:sz="4" w:space="0" w:color="auto"/>
              <w:right w:val="single" w:sz="8" w:space="0" w:color="auto"/>
            </w:tcBorders>
            <w:shd w:val="clear" w:color="auto" w:fill="auto"/>
            <w:noWrap/>
            <w:vAlign w:val="center"/>
            <w:hideMark/>
          </w:tcPr>
          <w:p w14:paraId="1E6BC7FA" w14:textId="77777777" w:rsidR="005B6BB0" w:rsidRPr="00D14CD7" w:rsidRDefault="005B6BB0" w:rsidP="00286339">
            <w:pPr>
              <w:spacing w:after="0" w:line="240" w:lineRule="auto"/>
              <w:jc w:val="right"/>
              <w:rPr>
                <w:rFonts w:eastAsia="Times New Roman"/>
                <w:color w:val="000000" w:themeColor="text1"/>
                <w:sz w:val="16"/>
                <w:szCs w:val="16"/>
              </w:rPr>
            </w:pPr>
            <w:r w:rsidRPr="00D14CD7">
              <w:rPr>
                <w:rFonts w:eastAsia="Times New Roman"/>
                <w:color w:val="000000" w:themeColor="text1"/>
                <w:sz w:val="16"/>
                <w:szCs w:val="22"/>
              </w:rPr>
              <w:t>—</w:t>
            </w:r>
          </w:p>
        </w:tc>
        <w:tc>
          <w:tcPr>
            <w:tcW w:w="156" w:type="pct"/>
            <w:tcBorders>
              <w:left w:val="single" w:sz="8" w:space="0" w:color="auto"/>
            </w:tcBorders>
            <w:shd w:val="clear" w:color="auto" w:fill="auto"/>
            <w:noWrap/>
            <w:vAlign w:val="center"/>
            <w:hideMark/>
          </w:tcPr>
          <w:p w14:paraId="27E38BB4" w14:textId="77777777" w:rsidR="005B6BB0" w:rsidRPr="00D14CD7" w:rsidRDefault="005B6BB0" w:rsidP="00286339">
            <w:pPr>
              <w:spacing w:after="0" w:line="240" w:lineRule="auto"/>
              <w:jc w:val="right"/>
              <w:rPr>
                <w:rFonts w:eastAsia="Times New Roman"/>
                <w:color w:val="000000" w:themeColor="text1"/>
                <w:sz w:val="16"/>
                <w:szCs w:val="16"/>
              </w:rPr>
            </w:pPr>
            <w:proofErr w:type="spellStart"/>
            <w:r w:rsidRPr="00D14CD7">
              <w:rPr>
                <w:rFonts w:eastAsia="Times New Roman"/>
                <w:color w:val="000000" w:themeColor="text1"/>
                <w:sz w:val="16"/>
                <w:szCs w:val="22"/>
              </w:rPr>
              <w:t>na</w:t>
            </w:r>
            <w:proofErr w:type="spellEnd"/>
          </w:p>
        </w:tc>
        <w:tc>
          <w:tcPr>
            <w:tcW w:w="157" w:type="pct"/>
            <w:tcBorders>
              <w:right w:val="double" w:sz="4" w:space="0" w:color="auto"/>
            </w:tcBorders>
            <w:shd w:val="clear" w:color="auto" w:fill="auto"/>
            <w:noWrap/>
            <w:vAlign w:val="center"/>
            <w:hideMark/>
          </w:tcPr>
          <w:p w14:paraId="5F732F9C" w14:textId="77777777" w:rsidR="005B6BB0" w:rsidRPr="00D14CD7" w:rsidRDefault="005B6BB0" w:rsidP="00286339">
            <w:pPr>
              <w:spacing w:after="0" w:line="240" w:lineRule="auto"/>
              <w:jc w:val="right"/>
              <w:rPr>
                <w:rFonts w:eastAsia="Times New Roman"/>
                <w:color w:val="000000" w:themeColor="text1"/>
                <w:sz w:val="16"/>
                <w:szCs w:val="16"/>
              </w:rPr>
            </w:pPr>
            <w:proofErr w:type="spellStart"/>
            <w:r w:rsidRPr="00D14CD7">
              <w:rPr>
                <w:rFonts w:eastAsia="Times New Roman"/>
                <w:color w:val="000000" w:themeColor="text1"/>
                <w:sz w:val="16"/>
                <w:szCs w:val="22"/>
              </w:rPr>
              <w:t>na</w:t>
            </w:r>
            <w:proofErr w:type="spellEnd"/>
          </w:p>
        </w:tc>
        <w:tc>
          <w:tcPr>
            <w:tcW w:w="187" w:type="pct"/>
            <w:tcBorders>
              <w:top w:val="single" w:sz="4" w:space="0" w:color="auto"/>
              <w:left w:val="double" w:sz="4" w:space="0" w:color="auto"/>
              <w:bottom w:val="single" w:sz="4" w:space="0" w:color="auto"/>
            </w:tcBorders>
            <w:shd w:val="clear" w:color="auto" w:fill="auto"/>
            <w:noWrap/>
            <w:vAlign w:val="center"/>
            <w:hideMark/>
          </w:tcPr>
          <w:p w14:paraId="60F66EDA" w14:textId="77777777" w:rsidR="005B6BB0" w:rsidRPr="00D14CD7" w:rsidRDefault="005B6BB0" w:rsidP="00286339">
            <w:pPr>
              <w:spacing w:after="0" w:line="240" w:lineRule="auto"/>
              <w:jc w:val="right"/>
              <w:rPr>
                <w:rFonts w:eastAsia="Times New Roman"/>
                <w:color w:val="000000" w:themeColor="text1"/>
                <w:sz w:val="16"/>
                <w:szCs w:val="16"/>
              </w:rPr>
            </w:pPr>
            <w:r w:rsidRPr="00D14CD7">
              <w:rPr>
                <w:rFonts w:eastAsia="Times New Roman"/>
                <w:color w:val="000000" w:themeColor="text1"/>
                <w:sz w:val="16"/>
                <w:szCs w:val="16"/>
              </w:rPr>
              <w:t>0.306</w:t>
            </w:r>
          </w:p>
        </w:tc>
        <w:tc>
          <w:tcPr>
            <w:tcW w:w="183" w:type="pct"/>
            <w:shd w:val="clear" w:color="auto" w:fill="auto"/>
            <w:noWrap/>
            <w:vAlign w:val="center"/>
            <w:hideMark/>
          </w:tcPr>
          <w:p w14:paraId="690792B6" w14:textId="77777777" w:rsidR="005B6BB0" w:rsidRPr="00D14CD7" w:rsidRDefault="005B6BB0" w:rsidP="00286339">
            <w:pPr>
              <w:spacing w:after="0" w:line="240" w:lineRule="auto"/>
              <w:jc w:val="right"/>
              <w:rPr>
                <w:rFonts w:eastAsia="Times New Roman"/>
                <w:color w:val="000000" w:themeColor="text1"/>
                <w:sz w:val="16"/>
                <w:szCs w:val="16"/>
              </w:rPr>
            </w:pPr>
            <w:r w:rsidRPr="00D14CD7">
              <w:rPr>
                <w:rFonts w:eastAsia="Times New Roman"/>
                <w:color w:val="000000" w:themeColor="text1"/>
                <w:sz w:val="16"/>
                <w:szCs w:val="16"/>
              </w:rPr>
              <w:t>3.10</w:t>
            </w:r>
          </w:p>
        </w:tc>
      </w:tr>
      <w:tr w:rsidR="00D14CD7" w:rsidRPr="00D14CD7" w14:paraId="7E9EACB0" w14:textId="77777777" w:rsidTr="00286339">
        <w:trPr>
          <w:trHeight w:val="72"/>
        </w:trPr>
        <w:tc>
          <w:tcPr>
            <w:tcW w:w="1709" w:type="pct"/>
            <w:tcBorders>
              <w:top w:val="single" w:sz="4" w:space="0" w:color="auto"/>
              <w:bottom w:val="single" w:sz="8" w:space="0" w:color="auto"/>
              <w:right w:val="double" w:sz="4" w:space="0" w:color="auto"/>
            </w:tcBorders>
            <w:shd w:val="clear" w:color="auto" w:fill="auto"/>
            <w:noWrap/>
            <w:vAlign w:val="center"/>
            <w:hideMark/>
          </w:tcPr>
          <w:p w14:paraId="6A2B8163" w14:textId="77777777" w:rsidR="005B6BB0" w:rsidRPr="00D14CD7" w:rsidRDefault="005B6BB0" w:rsidP="00286339">
            <w:pPr>
              <w:spacing w:after="0" w:line="240" w:lineRule="auto"/>
              <w:ind w:firstLine="140"/>
              <w:jc w:val="left"/>
              <w:rPr>
                <w:rFonts w:eastAsia="Times New Roman"/>
                <w:color w:val="000000" w:themeColor="text1"/>
                <w:sz w:val="16"/>
                <w:szCs w:val="16"/>
              </w:rPr>
            </w:pPr>
            <w:r w:rsidRPr="00D14CD7">
              <w:rPr>
                <w:rFonts w:eastAsia="Times New Roman"/>
                <w:color w:val="000000" w:themeColor="text1"/>
                <w:sz w:val="16"/>
                <w:szCs w:val="22"/>
              </w:rPr>
              <w:t>&gt;$150,000</w:t>
            </w:r>
          </w:p>
        </w:tc>
        <w:tc>
          <w:tcPr>
            <w:tcW w:w="227" w:type="pct"/>
            <w:tcBorders>
              <w:top w:val="single" w:sz="4" w:space="0" w:color="auto"/>
              <w:left w:val="double" w:sz="4" w:space="0" w:color="auto"/>
              <w:bottom w:val="single" w:sz="8" w:space="0" w:color="auto"/>
            </w:tcBorders>
            <w:shd w:val="clear" w:color="auto" w:fill="auto"/>
            <w:noWrap/>
            <w:vAlign w:val="center"/>
            <w:hideMark/>
          </w:tcPr>
          <w:p w14:paraId="220FAADA" w14:textId="77777777" w:rsidR="005B6BB0" w:rsidRPr="00D14CD7" w:rsidRDefault="005B6BB0" w:rsidP="00286339">
            <w:pPr>
              <w:spacing w:after="0" w:line="240" w:lineRule="auto"/>
              <w:jc w:val="right"/>
              <w:rPr>
                <w:rFonts w:eastAsia="Times New Roman"/>
                <w:color w:val="000000" w:themeColor="text1"/>
                <w:sz w:val="16"/>
                <w:szCs w:val="16"/>
              </w:rPr>
            </w:pPr>
            <w:r w:rsidRPr="00D14CD7">
              <w:rPr>
                <w:rFonts w:eastAsia="Times New Roman"/>
                <w:color w:val="000000" w:themeColor="text1"/>
                <w:sz w:val="16"/>
                <w:szCs w:val="16"/>
              </w:rPr>
              <w:t>-0.320</w:t>
            </w:r>
          </w:p>
        </w:tc>
        <w:tc>
          <w:tcPr>
            <w:tcW w:w="199" w:type="pct"/>
            <w:tcBorders>
              <w:top w:val="single" w:sz="4" w:space="0" w:color="auto"/>
              <w:bottom w:val="single" w:sz="8" w:space="0" w:color="auto"/>
              <w:right w:val="single" w:sz="8" w:space="0" w:color="auto"/>
            </w:tcBorders>
            <w:shd w:val="clear" w:color="auto" w:fill="auto"/>
            <w:noWrap/>
            <w:vAlign w:val="center"/>
            <w:hideMark/>
          </w:tcPr>
          <w:p w14:paraId="4E1A38A6" w14:textId="77777777" w:rsidR="005B6BB0" w:rsidRPr="00D14CD7" w:rsidRDefault="005B6BB0" w:rsidP="00286339">
            <w:pPr>
              <w:spacing w:after="0" w:line="240" w:lineRule="auto"/>
              <w:jc w:val="right"/>
              <w:rPr>
                <w:rFonts w:eastAsia="Times New Roman"/>
                <w:color w:val="000000" w:themeColor="text1"/>
                <w:sz w:val="16"/>
                <w:szCs w:val="16"/>
              </w:rPr>
            </w:pPr>
            <w:r w:rsidRPr="00D14CD7">
              <w:rPr>
                <w:rFonts w:eastAsia="Times New Roman"/>
                <w:color w:val="000000" w:themeColor="text1"/>
                <w:sz w:val="16"/>
                <w:szCs w:val="16"/>
              </w:rPr>
              <w:t>-3.17</w:t>
            </w:r>
          </w:p>
        </w:tc>
        <w:tc>
          <w:tcPr>
            <w:tcW w:w="184" w:type="pct"/>
            <w:tcBorders>
              <w:top w:val="single" w:sz="4" w:space="0" w:color="auto"/>
              <w:left w:val="single" w:sz="8" w:space="0" w:color="auto"/>
              <w:bottom w:val="single" w:sz="8" w:space="0" w:color="auto"/>
            </w:tcBorders>
            <w:shd w:val="clear" w:color="auto" w:fill="auto"/>
            <w:noWrap/>
            <w:vAlign w:val="center"/>
            <w:hideMark/>
          </w:tcPr>
          <w:p w14:paraId="5EFC0EC5" w14:textId="77777777" w:rsidR="005B6BB0" w:rsidRPr="00D14CD7" w:rsidRDefault="005B6BB0" w:rsidP="00286339">
            <w:pPr>
              <w:spacing w:after="0" w:line="240" w:lineRule="auto"/>
              <w:jc w:val="right"/>
              <w:rPr>
                <w:rFonts w:eastAsia="Times New Roman"/>
                <w:color w:val="000000" w:themeColor="text1"/>
                <w:sz w:val="16"/>
                <w:szCs w:val="16"/>
              </w:rPr>
            </w:pPr>
            <w:r w:rsidRPr="00D14CD7">
              <w:rPr>
                <w:rFonts w:eastAsia="Times New Roman"/>
                <w:color w:val="000000" w:themeColor="text1"/>
                <w:sz w:val="16"/>
                <w:szCs w:val="16"/>
              </w:rPr>
              <w:t>-0.229</w:t>
            </w:r>
          </w:p>
        </w:tc>
        <w:tc>
          <w:tcPr>
            <w:tcW w:w="185" w:type="pct"/>
            <w:tcBorders>
              <w:top w:val="single" w:sz="4" w:space="0" w:color="auto"/>
              <w:bottom w:val="single" w:sz="8" w:space="0" w:color="auto"/>
              <w:right w:val="single" w:sz="8" w:space="0" w:color="auto"/>
            </w:tcBorders>
            <w:shd w:val="clear" w:color="auto" w:fill="auto"/>
            <w:noWrap/>
            <w:vAlign w:val="center"/>
            <w:hideMark/>
          </w:tcPr>
          <w:p w14:paraId="06CF8CF0" w14:textId="77777777" w:rsidR="005B6BB0" w:rsidRPr="00D14CD7" w:rsidRDefault="005B6BB0" w:rsidP="00286339">
            <w:pPr>
              <w:spacing w:after="0" w:line="240" w:lineRule="auto"/>
              <w:jc w:val="right"/>
              <w:rPr>
                <w:rFonts w:eastAsia="Times New Roman"/>
                <w:color w:val="000000" w:themeColor="text1"/>
                <w:sz w:val="16"/>
                <w:szCs w:val="16"/>
              </w:rPr>
            </w:pPr>
            <w:r w:rsidRPr="00D14CD7">
              <w:rPr>
                <w:rFonts w:eastAsia="Times New Roman"/>
                <w:color w:val="000000" w:themeColor="text1"/>
                <w:sz w:val="16"/>
                <w:szCs w:val="16"/>
              </w:rPr>
              <w:t>-2.83</w:t>
            </w:r>
          </w:p>
        </w:tc>
        <w:tc>
          <w:tcPr>
            <w:tcW w:w="184" w:type="pct"/>
            <w:tcBorders>
              <w:top w:val="single" w:sz="4" w:space="0" w:color="auto"/>
              <w:left w:val="single" w:sz="8" w:space="0" w:color="auto"/>
              <w:bottom w:val="single" w:sz="8" w:space="0" w:color="auto"/>
            </w:tcBorders>
            <w:shd w:val="clear" w:color="auto" w:fill="auto"/>
            <w:noWrap/>
            <w:vAlign w:val="center"/>
            <w:hideMark/>
          </w:tcPr>
          <w:p w14:paraId="635E7FD8" w14:textId="77777777" w:rsidR="005B6BB0" w:rsidRPr="00D14CD7" w:rsidRDefault="005B6BB0" w:rsidP="00286339">
            <w:pPr>
              <w:spacing w:after="0" w:line="240" w:lineRule="auto"/>
              <w:jc w:val="right"/>
              <w:rPr>
                <w:rFonts w:eastAsia="Times New Roman"/>
                <w:color w:val="000000" w:themeColor="text1"/>
                <w:sz w:val="16"/>
                <w:szCs w:val="16"/>
              </w:rPr>
            </w:pPr>
            <w:r w:rsidRPr="00D14CD7">
              <w:rPr>
                <w:rFonts w:eastAsia="Times New Roman"/>
                <w:color w:val="000000" w:themeColor="text1"/>
                <w:sz w:val="16"/>
                <w:szCs w:val="16"/>
              </w:rPr>
              <w:t>-0.117</w:t>
            </w:r>
          </w:p>
        </w:tc>
        <w:tc>
          <w:tcPr>
            <w:tcW w:w="188" w:type="pct"/>
            <w:tcBorders>
              <w:top w:val="single" w:sz="4" w:space="0" w:color="auto"/>
              <w:bottom w:val="single" w:sz="8" w:space="0" w:color="auto"/>
              <w:right w:val="single" w:sz="8" w:space="0" w:color="auto"/>
            </w:tcBorders>
            <w:shd w:val="clear" w:color="auto" w:fill="auto"/>
            <w:noWrap/>
            <w:vAlign w:val="center"/>
            <w:hideMark/>
          </w:tcPr>
          <w:p w14:paraId="3B5B6533" w14:textId="77777777" w:rsidR="005B6BB0" w:rsidRPr="00D14CD7" w:rsidRDefault="005B6BB0" w:rsidP="00286339">
            <w:pPr>
              <w:spacing w:after="0" w:line="240" w:lineRule="auto"/>
              <w:jc w:val="right"/>
              <w:rPr>
                <w:rFonts w:eastAsia="Times New Roman"/>
                <w:color w:val="000000" w:themeColor="text1"/>
                <w:sz w:val="16"/>
                <w:szCs w:val="16"/>
              </w:rPr>
            </w:pPr>
            <w:r w:rsidRPr="00D14CD7">
              <w:rPr>
                <w:rFonts w:eastAsia="Times New Roman"/>
                <w:color w:val="000000" w:themeColor="text1"/>
                <w:sz w:val="16"/>
                <w:szCs w:val="16"/>
              </w:rPr>
              <w:t>-2.38</w:t>
            </w:r>
          </w:p>
        </w:tc>
        <w:tc>
          <w:tcPr>
            <w:tcW w:w="188" w:type="pct"/>
            <w:tcBorders>
              <w:top w:val="single" w:sz="4" w:space="0" w:color="auto"/>
              <w:left w:val="single" w:sz="8" w:space="0" w:color="auto"/>
              <w:bottom w:val="single" w:sz="8" w:space="0" w:color="auto"/>
            </w:tcBorders>
            <w:shd w:val="clear" w:color="auto" w:fill="auto"/>
            <w:noWrap/>
            <w:vAlign w:val="center"/>
            <w:hideMark/>
          </w:tcPr>
          <w:p w14:paraId="3C46264D" w14:textId="77777777" w:rsidR="005B6BB0" w:rsidRPr="00D14CD7" w:rsidRDefault="005B6BB0" w:rsidP="00286339">
            <w:pPr>
              <w:spacing w:after="0" w:line="240" w:lineRule="auto"/>
              <w:jc w:val="right"/>
              <w:rPr>
                <w:rFonts w:eastAsia="Times New Roman"/>
                <w:color w:val="000000" w:themeColor="text1"/>
                <w:sz w:val="16"/>
                <w:szCs w:val="16"/>
              </w:rPr>
            </w:pPr>
            <w:proofErr w:type="spellStart"/>
            <w:r w:rsidRPr="00D14CD7">
              <w:rPr>
                <w:rFonts w:eastAsia="Times New Roman"/>
                <w:color w:val="000000" w:themeColor="text1"/>
                <w:sz w:val="16"/>
                <w:szCs w:val="22"/>
              </w:rPr>
              <w:t>na</w:t>
            </w:r>
            <w:proofErr w:type="spellEnd"/>
          </w:p>
        </w:tc>
        <w:tc>
          <w:tcPr>
            <w:tcW w:w="146" w:type="pct"/>
            <w:tcBorders>
              <w:top w:val="single" w:sz="4" w:space="0" w:color="auto"/>
              <w:bottom w:val="single" w:sz="8" w:space="0" w:color="auto"/>
              <w:right w:val="double" w:sz="4" w:space="0" w:color="auto"/>
            </w:tcBorders>
            <w:shd w:val="clear" w:color="auto" w:fill="auto"/>
            <w:noWrap/>
            <w:vAlign w:val="center"/>
            <w:hideMark/>
          </w:tcPr>
          <w:p w14:paraId="6A382A77" w14:textId="77777777" w:rsidR="005B6BB0" w:rsidRPr="00D14CD7" w:rsidRDefault="005B6BB0" w:rsidP="00286339">
            <w:pPr>
              <w:spacing w:after="0" w:line="240" w:lineRule="auto"/>
              <w:jc w:val="right"/>
              <w:rPr>
                <w:rFonts w:eastAsia="Times New Roman"/>
                <w:color w:val="000000" w:themeColor="text1"/>
                <w:sz w:val="16"/>
                <w:szCs w:val="16"/>
              </w:rPr>
            </w:pPr>
            <w:proofErr w:type="spellStart"/>
            <w:r w:rsidRPr="00D14CD7">
              <w:rPr>
                <w:rFonts w:eastAsia="Times New Roman"/>
                <w:color w:val="000000" w:themeColor="text1"/>
                <w:sz w:val="16"/>
                <w:szCs w:val="22"/>
              </w:rPr>
              <w:t>na</w:t>
            </w:r>
            <w:proofErr w:type="spellEnd"/>
          </w:p>
        </w:tc>
        <w:tc>
          <w:tcPr>
            <w:tcW w:w="184" w:type="pct"/>
            <w:tcBorders>
              <w:left w:val="double" w:sz="4" w:space="0" w:color="auto"/>
              <w:bottom w:val="single" w:sz="8" w:space="0" w:color="auto"/>
            </w:tcBorders>
            <w:shd w:val="clear" w:color="auto" w:fill="auto"/>
            <w:noWrap/>
            <w:vAlign w:val="center"/>
            <w:hideMark/>
          </w:tcPr>
          <w:p w14:paraId="07C216E9" w14:textId="77777777" w:rsidR="005B6BB0" w:rsidRPr="00D14CD7" w:rsidRDefault="005B6BB0" w:rsidP="00286339">
            <w:pPr>
              <w:spacing w:after="0" w:line="240" w:lineRule="auto"/>
              <w:jc w:val="right"/>
              <w:rPr>
                <w:rFonts w:eastAsia="Times New Roman"/>
                <w:color w:val="000000" w:themeColor="text1"/>
                <w:sz w:val="16"/>
                <w:szCs w:val="16"/>
              </w:rPr>
            </w:pPr>
            <w:r w:rsidRPr="00D14CD7">
              <w:rPr>
                <w:rFonts w:eastAsia="Times New Roman"/>
                <w:color w:val="000000" w:themeColor="text1"/>
                <w:sz w:val="16"/>
                <w:szCs w:val="16"/>
              </w:rPr>
              <w:t>1.082</w:t>
            </w:r>
          </w:p>
        </w:tc>
        <w:tc>
          <w:tcPr>
            <w:tcW w:w="184" w:type="pct"/>
            <w:tcBorders>
              <w:top w:val="single" w:sz="4" w:space="0" w:color="auto"/>
              <w:bottom w:val="single" w:sz="8" w:space="0" w:color="auto"/>
              <w:right w:val="single" w:sz="8" w:space="0" w:color="auto"/>
            </w:tcBorders>
            <w:shd w:val="clear" w:color="auto" w:fill="auto"/>
            <w:noWrap/>
            <w:vAlign w:val="center"/>
            <w:hideMark/>
          </w:tcPr>
          <w:p w14:paraId="3BF5AFE7" w14:textId="77777777" w:rsidR="005B6BB0" w:rsidRPr="00D14CD7" w:rsidRDefault="005B6BB0" w:rsidP="00286339">
            <w:pPr>
              <w:spacing w:after="0" w:line="240" w:lineRule="auto"/>
              <w:jc w:val="right"/>
              <w:rPr>
                <w:rFonts w:eastAsia="Times New Roman"/>
                <w:color w:val="000000" w:themeColor="text1"/>
                <w:sz w:val="16"/>
                <w:szCs w:val="16"/>
              </w:rPr>
            </w:pPr>
            <w:r w:rsidRPr="00D14CD7">
              <w:rPr>
                <w:rFonts w:eastAsia="Times New Roman"/>
                <w:color w:val="000000" w:themeColor="text1"/>
                <w:sz w:val="16"/>
                <w:szCs w:val="16"/>
              </w:rPr>
              <w:t>3.07</w:t>
            </w:r>
          </w:p>
        </w:tc>
        <w:tc>
          <w:tcPr>
            <w:tcW w:w="184" w:type="pct"/>
            <w:tcBorders>
              <w:top w:val="single" w:sz="4" w:space="0" w:color="auto"/>
              <w:left w:val="single" w:sz="8" w:space="0" w:color="auto"/>
              <w:bottom w:val="single" w:sz="8" w:space="0" w:color="auto"/>
            </w:tcBorders>
            <w:shd w:val="clear" w:color="auto" w:fill="auto"/>
            <w:noWrap/>
            <w:vAlign w:val="center"/>
            <w:hideMark/>
          </w:tcPr>
          <w:p w14:paraId="5B6A00CA" w14:textId="77777777" w:rsidR="005B6BB0" w:rsidRPr="00D14CD7" w:rsidRDefault="005B6BB0" w:rsidP="00286339">
            <w:pPr>
              <w:spacing w:after="0" w:line="240" w:lineRule="auto"/>
              <w:jc w:val="right"/>
              <w:rPr>
                <w:rFonts w:eastAsia="Times New Roman"/>
                <w:color w:val="000000" w:themeColor="text1"/>
                <w:sz w:val="16"/>
                <w:szCs w:val="16"/>
              </w:rPr>
            </w:pPr>
            <w:r w:rsidRPr="00D14CD7">
              <w:rPr>
                <w:rFonts w:eastAsia="Times New Roman"/>
                <w:color w:val="000000" w:themeColor="text1"/>
                <w:sz w:val="16"/>
                <w:szCs w:val="22"/>
              </w:rPr>
              <w:t>—</w:t>
            </w:r>
          </w:p>
        </w:tc>
        <w:tc>
          <w:tcPr>
            <w:tcW w:w="185" w:type="pct"/>
            <w:tcBorders>
              <w:top w:val="single" w:sz="4" w:space="0" w:color="auto"/>
              <w:bottom w:val="single" w:sz="8" w:space="0" w:color="auto"/>
              <w:right w:val="single" w:sz="8" w:space="0" w:color="auto"/>
            </w:tcBorders>
            <w:shd w:val="clear" w:color="auto" w:fill="auto"/>
            <w:noWrap/>
            <w:vAlign w:val="center"/>
            <w:hideMark/>
          </w:tcPr>
          <w:p w14:paraId="0CAD375A" w14:textId="77777777" w:rsidR="005B6BB0" w:rsidRPr="00D14CD7" w:rsidRDefault="005B6BB0" w:rsidP="00286339">
            <w:pPr>
              <w:spacing w:after="0" w:line="240" w:lineRule="auto"/>
              <w:jc w:val="right"/>
              <w:rPr>
                <w:rFonts w:eastAsia="Times New Roman"/>
                <w:color w:val="000000" w:themeColor="text1"/>
                <w:sz w:val="16"/>
                <w:szCs w:val="16"/>
              </w:rPr>
            </w:pPr>
            <w:r w:rsidRPr="00D14CD7">
              <w:rPr>
                <w:rFonts w:eastAsia="Times New Roman"/>
                <w:color w:val="000000" w:themeColor="text1"/>
                <w:sz w:val="16"/>
                <w:szCs w:val="22"/>
              </w:rPr>
              <w:t>—</w:t>
            </w:r>
          </w:p>
        </w:tc>
        <w:tc>
          <w:tcPr>
            <w:tcW w:w="185" w:type="pct"/>
            <w:tcBorders>
              <w:top w:val="single" w:sz="4" w:space="0" w:color="auto"/>
              <w:left w:val="single" w:sz="8" w:space="0" w:color="auto"/>
              <w:bottom w:val="single" w:sz="8" w:space="0" w:color="auto"/>
            </w:tcBorders>
            <w:shd w:val="clear" w:color="auto" w:fill="auto"/>
            <w:noWrap/>
            <w:vAlign w:val="center"/>
            <w:hideMark/>
          </w:tcPr>
          <w:p w14:paraId="6C3135BC" w14:textId="77777777" w:rsidR="005B6BB0" w:rsidRPr="00D14CD7" w:rsidRDefault="005B6BB0" w:rsidP="00286339">
            <w:pPr>
              <w:spacing w:after="0" w:line="240" w:lineRule="auto"/>
              <w:jc w:val="right"/>
              <w:rPr>
                <w:rFonts w:eastAsia="Times New Roman"/>
                <w:color w:val="000000" w:themeColor="text1"/>
                <w:sz w:val="16"/>
                <w:szCs w:val="16"/>
              </w:rPr>
            </w:pPr>
            <w:r w:rsidRPr="00D14CD7">
              <w:rPr>
                <w:rFonts w:eastAsia="Times New Roman"/>
                <w:color w:val="000000" w:themeColor="text1"/>
                <w:sz w:val="16"/>
                <w:szCs w:val="22"/>
              </w:rPr>
              <w:t>—</w:t>
            </w:r>
          </w:p>
        </w:tc>
        <w:tc>
          <w:tcPr>
            <w:tcW w:w="185" w:type="pct"/>
            <w:tcBorders>
              <w:top w:val="single" w:sz="4" w:space="0" w:color="auto"/>
              <w:bottom w:val="single" w:sz="8" w:space="0" w:color="auto"/>
              <w:right w:val="single" w:sz="8" w:space="0" w:color="auto"/>
            </w:tcBorders>
            <w:shd w:val="clear" w:color="auto" w:fill="auto"/>
            <w:noWrap/>
            <w:vAlign w:val="center"/>
            <w:hideMark/>
          </w:tcPr>
          <w:p w14:paraId="36E7566C" w14:textId="77777777" w:rsidR="005B6BB0" w:rsidRPr="00D14CD7" w:rsidRDefault="005B6BB0" w:rsidP="00286339">
            <w:pPr>
              <w:spacing w:after="0" w:line="240" w:lineRule="auto"/>
              <w:jc w:val="right"/>
              <w:rPr>
                <w:rFonts w:eastAsia="Times New Roman"/>
                <w:color w:val="000000" w:themeColor="text1"/>
                <w:sz w:val="16"/>
                <w:szCs w:val="16"/>
              </w:rPr>
            </w:pPr>
            <w:r w:rsidRPr="00D14CD7">
              <w:rPr>
                <w:rFonts w:eastAsia="Times New Roman"/>
                <w:color w:val="000000" w:themeColor="text1"/>
                <w:sz w:val="16"/>
                <w:szCs w:val="22"/>
              </w:rPr>
              <w:t>—</w:t>
            </w:r>
          </w:p>
        </w:tc>
        <w:tc>
          <w:tcPr>
            <w:tcW w:w="156" w:type="pct"/>
            <w:tcBorders>
              <w:left w:val="single" w:sz="8" w:space="0" w:color="auto"/>
              <w:bottom w:val="single" w:sz="8" w:space="0" w:color="auto"/>
            </w:tcBorders>
            <w:shd w:val="clear" w:color="auto" w:fill="auto"/>
            <w:noWrap/>
            <w:vAlign w:val="center"/>
            <w:hideMark/>
          </w:tcPr>
          <w:p w14:paraId="63EB4114" w14:textId="77777777" w:rsidR="005B6BB0" w:rsidRPr="00D14CD7" w:rsidRDefault="005B6BB0" w:rsidP="00286339">
            <w:pPr>
              <w:spacing w:after="0" w:line="240" w:lineRule="auto"/>
              <w:jc w:val="right"/>
              <w:rPr>
                <w:rFonts w:eastAsia="Times New Roman"/>
                <w:color w:val="000000" w:themeColor="text1"/>
                <w:sz w:val="16"/>
                <w:szCs w:val="16"/>
              </w:rPr>
            </w:pPr>
            <w:proofErr w:type="spellStart"/>
            <w:r w:rsidRPr="00D14CD7">
              <w:rPr>
                <w:rFonts w:eastAsia="Times New Roman"/>
                <w:color w:val="000000" w:themeColor="text1"/>
                <w:sz w:val="16"/>
                <w:szCs w:val="22"/>
              </w:rPr>
              <w:t>na</w:t>
            </w:r>
            <w:proofErr w:type="spellEnd"/>
          </w:p>
        </w:tc>
        <w:tc>
          <w:tcPr>
            <w:tcW w:w="157" w:type="pct"/>
            <w:tcBorders>
              <w:bottom w:val="single" w:sz="8" w:space="0" w:color="auto"/>
              <w:right w:val="double" w:sz="4" w:space="0" w:color="auto"/>
            </w:tcBorders>
            <w:shd w:val="clear" w:color="auto" w:fill="auto"/>
            <w:noWrap/>
            <w:vAlign w:val="center"/>
            <w:hideMark/>
          </w:tcPr>
          <w:p w14:paraId="532C7FEB" w14:textId="77777777" w:rsidR="005B6BB0" w:rsidRPr="00D14CD7" w:rsidRDefault="005B6BB0" w:rsidP="00286339">
            <w:pPr>
              <w:spacing w:after="0" w:line="240" w:lineRule="auto"/>
              <w:jc w:val="right"/>
              <w:rPr>
                <w:rFonts w:eastAsia="Times New Roman"/>
                <w:color w:val="000000" w:themeColor="text1"/>
                <w:sz w:val="16"/>
                <w:szCs w:val="16"/>
              </w:rPr>
            </w:pPr>
            <w:proofErr w:type="spellStart"/>
            <w:r w:rsidRPr="00D14CD7">
              <w:rPr>
                <w:rFonts w:eastAsia="Times New Roman"/>
                <w:color w:val="000000" w:themeColor="text1"/>
                <w:sz w:val="16"/>
                <w:szCs w:val="22"/>
              </w:rPr>
              <w:t>na</w:t>
            </w:r>
            <w:proofErr w:type="spellEnd"/>
          </w:p>
        </w:tc>
        <w:tc>
          <w:tcPr>
            <w:tcW w:w="187" w:type="pct"/>
            <w:tcBorders>
              <w:top w:val="single" w:sz="4" w:space="0" w:color="auto"/>
              <w:left w:val="double" w:sz="4" w:space="0" w:color="auto"/>
              <w:bottom w:val="single" w:sz="8" w:space="0" w:color="auto"/>
            </w:tcBorders>
            <w:shd w:val="clear" w:color="auto" w:fill="auto"/>
            <w:noWrap/>
            <w:vAlign w:val="center"/>
            <w:hideMark/>
          </w:tcPr>
          <w:p w14:paraId="6D344A89" w14:textId="77777777" w:rsidR="005B6BB0" w:rsidRPr="00D14CD7" w:rsidRDefault="005B6BB0" w:rsidP="00286339">
            <w:pPr>
              <w:spacing w:after="0" w:line="240" w:lineRule="auto"/>
              <w:jc w:val="right"/>
              <w:rPr>
                <w:rFonts w:eastAsia="Times New Roman"/>
                <w:color w:val="000000" w:themeColor="text1"/>
                <w:sz w:val="16"/>
                <w:szCs w:val="16"/>
              </w:rPr>
            </w:pPr>
            <w:r w:rsidRPr="00D14CD7">
              <w:rPr>
                <w:rFonts w:eastAsia="Times New Roman"/>
                <w:color w:val="000000" w:themeColor="text1"/>
                <w:sz w:val="16"/>
                <w:szCs w:val="16"/>
              </w:rPr>
              <w:t>0.306</w:t>
            </w:r>
          </w:p>
        </w:tc>
        <w:tc>
          <w:tcPr>
            <w:tcW w:w="183" w:type="pct"/>
            <w:tcBorders>
              <w:bottom w:val="single" w:sz="8" w:space="0" w:color="auto"/>
            </w:tcBorders>
            <w:shd w:val="clear" w:color="auto" w:fill="auto"/>
            <w:noWrap/>
            <w:vAlign w:val="center"/>
            <w:hideMark/>
          </w:tcPr>
          <w:p w14:paraId="0A1C66C1" w14:textId="77777777" w:rsidR="005B6BB0" w:rsidRPr="00D14CD7" w:rsidRDefault="005B6BB0" w:rsidP="00286339">
            <w:pPr>
              <w:spacing w:after="0" w:line="240" w:lineRule="auto"/>
              <w:jc w:val="right"/>
              <w:rPr>
                <w:rFonts w:eastAsia="Times New Roman"/>
                <w:color w:val="000000" w:themeColor="text1"/>
                <w:sz w:val="16"/>
                <w:szCs w:val="16"/>
              </w:rPr>
            </w:pPr>
            <w:r w:rsidRPr="00D14CD7">
              <w:rPr>
                <w:rFonts w:eastAsia="Times New Roman"/>
                <w:color w:val="000000" w:themeColor="text1"/>
                <w:sz w:val="16"/>
                <w:szCs w:val="16"/>
              </w:rPr>
              <w:t>3.10</w:t>
            </w:r>
          </w:p>
        </w:tc>
      </w:tr>
      <w:tr w:rsidR="00D14CD7" w:rsidRPr="00D14CD7" w14:paraId="31EF5CE5" w14:textId="77777777" w:rsidTr="00286339">
        <w:trPr>
          <w:trHeight w:val="72"/>
        </w:trPr>
        <w:tc>
          <w:tcPr>
            <w:tcW w:w="5000" w:type="pct"/>
            <w:gridSpan w:val="19"/>
            <w:tcBorders>
              <w:top w:val="single" w:sz="8" w:space="0" w:color="auto"/>
              <w:bottom w:val="single" w:sz="4" w:space="0" w:color="auto"/>
            </w:tcBorders>
            <w:shd w:val="clear" w:color="auto" w:fill="auto"/>
            <w:noWrap/>
            <w:vAlign w:val="center"/>
            <w:hideMark/>
          </w:tcPr>
          <w:p w14:paraId="2853CD15" w14:textId="77777777" w:rsidR="005B6BB0" w:rsidRPr="00D14CD7" w:rsidRDefault="005B6BB0" w:rsidP="00286339">
            <w:pPr>
              <w:spacing w:after="0" w:line="240" w:lineRule="auto"/>
              <w:jc w:val="left"/>
              <w:rPr>
                <w:rFonts w:eastAsia="Times New Roman"/>
                <w:color w:val="000000" w:themeColor="text1"/>
                <w:sz w:val="20"/>
                <w:szCs w:val="20"/>
              </w:rPr>
            </w:pPr>
            <w:r w:rsidRPr="00D14CD7">
              <w:rPr>
                <w:rFonts w:eastAsia="Times New Roman"/>
                <w:b/>
                <w:bCs/>
                <w:i/>
                <w:iCs/>
                <w:color w:val="000000" w:themeColor="text1"/>
                <w:sz w:val="16"/>
                <w:szCs w:val="16"/>
              </w:rPr>
              <w:t>Vehicle ownership (base: zero or one vehicle)</w:t>
            </w:r>
          </w:p>
        </w:tc>
      </w:tr>
      <w:tr w:rsidR="00D14CD7" w:rsidRPr="00D14CD7" w14:paraId="2F3AB133" w14:textId="77777777" w:rsidTr="00286339">
        <w:trPr>
          <w:trHeight w:val="72"/>
        </w:trPr>
        <w:tc>
          <w:tcPr>
            <w:tcW w:w="1709" w:type="pct"/>
            <w:tcBorders>
              <w:top w:val="single" w:sz="4" w:space="0" w:color="auto"/>
              <w:bottom w:val="single" w:sz="4" w:space="0" w:color="auto"/>
              <w:right w:val="double" w:sz="4" w:space="0" w:color="auto"/>
            </w:tcBorders>
            <w:shd w:val="clear" w:color="auto" w:fill="auto"/>
            <w:noWrap/>
            <w:vAlign w:val="center"/>
            <w:hideMark/>
          </w:tcPr>
          <w:p w14:paraId="46CB94DB" w14:textId="77777777" w:rsidR="005B6BB0" w:rsidRPr="00D14CD7" w:rsidRDefault="005B6BB0" w:rsidP="00286339">
            <w:pPr>
              <w:spacing w:after="0" w:line="240" w:lineRule="auto"/>
              <w:ind w:firstLine="140"/>
              <w:jc w:val="left"/>
              <w:rPr>
                <w:rFonts w:eastAsia="Times New Roman"/>
                <w:color w:val="000000" w:themeColor="text1"/>
                <w:sz w:val="16"/>
                <w:szCs w:val="16"/>
              </w:rPr>
            </w:pPr>
            <w:r w:rsidRPr="00D14CD7">
              <w:rPr>
                <w:rFonts w:eastAsia="Times New Roman"/>
                <w:color w:val="000000" w:themeColor="text1"/>
                <w:sz w:val="16"/>
                <w:szCs w:val="22"/>
              </w:rPr>
              <w:t>Two vehicles</w:t>
            </w:r>
          </w:p>
        </w:tc>
        <w:tc>
          <w:tcPr>
            <w:tcW w:w="227" w:type="pct"/>
            <w:tcBorders>
              <w:top w:val="single" w:sz="4" w:space="0" w:color="auto"/>
              <w:left w:val="double" w:sz="4" w:space="0" w:color="auto"/>
              <w:bottom w:val="single" w:sz="4" w:space="0" w:color="auto"/>
            </w:tcBorders>
            <w:shd w:val="clear" w:color="auto" w:fill="auto"/>
            <w:noWrap/>
            <w:vAlign w:val="center"/>
            <w:hideMark/>
          </w:tcPr>
          <w:p w14:paraId="0B1A8355" w14:textId="77777777" w:rsidR="005B6BB0" w:rsidRPr="00D14CD7" w:rsidRDefault="005B6BB0" w:rsidP="00286339">
            <w:pPr>
              <w:spacing w:after="0" w:line="240" w:lineRule="auto"/>
              <w:jc w:val="right"/>
              <w:rPr>
                <w:rFonts w:eastAsia="Times New Roman"/>
                <w:color w:val="000000" w:themeColor="text1"/>
                <w:sz w:val="16"/>
                <w:szCs w:val="16"/>
              </w:rPr>
            </w:pPr>
            <w:r w:rsidRPr="00D14CD7">
              <w:rPr>
                <w:rFonts w:eastAsia="Times New Roman"/>
                <w:color w:val="000000" w:themeColor="text1"/>
                <w:sz w:val="16"/>
                <w:szCs w:val="16"/>
              </w:rPr>
              <w:t>0.095</w:t>
            </w:r>
          </w:p>
        </w:tc>
        <w:tc>
          <w:tcPr>
            <w:tcW w:w="199" w:type="pct"/>
            <w:tcBorders>
              <w:top w:val="single" w:sz="4" w:space="0" w:color="auto"/>
              <w:bottom w:val="single" w:sz="4" w:space="0" w:color="auto"/>
              <w:right w:val="single" w:sz="8" w:space="0" w:color="auto"/>
            </w:tcBorders>
            <w:shd w:val="clear" w:color="auto" w:fill="auto"/>
            <w:noWrap/>
            <w:vAlign w:val="center"/>
            <w:hideMark/>
          </w:tcPr>
          <w:p w14:paraId="132D0B54" w14:textId="77777777" w:rsidR="005B6BB0" w:rsidRPr="00D14CD7" w:rsidRDefault="005B6BB0" w:rsidP="00286339">
            <w:pPr>
              <w:spacing w:after="0" w:line="240" w:lineRule="auto"/>
              <w:jc w:val="right"/>
              <w:rPr>
                <w:rFonts w:eastAsia="Times New Roman"/>
                <w:color w:val="000000" w:themeColor="text1"/>
                <w:sz w:val="16"/>
                <w:szCs w:val="16"/>
              </w:rPr>
            </w:pPr>
            <w:r w:rsidRPr="00D14CD7">
              <w:rPr>
                <w:rFonts w:eastAsia="Times New Roman"/>
                <w:color w:val="000000" w:themeColor="text1"/>
                <w:sz w:val="16"/>
                <w:szCs w:val="16"/>
              </w:rPr>
              <w:t>1.95</w:t>
            </w:r>
          </w:p>
        </w:tc>
        <w:tc>
          <w:tcPr>
            <w:tcW w:w="184" w:type="pct"/>
            <w:tcBorders>
              <w:top w:val="single" w:sz="4" w:space="0" w:color="auto"/>
              <w:left w:val="single" w:sz="8" w:space="0" w:color="auto"/>
              <w:bottom w:val="single" w:sz="4" w:space="0" w:color="auto"/>
            </w:tcBorders>
            <w:shd w:val="clear" w:color="auto" w:fill="auto"/>
            <w:noWrap/>
            <w:vAlign w:val="center"/>
            <w:hideMark/>
          </w:tcPr>
          <w:p w14:paraId="421858E0" w14:textId="77777777" w:rsidR="005B6BB0" w:rsidRPr="00D14CD7" w:rsidRDefault="005B6BB0" w:rsidP="00286339">
            <w:pPr>
              <w:spacing w:after="0" w:line="240" w:lineRule="auto"/>
              <w:jc w:val="right"/>
              <w:rPr>
                <w:rFonts w:eastAsia="Times New Roman"/>
                <w:color w:val="000000" w:themeColor="text1"/>
                <w:sz w:val="16"/>
                <w:szCs w:val="16"/>
              </w:rPr>
            </w:pPr>
            <w:r w:rsidRPr="00D14CD7">
              <w:rPr>
                <w:rFonts w:eastAsia="Times New Roman"/>
                <w:color w:val="000000" w:themeColor="text1"/>
                <w:sz w:val="16"/>
                <w:szCs w:val="16"/>
              </w:rPr>
              <w:t>0.104</w:t>
            </w:r>
          </w:p>
        </w:tc>
        <w:tc>
          <w:tcPr>
            <w:tcW w:w="185" w:type="pct"/>
            <w:tcBorders>
              <w:top w:val="single" w:sz="4" w:space="0" w:color="auto"/>
              <w:bottom w:val="single" w:sz="4" w:space="0" w:color="auto"/>
              <w:right w:val="single" w:sz="8" w:space="0" w:color="auto"/>
            </w:tcBorders>
            <w:shd w:val="clear" w:color="auto" w:fill="auto"/>
            <w:noWrap/>
            <w:vAlign w:val="center"/>
            <w:hideMark/>
          </w:tcPr>
          <w:p w14:paraId="3B166E87" w14:textId="77777777" w:rsidR="005B6BB0" w:rsidRPr="00D14CD7" w:rsidRDefault="005B6BB0" w:rsidP="00286339">
            <w:pPr>
              <w:spacing w:after="0" w:line="240" w:lineRule="auto"/>
              <w:jc w:val="right"/>
              <w:rPr>
                <w:rFonts w:eastAsia="Times New Roman"/>
                <w:color w:val="000000" w:themeColor="text1"/>
                <w:sz w:val="16"/>
                <w:szCs w:val="16"/>
              </w:rPr>
            </w:pPr>
            <w:r w:rsidRPr="00D14CD7">
              <w:rPr>
                <w:rFonts w:eastAsia="Times New Roman"/>
                <w:color w:val="000000" w:themeColor="text1"/>
                <w:sz w:val="16"/>
                <w:szCs w:val="16"/>
              </w:rPr>
              <w:t>1.83</w:t>
            </w:r>
          </w:p>
        </w:tc>
        <w:tc>
          <w:tcPr>
            <w:tcW w:w="184" w:type="pct"/>
            <w:tcBorders>
              <w:top w:val="single" w:sz="4" w:space="0" w:color="auto"/>
              <w:left w:val="single" w:sz="8" w:space="0" w:color="auto"/>
              <w:bottom w:val="single" w:sz="4" w:space="0" w:color="auto"/>
            </w:tcBorders>
            <w:shd w:val="clear" w:color="auto" w:fill="auto"/>
            <w:noWrap/>
            <w:vAlign w:val="center"/>
            <w:hideMark/>
          </w:tcPr>
          <w:p w14:paraId="669B131F" w14:textId="77777777" w:rsidR="005B6BB0" w:rsidRPr="00D14CD7" w:rsidRDefault="005B6BB0" w:rsidP="00286339">
            <w:pPr>
              <w:spacing w:after="0" w:line="240" w:lineRule="auto"/>
              <w:jc w:val="right"/>
              <w:rPr>
                <w:rFonts w:eastAsia="Times New Roman"/>
                <w:color w:val="000000" w:themeColor="text1"/>
                <w:sz w:val="16"/>
                <w:szCs w:val="16"/>
              </w:rPr>
            </w:pPr>
            <w:r w:rsidRPr="00D14CD7">
              <w:rPr>
                <w:rFonts w:eastAsia="Times New Roman"/>
                <w:color w:val="000000" w:themeColor="text1"/>
                <w:sz w:val="16"/>
                <w:szCs w:val="22"/>
              </w:rPr>
              <w:t>—</w:t>
            </w:r>
          </w:p>
        </w:tc>
        <w:tc>
          <w:tcPr>
            <w:tcW w:w="188" w:type="pct"/>
            <w:tcBorders>
              <w:top w:val="single" w:sz="4" w:space="0" w:color="auto"/>
              <w:bottom w:val="single" w:sz="4" w:space="0" w:color="auto"/>
              <w:right w:val="single" w:sz="8" w:space="0" w:color="auto"/>
            </w:tcBorders>
            <w:shd w:val="clear" w:color="auto" w:fill="auto"/>
            <w:noWrap/>
            <w:vAlign w:val="center"/>
            <w:hideMark/>
          </w:tcPr>
          <w:p w14:paraId="6639838C" w14:textId="77777777" w:rsidR="005B6BB0" w:rsidRPr="00D14CD7" w:rsidRDefault="005B6BB0" w:rsidP="00286339">
            <w:pPr>
              <w:spacing w:after="0" w:line="240" w:lineRule="auto"/>
              <w:jc w:val="right"/>
              <w:rPr>
                <w:rFonts w:eastAsia="Times New Roman"/>
                <w:color w:val="000000" w:themeColor="text1"/>
                <w:sz w:val="16"/>
                <w:szCs w:val="16"/>
              </w:rPr>
            </w:pPr>
            <w:r w:rsidRPr="00D14CD7">
              <w:rPr>
                <w:rFonts w:eastAsia="Times New Roman"/>
                <w:color w:val="000000" w:themeColor="text1"/>
                <w:sz w:val="16"/>
                <w:szCs w:val="22"/>
              </w:rPr>
              <w:t>—</w:t>
            </w:r>
          </w:p>
        </w:tc>
        <w:tc>
          <w:tcPr>
            <w:tcW w:w="188" w:type="pct"/>
            <w:tcBorders>
              <w:top w:val="single" w:sz="4" w:space="0" w:color="auto"/>
              <w:left w:val="single" w:sz="8" w:space="0" w:color="auto"/>
              <w:bottom w:val="single" w:sz="4" w:space="0" w:color="auto"/>
            </w:tcBorders>
            <w:shd w:val="clear" w:color="auto" w:fill="auto"/>
            <w:noWrap/>
            <w:vAlign w:val="center"/>
            <w:hideMark/>
          </w:tcPr>
          <w:p w14:paraId="4778724B" w14:textId="77777777" w:rsidR="005B6BB0" w:rsidRPr="00D14CD7" w:rsidRDefault="005B6BB0" w:rsidP="00286339">
            <w:pPr>
              <w:spacing w:after="0" w:line="240" w:lineRule="auto"/>
              <w:jc w:val="right"/>
              <w:rPr>
                <w:rFonts w:eastAsia="Times New Roman"/>
                <w:color w:val="000000" w:themeColor="text1"/>
                <w:sz w:val="16"/>
                <w:szCs w:val="16"/>
              </w:rPr>
            </w:pPr>
            <w:proofErr w:type="spellStart"/>
            <w:r w:rsidRPr="00D14CD7">
              <w:rPr>
                <w:rFonts w:eastAsia="Times New Roman"/>
                <w:color w:val="000000" w:themeColor="text1"/>
                <w:sz w:val="16"/>
                <w:szCs w:val="22"/>
              </w:rPr>
              <w:t>na</w:t>
            </w:r>
            <w:proofErr w:type="spellEnd"/>
          </w:p>
        </w:tc>
        <w:tc>
          <w:tcPr>
            <w:tcW w:w="146" w:type="pct"/>
            <w:tcBorders>
              <w:top w:val="single" w:sz="4" w:space="0" w:color="auto"/>
              <w:bottom w:val="single" w:sz="4" w:space="0" w:color="auto"/>
              <w:right w:val="double" w:sz="4" w:space="0" w:color="auto"/>
            </w:tcBorders>
            <w:shd w:val="clear" w:color="auto" w:fill="auto"/>
            <w:noWrap/>
            <w:vAlign w:val="center"/>
            <w:hideMark/>
          </w:tcPr>
          <w:p w14:paraId="72C57851" w14:textId="77777777" w:rsidR="005B6BB0" w:rsidRPr="00D14CD7" w:rsidRDefault="005B6BB0" w:rsidP="00286339">
            <w:pPr>
              <w:spacing w:after="0" w:line="240" w:lineRule="auto"/>
              <w:jc w:val="right"/>
              <w:rPr>
                <w:rFonts w:eastAsia="Times New Roman"/>
                <w:color w:val="000000" w:themeColor="text1"/>
                <w:sz w:val="16"/>
                <w:szCs w:val="16"/>
              </w:rPr>
            </w:pPr>
            <w:proofErr w:type="spellStart"/>
            <w:r w:rsidRPr="00D14CD7">
              <w:rPr>
                <w:rFonts w:eastAsia="Times New Roman"/>
                <w:color w:val="000000" w:themeColor="text1"/>
                <w:sz w:val="16"/>
                <w:szCs w:val="22"/>
              </w:rPr>
              <w:t>na</w:t>
            </w:r>
            <w:proofErr w:type="spellEnd"/>
          </w:p>
        </w:tc>
        <w:tc>
          <w:tcPr>
            <w:tcW w:w="184" w:type="pct"/>
            <w:tcBorders>
              <w:left w:val="double" w:sz="4" w:space="0" w:color="auto"/>
            </w:tcBorders>
            <w:shd w:val="clear" w:color="auto" w:fill="auto"/>
            <w:noWrap/>
            <w:vAlign w:val="center"/>
            <w:hideMark/>
          </w:tcPr>
          <w:p w14:paraId="1CA5A9CC" w14:textId="77777777" w:rsidR="005B6BB0" w:rsidRPr="00D14CD7" w:rsidRDefault="005B6BB0" w:rsidP="00286339">
            <w:pPr>
              <w:spacing w:after="0" w:line="240" w:lineRule="auto"/>
              <w:jc w:val="right"/>
              <w:rPr>
                <w:rFonts w:eastAsia="Times New Roman"/>
                <w:color w:val="000000" w:themeColor="text1"/>
                <w:sz w:val="16"/>
                <w:szCs w:val="16"/>
              </w:rPr>
            </w:pPr>
            <w:r w:rsidRPr="00D14CD7">
              <w:rPr>
                <w:rFonts w:eastAsia="Times New Roman"/>
                <w:color w:val="000000" w:themeColor="text1"/>
                <w:sz w:val="16"/>
                <w:szCs w:val="22"/>
              </w:rPr>
              <w:t>—</w:t>
            </w:r>
          </w:p>
        </w:tc>
        <w:tc>
          <w:tcPr>
            <w:tcW w:w="184" w:type="pct"/>
            <w:tcBorders>
              <w:top w:val="single" w:sz="4" w:space="0" w:color="auto"/>
              <w:bottom w:val="single" w:sz="4" w:space="0" w:color="auto"/>
              <w:right w:val="single" w:sz="8" w:space="0" w:color="auto"/>
            </w:tcBorders>
            <w:shd w:val="clear" w:color="auto" w:fill="auto"/>
            <w:noWrap/>
            <w:vAlign w:val="center"/>
            <w:hideMark/>
          </w:tcPr>
          <w:p w14:paraId="1A6FC004" w14:textId="77777777" w:rsidR="005B6BB0" w:rsidRPr="00D14CD7" w:rsidRDefault="005B6BB0" w:rsidP="00286339">
            <w:pPr>
              <w:spacing w:after="0" w:line="240" w:lineRule="auto"/>
              <w:jc w:val="right"/>
              <w:rPr>
                <w:rFonts w:eastAsia="Times New Roman"/>
                <w:color w:val="000000" w:themeColor="text1"/>
                <w:sz w:val="16"/>
                <w:szCs w:val="16"/>
              </w:rPr>
            </w:pPr>
            <w:r w:rsidRPr="00D14CD7">
              <w:rPr>
                <w:rFonts w:eastAsia="Times New Roman"/>
                <w:color w:val="000000" w:themeColor="text1"/>
                <w:sz w:val="16"/>
                <w:szCs w:val="22"/>
              </w:rPr>
              <w:t>—</w:t>
            </w:r>
          </w:p>
        </w:tc>
        <w:tc>
          <w:tcPr>
            <w:tcW w:w="184" w:type="pct"/>
            <w:tcBorders>
              <w:left w:val="single" w:sz="8" w:space="0" w:color="auto"/>
            </w:tcBorders>
            <w:shd w:val="clear" w:color="auto" w:fill="auto"/>
            <w:noWrap/>
            <w:vAlign w:val="center"/>
            <w:hideMark/>
          </w:tcPr>
          <w:p w14:paraId="4C26292D" w14:textId="77777777" w:rsidR="005B6BB0" w:rsidRPr="00D14CD7" w:rsidRDefault="005B6BB0" w:rsidP="00286339">
            <w:pPr>
              <w:spacing w:after="0" w:line="240" w:lineRule="auto"/>
              <w:jc w:val="right"/>
              <w:rPr>
                <w:rFonts w:eastAsia="Times New Roman"/>
                <w:color w:val="000000" w:themeColor="text1"/>
                <w:sz w:val="16"/>
                <w:szCs w:val="16"/>
              </w:rPr>
            </w:pPr>
            <w:r w:rsidRPr="00D14CD7">
              <w:rPr>
                <w:rFonts w:eastAsia="Times New Roman"/>
                <w:color w:val="000000" w:themeColor="text1"/>
                <w:sz w:val="16"/>
                <w:szCs w:val="22"/>
              </w:rPr>
              <w:t>—</w:t>
            </w:r>
          </w:p>
        </w:tc>
        <w:tc>
          <w:tcPr>
            <w:tcW w:w="185" w:type="pct"/>
            <w:tcBorders>
              <w:top w:val="single" w:sz="4" w:space="0" w:color="auto"/>
              <w:bottom w:val="single" w:sz="4" w:space="0" w:color="auto"/>
              <w:right w:val="single" w:sz="8" w:space="0" w:color="auto"/>
            </w:tcBorders>
            <w:shd w:val="clear" w:color="auto" w:fill="auto"/>
            <w:noWrap/>
            <w:vAlign w:val="center"/>
            <w:hideMark/>
          </w:tcPr>
          <w:p w14:paraId="6F068760" w14:textId="77777777" w:rsidR="005B6BB0" w:rsidRPr="00D14CD7" w:rsidRDefault="005B6BB0" w:rsidP="00286339">
            <w:pPr>
              <w:spacing w:after="0" w:line="240" w:lineRule="auto"/>
              <w:jc w:val="right"/>
              <w:rPr>
                <w:rFonts w:eastAsia="Times New Roman"/>
                <w:color w:val="000000" w:themeColor="text1"/>
                <w:sz w:val="16"/>
                <w:szCs w:val="16"/>
              </w:rPr>
            </w:pPr>
            <w:r w:rsidRPr="00D14CD7">
              <w:rPr>
                <w:rFonts w:eastAsia="Times New Roman"/>
                <w:color w:val="000000" w:themeColor="text1"/>
                <w:sz w:val="16"/>
                <w:szCs w:val="22"/>
              </w:rPr>
              <w:t>—</w:t>
            </w:r>
          </w:p>
        </w:tc>
        <w:tc>
          <w:tcPr>
            <w:tcW w:w="185" w:type="pct"/>
            <w:tcBorders>
              <w:left w:val="single" w:sz="8" w:space="0" w:color="auto"/>
            </w:tcBorders>
            <w:shd w:val="clear" w:color="auto" w:fill="auto"/>
            <w:noWrap/>
            <w:vAlign w:val="center"/>
            <w:hideMark/>
          </w:tcPr>
          <w:p w14:paraId="68845A85" w14:textId="77777777" w:rsidR="005B6BB0" w:rsidRPr="00D14CD7" w:rsidRDefault="005B6BB0" w:rsidP="00286339">
            <w:pPr>
              <w:spacing w:after="0" w:line="240" w:lineRule="auto"/>
              <w:jc w:val="right"/>
              <w:rPr>
                <w:rFonts w:eastAsia="Times New Roman"/>
                <w:color w:val="000000" w:themeColor="text1"/>
                <w:sz w:val="16"/>
                <w:szCs w:val="16"/>
              </w:rPr>
            </w:pPr>
            <w:r w:rsidRPr="00D14CD7">
              <w:rPr>
                <w:rFonts w:eastAsia="Times New Roman"/>
                <w:color w:val="000000" w:themeColor="text1"/>
                <w:sz w:val="16"/>
                <w:szCs w:val="22"/>
              </w:rPr>
              <w:t>—</w:t>
            </w:r>
          </w:p>
        </w:tc>
        <w:tc>
          <w:tcPr>
            <w:tcW w:w="185" w:type="pct"/>
            <w:tcBorders>
              <w:top w:val="single" w:sz="4" w:space="0" w:color="auto"/>
              <w:bottom w:val="single" w:sz="4" w:space="0" w:color="auto"/>
              <w:right w:val="single" w:sz="8" w:space="0" w:color="auto"/>
            </w:tcBorders>
            <w:shd w:val="clear" w:color="auto" w:fill="auto"/>
            <w:noWrap/>
            <w:vAlign w:val="center"/>
            <w:hideMark/>
          </w:tcPr>
          <w:p w14:paraId="389188D8" w14:textId="77777777" w:rsidR="005B6BB0" w:rsidRPr="00D14CD7" w:rsidRDefault="005B6BB0" w:rsidP="00286339">
            <w:pPr>
              <w:spacing w:after="0" w:line="240" w:lineRule="auto"/>
              <w:jc w:val="right"/>
              <w:rPr>
                <w:rFonts w:eastAsia="Times New Roman"/>
                <w:color w:val="000000" w:themeColor="text1"/>
                <w:sz w:val="16"/>
                <w:szCs w:val="16"/>
              </w:rPr>
            </w:pPr>
            <w:r w:rsidRPr="00D14CD7">
              <w:rPr>
                <w:rFonts w:eastAsia="Times New Roman"/>
                <w:color w:val="000000" w:themeColor="text1"/>
                <w:sz w:val="16"/>
                <w:szCs w:val="22"/>
              </w:rPr>
              <w:t>—</w:t>
            </w:r>
          </w:p>
        </w:tc>
        <w:tc>
          <w:tcPr>
            <w:tcW w:w="156" w:type="pct"/>
            <w:tcBorders>
              <w:left w:val="single" w:sz="8" w:space="0" w:color="auto"/>
            </w:tcBorders>
            <w:shd w:val="clear" w:color="auto" w:fill="auto"/>
            <w:noWrap/>
            <w:vAlign w:val="center"/>
            <w:hideMark/>
          </w:tcPr>
          <w:p w14:paraId="423B88DB" w14:textId="77777777" w:rsidR="005B6BB0" w:rsidRPr="00D14CD7" w:rsidRDefault="005B6BB0" w:rsidP="00286339">
            <w:pPr>
              <w:spacing w:after="0" w:line="240" w:lineRule="auto"/>
              <w:jc w:val="right"/>
              <w:rPr>
                <w:rFonts w:eastAsia="Times New Roman"/>
                <w:color w:val="000000" w:themeColor="text1"/>
                <w:sz w:val="16"/>
                <w:szCs w:val="16"/>
              </w:rPr>
            </w:pPr>
            <w:proofErr w:type="spellStart"/>
            <w:r w:rsidRPr="00D14CD7">
              <w:rPr>
                <w:rFonts w:eastAsia="Times New Roman"/>
                <w:color w:val="000000" w:themeColor="text1"/>
                <w:sz w:val="16"/>
                <w:szCs w:val="22"/>
              </w:rPr>
              <w:t>na</w:t>
            </w:r>
            <w:proofErr w:type="spellEnd"/>
          </w:p>
        </w:tc>
        <w:tc>
          <w:tcPr>
            <w:tcW w:w="157" w:type="pct"/>
            <w:tcBorders>
              <w:right w:val="double" w:sz="4" w:space="0" w:color="auto"/>
            </w:tcBorders>
            <w:shd w:val="clear" w:color="auto" w:fill="auto"/>
            <w:noWrap/>
            <w:vAlign w:val="center"/>
            <w:hideMark/>
          </w:tcPr>
          <w:p w14:paraId="00FE10DB" w14:textId="77777777" w:rsidR="005B6BB0" w:rsidRPr="00D14CD7" w:rsidRDefault="005B6BB0" w:rsidP="00286339">
            <w:pPr>
              <w:spacing w:after="0" w:line="240" w:lineRule="auto"/>
              <w:jc w:val="right"/>
              <w:rPr>
                <w:rFonts w:eastAsia="Times New Roman"/>
                <w:color w:val="000000" w:themeColor="text1"/>
                <w:sz w:val="16"/>
                <w:szCs w:val="16"/>
              </w:rPr>
            </w:pPr>
            <w:proofErr w:type="spellStart"/>
            <w:r w:rsidRPr="00D14CD7">
              <w:rPr>
                <w:rFonts w:eastAsia="Times New Roman"/>
                <w:color w:val="000000" w:themeColor="text1"/>
                <w:sz w:val="16"/>
                <w:szCs w:val="22"/>
              </w:rPr>
              <w:t>na</w:t>
            </w:r>
            <w:proofErr w:type="spellEnd"/>
          </w:p>
        </w:tc>
        <w:tc>
          <w:tcPr>
            <w:tcW w:w="187" w:type="pct"/>
            <w:tcBorders>
              <w:top w:val="single" w:sz="4" w:space="0" w:color="auto"/>
              <w:left w:val="double" w:sz="4" w:space="0" w:color="auto"/>
              <w:bottom w:val="single" w:sz="4" w:space="0" w:color="auto"/>
            </w:tcBorders>
            <w:shd w:val="clear" w:color="auto" w:fill="auto"/>
            <w:noWrap/>
            <w:vAlign w:val="center"/>
            <w:hideMark/>
          </w:tcPr>
          <w:p w14:paraId="2DD94620" w14:textId="77777777" w:rsidR="005B6BB0" w:rsidRPr="00D14CD7" w:rsidRDefault="005B6BB0" w:rsidP="00286339">
            <w:pPr>
              <w:spacing w:after="0" w:line="240" w:lineRule="auto"/>
              <w:jc w:val="right"/>
              <w:rPr>
                <w:rFonts w:eastAsia="Times New Roman"/>
                <w:color w:val="000000" w:themeColor="text1"/>
                <w:sz w:val="16"/>
                <w:szCs w:val="16"/>
              </w:rPr>
            </w:pPr>
            <w:r w:rsidRPr="00D14CD7">
              <w:rPr>
                <w:rFonts w:eastAsia="Times New Roman"/>
                <w:color w:val="000000" w:themeColor="text1"/>
                <w:sz w:val="16"/>
                <w:szCs w:val="22"/>
              </w:rPr>
              <w:t>—</w:t>
            </w:r>
          </w:p>
        </w:tc>
        <w:tc>
          <w:tcPr>
            <w:tcW w:w="183" w:type="pct"/>
            <w:shd w:val="clear" w:color="auto" w:fill="auto"/>
            <w:noWrap/>
            <w:vAlign w:val="center"/>
            <w:hideMark/>
          </w:tcPr>
          <w:p w14:paraId="036405AF" w14:textId="77777777" w:rsidR="005B6BB0" w:rsidRPr="00D14CD7" w:rsidRDefault="005B6BB0" w:rsidP="00286339">
            <w:pPr>
              <w:spacing w:after="0" w:line="240" w:lineRule="auto"/>
              <w:jc w:val="right"/>
              <w:rPr>
                <w:rFonts w:eastAsia="Times New Roman"/>
                <w:color w:val="000000" w:themeColor="text1"/>
                <w:sz w:val="16"/>
                <w:szCs w:val="16"/>
              </w:rPr>
            </w:pPr>
            <w:r w:rsidRPr="00D14CD7">
              <w:rPr>
                <w:rFonts w:eastAsia="Times New Roman"/>
                <w:color w:val="000000" w:themeColor="text1"/>
                <w:sz w:val="16"/>
                <w:szCs w:val="22"/>
              </w:rPr>
              <w:t>—</w:t>
            </w:r>
          </w:p>
        </w:tc>
      </w:tr>
      <w:tr w:rsidR="00D14CD7" w:rsidRPr="00D14CD7" w14:paraId="67B7E3C8" w14:textId="77777777" w:rsidTr="00286339">
        <w:trPr>
          <w:trHeight w:val="72"/>
        </w:trPr>
        <w:tc>
          <w:tcPr>
            <w:tcW w:w="1709" w:type="pct"/>
            <w:tcBorders>
              <w:top w:val="single" w:sz="4" w:space="0" w:color="auto"/>
              <w:bottom w:val="single" w:sz="8" w:space="0" w:color="auto"/>
              <w:right w:val="double" w:sz="4" w:space="0" w:color="auto"/>
            </w:tcBorders>
            <w:shd w:val="clear" w:color="auto" w:fill="auto"/>
            <w:noWrap/>
            <w:vAlign w:val="center"/>
            <w:hideMark/>
          </w:tcPr>
          <w:p w14:paraId="79ACD092" w14:textId="77777777" w:rsidR="005B6BB0" w:rsidRPr="00D14CD7" w:rsidRDefault="005B6BB0" w:rsidP="00286339">
            <w:pPr>
              <w:spacing w:after="0" w:line="240" w:lineRule="auto"/>
              <w:ind w:firstLine="140"/>
              <w:jc w:val="left"/>
              <w:rPr>
                <w:rFonts w:eastAsia="Times New Roman"/>
                <w:color w:val="000000" w:themeColor="text1"/>
                <w:sz w:val="16"/>
                <w:szCs w:val="16"/>
              </w:rPr>
            </w:pPr>
            <w:r w:rsidRPr="00D14CD7">
              <w:rPr>
                <w:rFonts w:eastAsia="Times New Roman"/>
                <w:color w:val="000000" w:themeColor="text1"/>
                <w:sz w:val="16"/>
                <w:szCs w:val="22"/>
              </w:rPr>
              <w:t>Three or more vehicles</w:t>
            </w:r>
          </w:p>
        </w:tc>
        <w:tc>
          <w:tcPr>
            <w:tcW w:w="227" w:type="pct"/>
            <w:tcBorders>
              <w:top w:val="single" w:sz="4" w:space="0" w:color="auto"/>
              <w:left w:val="double" w:sz="4" w:space="0" w:color="auto"/>
              <w:bottom w:val="single" w:sz="8" w:space="0" w:color="auto"/>
            </w:tcBorders>
            <w:shd w:val="clear" w:color="auto" w:fill="auto"/>
            <w:noWrap/>
            <w:vAlign w:val="center"/>
            <w:hideMark/>
          </w:tcPr>
          <w:p w14:paraId="75CA6DD4" w14:textId="77777777" w:rsidR="005B6BB0" w:rsidRPr="00D14CD7" w:rsidRDefault="005B6BB0" w:rsidP="00286339">
            <w:pPr>
              <w:spacing w:after="0" w:line="240" w:lineRule="auto"/>
              <w:jc w:val="right"/>
              <w:rPr>
                <w:rFonts w:eastAsia="Times New Roman"/>
                <w:color w:val="000000" w:themeColor="text1"/>
                <w:sz w:val="16"/>
                <w:szCs w:val="16"/>
              </w:rPr>
            </w:pPr>
            <w:r w:rsidRPr="00D14CD7">
              <w:rPr>
                <w:rFonts w:eastAsia="Times New Roman"/>
                <w:color w:val="000000" w:themeColor="text1"/>
                <w:sz w:val="16"/>
                <w:szCs w:val="16"/>
              </w:rPr>
              <w:t>0.138</w:t>
            </w:r>
          </w:p>
        </w:tc>
        <w:tc>
          <w:tcPr>
            <w:tcW w:w="199" w:type="pct"/>
            <w:tcBorders>
              <w:top w:val="single" w:sz="4" w:space="0" w:color="auto"/>
              <w:bottom w:val="single" w:sz="8" w:space="0" w:color="auto"/>
              <w:right w:val="single" w:sz="8" w:space="0" w:color="auto"/>
            </w:tcBorders>
            <w:shd w:val="clear" w:color="auto" w:fill="auto"/>
            <w:noWrap/>
            <w:vAlign w:val="center"/>
            <w:hideMark/>
          </w:tcPr>
          <w:p w14:paraId="71E45F1D" w14:textId="77777777" w:rsidR="005B6BB0" w:rsidRPr="00D14CD7" w:rsidRDefault="005B6BB0" w:rsidP="00286339">
            <w:pPr>
              <w:spacing w:after="0" w:line="240" w:lineRule="auto"/>
              <w:jc w:val="right"/>
              <w:rPr>
                <w:rFonts w:eastAsia="Times New Roman"/>
                <w:color w:val="000000" w:themeColor="text1"/>
                <w:sz w:val="16"/>
                <w:szCs w:val="16"/>
              </w:rPr>
            </w:pPr>
            <w:r w:rsidRPr="00D14CD7">
              <w:rPr>
                <w:rFonts w:eastAsia="Times New Roman"/>
                <w:color w:val="000000" w:themeColor="text1"/>
                <w:sz w:val="16"/>
                <w:szCs w:val="16"/>
              </w:rPr>
              <w:t>2.30</w:t>
            </w:r>
          </w:p>
        </w:tc>
        <w:tc>
          <w:tcPr>
            <w:tcW w:w="184" w:type="pct"/>
            <w:tcBorders>
              <w:top w:val="single" w:sz="4" w:space="0" w:color="auto"/>
              <w:left w:val="single" w:sz="8" w:space="0" w:color="auto"/>
              <w:bottom w:val="single" w:sz="8" w:space="0" w:color="auto"/>
            </w:tcBorders>
            <w:shd w:val="clear" w:color="auto" w:fill="auto"/>
            <w:noWrap/>
            <w:vAlign w:val="center"/>
            <w:hideMark/>
          </w:tcPr>
          <w:p w14:paraId="6121DA89" w14:textId="77777777" w:rsidR="005B6BB0" w:rsidRPr="00D14CD7" w:rsidRDefault="005B6BB0" w:rsidP="00286339">
            <w:pPr>
              <w:spacing w:after="0" w:line="240" w:lineRule="auto"/>
              <w:jc w:val="right"/>
              <w:rPr>
                <w:rFonts w:eastAsia="Times New Roman"/>
                <w:color w:val="000000" w:themeColor="text1"/>
                <w:sz w:val="16"/>
                <w:szCs w:val="16"/>
              </w:rPr>
            </w:pPr>
            <w:r w:rsidRPr="00D14CD7">
              <w:rPr>
                <w:rFonts w:eastAsia="Times New Roman"/>
                <w:color w:val="000000" w:themeColor="text1"/>
                <w:sz w:val="16"/>
                <w:szCs w:val="16"/>
              </w:rPr>
              <w:t>0.118</w:t>
            </w:r>
          </w:p>
        </w:tc>
        <w:tc>
          <w:tcPr>
            <w:tcW w:w="185" w:type="pct"/>
            <w:tcBorders>
              <w:top w:val="single" w:sz="4" w:space="0" w:color="auto"/>
              <w:bottom w:val="single" w:sz="8" w:space="0" w:color="auto"/>
              <w:right w:val="single" w:sz="8" w:space="0" w:color="auto"/>
            </w:tcBorders>
            <w:shd w:val="clear" w:color="auto" w:fill="auto"/>
            <w:noWrap/>
            <w:vAlign w:val="center"/>
            <w:hideMark/>
          </w:tcPr>
          <w:p w14:paraId="6AC9B579" w14:textId="77777777" w:rsidR="005B6BB0" w:rsidRPr="00D14CD7" w:rsidRDefault="005B6BB0" w:rsidP="00286339">
            <w:pPr>
              <w:spacing w:after="0" w:line="240" w:lineRule="auto"/>
              <w:jc w:val="right"/>
              <w:rPr>
                <w:rFonts w:eastAsia="Times New Roman"/>
                <w:color w:val="000000" w:themeColor="text1"/>
                <w:sz w:val="16"/>
                <w:szCs w:val="16"/>
              </w:rPr>
            </w:pPr>
            <w:r w:rsidRPr="00D14CD7">
              <w:rPr>
                <w:rFonts w:eastAsia="Times New Roman"/>
                <w:color w:val="000000" w:themeColor="text1"/>
                <w:sz w:val="16"/>
                <w:szCs w:val="16"/>
              </w:rPr>
              <w:t>1.90</w:t>
            </w:r>
          </w:p>
        </w:tc>
        <w:tc>
          <w:tcPr>
            <w:tcW w:w="184" w:type="pct"/>
            <w:tcBorders>
              <w:top w:val="single" w:sz="4" w:space="0" w:color="auto"/>
              <w:left w:val="single" w:sz="8" w:space="0" w:color="auto"/>
              <w:bottom w:val="single" w:sz="8" w:space="0" w:color="auto"/>
            </w:tcBorders>
            <w:shd w:val="clear" w:color="auto" w:fill="auto"/>
            <w:noWrap/>
            <w:vAlign w:val="center"/>
            <w:hideMark/>
          </w:tcPr>
          <w:p w14:paraId="5743DEE3" w14:textId="77777777" w:rsidR="005B6BB0" w:rsidRPr="00D14CD7" w:rsidRDefault="005B6BB0" w:rsidP="00286339">
            <w:pPr>
              <w:spacing w:after="0" w:line="240" w:lineRule="auto"/>
              <w:jc w:val="right"/>
              <w:rPr>
                <w:rFonts w:eastAsia="Times New Roman"/>
                <w:color w:val="000000" w:themeColor="text1"/>
                <w:sz w:val="16"/>
                <w:szCs w:val="16"/>
              </w:rPr>
            </w:pPr>
            <w:r w:rsidRPr="00D14CD7">
              <w:rPr>
                <w:rFonts w:eastAsia="Times New Roman"/>
                <w:color w:val="000000" w:themeColor="text1"/>
                <w:sz w:val="16"/>
                <w:szCs w:val="22"/>
              </w:rPr>
              <w:t>—</w:t>
            </w:r>
          </w:p>
        </w:tc>
        <w:tc>
          <w:tcPr>
            <w:tcW w:w="188" w:type="pct"/>
            <w:tcBorders>
              <w:top w:val="single" w:sz="4" w:space="0" w:color="auto"/>
              <w:bottom w:val="single" w:sz="8" w:space="0" w:color="auto"/>
              <w:right w:val="single" w:sz="8" w:space="0" w:color="auto"/>
            </w:tcBorders>
            <w:shd w:val="clear" w:color="auto" w:fill="auto"/>
            <w:noWrap/>
            <w:vAlign w:val="center"/>
            <w:hideMark/>
          </w:tcPr>
          <w:p w14:paraId="61CA9516" w14:textId="77777777" w:rsidR="005B6BB0" w:rsidRPr="00D14CD7" w:rsidRDefault="005B6BB0" w:rsidP="00286339">
            <w:pPr>
              <w:spacing w:after="0" w:line="240" w:lineRule="auto"/>
              <w:jc w:val="right"/>
              <w:rPr>
                <w:rFonts w:eastAsia="Times New Roman"/>
                <w:color w:val="000000" w:themeColor="text1"/>
                <w:sz w:val="16"/>
                <w:szCs w:val="16"/>
              </w:rPr>
            </w:pPr>
            <w:r w:rsidRPr="00D14CD7">
              <w:rPr>
                <w:rFonts w:eastAsia="Times New Roman"/>
                <w:color w:val="000000" w:themeColor="text1"/>
                <w:sz w:val="16"/>
                <w:szCs w:val="22"/>
              </w:rPr>
              <w:t>—</w:t>
            </w:r>
          </w:p>
        </w:tc>
        <w:tc>
          <w:tcPr>
            <w:tcW w:w="188" w:type="pct"/>
            <w:tcBorders>
              <w:top w:val="single" w:sz="4" w:space="0" w:color="auto"/>
              <w:left w:val="single" w:sz="8" w:space="0" w:color="auto"/>
              <w:bottom w:val="single" w:sz="8" w:space="0" w:color="auto"/>
            </w:tcBorders>
            <w:shd w:val="clear" w:color="auto" w:fill="auto"/>
            <w:noWrap/>
            <w:vAlign w:val="center"/>
            <w:hideMark/>
          </w:tcPr>
          <w:p w14:paraId="33C6590A" w14:textId="77777777" w:rsidR="005B6BB0" w:rsidRPr="00D14CD7" w:rsidRDefault="005B6BB0" w:rsidP="00286339">
            <w:pPr>
              <w:spacing w:after="0" w:line="240" w:lineRule="auto"/>
              <w:jc w:val="right"/>
              <w:rPr>
                <w:rFonts w:eastAsia="Times New Roman"/>
                <w:color w:val="000000" w:themeColor="text1"/>
                <w:sz w:val="16"/>
                <w:szCs w:val="16"/>
              </w:rPr>
            </w:pPr>
            <w:proofErr w:type="spellStart"/>
            <w:r w:rsidRPr="00D14CD7">
              <w:rPr>
                <w:rFonts w:eastAsia="Times New Roman"/>
                <w:color w:val="000000" w:themeColor="text1"/>
                <w:sz w:val="16"/>
                <w:szCs w:val="22"/>
              </w:rPr>
              <w:t>na</w:t>
            </w:r>
            <w:proofErr w:type="spellEnd"/>
          </w:p>
        </w:tc>
        <w:tc>
          <w:tcPr>
            <w:tcW w:w="146" w:type="pct"/>
            <w:tcBorders>
              <w:top w:val="single" w:sz="4" w:space="0" w:color="auto"/>
              <w:bottom w:val="single" w:sz="8" w:space="0" w:color="auto"/>
              <w:right w:val="double" w:sz="4" w:space="0" w:color="auto"/>
            </w:tcBorders>
            <w:shd w:val="clear" w:color="auto" w:fill="auto"/>
            <w:noWrap/>
            <w:vAlign w:val="center"/>
            <w:hideMark/>
          </w:tcPr>
          <w:p w14:paraId="5B52ABA0" w14:textId="77777777" w:rsidR="005B6BB0" w:rsidRPr="00D14CD7" w:rsidRDefault="005B6BB0" w:rsidP="00286339">
            <w:pPr>
              <w:spacing w:after="0" w:line="240" w:lineRule="auto"/>
              <w:jc w:val="right"/>
              <w:rPr>
                <w:rFonts w:eastAsia="Times New Roman"/>
                <w:color w:val="000000" w:themeColor="text1"/>
                <w:sz w:val="16"/>
                <w:szCs w:val="16"/>
              </w:rPr>
            </w:pPr>
            <w:proofErr w:type="spellStart"/>
            <w:r w:rsidRPr="00D14CD7">
              <w:rPr>
                <w:rFonts w:eastAsia="Times New Roman"/>
                <w:color w:val="000000" w:themeColor="text1"/>
                <w:sz w:val="16"/>
                <w:szCs w:val="22"/>
              </w:rPr>
              <w:t>na</w:t>
            </w:r>
            <w:proofErr w:type="spellEnd"/>
          </w:p>
        </w:tc>
        <w:tc>
          <w:tcPr>
            <w:tcW w:w="184" w:type="pct"/>
            <w:tcBorders>
              <w:left w:val="double" w:sz="4" w:space="0" w:color="auto"/>
              <w:bottom w:val="single" w:sz="8" w:space="0" w:color="auto"/>
            </w:tcBorders>
            <w:shd w:val="clear" w:color="auto" w:fill="auto"/>
            <w:noWrap/>
            <w:vAlign w:val="center"/>
            <w:hideMark/>
          </w:tcPr>
          <w:p w14:paraId="0D8EEE8C" w14:textId="77777777" w:rsidR="005B6BB0" w:rsidRPr="00D14CD7" w:rsidRDefault="005B6BB0" w:rsidP="00286339">
            <w:pPr>
              <w:spacing w:after="0" w:line="240" w:lineRule="auto"/>
              <w:jc w:val="right"/>
              <w:rPr>
                <w:rFonts w:eastAsia="Times New Roman"/>
                <w:color w:val="000000" w:themeColor="text1"/>
                <w:sz w:val="16"/>
                <w:szCs w:val="16"/>
              </w:rPr>
            </w:pPr>
            <w:r w:rsidRPr="00D14CD7">
              <w:rPr>
                <w:rFonts w:eastAsia="Times New Roman"/>
                <w:color w:val="000000" w:themeColor="text1"/>
                <w:sz w:val="16"/>
                <w:szCs w:val="22"/>
              </w:rPr>
              <w:t>—</w:t>
            </w:r>
          </w:p>
        </w:tc>
        <w:tc>
          <w:tcPr>
            <w:tcW w:w="184" w:type="pct"/>
            <w:tcBorders>
              <w:top w:val="single" w:sz="4" w:space="0" w:color="auto"/>
              <w:bottom w:val="single" w:sz="8" w:space="0" w:color="auto"/>
              <w:right w:val="single" w:sz="8" w:space="0" w:color="auto"/>
            </w:tcBorders>
            <w:shd w:val="clear" w:color="auto" w:fill="auto"/>
            <w:noWrap/>
            <w:vAlign w:val="center"/>
            <w:hideMark/>
          </w:tcPr>
          <w:p w14:paraId="3F622708" w14:textId="77777777" w:rsidR="005B6BB0" w:rsidRPr="00D14CD7" w:rsidRDefault="005B6BB0" w:rsidP="00286339">
            <w:pPr>
              <w:spacing w:after="0" w:line="240" w:lineRule="auto"/>
              <w:jc w:val="right"/>
              <w:rPr>
                <w:rFonts w:eastAsia="Times New Roman"/>
                <w:color w:val="000000" w:themeColor="text1"/>
                <w:sz w:val="16"/>
                <w:szCs w:val="16"/>
              </w:rPr>
            </w:pPr>
            <w:r w:rsidRPr="00D14CD7">
              <w:rPr>
                <w:rFonts w:eastAsia="Times New Roman"/>
                <w:color w:val="000000" w:themeColor="text1"/>
                <w:sz w:val="16"/>
                <w:szCs w:val="22"/>
              </w:rPr>
              <w:t>—</w:t>
            </w:r>
          </w:p>
        </w:tc>
        <w:tc>
          <w:tcPr>
            <w:tcW w:w="184" w:type="pct"/>
            <w:tcBorders>
              <w:left w:val="single" w:sz="8" w:space="0" w:color="auto"/>
              <w:bottom w:val="single" w:sz="8" w:space="0" w:color="auto"/>
            </w:tcBorders>
            <w:shd w:val="clear" w:color="auto" w:fill="auto"/>
            <w:noWrap/>
            <w:vAlign w:val="center"/>
            <w:hideMark/>
          </w:tcPr>
          <w:p w14:paraId="33804442" w14:textId="77777777" w:rsidR="005B6BB0" w:rsidRPr="00D14CD7" w:rsidRDefault="005B6BB0" w:rsidP="00286339">
            <w:pPr>
              <w:spacing w:after="0" w:line="240" w:lineRule="auto"/>
              <w:jc w:val="right"/>
              <w:rPr>
                <w:rFonts w:eastAsia="Times New Roman"/>
                <w:color w:val="000000" w:themeColor="text1"/>
                <w:sz w:val="16"/>
                <w:szCs w:val="16"/>
              </w:rPr>
            </w:pPr>
            <w:r w:rsidRPr="00D14CD7">
              <w:rPr>
                <w:rFonts w:eastAsia="Times New Roman"/>
                <w:color w:val="000000" w:themeColor="text1"/>
                <w:sz w:val="16"/>
                <w:szCs w:val="22"/>
              </w:rPr>
              <w:t>—</w:t>
            </w:r>
          </w:p>
        </w:tc>
        <w:tc>
          <w:tcPr>
            <w:tcW w:w="185" w:type="pct"/>
            <w:tcBorders>
              <w:top w:val="single" w:sz="4" w:space="0" w:color="auto"/>
              <w:bottom w:val="single" w:sz="8" w:space="0" w:color="auto"/>
              <w:right w:val="single" w:sz="8" w:space="0" w:color="auto"/>
            </w:tcBorders>
            <w:shd w:val="clear" w:color="auto" w:fill="auto"/>
            <w:noWrap/>
            <w:vAlign w:val="center"/>
            <w:hideMark/>
          </w:tcPr>
          <w:p w14:paraId="5AC77676" w14:textId="77777777" w:rsidR="005B6BB0" w:rsidRPr="00D14CD7" w:rsidRDefault="005B6BB0" w:rsidP="00286339">
            <w:pPr>
              <w:spacing w:after="0" w:line="240" w:lineRule="auto"/>
              <w:jc w:val="right"/>
              <w:rPr>
                <w:rFonts w:eastAsia="Times New Roman"/>
                <w:color w:val="000000" w:themeColor="text1"/>
                <w:sz w:val="16"/>
                <w:szCs w:val="16"/>
              </w:rPr>
            </w:pPr>
            <w:r w:rsidRPr="00D14CD7">
              <w:rPr>
                <w:rFonts w:eastAsia="Times New Roman"/>
                <w:color w:val="000000" w:themeColor="text1"/>
                <w:sz w:val="16"/>
                <w:szCs w:val="22"/>
              </w:rPr>
              <w:t>—</w:t>
            </w:r>
          </w:p>
        </w:tc>
        <w:tc>
          <w:tcPr>
            <w:tcW w:w="185" w:type="pct"/>
            <w:tcBorders>
              <w:left w:val="single" w:sz="8" w:space="0" w:color="auto"/>
              <w:bottom w:val="single" w:sz="8" w:space="0" w:color="auto"/>
            </w:tcBorders>
            <w:shd w:val="clear" w:color="auto" w:fill="auto"/>
            <w:noWrap/>
            <w:vAlign w:val="center"/>
            <w:hideMark/>
          </w:tcPr>
          <w:p w14:paraId="31186895" w14:textId="77777777" w:rsidR="005B6BB0" w:rsidRPr="00D14CD7" w:rsidRDefault="005B6BB0" w:rsidP="00286339">
            <w:pPr>
              <w:spacing w:after="0" w:line="240" w:lineRule="auto"/>
              <w:jc w:val="right"/>
              <w:rPr>
                <w:rFonts w:eastAsia="Times New Roman"/>
                <w:color w:val="000000" w:themeColor="text1"/>
                <w:sz w:val="16"/>
                <w:szCs w:val="16"/>
              </w:rPr>
            </w:pPr>
            <w:r w:rsidRPr="00D14CD7">
              <w:rPr>
                <w:rFonts w:eastAsia="Times New Roman"/>
                <w:color w:val="000000" w:themeColor="text1"/>
                <w:sz w:val="16"/>
                <w:szCs w:val="22"/>
              </w:rPr>
              <w:t>—</w:t>
            </w:r>
          </w:p>
        </w:tc>
        <w:tc>
          <w:tcPr>
            <w:tcW w:w="185" w:type="pct"/>
            <w:tcBorders>
              <w:top w:val="single" w:sz="4" w:space="0" w:color="auto"/>
              <w:bottom w:val="single" w:sz="8" w:space="0" w:color="auto"/>
              <w:right w:val="single" w:sz="8" w:space="0" w:color="auto"/>
            </w:tcBorders>
            <w:shd w:val="clear" w:color="auto" w:fill="auto"/>
            <w:noWrap/>
            <w:vAlign w:val="center"/>
            <w:hideMark/>
          </w:tcPr>
          <w:p w14:paraId="1070DC32" w14:textId="77777777" w:rsidR="005B6BB0" w:rsidRPr="00D14CD7" w:rsidRDefault="005B6BB0" w:rsidP="00286339">
            <w:pPr>
              <w:spacing w:after="0" w:line="240" w:lineRule="auto"/>
              <w:jc w:val="right"/>
              <w:rPr>
                <w:rFonts w:eastAsia="Times New Roman"/>
                <w:color w:val="000000" w:themeColor="text1"/>
                <w:sz w:val="16"/>
                <w:szCs w:val="16"/>
              </w:rPr>
            </w:pPr>
            <w:r w:rsidRPr="00D14CD7">
              <w:rPr>
                <w:rFonts w:eastAsia="Times New Roman"/>
                <w:color w:val="000000" w:themeColor="text1"/>
                <w:sz w:val="16"/>
                <w:szCs w:val="22"/>
              </w:rPr>
              <w:t>—</w:t>
            </w:r>
          </w:p>
        </w:tc>
        <w:tc>
          <w:tcPr>
            <w:tcW w:w="156" w:type="pct"/>
            <w:tcBorders>
              <w:left w:val="single" w:sz="8" w:space="0" w:color="auto"/>
              <w:bottom w:val="single" w:sz="8" w:space="0" w:color="auto"/>
            </w:tcBorders>
            <w:shd w:val="clear" w:color="auto" w:fill="auto"/>
            <w:noWrap/>
            <w:vAlign w:val="center"/>
            <w:hideMark/>
          </w:tcPr>
          <w:p w14:paraId="54BC2941" w14:textId="77777777" w:rsidR="005B6BB0" w:rsidRPr="00D14CD7" w:rsidRDefault="005B6BB0" w:rsidP="00286339">
            <w:pPr>
              <w:spacing w:after="0" w:line="240" w:lineRule="auto"/>
              <w:jc w:val="right"/>
              <w:rPr>
                <w:rFonts w:eastAsia="Times New Roman"/>
                <w:color w:val="000000" w:themeColor="text1"/>
                <w:sz w:val="16"/>
                <w:szCs w:val="16"/>
              </w:rPr>
            </w:pPr>
            <w:proofErr w:type="spellStart"/>
            <w:r w:rsidRPr="00D14CD7">
              <w:rPr>
                <w:rFonts w:eastAsia="Times New Roman"/>
                <w:color w:val="000000" w:themeColor="text1"/>
                <w:sz w:val="16"/>
                <w:szCs w:val="22"/>
              </w:rPr>
              <w:t>na</w:t>
            </w:r>
            <w:proofErr w:type="spellEnd"/>
          </w:p>
        </w:tc>
        <w:tc>
          <w:tcPr>
            <w:tcW w:w="157" w:type="pct"/>
            <w:tcBorders>
              <w:bottom w:val="single" w:sz="8" w:space="0" w:color="auto"/>
              <w:right w:val="double" w:sz="4" w:space="0" w:color="auto"/>
            </w:tcBorders>
            <w:shd w:val="clear" w:color="auto" w:fill="auto"/>
            <w:noWrap/>
            <w:vAlign w:val="center"/>
            <w:hideMark/>
          </w:tcPr>
          <w:p w14:paraId="51877A34" w14:textId="77777777" w:rsidR="005B6BB0" w:rsidRPr="00D14CD7" w:rsidRDefault="005B6BB0" w:rsidP="00286339">
            <w:pPr>
              <w:spacing w:after="0" w:line="240" w:lineRule="auto"/>
              <w:jc w:val="right"/>
              <w:rPr>
                <w:rFonts w:eastAsia="Times New Roman"/>
                <w:color w:val="000000" w:themeColor="text1"/>
                <w:sz w:val="16"/>
                <w:szCs w:val="16"/>
              </w:rPr>
            </w:pPr>
            <w:proofErr w:type="spellStart"/>
            <w:r w:rsidRPr="00D14CD7">
              <w:rPr>
                <w:rFonts w:eastAsia="Times New Roman"/>
                <w:color w:val="000000" w:themeColor="text1"/>
                <w:sz w:val="16"/>
                <w:szCs w:val="22"/>
              </w:rPr>
              <w:t>na</w:t>
            </w:r>
            <w:proofErr w:type="spellEnd"/>
          </w:p>
        </w:tc>
        <w:tc>
          <w:tcPr>
            <w:tcW w:w="187" w:type="pct"/>
            <w:tcBorders>
              <w:top w:val="single" w:sz="4" w:space="0" w:color="auto"/>
              <w:left w:val="double" w:sz="4" w:space="0" w:color="auto"/>
              <w:bottom w:val="single" w:sz="8" w:space="0" w:color="auto"/>
            </w:tcBorders>
            <w:shd w:val="clear" w:color="auto" w:fill="auto"/>
            <w:noWrap/>
            <w:vAlign w:val="center"/>
            <w:hideMark/>
          </w:tcPr>
          <w:p w14:paraId="556803B1" w14:textId="77777777" w:rsidR="005B6BB0" w:rsidRPr="00D14CD7" w:rsidRDefault="005B6BB0" w:rsidP="00286339">
            <w:pPr>
              <w:spacing w:after="0" w:line="240" w:lineRule="auto"/>
              <w:jc w:val="right"/>
              <w:rPr>
                <w:rFonts w:eastAsia="Times New Roman"/>
                <w:color w:val="000000" w:themeColor="text1"/>
                <w:sz w:val="16"/>
                <w:szCs w:val="16"/>
              </w:rPr>
            </w:pPr>
            <w:r w:rsidRPr="00D14CD7">
              <w:rPr>
                <w:rFonts w:eastAsia="Times New Roman"/>
                <w:color w:val="000000" w:themeColor="text1"/>
                <w:sz w:val="16"/>
                <w:szCs w:val="22"/>
              </w:rPr>
              <w:t>—</w:t>
            </w:r>
          </w:p>
        </w:tc>
        <w:tc>
          <w:tcPr>
            <w:tcW w:w="183" w:type="pct"/>
            <w:tcBorders>
              <w:bottom w:val="single" w:sz="8" w:space="0" w:color="auto"/>
            </w:tcBorders>
            <w:shd w:val="clear" w:color="auto" w:fill="auto"/>
            <w:noWrap/>
            <w:vAlign w:val="center"/>
            <w:hideMark/>
          </w:tcPr>
          <w:p w14:paraId="12627F3C" w14:textId="77777777" w:rsidR="005B6BB0" w:rsidRPr="00D14CD7" w:rsidRDefault="005B6BB0" w:rsidP="00286339">
            <w:pPr>
              <w:spacing w:after="0" w:line="240" w:lineRule="auto"/>
              <w:jc w:val="right"/>
              <w:rPr>
                <w:rFonts w:eastAsia="Times New Roman"/>
                <w:color w:val="000000" w:themeColor="text1"/>
                <w:sz w:val="16"/>
                <w:szCs w:val="16"/>
              </w:rPr>
            </w:pPr>
            <w:r w:rsidRPr="00D14CD7">
              <w:rPr>
                <w:rFonts w:eastAsia="Times New Roman"/>
                <w:color w:val="000000" w:themeColor="text1"/>
                <w:sz w:val="16"/>
                <w:szCs w:val="22"/>
              </w:rPr>
              <w:t>—</w:t>
            </w:r>
          </w:p>
        </w:tc>
      </w:tr>
      <w:tr w:rsidR="00D14CD7" w:rsidRPr="00D14CD7" w14:paraId="660B8533" w14:textId="77777777" w:rsidTr="00286339">
        <w:trPr>
          <w:trHeight w:val="72"/>
        </w:trPr>
        <w:tc>
          <w:tcPr>
            <w:tcW w:w="5000" w:type="pct"/>
            <w:gridSpan w:val="19"/>
            <w:tcBorders>
              <w:top w:val="single" w:sz="8" w:space="0" w:color="auto"/>
              <w:bottom w:val="single" w:sz="4" w:space="0" w:color="auto"/>
            </w:tcBorders>
            <w:shd w:val="clear" w:color="auto" w:fill="auto"/>
            <w:noWrap/>
            <w:vAlign w:val="center"/>
            <w:hideMark/>
          </w:tcPr>
          <w:p w14:paraId="14AA5856" w14:textId="247365AA" w:rsidR="005B6BB0" w:rsidRPr="00D14CD7" w:rsidRDefault="005B6BB0" w:rsidP="00286339">
            <w:pPr>
              <w:spacing w:after="0" w:line="240" w:lineRule="auto"/>
              <w:jc w:val="left"/>
              <w:rPr>
                <w:rFonts w:eastAsia="Times New Roman"/>
                <w:color w:val="000000" w:themeColor="text1"/>
                <w:sz w:val="20"/>
                <w:szCs w:val="20"/>
              </w:rPr>
            </w:pPr>
            <w:r w:rsidRPr="00D14CD7">
              <w:rPr>
                <w:rFonts w:eastAsia="Times New Roman"/>
                <w:b/>
                <w:bCs/>
                <w:i/>
                <w:iCs/>
                <w:color w:val="000000" w:themeColor="text1"/>
                <w:sz w:val="16"/>
                <w:szCs w:val="16"/>
              </w:rPr>
              <w:t xml:space="preserve">Household structure (base: </w:t>
            </w:r>
            <w:r w:rsidR="00306BFA">
              <w:rPr>
                <w:rFonts w:eastAsia="Times New Roman"/>
                <w:b/>
                <w:bCs/>
                <w:i/>
                <w:iCs/>
                <w:color w:val="000000" w:themeColor="text1"/>
                <w:sz w:val="16"/>
                <w:szCs w:val="16"/>
              </w:rPr>
              <w:t>s</w:t>
            </w:r>
            <w:r w:rsidRPr="00D14CD7">
              <w:rPr>
                <w:rFonts w:eastAsia="Times New Roman"/>
                <w:b/>
                <w:bCs/>
                <w:i/>
                <w:iCs/>
                <w:color w:val="000000" w:themeColor="text1"/>
                <w:sz w:val="16"/>
                <w:szCs w:val="16"/>
              </w:rPr>
              <w:t xml:space="preserve">ingle </w:t>
            </w:r>
            <w:r w:rsidR="00306BFA">
              <w:rPr>
                <w:rFonts w:eastAsia="Times New Roman"/>
                <w:b/>
                <w:bCs/>
                <w:i/>
                <w:iCs/>
                <w:color w:val="000000" w:themeColor="text1"/>
                <w:sz w:val="16"/>
                <w:szCs w:val="16"/>
              </w:rPr>
              <w:t>m</w:t>
            </w:r>
            <w:r w:rsidRPr="00D14CD7">
              <w:rPr>
                <w:rFonts w:eastAsia="Times New Roman"/>
                <w:b/>
                <w:bCs/>
                <w:i/>
                <w:iCs/>
                <w:color w:val="000000" w:themeColor="text1"/>
                <w:sz w:val="16"/>
                <w:szCs w:val="16"/>
              </w:rPr>
              <w:t>ale)</w:t>
            </w:r>
          </w:p>
        </w:tc>
      </w:tr>
      <w:tr w:rsidR="00D14CD7" w:rsidRPr="00D14CD7" w14:paraId="3E87423D" w14:textId="77777777" w:rsidTr="00286339">
        <w:trPr>
          <w:trHeight w:val="72"/>
        </w:trPr>
        <w:tc>
          <w:tcPr>
            <w:tcW w:w="1709" w:type="pct"/>
            <w:tcBorders>
              <w:top w:val="single" w:sz="4" w:space="0" w:color="auto"/>
              <w:bottom w:val="single" w:sz="4" w:space="0" w:color="auto"/>
              <w:right w:val="double" w:sz="4" w:space="0" w:color="auto"/>
            </w:tcBorders>
            <w:shd w:val="clear" w:color="auto" w:fill="auto"/>
            <w:noWrap/>
            <w:vAlign w:val="center"/>
            <w:hideMark/>
          </w:tcPr>
          <w:p w14:paraId="6301EAF0" w14:textId="77777777" w:rsidR="005B6BB0" w:rsidRPr="00D14CD7" w:rsidRDefault="005B6BB0" w:rsidP="00286339">
            <w:pPr>
              <w:spacing w:after="0" w:line="240" w:lineRule="auto"/>
              <w:ind w:firstLine="140"/>
              <w:jc w:val="left"/>
              <w:rPr>
                <w:rFonts w:eastAsia="Times New Roman"/>
                <w:color w:val="000000" w:themeColor="text1"/>
                <w:sz w:val="16"/>
                <w:szCs w:val="16"/>
              </w:rPr>
            </w:pPr>
            <w:r w:rsidRPr="00D14CD7">
              <w:rPr>
                <w:rFonts w:eastAsia="Times New Roman"/>
                <w:color w:val="000000" w:themeColor="text1"/>
                <w:sz w:val="16"/>
                <w:szCs w:val="22"/>
              </w:rPr>
              <w:t>Single female</w:t>
            </w:r>
          </w:p>
        </w:tc>
        <w:tc>
          <w:tcPr>
            <w:tcW w:w="227" w:type="pct"/>
            <w:tcBorders>
              <w:top w:val="single" w:sz="4" w:space="0" w:color="auto"/>
              <w:left w:val="double" w:sz="4" w:space="0" w:color="auto"/>
              <w:bottom w:val="single" w:sz="4" w:space="0" w:color="auto"/>
            </w:tcBorders>
            <w:shd w:val="clear" w:color="auto" w:fill="auto"/>
            <w:noWrap/>
            <w:vAlign w:val="center"/>
            <w:hideMark/>
          </w:tcPr>
          <w:p w14:paraId="5B9EEB3A" w14:textId="77777777" w:rsidR="005B6BB0" w:rsidRPr="00D14CD7" w:rsidRDefault="005B6BB0" w:rsidP="00286339">
            <w:pPr>
              <w:spacing w:after="0" w:line="240" w:lineRule="auto"/>
              <w:jc w:val="right"/>
              <w:rPr>
                <w:rFonts w:eastAsia="Times New Roman"/>
                <w:color w:val="000000" w:themeColor="text1"/>
                <w:sz w:val="16"/>
                <w:szCs w:val="16"/>
              </w:rPr>
            </w:pPr>
            <w:r w:rsidRPr="00D14CD7">
              <w:rPr>
                <w:rFonts w:eastAsia="Times New Roman"/>
                <w:color w:val="000000" w:themeColor="text1"/>
                <w:sz w:val="16"/>
                <w:szCs w:val="22"/>
              </w:rPr>
              <w:t>—</w:t>
            </w:r>
          </w:p>
        </w:tc>
        <w:tc>
          <w:tcPr>
            <w:tcW w:w="199" w:type="pct"/>
            <w:tcBorders>
              <w:top w:val="single" w:sz="4" w:space="0" w:color="auto"/>
              <w:bottom w:val="single" w:sz="4" w:space="0" w:color="auto"/>
              <w:right w:val="single" w:sz="8" w:space="0" w:color="auto"/>
            </w:tcBorders>
            <w:shd w:val="clear" w:color="auto" w:fill="auto"/>
            <w:noWrap/>
            <w:vAlign w:val="center"/>
            <w:hideMark/>
          </w:tcPr>
          <w:p w14:paraId="7AB2FB70" w14:textId="77777777" w:rsidR="005B6BB0" w:rsidRPr="00D14CD7" w:rsidRDefault="005B6BB0" w:rsidP="00286339">
            <w:pPr>
              <w:spacing w:after="0" w:line="240" w:lineRule="auto"/>
              <w:jc w:val="right"/>
              <w:rPr>
                <w:rFonts w:eastAsia="Times New Roman"/>
                <w:color w:val="000000" w:themeColor="text1"/>
                <w:sz w:val="16"/>
                <w:szCs w:val="16"/>
              </w:rPr>
            </w:pPr>
            <w:r w:rsidRPr="00D14CD7">
              <w:rPr>
                <w:rFonts w:eastAsia="Times New Roman"/>
                <w:color w:val="000000" w:themeColor="text1"/>
                <w:sz w:val="16"/>
                <w:szCs w:val="22"/>
              </w:rPr>
              <w:t>—</w:t>
            </w:r>
          </w:p>
        </w:tc>
        <w:tc>
          <w:tcPr>
            <w:tcW w:w="184" w:type="pct"/>
            <w:tcBorders>
              <w:top w:val="single" w:sz="4" w:space="0" w:color="auto"/>
              <w:left w:val="single" w:sz="8" w:space="0" w:color="auto"/>
              <w:bottom w:val="single" w:sz="4" w:space="0" w:color="auto"/>
            </w:tcBorders>
            <w:shd w:val="clear" w:color="auto" w:fill="auto"/>
            <w:noWrap/>
            <w:vAlign w:val="center"/>
            <w:hideMark/>
          </w:tcPr>
          <w:p w14:paraId="3F65030E" w14:textId="77777777" w:rsidR="005B6BB0" w:rsidRPr="00D14CD7" w:rsidRDefault="005B6BB0" w:rsidP="00286339">
            <w:pPr>
              <w:spacing w:after="0" w:line="240" w:lineRule="auto"/>
              <w:jc w:val="right"/>
              <w:rPr>
                <w:rFonts w:eastAsia="Times New Roman"/>
                <w:color w:val="000000" w:themeColor="text1"/>
                <w:sz w:val="16"/>
                <w:szCs w:val="16"/>
              </w:rPr>
            </w:pPr>
            <w:r w:rsidRPr="00D14CD7">
              <w:rPr>
                <w:rFonts w:eastAsia="Times New Roman"/>
                <w:color w:val="000000" w:themeColor="text1"/>
                <w:sz w:val="16"/>
                <w:szCs w:val="22"/>
              </w:rPr>
              <w:t>—</w:t>
            </w:r>
          </w:p>
        </w:tc>
        <w:tc>
          <w:tcPr>
            <w:tcW w:w="185" w:type="pct"/>
            <w:tcBorders>
              <w:top w:val="single" w:sz="4" w:space="0" w:color="auto"/>
              <w:bottom w:val="single" w:sz="4" w:space="0" w:color="auto"/>
              <w:right w:val="single" w:sz="8" w:space="0" w:color="auto"/>
            </w:tcBorders>
            <w:shd w:val="clear" w:color="auto" w:fill="auto"/>
            <w:noWrap/>
            <w:vAlign w:val="center"/>
            <w:hideMark/>
          </w:tcPr>
          <w:p w14:paraId="2133043C" w14:textId="77777777" w:rsidR="005B6BB0" w:rsidRPr="00D14CD7" w:rsidRDefault="005B6BB0" w:rsidP="00286339">
            <w:pPr>
              <w:spacing w:after="0" w:line="240" w:lineRule="auto"/>
              <w:jc w:val="right"/>
              <w:rPr>
                <w:rFonts w:eastAsia="Times New Roman"/>
                <w:color w:val="000000" w:themeColor="text1"/>
                <w:sz w:val="16"/>
                <w:szCs w:val="16"/>
              </w:rPr>
            </w:pPr>
            <w:r w:rsidRPr="00D14CD7">
              <w:rPr>
                <w:rFonts w:eastAsia="Times New Roman"/>
                <w:color w:val="000000" w:themeColor="text1"/>
                <w:sz w:val="16"/>
                <w:szCs w:val="22"/>
              </w:rPr>
              <w:t>—</w:t>
            </w:r>
          </w:p>
        </w:tc>
        <w:tc>
          <w:tcPr>
            <w:tcW w:w="184" w:type="pct"/>
            <w:tcBorders>
              <w:top w:val="single" w:sz="4" w:space="0" w:color="auto"/>
              <w:left w:val="single" w:sz="8" w:space="0" w:color="auto"/>
              <w:bottom w:val="single" w:sz="4" w:space="0" w:color="auto"/>
            </w:tcBorders>
            <w:shd w:val="clear" w:color="auto" w:fill="auto"/>
            <w:noWrap/>
            <w:vAlign w:val="center"/>
            <w:hideMark/>
          </w:tcPr>
          <w:p w14:paraId="3D362499" w14:textId="77777777" w:rsidR="005B6BB0" w:rsidRPr="00D14CD7" w:rsidRDefault="005B6BB0" w:rsidP="00286339">
            <w:pPr>
              <w:spacing w:after="0" w:line="240" w:lineRule="auto"/>
              <w:jc w:val="right"/>
              <w:rPr>
                <w:rFonts w:eastAsia="Times New Roman"/>
                <w:color w:val="000000" w:themeColor="text1"/>
                <w:sz w:val="16"/>
                <w:szCs w:val="16"/>
              </w:rPr>
            </w:pPr>
            <w:r w:rsidRPr="00D14CD7">
              <w:rPr>
                <w:rFonts w:eastAsia="Times New Roman"/>
                <w:color w:val="000000" w:themeColor="text1"/>
                <w:sz w:val="16"/>
                <w:szCs w:val="22"/>
              </w:rPr>
              <w:t>—</w:t>
            </w:r>
          </w:p>
        </w:tc>
        <w:tc>
          <w:tcPr>
            <w:tcW w:w="188" w:type="pct"/>
            <w:tcBorders>
              <w:top w:val="single" w:sz="4" w:space="0" w:color="auto"/>
              <w:bottom w:val="single" w:sz="4" w:space="0" w:color="auto"/>
              <w:right w:val="single" w:sz="8" w:space="0" w:color="auto"/>
            </w:tcBorders>
            <w:shd w:val="clear" w:color="auto" w:fill="auto"/>
            <w:noWrap/>
            <w:vAlign w:val="center"/>
            <w:hideMark/>
          </w:tcPr>
          <w:p w14:paraId="6126E144" w14:textId="77777777" w:rsidR="005B6BB0" w:rsidRPr="00D14CD7" w:rsidRDefault="005B6BB0" w:rsidP="00286339">
            <w:pPr>
              <w:spacing w:after="0" w:line="240" w:lineRule="auto"/>
              <w:jc w:val="right"/>
              <w:rPr>
                <w:rFonts w:eastAsia="Times New Roman"/>
                <w:color w:val="000000" w:themeColor="text1"/>
                <w:sz w:val="16"/>
                <w:szCs w:val="16"/>
              </w:rPr>
            </w:pPr>
            <w:r w:rsidRPr="00D14CD7">
              <w:rPr>
                <w:rFonts w:eastAsia="Times New Roman"/>
                <w:color w:val="000000" w:themeColor="text1"/>
                <w:sz w:val="16"/>
                <w:szCs w:val="22"/>
              </w:rPr>
              <w:t>—</w:t>
            </w:r>
          </w:p>
        </w:tc>
        <w:tc>
          <w:tcPr>
            <w:tcW w:w="188" w:type="pct"/>
            <w:tcBorders>
              <w:top w:val="single" w:sz="4" w:space="0" w:color="auto"/>
              <w:left w:val="single" w:sz="8" w:space="0" w:color="auto"/>
              <w:bottom w:val="single" w:sz="4" w:space="0" w:color="auto"/>
            </w:tcBorders>
            <w:shd w:val="clear" w:color="auto" w:fill="auto"/>
            <w:noWrap/>
            <w:vAlign w:val="center"/>
            <w:hideMark/>
          </w:tcPr>
          <w:p w14:paraId="2B9CC5D2" w14:textId="77777777" w:rsidR="005B6BB0" w:rsidRPr="00D14CD7" w:rsidRDefault="005B6BB0" w:rsidP="00286339">
            <w:pPr>
              <w:spacing w:after="0" w:line="240" w:lineRule="auto"/>
              <w:jc w:val="right"/>
              <w:rPr>
                <w:rFonts w:eastAsia="Times New Roman"/>
                <w:color w:val="000000" w:themeColor="text1"/>
                <w:sz w:val="16"/>
                <w:szCs w:val="16"/>
              </w:rPr>
            </w:pPr>
            <w:proofErr w:type="spellStart"/>
            <w:r w:rsidRPr="00D14CD7">
              <w:rPr>
                <w:rFonts w:eastAsia="Times New Roman"/>
                <w:color w:val="000000" w:themeColor="text1"/>
                <w:sz w:val="16"/>
                <w:szCs w:val="22"/>
              </w:rPr>
              <w:t>na</w:t>
            </w:r>
            <w:proofErr w:type="spellEnd"/>
          </w:p>
        </w:tc>
        <w:tc>
          <w:tcPr>
            <w:tcW w:w="146" w:type="pct"/>
            <w:tcBorders>
              <w:top w:val="single" w:sz="4" w:space="0" w:color="auto"/>
              <w:bottom w:val="single" w:sz="4" w:space="0" w:color="auto"/>
              <w:right w:val="double" w:sz="4" w:space="0" w:color="auto"/>
            </w:tcBorders>
            <w:shd w:val="clear" w:color="auto" w:fill="auto"/>
            <w:noWrap/>
            <w:vAlign w:val="center"/>
            <w:hideMark/>
          </w:tcPr>
          <w:p w14:paraId="385DD425" w14:textId="77777777" w:rsidR="005B6BB0" w:rsidRPr="00D14CD7" w:rsidRDefault="005B6BB0" w:rsidP="00286339">
            <w:pPr>
              <w:spacing w:after="0" w:line="240" w:lineRule="auto"/>
              <w:jc w:val="right"/>
              <w:rPr>
                <w:rFonts w:eastAsia="Times New Roman"/>
                <w:color w:val="000000" w:themeColor="text1"/>
                <w:sz w:val="16"/>
                <w:szCs w:val="16"/>
              </w:rPr>
            </w:pPr>
            <w:proofErr w:type="spellStart"/>
            <w:r w:rsidRPr="00D14CD7">
              <w:rPr>
                <w:rFonts w:eastAsia="Times New Roman"/>
                <w:color w:val="000000" w:themeColor="text1"/>
                <w:sz w:val="16"/>
                <w:szCs w:val="22"/>
              </w:rPr>
              <w:t>na</w:t>
            </w:r>
            <w:proofErr w:type="spellEnd"/>
          </w:p>
        </w:tc>
        <w:tc>
          <w:tcPr>
            <w:tcW w:w="184" w:type="pct"/>
            <w:tcBorders>
              <w:left w:val="double" w:sz="4" w:space="0" w:color="auto"/>
            </w:tcBorders>
            <w:shd w:val="clear" w:color="auto" w:fill="auto"/>
            <w:noWrap/>
            <w:vAlign w:val="center"/>
            <w:hideMark/>
          </w:tcPr>
          <w:p w14:paraId="02A05488" w14:textId="77777777" w:rsidR="005B6BB0" w:rsidRPr="00D14CD7" w:rsidRDefault="005B6BB0" w:rsidP="00286339">
            <w:pPr>
              <w:spacing w:after="0" w:line="240" w:lineRule="auto"/>
              <w:jc w:val="right"/>
              <w:rPr>
                <w:rFonts w:eastAsia="Times New Roman"/>
                <w:color w:val="000000" w:themeColor="text1"/>
                <w:sz w:val="16"/>
                <w:szCs w:val="16"/>
              </w:rPr>
            </w:pPr>
            <w:r w:rsidRPr="00D14CD7">
              <w:rPr>
                <w:rFonts w:eastAsia="Times New Roman"/>
                <w:color w:val="000000" w:themeColor="text1"/>
                <w:sz w:val="16"/>
                <w:szCs w:val="22"/>
              </w:rPr>
              <w:t>—</w:t>
            </w:r>
          </w:p>
        </w:tc>
        <w:tc>
          <w:tcPr>
            <w:tcW w:w="184" w:type="pct"/>
            <w:tcBorders>
              <w:top w:val="single" w:sz="4" w:space="0" w:color="auto"/>
              <w:bottom w:val="single" w:sz="4" w:space="0" w:color="auto"/>
              <w:right w:val="single" w:sz="8" w:space="0" w:color="auto"/>
            </w:tcBorders>
            <w:shd w:val="clear" w:color="auto" w:fill="auto"/>
            <w:noWrap/>
            <w:vAlign w:val="center"/>
            <w:hideMark/>
          </w:tcPr>
          <w:p w14:paraId="5BD784A6" w14:textId="77777777" w:rsidR="005B6BB0" w:rsidRPr="00D14CD7" w:rsidRDefault="005B6BB0" w:rsidP="00286339">
            <w:pPr>
              <w:spacing w:after="0" w:line="240" w:lineRule="auto"/>
              <w:jc w:val="right"/>
              <w:rPr>
                <w:rFonts w:eastAsia="Times New Roman"/>
                <w:color w:val="000000" w:themeColor="text1"/>
                <w:sz w:val="16"/>
                <w:szCs w:val="16"/>
              </w:rPr>
            </w:pPr>
            <w:r w:rsidRPr="00D14CD7">
              <w:rPr>
                <w:rFonts w:eastAsia="Times New Roman"/>
                <w:color w:val="000000" w:themeColor="text1"/>
                <w:sz w:val="16"/>
                <w:szCs w:val="22"/>
              </w:rPr>
              <w:t>—</w:t>
            </w:r>
          </w:p>
        </w:tc>
        <w:tc>
          <w:tcPr>
            <w:tcW w:w="184" w:type="pct"/>
            <w:tcBorders>
              <w:left w:val="single" w:sz="8" w:space="0" w:color="auto"/>
            </w:tcBorders>
            <w:shd w:val="clear" w:color="auto" w:fill="auto"/>
            <w:noWrap/>
            <w:vAlign w:val="center"/>
            <w:hideMark/>
          </w:tcPr>
          <w:p w14:paraId="7608CAB1" w14:textId="77777777" w:rsidR="005B6BB0" w:rsidRPr="00D14CD7" w:rsidRDefault="005B6BB0" w:rsidP="00286339">
            <w:pPr>
              <w:spacing w:after="0" w:line="240" w:lineRule="auto"/>
              <w:jc w:val="right"/>
              <w:rPr>
                <w:rFonts w:eastAsia="Times New Roman"/>
                <w:color w:val="000000" w:themeColor="text1"/>
                <w:sz w:val="16"/>
                <w:szCs w:val="16"/>
              </w:rPr>
            </w:pPr>
            <w:r w:rsidRPr="00D14CD7">
              <w:rPr>
                <w:rFonts w:eastAsia="Times New Roman"/>
                <w:color w:val="000000" w:themeColor="text1"/>
                <w:sz w:val="16"/>
                <w:szCs w:val="22"/>
              </w:rPr>
              <w:t>—</w:t>
            </w:r>
          </w:p>
        </w:tc>
        <w:tc>
          <w:tcPr>
            <w:tcW w:w="185" w:type="pct"/>
            <w:tcBorders>
              <w:top w:val="single" w:sz="4" w:space="0" w:color="auto"/>
              <w:bottom w:val="single" w:sz="4" w:space="0" w:color="auto"/>
              <w:right w:val="single" w:sz="8" w:space="0" w:color="auto"/>
            </w:tcBorders>
            <w:shd w:val="clear" w:color="auto" w:fill="auto"/>
            <w:noWrap/>
            <w:vAlign w:val="center"/>
            <w:hideMark/>
          </w:tcPr>
          <w:p w14:paraId="4A54D8D8" w14:textId="77777777" w:rsidR="005B6BB0" w:rsidRPr="00D14CD7" w:rsidRDefault="005B6BB0" w:rsidP="00286339">
            <w:pPr>
              <w:spacing w:after="0" w:line="240" w:lineRule="auto"/>
              <w:jc w:val="right"/>
              <w:rPr>
                <w:rFonts w:eastAsia="Times New Roman"/>
                <w:color w:val="000000" w:themeColor="text1"/>
                <w:sz w:val="16"/>
                <w:szCs w:val="16"/>
              </w:rPr>
            </w:pPr>
            <w:r w:rsidRPr="00D14CD7">
              <w:rPr>
                <w:rFonts w:eastAsia="Times New Roman"/>
                <w:color w:val="000000" w:themeColor="text1"/>
                <w:sz w:val="16"/>
                <w:szCs w:val="22"/>
              </w:rPr>
              <w:t>—</w:t>
            </w:r>
          </w:p>
        </w:tc>
        <w:tc>
          <w:tcPr>
            <w:tcW w:w="185" w:type="pct"/>
            <w:tcBorders>
              <w:left w:val="single" w:sz="8" w:space="0" w:color="auto"/>
            </w:tcBorders>
            <w:shd w:val="clear" w:color="auto" w:fill="auto"/>
            <w:noWrap/>
            <w:vAlign w:val="center"/>
            <w:hideMark/>
          </w:tcPr>
          <w:p w14:paraId="340FA9B7" w14:textId="77777777" w:rsidR="005B6BB0" w:rsidRPr="00D14CD7" w:rsidRDefault="005B6BB0" w:rsidP="00286339">
            <w:pPr>
              <w:spacing w:after="0" w:line="240" w:lineRule="auto"/>
              <w:jc w:val="right"/>
              <w:rPr>
                <w:rFonts w:eastAsia="Times New Roman"/>
                <w:color w:val="000000" w:themeColor="text1"/>
                <w:sz w:val="16"/>
                <w:szCs w:val="16"/>
              </w:rPr>
            </w:pPr>
            <w:r w:rsidRPr="00D14CD7">
              <w:rPr>
                <w:rFonts w:eastAsia="Times New Roman"/>
                <w:color w:val="000000" w:themeColor="text1"/>
                <w:sz w:val="16"/>
                <w:szCs w:val="16"/>
              </w:rPr>
              <w:t>0.500</w:t>
            </w:r>
          </w:p>
        </w:tc>
        <w:tc>
          <w:tcPr>
            <w:tcW w:w="185" w:type="pct"/>
            <w:tcBorders>
              <w:top w:val="single" w:sz="4" w:space="0" w:color="auto"/>
              <w:bottom w:val="single" w:sz="4" w:space="0" w:color="auto"/>
              <w:right w:val="single" w:sz="8" w:space="0" w:color="auto"/>
            </w:tcBorders>
            <w:shd w:val="clear" w:color="auto" w:fill="auto"/>
            <w:noWrap/>
            <w:vAlign w:val="center"/>
            <w:hideMark/>
          </w:tcPr>
          <w:p w14:paraId="57EEA3C0" w14:textId="77777777" w:rsidR="005B6BB0" w:rsidRPr="00D14CD7" w:rsidRDefault="005B6BB0" w:rsidP="00286339">
            <w:pPr>
              <w:spacing w:after="0" w:line="240" w:lineRule="auto"/>
              <w:jc w:val="right"/>
              <w:rPr>
                <w:rFonts w:eastAsia="Times New Roman"/>
                <w:color w:val="000000" w:themeColor="text1"/>
                <w:sz w:val="16"/>
                <w:szCs w:val="16"/>
              </w:rPr>
            </w:pPr>
            <w:r w:rsidRPr="00D14CD7">
              <w:rPr>
                <w:rFonts w:eastAsia="Times New Roman"/>
                <w:color w:val="000000" w:themeColor="text1"/>
                <w:sz w:val="16"/>
                <w:szCs w:val="16"/>
              </w:rPr>
              <w:t>2.61</w:t>
            </w:r>
          </w:p>
        </w:tc>
        <w:tc>
          <w:tcPr>
            <w:tcW w:w="156" w:type="pct"/>
            <w:tcBorders>
              <w:left w:val="single" w:sz="8" w:space="0" w:color="auto"/>
            </w:tcBorders>
            <w:shd w:val="clear" w:color="auto" w:fill="auto"/>
            <w:noWrap/>
            <w:vAlign w:val="center"/>
            <w:hideMark/>
          </w:tcPr>
          <w:p w14:paraId="790CE785" w14:textId="77777777" w:rsidR="005B6BB0" w:rsidRPr="00D14CD7" w:rsidRDefault="005B6BB0" w:rsidP="00286339">
            <w:pPr>
              <w:spacing w:after="0" w:line="240" w:lineRule="auto"/>
              <w:jc w:val="right"/>
              <w:rPr>
                <w:rFonts w:eastAsia="Times New Roman"/>
                <w:color w:val="000000" w:themeColor="text1"/>
                <w:sz w:val="16"/>
                <w:szCs w:val="16"/>
              </w:rPr>
            </w:pPr>
            <w:proofErr w:type="spellStart"/>
            <w:r w:rsidRPr="00D14CD7">
              <w:rPr>
                <w:rFonts w:eastAsia="Times New Roman"/>
                <w:color w:val="000000" w:themeColor="text1"/>
                <w:sz w:val="16"/>
                <w:szCs w:val="22"/>
              </w:rPr>
              <w:t>na</w:t>
            </w:r>
            <w:proofErr w:type="spellEnd"/>
          </w:p>
        </w:tc>
        <w:tc>
          <w:tcPr>
            <w:tcW w:w="157" w:type="pct"/>
            <w:tcBorders>
              <w:right w:val="double" w:sz="4" w:space="0" w:color="auto"/>
            </w:tcBorders>
            <w:shd w:val="clear" w:color="auto" w:fill="auto"/>
            <w:noWrap/>
            <w:vAlign w:val="center"/>
            <w:hideMark/>
          </w:tcPr>
          <w:p w14:paraId="7F1AD34C" w14:textId="77777777" w:rsidR="005B6BB0" w:rsidRPr="00D14CD7" w:rsidRDefault="005B6BB0" w:rsidP="00286339">
            <w:pPr>
              <w:spacing w:after="0" w:line="240" w:lineRule="auto"/>
              <w:jc w:val="right"/>
              <w:rPr>
                <w:rFonts w:eastAsia="Times New Roman"/>
                <w:color w:val="000000" w:themeColor="text1"/>
                <w:sz w:val="16"/>
                <w:szCs w:val="16"/>
              </w:rPr>
            </w:pPr>
            <w:proofErr w:type="spellStart"/>
            <w:r w:rsidRPr="00D14CD7">
              <w:rPr>
                <w:rFonts w:eastAsia="Times New Roman"/>
                <w:color w:val="000000" w:themeColor="text1"/>
                <w:sz w:val="16"/>
                <w:szCs w:val="22"/>
              </w:rPr>
              <w:t>na</w:t>
            </w:r>
            <w:proofErr w:type="spellEnd"/>
          </w:p>
        </w:tc>
        <w:tc>
          <w:tcPr>
            <w:tcW w:w="187" w:type="pct"/>
            <w:tcBorders>
              <w:top w:val="single" w:sz="4" w:space="0" w:color="auto"/>
              <w:left w:val="double" w:sz="4" w:space="0" w:color="auto"/>
              <w:bottom w:val="single" w:sz="4" w:space="0" w:color="auto"/>
            </w:tcBorders>
            <w:shd w:val="clear" w:color="auto" w:fill="auto"/>
            <w:noWrap/>
            <w:vAlign w:val="center"/>
            <w:hideMark/>
          </w:tcPr>
          <w:p w14:paraId="4328FFB9" w14:textId="77777777" w:rsidR="005B6BB0" w:rsidRPr="00D14CD7" w:rsidRDefault="005B6BB0" w:rsidP="00286339">
            <w:pPr>
              <w:spacing w:after="0" w:line="240" w:lineRule="auto"/>
              <w:jc w:val="right"/>
              <w:rPr>
                <w:rFonts w:eastAsia="Times New Roman"/>
                <w:color w:val="000000" w:themeColor="text1"/>
                <w:sz w:val="16"/>
                <w:szCs w:val="16"/>
              </w:rPr>
            </w:pPr>
            <w:r w:rsidRPr="00D14CD7">
              <w:rPr>
                <w:rFonts w:eastAsia="Times New Roman"/>
                <w:color w:val="000000" w:themeColor="text1"/>
                <w:sz w:val="16"/>
                <w:szCs w:val="16"/>
              </w:rPr>
              <w:t>-0.098</w:t>
            </w:r>
          </w:p>
        </w:tc>
        <w:tc>
          <w:tcPr>
            <w:tcW w:w="183" w:type="pct"/>
            <w:shd w:val="clear" w:color="auto" w:fill="auto"/>
            <w:noWrap/>
            <w:vAlign w:val="center"/>
            <w:hideMark/>
          </w:tcPr>
          <w:p w14:paraId="16E73274" w14:textId="77777777" w:rsidR="005B6BB0" w:rsidRPr="00D14CD7" w:rsidRDefault="005B6BB0" w:rsidP="00286339">
            <w:pPr>
              <w:spacing w:after="0" w:line="240" w:lineRule="auto"/>
              <w:jc w:val="right"/>
              <w:rPr>
                <w:rFonts w:eastAsia="Times New Roman"/>
                <w:color w:val="000000" w:themeColor="text1"/>
                <w:sz w:val="16"/>
                <w:szCs w:val="16"/>
              </w:rPr>
            </w:pPr>
            <w:r w:rsidRPr="00D14CD7">
              <w:rPr>
                <w:rFonts w:eastAsia="Times New Roman"/>
                <w:color w:val="000000" w:themeColor="text1"/>
                <w:sz w:val="16"/>
                <w:szCs w:val="16"/>
              </w:rPr>
              <w:t>-1.99</w:t>
            </w:r>
          </w:p>
        </w:tc>
      </w:tr>
      <w:tr w:rsidR="00D14CD7" w:rsidRPr="00D14CD7" w14:paraId="0AA251EC" w14:textId="77777777" w:rsidTr="00286339">
        <w:trPr>
          <w:trHeight w:val="72"/>
        </w:trPr>
        <w:tc>
          <w:tcPr>
            <w:tcW w:w="1709" w:type="pct"/>
            <w:tcBorders>
              <w:top w:val="single" w:sz="4" w:space="0" w:color="auto"/>
              <w:bottom w:val="single" w:sz="4" w:space="0" w:color="auto"/>
              <w:right w:val="double" w:sz="4" w:space="0" w:color="auto"/>
            </w:tcBorders>
            <w:shd w:val="clear" w:color="auto" w:fill="auto"/>
            <w:noWrap/>
            <w:vAlign w:val="center"/>
            <w:hideMark/>
          </w:tcPr>
          <w:p w14:paraId="6604FD8B" w14:textId="77777777" w:rsidR="005B6BB0" w:rsidRPr="00D14CD7" w:rsidRDefault="005B6BB0" w:rsidP="00286339">
            <w:pPr>
              <w:spacing w:after="0" w:line="240" w:lineRule="auto"/>
              <w:ind w:firstLine="140"/>
              <w:jc w:val="left"/>
              <w:rPr>
                <w:rFonts w:eastAsia="Times New Roman"/>
                <w:color w:val="000000" w:themeColor="text1"/>
                <w:sz w:val="16"/>
                <w:szCs w:val="16"/>
              </w:rPr>
            </w:pPr>
            <w:r w:rsidRPr="00D14CD7">
              <w:rPr>
                <w:rFonts w:eastAsia="Times New Roman"/>
                <w:color w:val="000000" w:themeColor="text1"/>
                <w:sz w:val="16"/>
                <w:szCs w:val="22"/>
              </w:rPr>
              <w:t>Multiple related adults</w:t>
            </w:r>
          </w:p>
        </w:tc>
        <w:tc>
          <w:tcPr>
            <w:tcW w:w="227" w:type="pct"/>
            <w:tcBorders>
              <w:top w:val="single" w:sz="4" w:space="0" w:color="auto"/>
              <w:left w:val="double" w:sz="4" w:space="0" w:color="auto"/>
              <w:bottom w:val="single" w:sz="4" w:space="0" w:color="auto"/>
            </w:tcBorders>
            <w:shd w:val="clear" w:color="auto" w:fill="auto"/>
            <w:noWrap/>
            <w:vAlign w:val="center"/>
            <w:hideMark/>
          </w:tcPr>
          <w:p w14:paraId="687FA019" w14:textId="77777777" w:rsidR="005B6BB0" w:rsidRPr="00D14CD7" w:rsidRDefault="005B6BB0" w:rsidP="00286339">
            <w:pPr>
              <w:spacing w:after="0" w:line="240" w:lineRule="auto"/>
              <w:jc w:val="right"/>
              <w:rPr>
                <w:rFonts w:eastAsia="Times New Roman"/>
                <w:color w:val="000000" w:themeColor="text1"/>
                <w:sz w:val="16"/>
                <w:szCs w:val="16"/>
              </w:rPr>
            </w:pPr>
            <w:r w:rsidRPr="00D14CD7">
              <w:rPr>
                <w:rFonts w:eastAsia="Times New Roman"/>
                <w:color w:val="000000" w:themeColor="text1"/>
                <w:sz w:val="16"/>
                <w:szCs w:val="22"/>
              </w:rPr>
              <w:t>—</w:t>
            </w:r>
          </w:p>
        </w:tc>
        <w:tc>
          <w:tcPr>
            <w:tcW w:w="199" w:type="pct"/>
            <w:tcBorders>
              <w:top w:val="single" w:sz="4" w:space="0" w:color="auto"/>
              <w:bottom w:val="single" w:sz="4" w:space="0" w:color="auto"/>
              <w:right w:val="single" w:sz="8" w:space="0" w:color="auto"/>
            </w:tcBorders>
            <w:shd w:val="clear" w:color="auto" w:fill="auto"/>
            <w:noWrap/>
            <w:vAlign w:val="center"/>
            <w:hideMark/>
          </w:tcPr>
          <w:p w14:paraId="032DE0C9" w14:textId="77777777" w:rsidR="005B6BB0" w:rsidRPr="00D14CD7" w:rsidRDefault="005B6BB0" w:rsidP="00286339">
            <w:pPr>
              <w:spacing w:after="0" w:line="240" w:lineRule="auto"/>
              <w:jc w:val="right"/>
              <w:rPr>
                <w:rFonts w:eastAsia="Times New Roman"/>
                <w:color w:val="000000" w:themeColor="text1"/>
                <w:sz w:val="16"/>
                <w:szCs w:val="16"/>
              </w:rPr>
            </w:pPr>
            <w:r w:rsidRPr="00D14CD7">
              <w:rPr>
                <w:rFonts w:eastAsia="Times New Roman"/>
                <w:color w:val="000000" w:themeColor="text1"/>
                <w:sz w:val="16"/>
                <w:szCs w:val="22"/>
              </w:rPr>
              <w:t>—</w:t>
            </w:r>
          </w:p>
        </w:tc>
        <w:tc>
          <w:tcPr>
            <w:tcW w:w="184" w:type="pct"/>
            <w:tcBorders>
              <w:top w:val="single" w:sz="4" w:space="0" w:color="auto"/>
              <w:left w:val="single" w:sz="8" w:space="0" w:color="auto"/>
              <w:bottom w:val="single" w:sz="4" w:space="0" w:color="auto"/>
            </w:tcBorders>
            <w:shd w:val="clear" w:color="auto" w:fill="auto"/>
            <w:noWrap/>
            <w:vAlign w:val="center"/>
            <w:hideMark/>
          </w:tcPr>
          <w:p w14:paraId="1215429C" w14:textId="77777777" w:rsidR="005B6BB0" w:rsidRPr="00D14CD7" w:rsidRDefault="005B6BB0" w:rsidP="00286339">
            <w:pPr>
              <w:spacing w:after="0" w:line="240" w:lineRule="auto"/>
              <w:jc w:val="right"/>
              <w:rPr>
                <w:rFonts w:eastAsia="Times New Roman"/>
                <w:color w:val="000000" w:themeColor="text1"/>
                <w:sz w:val="16"/>
                <w:szCs w:val="16"/>
              </w:rPr>
            </w:pPr>
            <w:r w:rsidRPr="00D14CD7">
              <w:rPr>
                <w:rFonts w:eastAsia="Times New Roman"/>
                <w:color w:val="000000" w:themeColor="text1"/>
                <w:sz w:val="16"/>
                <w:szCs w:val="22"/>
              </w:rPr>
              <w:t>—</w:t>
            </w:r>
          </w:p>
        </w:tc>
        <w:tc>
          <w:tcPr>
            <w:tcW w:w="185" w:type="pct"/>
            <w:tcBorders>
              <w:top w:val="single" w:sz="4" w:space="0" w:color="auto"/>
              <w:bottom w:val="single" w:sz="4" w:space="0" w:color="auto"/>
              <w:right w:val="single" w:sz="8" w:space="0" w:color="auto"/>
            </w:tcBorders>
            <w:shd w:val="clear" w:color="auto" w:fill="auto"/>
            <w:noWrap/>
            <w:vAlign w:val="center"/>
            <w:hideMark/>
          </w:tcPr>
          <w:p w14:paraId="54A90801" w14:textId="77777777" w:rsidR="005B6BB0" w:rsidRPr="00D14CD7" w:rsidRDefault="005B6BB0" w:rsidP="00286339">
            <w:pPr>
              <w:spacing w:after="0" w:line="240" w:lineRule="auto"/>
              <w:jc w:val="right"/>
              <w:rPr>
                <w:rFonts w:eastAsia="Times New Roman"/>
                <w:color w:val="000000" w:themeColor="text1"/>
                <w:sz w:val="16"/>
                <w:szCs w:val="16"/>
              </w:rPr>
            </w:pPr>
            <w:r w:rsidRPr="00D14CD7">
              <w:rPr>
                <w:rFonts w:eastAsia="Times New Roman"/>
                <w:color w:val="000000" w:themeColor="text1"/>
                <w:sz w:val="16"/>
                <w:szCs w:val="22"/>
              </w:rPr>
              <w:t>—</w:t>
            </w:r>
          </w:p>
        </w:tc>
        <w:tc>
          <w:tcPr>
            <w:tcW w:w="184" w:type="pct"/>
            <w:tcBorders>
              <w:top w:val="single" w:sz="4" w:space="0" w:color="auto"/>
              <w:left w:val="single" w:sz="8" w:space="0" w:color="auto"/>
              <w:bottom w:val="single" w:sz="4" w:space="0" w:color="auto"/>
            </w:tcBorders>
            <w:shd w:val="clear" w:color="auto" w:fill="auto"/>
            <w:noWrap/>
            <w:vAlign w:val="center"/>
            <w:hideMark/>
          </w:tcPr>
          <w:p w14:paraId="73A4FB15" w14:textId="77777777" w:rsidR="005B6BB0" w:rsidRPr="00D14CD7" w:rsidRDefault="005B6BB0" w:rsidP="00286339">
            <w:pPr>
              <w:spacing w:after="0" w:line="240" w:lineRule="auto"/>
              <w:jc w:val="right"/>
              <w:rPr>
                <w:rFonts w:eastAsia="Times New Roman"/>
                <w:color w:val="000000" w:themeColor="text1"/>
                <w:sz w:val="16"/>
                <w:szCs w:val="16"/>
              </w:rPr>
            </w:pPr>
            <w:r w:rsidRPr="00D14CD7">
              <w:rPr>
                <w:rFonts w:eastAsia="Times New Roman"/>
                <w:color w:val="000000" w:themeColor="text1"/>
                <w:sz w:val="16"/>
                <w:szCs w:val="22"/>
              </w:rPr>
              <w:t>—</w:t>
            </w:r>
          </w:p>
        </w:tc>
        <w:tc>
          <w:tcPr>
            <w:tcW w:w="188" w:type="pct"/>
            <w:tcBorders>
              <w:top w:val="single" w:sz="4" w:space="0" w:color="auto"/>
              <w:bottom w:val="single" w:sz="4" w:space="0" w:color="auto"/>
              <w:right w:val="single" w:sz="8" w:space="0" w:color="auto"/>
            </w:tcBorders>
            <w:shd w:val="clear" w:color="auto" w:fill="auto"/>
            <w:noWrap/>
            <w:vAlign w:val="center"/>
            <w:hideMark/>
          </w:tcPr>
          <w:p w14:paraId="1B4143FA" w14:textId="77777777" w:rsidR="005B6BB0" w:rsidRPr="00D14CD7" w:rsidRDefault="005B6BB0" w:rsidP="00286339">
            <w:pPr>
              <w:spacing w:after="0" w:line="240" w:lineRule="auto"/>
              <w:jc w:val="right"/>
              <w:rPr>
                <w:rFonts w:eastAsia="Times New Roman"/>
                <w:color w:val="000000" w:themeColor="text1"/>
                <w:sz w:val="16"/>
                <w:szCs w:val="16"/>
              </w:rPr>
            </w:pPr>
            <w:r w:rsidRPr="00D14CD7">
              <w:rPr>
                <w:rFonts w:eastAsia="Times New Roman"/>
                <w:color w:val="000000" w:themeColor="text1"/>
                <w:sz w:val="16"/>
                <w:szCs w:val="22"/>
              </w:rPr>
              <w:t>—</w:t>
            </w:r>
          </w:p>
        </w:tc>
        <w:tc>
          <w:tcPr>
            <w:tcW w:w="188" w:type="pct"/>
            <w:tcBorders>
              <w:top w:val="single" w:sz="4" w:space="0" w:color="auto"/>
              <w:left w:val="single" w:sz="8" w:space="0" w:color="auto"/>
              <w:bottom w:val="single" w:sz="4" w:space="0" w:color="auto"/>
            </w:tcBorders>
            <w:shd w:val="clear" w:color="auto" w:fill="auto"/>
            <w:noWrap/>
            <w:vAlign w:val="center"/>
            <w:hideMark/>
          </w:tcPr>
          <w:p w14:paraId="31D97E4D" w14:textId="77777777" w:rsidR="005B6BB0" w:rsidRPr="00D14CD7" w:rsidRDefault="005B6BB0" w:rsidP="00286339">
            <w:pPr>
              <w:spacing w:after="0" w:line="240" w:lineRule="auto"/>
              <w:jc w:val="right"/>
              <w:rPr>
                <w:rFonts w:eastAsia="Times New Roman"/>
                <w:color w:val="000000" w:themeColor="text1"/>
                <w:sz w:val="16"/>
                <w:szCs w:val="16"/>
              </w:rPr>
            </w:pPr>
            <w:proofErr w:type="spellStart"/>
            <w:r w:rsidRPr="00D14CD7">
              <w:rPr>
                <w:rFonts w:eastAsia="Times New Roman"/>
                <w:color w:val="000000" w:themeColor="text1"/>
                <w:sz w:val="16"/>
                <w:szCs w:val="22"/>
              </w:rPr>
              <w:t>na</w:t>
            </w:r>
            <w:proofErr w:type="spellEnd"/>
          </w:p>
        </w:tc>
        <w:tc>
          <w:tcPr>
            <w:tcW w:w="146" w:type="pct"/>
            <w:tcBorders>
              <w:top w:val="single" w:sz="4" w:space="0" w:color="auto"/>
              <w:bottom w:val="single" w:sz="4" w:space="0" w:color="auto"/>
              <w:right w:val="double" w:sz="4" w:space="0" w:color="auto"/>
            </w:tcBorders>
            <w:shd w:val="clear" w:color="auto" w:fill="auto"/>
            <w:noWrap/>
            <w:vAlign w:val="center"/>
            <w:hideMark/>
          </w:tcPr>
          <w:p w14:paraId="7FCF1773" w14:textId="77777777" w:rsidR="005B6BB0" w:rsidRPr="00D14CD7" w:rsidRDefault="005B6BB0" w:rsidP="00286339">
            <w:pPr>
              <w:spacing w:after="0" w:line="240" w:lineRule="auto"/>
              <w:jc w:val="right"/>
              <w:rPr>
                <w:rFonts w:eastAsia="Times New Roman"/>
                <w:color w:val="000000" w:themeColor="text1"/>
                <w:sz w:val="16"/>
                <w:szCs w:val="16"/>
              </w:rPr>
            </w:pPr>
            <w:proofErr w:type="spellStart"/>
            <w:r w:rsidRPr="00D14CD7">
              <w:rPr>
                <w:rFonts w:eastAsia="Times New Roman"/>
                <w:color w:val="000000" w:themeColor="text1"/>
                <w:sz w:val="16"/>
                <w:szCs w:val="22"/>
              </w:rPr>
              <w:t>na</w:t>
            </w:r>
            <w:proofErr w:type="spellEnd"/>
          </w:p>
        </w:tc>
        <w:tc>
          <w:tcPr>
            <w:tcW w:w="184" w:type="pct"/>
            <w:tcBorders>
              <w:left w:val="double" w:sz="4" w:space="0" w:color="auto"/>
            </w:tcBorders>
            <w:shd w:val="clear" w:color="auto" w:fill="auto"/>
            <w:noWrap/>
            <w:vAlign w:val="center"/>
            <w:hideMark/>
          </w:tcPr>
          <w:p w14:paraId="46C3A1EB" w14:textId="77777777" w:rsidR="005B6BB0" w:rsidRPr="00D14CD7" w:rsidRDefault="005B6BB0" w:rsidP="00286339">
            <w:pPr>
              <w:spacing w:after="0" w:line="240" w:lineRule="auto"/>
              <w:jc w:val="right"/>
              <w:rPr>
                <w:rFonts w:eastAsia="Times New Roman"/>
                <w:color w:val="000000" w:themeColor="text1"/>
                <w:sz w:val="16"/>
                <w:szCs w:val="16"/>
              </w:rPr>
            </w:pPr>
            <w:r w:rsidRPr="00D14CD7">
              <w:rPr>
                <w:rFonts w:eastAsia="Times New Roman"/>
                <w:color w:val="000000" w:themeColor="text1"/>
                <w:sz w:val="16"/>
                <w:szCs w:val="16"/>
              </w:rPr>
              <w:t>0.423</w:t>
            </w:r>
          </w:p>
        </w:tc>
        <w:tc>
          <w:tcPr>
            <w:tcW w:w="184" w:type="pct"/>
            <w:tcBorders>
              <w:top w:val="single" w:sz="4" w:space="0" w:color="auto"/>
              <w:bottom w:val="single" w:sz="4" w:space="0" w:color="auto"/>
              <w:right w:val="single" w:sz="8" w:space="0" w:color="auto"/>
            </w:tcBorders>
            <w:shd w:val="clear" w:color="auto" w:fill="auto"/>
            <w:noWrap/>
            <w:vAlign w:val="center"/>
            <w:hideMark/>
          </w:tcPr>
          <w:p w14:paraId="5A279A0C" w14:textId="77777777" w:rsidR="005B6BB0" w:rsidRPr="00D14CD7" w:rsidRDefault="005B6BB0" w:rsidP="00286339">
            <w:pPr>
              <w:spacing w:after="0" w:line="240" w:lineRule="auto"/>
              <w:jc w:val="right"/>
              <w:rPr>
                <w:rFonts w:eastAsia="Times New Roman"/>
                <w:color w:val="000000" w:themeColor="text1"/>
                <w:sz w:val="16"/>
                <w:szCs w:val="16"/>
              </w:rPr>
            </w:pPr>
            <w:r w:rsidRPr="00D14CD7">
              <w:rPr>
                <w:rFonts w:eastAsia="Times New Roman"/>
                <w:color w:val="000000" w:themeColor="text1"/>
                <w:sz w:val="16"/>
                <w:szCs w:val="16"/>
              </w:rPr>
              <w:t>1.18</w:t>
            </w:r>
          </w:p>
        </w:tc>
        <w:tc>
          <w:tcPr>
            <w:tcW w:w="184" w:type="pct"/>
            <w:tcBorders>
              <w:left w:val="single" w:sz="8" w:space="0" w:color="auto"/>
            </w:tcBorders>
            <w:shd w:val="clear" w:color="auto" w:fill="auto"/>
            <w:noWrap/>
            <w:vAlign w:val="center"/>
            <w:hideMark/>
          </w:tcPr>
          <w:p w14:paraId="3C4DAADB" w14:textId="77777777" w:rsidR="005B6BB0" w:rsidRPr="00D14CD7" w:rsidRDefault="005B6BB0" w:rsidP="00286339">
            <w:pPr>
              <w:spacing w:after="0" w:line="240" w:lineRule="auto"/>
              <w:jc w:val="right"/>
              <w:rPr>
                <w:rFonts w:eastAsia="Times New Roman"/>
                <w:color w:val="000000" w:themeColor="text1"/>
                <w:sz w:val="16"/>
                <w:szCs w:val="16"/>
              </w:rPr>
            </w:pPr>
            <w:r w:rsidRPr="00D14CD7">
              <w:rPr>
                <w:rFonts w:eastAsia="Times New Roman"/>
                <w:color w:val="000000" w:themeColor="text1"/>
                <w:sz w:val="16"/>
                <w:szCs w:val="22"/>
              </w:rPr>
              <w:t>—</w:t>
            </w:r>
          </w:p>
        </w:tc>
        <w:tc>
          <w:tcPr>
            <w:tcW w:w="185" w:type="pct"/>
            <w:tcBorders>
              <w:top w:val="single" w:sz="4" w:space="0" w:color="auto"/>
              <w:bottom w:val="single" w:sz="4" w:space="0" w:color="auto"/>
              <w:right w:val="single" w:sz="8" w:space="0" w:color="auto"/>
            </w:tcBorders>
            <w:shd w:val="clear" w:color="auto" w:fill="auto"/>
            <w:noWrap/>
            <w:vAlign w:val="center"/>
            <w:hideMark/>
          </w:tcPr>
          <w:p w14:paraId="0AA06E00" w14:textId="77777777" w:rsidR="005B6BB0" w:rsidRPr="00D14CD7" w:rsidRDefault="005B6BB0" w:rsidP="00286339">
            <w:pPr>
              <w:spacing w:after="0" w:line="240" w:lineRule="auto"/>
              <w:jc w:val="right"/>
              <w:rPr>
                <w:rFonts w:eastAsia="Times New Roman"/>
                <w:color w:val="000000" w:themeColor="text1"/>
                <w:sz w:val="16"/>
                <w:szCs w:val="16"/>
              </w:rPr>
            </w:pPr>
            <w:r w:rsidRPr="00D14CD7">
              <w:rPr>
                <w:rFonts w:eastAsia="Times New Roman"/>
                <w:color w:val="000000" w:themeColor="text1"/>
                <w:sz w:val="16"/>
                <w:szCs w:val="22"/>
              </w:rPr>
              <w:t>—</w:t>
            </w:r>
          </w:p>
        </w:tc>
        <w:tc>
          <w:tcPr>
            <w:tcW w:w="185" w:type="pct"/>
            <w:tcBorders>
              <w:left w:val="single" w:sz="8" w:space="0" w:color="auto"/>
            </w:tcBorders>
            <w:shd w:val="clear" w:color="auto" w:fill="auto"/>
            <w:noWrap/>
            <w:vAlign w:val="center"/>
            <w:hideMark/>
          </w:tcPr>
          <w:p w14:paraId="47A8B2B1" w14:textId="77777777" w:rsidR="005B6BB0" w:rsidRPr="00D14CD7" w:rsidRDefault="005B6BB0" w:rsidP="00286339">
            <w:pPr>
              <w:spacing w:after="0" w:line="240" w:lineRule="auto"/>
              <w:jc w:val="right"/>
              <w:rPr>
                <w:rFonts w:eastAsia="Times New Roman"/>
                <w:color w:val="000000" w:themeColor="text1"/>
                <w:sz w:val="16"/>
                <w:szCs w:val="16"/>
              </w:rPr>
            </w:pPr>
            <w:r w:rsidRPr="00D14CD7">
              <w:rPr>
                <w:rFonts w:eastAsia="Times New Roman"/>
                <w:color w:val="000000" w:themeColor="text1"/>
                <w:sz w:val="16"/>
                <w:szCs w:val="22"/>
              </w:rPr>
              <w:t>—</w:t>
            </w:r>
          </w:p>
        </w:tc>
        <w:tc>
          <w:tcPr>
            <w:tcW w:w="185" w:type="pct"/>
            <w:tcBorders>
              <w:top w:val="single" w:sz="4" w:space="0" w:color="auto"/>
              <w:bottom w:val="single" w:sz="4" w:space="0" w:color="auto"/>
              <w:right w:val="single" w:sz="8" w:space="0" w:color="auto"/>
            </w:tcBorders>
            <w:shd w:val="clear" w:color="auto" w:fill="auto"/>
            <w:noWrap/>
            <w:vAlign w:val="center"/>
            <w:hideMark/>
          </w:tcPr>
          <w:p w14:paraId="2DDC0F16" w14:textId="77777777" w:rsidR="005B6BB0" w:rsidRPr="00D14CD7" w:rsidRDefault="005B6BB0" w:rsidP="00286339">
            <w:pPr>
              <w:spacing w:after="0" w:line="240" w:lineRule="auto"/>
              <w:jc w:val="right"/>
              <w:rPr>
                <w:rFonts w:eastAsia="Times New Roman"/>
                <w:color w:val="000000" w:themeColor="text1"/>
                <w:sz w:val="16"/>
                <w:szCs w:val="16"/>
              </w:rPr>
            </w:pPr>
            <w:r w:rsidRPr="00D14CD7">
              <w:rPr>
                <w:rFonts w:eastAsia="Times New Roman"/>
                <w:color w:val="000000" w:themeColor="text1"/>
                <w:sz w:val="16"/>
                <w:szCs w:val="22"/>
              </w:rPr>
              <w:t>—</w:t>
            </w:r>
          </w:p>
        </w:tc>
        <w:tc>
          <w:tcPr>
            <w:tcW w:w="156" w:type="pct"/>
            <w:tcBorders>
              <w:left w:val="single" w:sz="8" w:space="0" w:color="auto"/>
            </w:tcBorders>
            <w:shd w:val="clear" w:color="auto" w:fill="auto"/>
            <w:noWrap/>
            <w:vAlign w:val="center"/>
            <w:hideMark/>
          </w:tcPr>
          <w:p w14:paraId="6E3B9036" w14:textId="77777777" w:rsidR="005B6BB0" w:rsidRPr="00D14CD7" w:rsidRDefault="005B6BB0" w:rsidP="00286339">
            <w:pPr>
              <w:spacing w:after="0" w:line="240" w:lineRule="auto"/>
              <w:jc w:val="right"/>
              <w:rPr>
                <w:rFonts w:eastAsia="Times New Roman"/>
                <w:color w:val="000000" w:themeColor="text1"/>
                <w:sz w:val="16"/>
                <w:szCs w:val="16"/>
              </w:rPr>
            </w:pPr>
            <w:proofErr w:type="spellStart"/>
            <w:r w:rsidRPr="00D14CD7">
              <w:rPr>
                <w:rFonts w:eastAsia="Times New Roman"/>
                <w:color w:val="000000" w:themeColor="text1"/>
                <w:sz w:val="16"/>
                <w:szCs w:val="22"/>
              </w:rPr>
              <w:t>na</w:t>
            </w:r>
            <w:proofErr w:type="spellEnd"/>
          </w:p>
        </w:tc>
        <w:tc>
          <w:tcPr>
            <w:tcW w:w="157" w:type="pct"/>
            <w:tcBorders>
              <w:right w:val="double" w:sz="4" w:space="0" w:color="auto"/>
            </w:tcBorders>
            <w:shd w:val="clear" w:color="auto" w:fill="auto"/>
            <w:noWrap/>
            <w:vAlign w:val="center"/>
            <w:hideMark/>
          </w:tcPr>
          <w:p w14:paraId="7E1863EB" w14:textId="77777777" w:rsidR="005B6BB0" w:rsidRPr="00D14CD7" w:rsidRDefault="005B6BB0" w:rsidP="00286339">
            <w:pPr>
              <w:spacing w:after="0" w:line="240" w:lineRule="auto"/>
              <w:jc w:val="right"/>
              <w:rPr>
                <w:rFonts w:eastAsia="Times New Roman"/>
                <w:color w:val="000000" w:themeColor="text1"/>
                <w:sz w:val="16"/>
                <w:szCs w:val="16"/>
              </w:rPr>
            </w:pPr>
            <w:proofErr w:type="spellStart"/>
            <w:r w:rsidRPr="00D14CD7">
              <w:rPr>
                <w:rFonts w:eastAsia="Times New Roman"/>
                <w:color w:val="000000" w:themeColor="text1"/>
                <w:sz w:val="16"/>
                <w:szCs w:val="22"/>
              </w:rPr>
              <w:t>na</w:t>
            </w:r>
            <w:proofErr w:type="spellEnd"/>
          </w:p>
        </w:tc>
        <w:tc>
          <w:tcPr>
            <w:tcW w:w="187" w:type="pct"/>
            <w:tcBorders>
              <w:top w:val="single" w:sz="4" w:space="0" w:color="auto"/>
              <w:left w:val="double" w:sz="4" w:space="0" w:color="auto"/>
              <w:bottom w:val="single" w:sz="4" w:space="0" w:color="auto"/>
            </w:tcBorders>
            <w:shd w:val="clear" w:color="auto" w:fill="auto"/>
            <w:noWrap/>
            <w:vAlign w:val="center"/>
            <w:hideMark/>
          </w:tcPr>
          <w:p w14:paraId="08BE3BC4" w14:textId="77777777" w:rsidR="005B6BB0" w:rsidRPr="00D14CD7" w:rsidRDefault="005B6BB0" w:rsidP="00286339">
            <w:pPr>
              <w:spacing w:after="0" w:line="240" w:lineRule="auto"/>
              <w:jc w:val="right"/>
              <w:rPr>
                <w:rFonts w:eastAsia="Times New Roman"/>
                <w:color w:val="000000" w:themeColor="text1"/>
                <w:sz w:val="16"/>
                <w:szCs w:val="16"/>
              </w:rPr>
            </w:pPr>
            <w:r w:rsidRPr="00D14CD7">
              <w:rPr>
                <w:rFonts w:eastAsia="Times New Roman"/>
                <w:color w:val="000000" w:themeColor="text1"/>
                <w:sz w:val="16"/>
                <w:szCs w:val="16"/>
              </w:rPr>
              <w:t>-0.064</w:t>
            </w:r>
          </w:p>
        </w:tc>
        <w:tc>
          <w:tcPr>
            <w:tcW w:w="183" w:type="pct"/>
            <w:shd w:val="clear" w:color="auto" w:fill="auto"/>
            <w:noWrap/>
            <w:vAlign w:val="center"/>
            <w:hideMark/>
          </w:tcPr>
          <w:p w14:paraId="05077864" w14:textId="77777777" w:rsidR="005B6BB0" w:rsidRPr="00D14CD7" w:rsidRDefault="005B6BB0" w:rsidP="00286339">
            <w:pPr>
              <w:spacing w:after="0" w:line="240" w:lineRule="auto"/>
              <w:jc w:val="right"/>
              <w:rPr>
                <w:rFonts w:eastAsia="Times New Roman"/>
                <w:color w:val="000000" w:themeColor="text1"/>
                <w:sz w:val="16"/>
                <w:szCs w:val="16"/>
              </w:rPr>
            </w:pPr>
            <w:r w:rsidRPr="00D14CD7">
              <w:rPr>
                <w:rFonts w:eastAsia="Times New Roman"/>
                <w:color w:val="000000" w:themeColor="text1"/>
                <w:sz w:val="16"/>
                <w:szCs w:val="16"/>
              </w:rPr>
              <w:t>-1.52</w:t>
            </w:r>
          </w:p>
        </w:tc>
      </w:tr>
      <w:tr w:rsidR="00D14CD7" w:rsidRPr="00D14CD7" w14:paraId="4E4BE378" w14:textId="77777777" w:rsidTr="00286339">
        <w:trPr>
          <w:trHeight w:val="72"/>
        </w:trPr>
        <w:tc>
          <w:tcPr>
            <w:tcW w:w="1709" w:type="pct"/>
            <w:tcBorders>
              <w:top w:val="single" w:sz="4" w:space="0" w:color="auto"/>
              <w:bottom w:val="single" w:sz="4" w:space="0" w:color="auto"/>
              <w:right w:val="double" w:sz="4" w:space="0" w:color="auto"/>
            </w:tcBorders>
            <w:shd w:val="clear" w:color="auto" w:fill="auto"/>
            <w:noWrap/>
            <w:vAlign w:val="center"/>
            <w:hideMark/>
          </w:tcPr>
          <w:p w14:paraId="102D8A0D" w14:textId="77777777" w:rsidR="005B6BB0" w:rsidRPr="00D14CD7" w:rsidRDefault="005B6BB0" w:rsidP="00286339">
            <w:pPr>
              <w:spacing w:after="0" w:line="240" w:lineRule="auto"/>
              <w:ind w:firstLine="140"/>
              <w:jc w:val="left"/>
              <w:rPr>
                <w:rFonts w:eastAsia="Times New Roman"/>
                <w:color w:val="000000" w:themeColor="text1"/>
                <w:sz w:val="16"/>
                <w:szCs w:val="16"/>
              </w:rPr>
            </w:pPr>
            <w:r w:rsidRPr="00D14CD7">
              <w:rPr>
                <w:rFonts w:eastAsia="Times New Roman"/>
                <w:color w:val="000000" w:themeColor="text1"/>
                <w:sz w:val="16"/>
                <w:szCs w:val="22"/>
              </w:rPr>
              <w:t>Multiple unrelated adults</w:t>
            </w:r>
          </w:p>
        </w:tc>
        <w:tc>
          <w:tcPr>
            <w:tcW w:w="227" w:type="pct"/>
            <w:tcBorders>
              <w:top w:val="single" w:sz="4" w:space="0" w:color="auto"/>
              <w:left w:val="double" w:sz="4" w:space="0" w:color="auto"/>
              <w:bottom w:val="single" w:sz="4" w:space="0" w:color="auto"/>
            </w:tcBorders>
            <w:shd w:val="clear" w:color="auto" w:fill="auto"/>
            <w:noWrap/>
            <w:vAlign w:val="center"/>
            <w:hideMark/>
          </w:tcPr>
          <w:p w14:paraId="3E15DADB" w14:textId="77777777" w:rsidR="005B6BB0" w:rsidRPr="00D14CD7" w:rsidRDefault="005B6BB0" w:rsidP="00286339">
            <w:pPr>
              <w:spacing w:after="0" w:line="240" w:lineRule="auto"/>
              <w:jc w:val="right"/>
              <w:rPr>
                <w:rFonts w:eastAsia="Times New Roman"/>
                <w:color w:val="000000" w:themeColor="text1"/>
                <w:sz w:val="16"/>
                <w:szCs w:val="16"/>
              </w:rPr>
            </w:pPr>
            <w:r w:rsidRPr="00D14CD7">
              <w:rPr>
                <w:rFonts w:eastAsia="Times New Roman"/>
                <w:color w:val="000000" w:themeColor="text1"/>
                <w:sz w:val="16"/>
                <w:szCs w:val="16"/>
              </w:rPr>
              <w:t>0.212</w:t>
            </w:r>
          </w:p>
        </w:tc>
        <w:tc>
          <w:tcPr>
            <w:tcW w:w="199" w:type="pct"/>
            <w:tcBorders>
              <w:top w:val="single" w:sz="4" w:space="0" w:color="auto"/>
              <w:bottom w:val="single" w:sz="4" w:space="0" w:color="auto"/>
              <w:right w:val="single" w:sz="8" w:space="0" w:color="auto"/>
            </w:tcBorders>
            <w:shd w:val="clear" w:color="auto" w:fill="auto"/>
            <w:noWrap/>
            <w:vAlign w:val="center"/>
            <w:hideMark/>
          </w:tcPr>
          <w:p w14:paraId="6779DDFF" w14:textId="77777777" w:rsidR="005B6BB0" w:rsidRPr="00D14CD7" w:rsidRDefault="005B6BB0" w:rsidP="00286339">
            <w:pPr>
              <w:spacing w:after="0" w:line="240" w:lineRule="auto"/>
              <w:jc w:val="right"/>
              <w:rPr>
                <w:rFonts w:eastAsia="Times New Roman"/>
                <w:color w:val="000000" w:themeColor="text1"/>
                <w:sz w:val="16"/>
                <w:szCs w:val="16"/>
              </w:rPr>
            </w:pPr>
            <w:r w:rsidRPr="00D14CD7">
              <w:rPr>
                <w:rFonts w:eastAsia="Times New Roman"/>
                <w:color w:val="000000" w:themeColor="text1"/>
                <w:sz w:val="16"/>
                <w:szCs w:val="16"/>
              </w:rPr>
              <w:t>1.84</w:t>
            </w:r>
          </w:p>
        </w:tc>
        <w:tc>
          <w:tcPr>
            <w:tcW w:w="184" w:type="pct"/>
            <w:tcBorders>
              <w:top w:val="single" w:sz="4" w:space="0" w:color="auto"/>
              <w:left w:val="single" w:sz="8" w:space="0" w:color="auto"/>
              <w:bottom w:val="single" w:sz="4" w:space="0" w:color="auto"/>
            </w:tcBorders>
            <w:shd w:val="clear" w:color="auto" w:fill="auto"/>
            <w:noWrap/>
            <w:vAlign w:val="center"/>
            <w:hideMark/>
          </w:tcPr>
          <w:p w14:paraId="494662B1" w14:textId="77777777" w:rsidR="005B6BB0" w:rsidRPr="00D14CD7" w:rsidRDefault="005B6BB0" w:rsidP="00286339">
            <w:pPr>
              <w:spacing w:after="0" w:line="240" w:lineRule="auto"/>
              <w:jc w:val="right"/>
              <w:rPr>
                <w:rFonts w:eastAsia="Times New Roman"/>
                <w:color w:val="000000" w:themeColor="text1"/>
                <w:sz w:val="16"/>
                <w:szCs w:val="16"/>
              </w:rPr>
            </w:pPr>
            <w:r w:rsidRPr="00D14CD7">
              <w:rPr>
                <w:rFonts w:eastAsia="Times New Roman"/>
                <w:color w:val="000000" w:themeColor="text1"/>
                <w:sz w:val="16"/>
                <w:szCs w:val="22"/>
              </w:rPr>
              <w:t>—</w:t>
            </w:r>
          </w:p>
        </w:tc>
        <w:tc>
          <w:tcPr>
            <w:tcW w:w="185" w:type="pct"/>
            <w:tcBorders>
              <w:top w:val="single" w:sz="4" w:space="0" w:color="auto"/>
              <w:bottom w:val="single" w:sz="4" w:space="0" w:color="auto"/>
              <w:right w:val="single" w:sz="8" w:space="0" w:color="auto"/>
            </w:tcBorders>
            <w:shd w:val="clear" w:color="auto" w:fill="auto"/>
            <w:noWrap/>
            <w:vAlign w:val="center"/>
            <w:hideMark/>
          </w:tcPr>
          <w:p w14:paraId="2C44FF16" w14:textId="77777777" w:rsidR="005B6BB0" w:rsidRPr="00D14CD7" w:rsidRDefault="005B6BB0" w:rsidP="00286339">
            <w:pPr>
              <w:spacing w:after="0" w:line="240" w:lineRule="auto"/>
              <w:jc w:val="right"/>
              <w:rPr>
                <w:rFonts w:eastAsia="Times New Roman"/>
                <w:color w:val="000000" w:themeColor="text1"/>
                <w:sz w:val="16"/>
                <w:szCs w:val="16"/>
              </w:rPr>
            </w:pPr>
            <w:r w:rsidRPr="00D14CD7">
              <w:rPr>
                <w:rFonts w:eastAsia="Times New Roman"/>
                <w:color w:val="000000" w:themeColor="text1"/>
                <w:sz w:val="16"/>
                <w:szCs w:val="22"/>
              </w:rPr>
              <w:t>—</w:t>
            </w:r>
          </w:p>
        </w:tc>
        <w:tc>
          <w:tcPr>
            <w:tcW w:w="184" w:type="pct"/>
            <w:tcBorders>
              <w:top w:val="single" w:sz="4" w:space="0" w:color="auto"/>
              <w:left w:val="single" w:sz="8" w:space="0" w:color="auto"/>
              <w:bottom w:val="single" w:sz="4" w:space="0" w:color="auto"/>
            </w:tcBorders>
            <w:shd w:val="clear" w:color="auto" w:fill="auto"/>
            <w:noWrap/>
            <w:vAlign w:val="center"/>
            <w:hideMark/>
          </w:tcPr>
          <w:p w14:paraId="6DFAC036" w14:textId="77777777" w:rsidR="005B6BB0" w:rsidRPr="00D14CD7" w:rsidRDefault="005B6BB0" w:rsidP="00286339">
            <w:pPr>
              <w:spacing w:after="0" w:line="240" w:lineRule="auto"/>
              <w:jc w:val="right"/>
              <w:rPr>
                <w:rFonts w:eastAsia="Times New Roman"/>
                <w:color w:val="000000" w:themeColor="text1"/>
                <w:sz w:val="16"/>
                <w:szCs w:val="16"/>
              </w:rPr>
            </w:pPr>
            <w:r w:rsidRPr="00D14CD7">
              <w:rPr>
                <w:rFonts w:eastAsia="Times New Roman"/>
                <w:color w:val="000000" w:themeColor="text1"/>
                <w:sz w:val="16"/>
                <w:szCs w:val="22"/>
              </w:rPr>
              <w:t>—</w:t>
            </w:r>
          </w:p>
        </w:tc>
        <w:tc>
          <w:tcPr>
            <w:tcW w:w="188" w:type="pct"/>
            <w:tcBorders>
              <w:top w:val="single" w:sz="4" w:space="0" w:color="auto"/>
              <w:bottom w:val="single" w:sz="4" w:space="0" w:color="auto"/>
              <w:right w:val="single" w:sz="8" w:space="0" w:color="auto"/>
            </w:tcBorders>
            <w:shd w:val="clear" w:color="auto" w:fill="auto"/>
            <w:noWrap/>
            <w:vAlign w:val="center"/>
            <w:hideMark/>
          </w:tcPr>
          <w:p w14:paraId="47ACD3EC" w14:textId="77777777" w:rsidR="005B6BB0" w:rsidRPr="00D14CD7" w:rsidRDefault="005B6BB0" w:rsidP="00286339">
            <w:pPr>
              <w:spacing w:after="0" w:line="240" w:lineRule="auto"/>
              <w:jc w:val="right"/>
              <w:rPr>
                <w:rFonts w:eastAsia="Times New Roman"/>
                <w:color w:val="000000" w:themeColor="text1"/>
                <w:sz w:val="16"/>
                <w:szCs w:val="16"/>
              </w:rPr>
            </w:pPr>
            <w:r w:rsidRPr="00D14CD7">
              <w:rPr>
                <w:rFonts w:eastAsia="Times New Roman"/>
                <w:color w:val="000000" w:themeColor="text1"/>
                <w:sz w:val="16"/>
                <w:szCs w:val="22"/>
              </w:rPr>
              <w:t>—</w:t>
            </w:r>
          </w:p>
        </w:tc>
        <w:tc>
          <w:tcPr>
            <w:tcW w:w="188" w:type="pct"/>
            <w:tcBorders>
              <w:top w:val="single" w:sz="4" w:space="0" w:color="auto"/>
              <w:left w:val="single" w:sz="8" w:space="0" w:color="auto"/>
              <w:bottom w:val="single" w:sz="4" w:space="0" w:color="auto"/>
            </w:tcBorders>
            <w:shd w:val="clear" w:color="auto" w:fill="auto"/>
            <w:noWrap/>
            <w:vAlign w:val="center"/>
            <w:hideMark/>
          </w:tcPr>
          <w:p w14:paraId="4C4AEBC3" w14:textId="77777777" w:rsidR="005B6BB0" w:rsidRPr="00D14CD7" w:rsidRDefault="005B6BB0" w:rsidP="00286339">
            <w:pPr>
              <w:spacing w:after="0" w:line="240" w:lineRule="auto"/>
              <w:jc w:val="right"/>
              <w:rPr>
                <w:rFonts w:eastAsia="Times New Roman"/>
                <w:color w:val="000000" w:themeColor="text1"/>
                <w:sz w:val="16"/>
                <w:szCs w:val="16"/>
              </w:rPr>
            </w:pPr>
            <w:proofErr w:type="spellStart"/>
            <w:r w:rsidRPr="00D14CD7">
              <w:rPr>
                <w:rFonts w:eastAsia="Times New Roman"/>
                <w:color w:val="000000" w:themeColor="text1"/>
                <w:sz w:val="16"/>
                <w:szCs w:val="22"/>
              </w:rPr>
              <w:t>na</w:t>
            </w:r>
            <w:proofErr w:type="spellEnd"/>
          </w:p>
        </w:tc>
        <w:tc>
          <w:tcPr>
            <w:tcW w:w="146" w:type="pct"/>
            <w:tcBorders>
              <w:top w:val="single" w:sz="4" w:space="0" w:color="auto"/>
              <w:bottom w:val="single" w:sz="4" w:space="0" w:color="auto"/>
              <w:right w:val="double" w:sz="4" w:space="0" w:color="auto"/>
            </w:tcBorders>
            <w:shd w:val="clear" w:color="auto" w:fill="auto"/>
            <w:noWrap/>
            <w:vAlign w:val="center"/>
            <w:hideMark/>
          </w:tcPr>
          <w:p w14:paraId="7143684F" w14:textId="77777777" w:rsidR="005B6BB0" w:rsidRPr="00D14CD7" w:rsidRDefault="005B6BB0" w:rsidP="00286339">
            <w:pPr>
              <w:spacing w:after="0" w:line="240" w:lineRule="auto"/>
              <w:jc w:val="right"/>
              <w:rPr>
                <w:rFonts w:eastAsia="Times New Roman"/>
                <w:color w:val="000000" w:themeColor="text1"/>
                <w:sz w:val="16"/>
                <w:szCs w:val="16"/>
              </w:rPr>
            </w:pPr>
            <w:proofErr w:type="spellStart"/>
            <w:r w:rsidRPr="00D14CD7">
              <w:rPr>
                <w:rFonts w:eastAsia="Times New Roman"/>
                <w:color w:val="000000" w:themeColor="text1"/>
                <w:sz w:val="16"/>
                <w:szCs w:val="22"/>
              </w:rPr>
              <w:t>na</w:t>
            </w:r>
            <w:proofErr w:type="spellEnd"/>
          </w:p>
        </w:tc>
        <w:tc>
          <w:tcPr>
            <w:tcW w:w="184" w:type="pct"/>
            <w:tcBorders>
              <w:left w:val="double" w:sz="4" w:space="0" w:color="auto"/>
            </w:tcBorders>
            <w:shd w:val="clear" w:color="auto" w:fill="auto"/>
            <w:noWrap/>
            <w:vAlign w:val="center"/>
            <w:hideMark/>
          </w:tcPr>
          <w:p w14:paraId="4205A20C" w14:textId="77777777" w:rsidR="005B6BB0" w:rsidRPr="00D14CD7" w:rsidRDefault="005B6BB0" w:rsidP="00286339">
            <w:pPr>
              <w:spacing w:after="0" w:line="240" w:lineRule="auto"/>
              <w:jc w:val="right"/>
              <w:rPr>
                <w:rFonts w:eastAsia="Times New Roman"/>
                <w:color w:val="000000" w:themeColor="text1"/>
                <w:sz w:val="16"/>
                <w:szCs w:val="16"/>
              </w:rPr>
            </w:pPr>
            <w:r w:rsidRPr="00D14CD7">
              <w:rPr>
                <w:rFonts w:eastAsia="Times New Roman"/>
                <w:color w:val="000000" w:themeColor="text1"/>
                <w:sz w:val="16"/>
                <w:szCs w:val="16"/>
              </w:rPr>
              <w:t>-1.573</w:t>
            </w:r>
          </w:p>
        </w:tc>
        <w:tc>
          <w:tcPr>
            <w:tcW w:w="184" w:type="pct"/>
            <w:tcBorders>
              <w:top w:val="single" w:sz="4" w:space="0" w:color="auto"/>
              <w:bottom w:val="single" w:sz="4" w:space="0" w:color="auto"/>
              <w:right w:val="single" w:sz="8" w:space="0" w:color="auto"/>
            </w:tcBorders>
            <w:shd w:val="clear" w:color="auto" w:fill="auto"/>
            <w:noWrap/>
            <w:vAlign w:val="center"/>
            <w:hideMark/>
          </w:tcPr>
          <w:p w14:paraId="6D26903B" w14:textId="77777777" w:rsidR="005B6BB0" w:rsidRPr="00D14CD7" w:rsidRDefault="005B6BB0" w:rsidP="00286339">
            <w:pPr>
              <w:spacing w:after="0" w:line="240" w:lineRule="auto"/>
              <w:jc w:val="right"/>
              <w:rPr>
                <w:rFonts w:eastAsia="Times New Roman"/>
                <w:color w:val="000000" w:themeColor="text1"/>
                <w:sz w:val="16"/>
                <w:szCs w:val="16"/>
              </w:rPr>
            </w:pPr>
            <w:r w:rsidRPr="00D14CD7">
              <w:rPr>
                <w:rFonts w:eastAsia="Times New Roman"/>
                <w:color w:val="000000" w:themeColor="text1"/>
                <w:sz w:val="16"/>
                <w:szCs w:val="16"/>
              </w:rPr>
              <w:t>-3.16</w:t>
            </w:r>
          </w:p>
        </w:tc>
        <w:tc>
          <w:tcPr>
            <w:tcW w:w="184" w:type="pct"/>
            <w:tcBorders>
              <w:left w:val="single" w:sz="8" w:space="0" w:color="auto"/>
            </w:tcBorders>
            <w:shd w:val="clear" w:color="auto" w:fill="auto"/>
            <w:noWrap/>
            <w:vAlign w:val="center"/>
            <w:hideMark/>
          </w:tcPr>
          <w:p w14:paraId="7B781A85" w14:textId="77777777" w:rsidR="005B6BB0" w:rsidRPr="00D14CD7" w:rsidRDefault="005B6BB0" w:rsidP="00286339">
            <w:pPr>
              <w:spacing w:after="0" w:line="240" w:lineRule="auto"/>
              <w:jc w:val="right"/>
              <w:rPr>
                <w:rFonts w:eastAsia="Times New Roman"/>
                <w:color w:val="000000" w:themeColor="text1"/>
                <w:sz w:val="16"/>
                <w:szCs w:val="16"/>
              </w:rPr>
            </w:pPr>
            <w:r w:rsidRPr="00D14CD7">
              <w:rPr>
                <w:rFonts w:eastAsia="Times New Roman"/>
                <w:color w:val="000000" w:themeColor="text1"/>
                <w:sz w:val="16"/>
                <w:szCs w:val="22"/>
              </w:rPr>
              <w:t>—</w:t>
            </w:r>
          </w:p>
        </w:tc>
        <w:tc>
          <w:tcPr>
            <w:tcW w:w="185" w:type="pct"/>
            <w:tcBorders>
              <w:top w:val="single" w:sz="4" w:space="0" w:color="auto"/>
              <w:bottom w:val="single" w:sz="4" w:space="0" w:color="auto"/>
              <w:right w:val="single" w:sz="8" w:space="0" w:color="auto"/>
            </w:tcBorders>
            <w:shd w:val="clear" w:color="auto" w:fill="auto"/>
            <w:noWrap/>
            <w:vAlign w:val="center"/>
            <w:hideMark/>
          </w:tcPr>
          <w:p w14:paraId="499E6085" w14:textId="77777777" w:rsidR="005B6BB0" w:rsidRPr="00D14CD7" w:rsidRDefault="005B6BB0" w:rsidP="00286339">
            <w:pPr>
              <w:spacing w:after="0" w:line="240" w:lineRule="auto"/>
              <w:jc w:val="right"/>
              <w:rPr>
                <w:rFonts w:eastAsia="Times New Roman"/>
                <w:color w:val="000000" w:themeColor="text1"/>
                <w:sz w:val="16"/>
                <w:szCs w:val="16"/>
              </w:rPr>
            </w:pPr>
            <w:r w:rsidRPr="00D14CD7">
              <w:rPr>
                <w:rFonts w:eastAsia="Times New Roman"/>
                <w:color w:val="000000" w:themeColor="text1"/>
                <w:sz w:val="16"/>
                <w:szCs w:val="22"/>
              </w:rPr>
              <w:t>—</w:t>
            </w:r>
          </w:p>
        </w:tc>
        <w:tc>
          <w:tcPr>
            <w:tcW w:w="185" w:type="pct"/>
            <w:tcBorders>
              <w:left w:val="single" w:sz="8" w:space="0" w:color="auto"/>
            </w:tcBorders>
            <w:shd w:val="clear" w:color="auto" w:fill="auto"/>
            <w:noWrap/>
            <w:vAlign w:val="center"/>
            <w:hideMark/>
          </w:tcPr>
          <w:p w14:paraId="5BE9A010" w14:textId="77777777" w:rsidR="005B6BB0" w:rsidRPr="00D14CD7" w:rsidRDefault="005B6BB0" w:rsidP="00286339">
            <w:pPr>
              <w:spacing w:after="0" w:line="240" w:lineRule="auto"/>
              <w:jc w:val="right"/>
              <w:rPr>
                <w:rFonts w:eastAsia="Times New Roman"/>
                <w:color w:val="000000" w:themeColor="text1"/>
                <w:sz w:val="16"/>
                <w:szCs w:val="16"/>
              </w:rPr>
            </w:pPr>
            <w:r w:rsidRPr="00D14CD7">
              <w:rPr>
                <w:rFonts w:eastAsia="Times New Roman"/>
                <w:color w:val="000000" w:themeColor="text1"/>
                <w:sz w:val="16"/>
                <w:szCs w:val="22"/>
              </w:rPr>
              <w:t>—</w:t>
            </w:r>
          </w:p>
        </w:tc>
        <w:tc>
          <w:tcPr>
            <w:tcW w:w="185" w:type="pct"/>
            <w:tcBorders>
              <w:top w:val="single" w:sz="4" w:space="0" w:color="auto"/>
              <w:bottom w:val="single" w:sz="4" w:space="0" w:color="auto"/>
              <w:right w:val="single" w:sz="8" w:space="0" w:color="auto"/>
            </w:tcBorders>
            <w:shd w:val="clear" w:color="auto" w:fill="auto"/>
            <w:noWrap/>
            <w:vAlign w:val="center"/>
            <w:hideMark/>
          </w:tcPr>
          <w:p w14:paraId="2CAE662C" w14:textId="77777777" w:rsidR="005B6BB0" w:rsidRPr="00D14CD7" w:rsidRDefault="005B6BB0" w:rsidP="00286339">
            <w:pPr>
              <w:spacing w:after="0" w:line="240" w:lineRule="auto"/>
              <w:jc w:val="right"/>
              <w:rPr>
                <w:rFonts w:eastAsia="Times New Roman"/>
                <w:color w:val="000000" w:themeColor="text1"/>
                <w:sz w:val="16"/>
                <w:szCs w:val="16"/>
              </w:rPr>
            </w:pPr>
            <w:r w:rsidRPr="00D14CD7">
              <w:rPr>
                <w:rFonts w:eastAsia="Times New Roman"/>
                <w:color w:val="000000" w:themeColor="text1"/>
                <w:sz w:val="16"/>
                <w:szCs w:val="22"/>
              </w:rPr>
              <w:t>—</w:t>
            </w:r>
          </w:p>
        </w:tc>
        <w:tc>
          <w:tcPr>
            <w:tcW w:w="156" w:type="pct"/>
            <w:tcBorders>
              <w:left w:val="single" w:sz="8" w:space="0" w:color="auto"/>
            </w:tcBorders>
            <w:shd w:val="clear" w:color="auto" w:fill="auto"/>
            <w:noWrap/>
            <w:vAlign w:val="center"/>
            <w:hideMark/>
          </w:tcPr>
          <w:p w14:paraId="39927017" w14:textId="77777777" w:rsidR="005B6BB0" w:rsidRPr="00D14CD7" w:rsidRDefault="005B6BB0" w:rsidP="00286339">
            <w:pPr>
              <w:spacing w:after="0" w:line="240" w:lineRule="auto"/>
              <w:jc w:val="right"/>
              <w:rPr>
                <w:rFonts w:eastAsia="Times New Roman"/>
                <w:color w:val="000000" w:themeColor="text1"/>
                <w:sz w:val="16"/>
                <w:szCs w:val="16"/>
              </w:rPr>
            </w:pPr>
            <w:proofErr w:type="spellStart"/>
            <w:r w:rsidRPr="00D14CD7">
              <w:rPr>
                <w:rFonts w:eastAsia="Times New Roman"/>
                <w:color w:val="000000" w:themeColor="text1"/>
                <w:sz w:val="16"/>
                <w:szCs w:val="22"/>
              </w:rPr>
              <w:t>na</w:t>
            </w:r>
            <w:proofErr w:type="spellEnd"/>
          </w:p>
        </w:tc>
        <w:tc>
          <w:tcPr>
            <w:tcW w:w="157" w:type="pct"/>
            <w:tcBorders>
              <w:right w:val="double" w:sz="4" w:space="0" w:color="auto"/>
            </w:tcBorders>
            <w:shd w:val="clear" w:color="auto" w:fill="auto"/>
            <w:noWrap/>
            <w:vAlign w:val="center"/>
            <w:hideMark/>
          </w:tcPr>
          <w:p w14:paraId="41E2EE7C" w14:textId="77777777" w:rsidR="005B6BB0" w:rsidRPr="00D14CD7" w:rsidRDefault="005B6BB0" w:rsidP="00286339">
            <w:pPr>
              <w:spacing w:after="0" w:line="240" w:lineRule="auto"/>
              <w:jc w:val="right"/>
              <w:rPr>
                <w:rFonts w:eastAsia="Times New Roman"/>
                <w:color w:val="000000" w:themeColor="text1"/>
                <w:sz w:val="16"/>
                <w:szCs w:val="16"/>
              </w:rPr>
            </w:pPr>
            <w:proofErr w:type="spellStart"/>
            <w:r w:rsidRPr="00D14CD7">
              <w:rPr>
                <w:rFonts w:eastAsia="Times New Roman"/>
                <w:color w:val="000000" w:themeColor="text1"/>
                <w:sz w:val="16"/>
                <w:szCs w:val="22"/>
              </w:rPr>
              <w:t>na</w:t>
            </w:r>
            <w:proofErr w:type="spellEnd"/>
          </w:p>
        </w:tc>
        <w:tc>
          <w:tcPr>
            <w:tcW w:w="187" w:type="pct"/>
            <w:tcBorders>
              <w:top w:val="single" w:sz="4" w:space="0" w:color="auto"/>
              <w:left w:val="double" w:sz="4" w:space="0" w:color="auto"/>
              <w:bottom w:val="single" w:sz="4" w:space="0" w:color="auto"/>
            </w:tcBorders>
            <w:shd w:val="clear" w:color="auto" w:fill="auto"/>
            <w:noWrap/>
            <w:vAlign w:val="center"/>
            <w:hideMark/>
          </w:tcPr>
          <w:p w14:paraId="39E3D381" w14:textId="77777777" w:rsidR="005B6BB0" w:rsidRPr="00D14CD7" w:rsidRDefault="005B6BB0" w:rsidP="00286339">
            <w:pPr>
              <w:spacing w:after="0" w:line="240" w:lineRule="auto"/>
              <w:jc w:val="right"/>
              <w:rPr>
                <w:rFonts w:eastAsia="Times New Roman"/>
                <w:color w:val="000000" w:themeColor="text1"/>
                <w:sz w:val="16"/>
                <w:szCs w:val="16"/>
              </w:rPr>
            </w:pPr>
            <w:r w:rsidRPr="00D14CD7">
              <w:rPr>
                <w:rFonts w:eastAsia="Times New Roman"/>
                <w:color w:val="000000" w:themeColor="text1"/>
                <w:sz w:val="16"/>
                <w:szCs w:val="16"/>
              </w:rPr>
              <w:t>0.202</w:t>
            </w:r>
          </w:p>
        </w:tc>
        <w:tc>
          <w:tcPr>
            <w:tcW w:w="183" w:type="pct"/>
            <w:shd w:val="clear" w:color="auto" w:fill="auto"/>
            <w:noWrap/>
            <w:vAlign w:val="center"/>
            <w:hideMark/>
          </w:tcPr>
          <w:p w14:paraId="7435C823" w14:textId="77777777" w:rsidR="005B6BB0" w:rsidRPr="00D14CD7" w:rsidRDefault="005B6BB0" w:rsidP="00286339">
            <w:pPr>
              <w:spacing w:after="0" w:line="240" w:lineRule="auto"/>
              <w:jc w:val="right"/>
              <w:rPr>
                <w:rFonts w:eastAsia="Times New Roman"/>
                <w:color w:val="000000" w:themeColor="text1"/>
                <w:sz w:val="16"/>
                <w:szCs w:val="16"/>
              </w:rPr>
            </w:pPr>
            <w:r w:rsidRPr="00D14CD7">
              <w:rPr>
                <w:rFonts w:eastAsia="Times New Roman"/>
                <w:color w:val="000000" w:themeColor="text1"/>
                <w:sz w:val="16"/>
                <w:szCs w:val="16"/>
              </w:rPr>
              <w:t>2.59</w:t>
            </w:r>
          </w:p>
        </w:tc>
      </w:tr>
      <w:tr w:rsidR="00D14CD7" w:rsidRPr="00D14CD7" w14:paraId="1DCA4572" w14:textId="77777777" w:rsidTr="00286339">
        <w:trPr>
          <w:trHeight w:val="72"/>
        </w:trPr>
        <w:tc>
          <w:tcPr>
            <w:tcW w:w="1709" w:type="pct"/>
            <w:tcBorders>
              <w:top w:val="single" w:sz="4" w:space="0" w:color="auto"/>
              <w:bottom w:val="single" w:sz="8" w:space="0" w:color="auto"/>
              <w:right w:val="double" w:sz="4" w:space="0" w:color="auto"/>
            </w:tcBorders>
            <w:shd w:val="clear" w:color="auto" w:fill="auto"/>
            <w:noWrap/>
            <w:vAlign w:val="center"/>
            <w:hideMark/>
          </w:tcPr>
          <w:p w14:paraId="50625D11" w14:textId="77777777" w:rsidR="005B6BB0" w:rsidRPr="00D14CD7" w:rsidRDefault="005B6BB0" w:rsidP="00286339">
            <w:pPr>
              <w:spacing w:after="0" w:line="240" w:lineRule="auto"/>
              <w:ind w:firstLine="140"/>
              <w:jc w:val="left"/>
              <w:rPr>
                <w:rFonts w:eastAsia="Times New Roman"/>
                <w:color w:val="000000" w:themeColor="text1"/>
                <w:sz w:val="16"/>
                <w:szCs w:val="16"/>
              </w:rPr>
            </w:pPr>
            <w:r w:rsidRPr="00D14CD7">
              <w:rPr>
                <w:rFonts w:eastAsia="Times New Roman"/>
                <w:color w:val="000000" w:themeColor="text1"/>
                <w:sz w:val="16"/>
                <w:szCs w:val="22"/>
              </w:rPr>
              <w:t>Presence of children</w:t>
            </w:r>
          </w:p>
        </w:tc>
        <w:tc>
          <w:tcPr>
            <w:tcW w:w="227" w:type="pct"/>
            <w:tcBorders>
              <w:top w:val="single" w:sz="4" w:space="0" w:color="auto"/>
              <w:left w:val="double" w:sz="4" w:space="0" w:color="auto"/>
              <w:bottom w:val="single" w:sz="8" w:space="0" w:color="auto"/>
            </w:tcBorders>
            <w:shd w:val="clear" w:color="auto" w:fill="auto"/>
            <w:noWrap/>
            <w:vAlign w:val="center"/>
            <w:hideMark/>
          </w:tcPr>
          <w:p w14:paraId="68993349" w14:textId="77777777" w:rsidR="005B6BB0" w:rsidRPr="00D14CD7" w:rsidRDefault="005B6BB0" w:rsidP="00286339">
            <w:pPr>
              <w:spacing w:after="0" w:line="240" w:lineRule="auto"/>
              <w:jc w:val="right"/>
              <w:rPr>
                <w:rFonts w:eastAsia="Times New Roman"/>
                <w:color w:val="000000" w:themeColor="text1"/>
                <w:sz w:val="16"/>
                <w:szCs w:val="16"/>
              </w:rPr>
            </w:pPr>
            <w:r w:rsidRPr="00D14CD7">
              <w:rPr>
                <w:rFonts w:eastAsia="Times New Roman"/>
                <w:color w:val="000000" w:themeColor="text1"/>
                <w:sz w:val="16"/>
                <w:szCs w:val="16"/>
              </w:rPr>
              <w:t>0.049</w:t>
            </w:r>
          </w:p>
        </w:tc>
        <w:tc>
          <w:tcPr>
            <w:tcW w:w="199" w:type="pct"/>
            <w:tcBorders>
              <w:top w:val="single" w:sz="4" w:space="0" w:color="auto"/>
              <w:bottom w:val="single" w:sz="8" w:space="0" w:color="auto"/>
              <w:right w:val="single" w:sz="8" w:space="0" w:color="auto"/>
            </w:tcBorders>
            <w:shd w:val="clear" w:color="auto" w:fill="auto"/>
            <w:noWrap/>
            <w:vAlign w:val="center"/>
            <w:hideMark/>
          </w:tcPr>
          <w:p w14:paraId="585156C1" w14:textId="77777777" w:rsidR="005B6BB0" w:rsidRPr="00D14CD7" w:rsidRDefault="005B6BB0" w:rsidP="00286339">
            <w:pPr>
              <w:spacing w:after="0" w:line="240" w:lineRule="auto"/>
              <w:jc w:val="right"/>
              <w:rPr>
                <w:rFonts w:eastAsia="Times New Roman"/>
                <w:color w:val="000000" w:themeColor="text1"/>
                <w:sz w:val="16"/>
                <w:szCs w:val="16"/>
              </w:rPr>
            </w:pPr>
            <w:r w:rsidRPr="00D14CD7">
              <w:rPr>
                <w:rFonts w:eastAsia="Times New Roman"/>
                <w:color w:val="000000" w:themeColor="text1"/>
                <w:sz w:val="16"/>
                <w:szCs w:val="16"/>
              </w:rPr>
              <w:t>1.28</w:t>
            </w:r>
          </w:p>
        </w:tc>
        <w:tc>
          <w:tcPr>
            <w:tcW w:w="184" w:type="pct"/>
            <w:tcBorders>
              <w:top w:val="single" w:sz="4" w:space="0" w:color="auto"/>
              <w:left w:val="single" w:sz="8" w:space="0" w:color="auto"/>
              <w:bottom w:val="single" w:sz="8" w:space="0" w:color="auto"/>
            </w:tcBorders>
            <w:shd w:val="clear" w:color="auto" w:fill="auto"/>
            <w:noWrap/>
            <w:vAlign w:val="center"/>
            <w:hideMark/>
          </w:tcPr>
          <w:p w14:paraId="4379FEC8" w14:textId="77777777" w:rsidR="005B6BB0" w:rsidRPr="00D14CD7" w:rsidRDefault="005B6BB0" w:rsidP="00286339">
            <w:pPr>
              <w:spacing w:after="0" w:line="240" w:lineRule="auto"/>
              <w:jc w:val="right"/>
              <w:rPr>
                <w:rFonts w:eastAsia="Times New Roman"/>
                <w:color w:val="000000" w:themeColor="text1"/>
                <w:sz w:val="16"/>
                <w:szCs w:val="16"/>
              </w:rPr>
            </w:pPr>
            <w:r w:rsidRPr="00D14CD7">
              <w:rPr>
                <w:rFonts w:eastAsia="Times New Roman"/>
                <w:color w:val="000000" w:themeColor="text1"/>
                <w:sz w:val="16"/>
                <w:szCs w:val="22"/>
              </w:rPr>
              <w:t>—</w:t>
            </w:r>
          </w:p>
        </w:tc>
        <w:tc>
          <w:tcPr>
            <w:tcW w:w="185" w:type="pct"/>
            <w:tcBorders>
              <w:top w:val="single" w:sz="4" w:space="0" w:color="auto"/>
              <w:bottom w:val="single" w:sz="8" w:space="0" w:color="auto"/>
              <w:right w:val="single" w:sz="8" w:space="0" w:color="auto"/>
            </w:tcBorders>
            <w:shd w:val="clear" w:color="auto" w:fill="auto"/>
            <w:noWrap/>
            <w:vAlign w:val="center"/>
            <w:hideMark/>
          </w:tcPr>
          <w:p w14:paraId="3A30223D" w14:textId="77777777" w:rsidR="005B6BB0" w:rsidRPr="00D14CD7" w:rsidRDefault="005B6BB0" w:rsidP="00286339">
            <w:pPr>
              <w:spacing w:after="0" w:line="240" w:lineRule="auto"/>
              <w:jc w:val="right"/>
              <w:rPr>
                <w:rFonts w:eastAsia="Times New Roman"/>
                <w:color w:val="000000" w:themeColor="text1"/>
                <w:sz w:val="16"/>
                <w:szCs w:val="16"/>
              </w:rPr>
            </w:pPr>
            <w:r w:rsidRPr="00D14CD7">
              <w:rPr>
                <w:rFonts w:eastAsia="Times New Roman"/>
                <w:color w:val="000000" w:themeColor="text1"/>
                <w:sz w:val="16"/>
                <w:szCs w:val="22"/>
              </w:rPr>
              <w:t>—</w:t>
            </w:r>
          </w:p>
        </w:tc>
        <w:tc>
          <w:tcPr>
            <w:tcW w:w="184" w:type="pct"/>
            <w:tcBorders>
              <w:top w:val="single" w:sz="4" w:space="0" w:color="auto"/>
              <w:left w:val="single" w:sz="8" w:space="0" w:color="auto"/>
              <w:bottom w:val="single" w:sz="8" w:space="0" w:color="auto"/>
            </w:tcBorders>
            <w:shd w:val="clear" w:color="auto" w:fill="auto"/>
            <w:noWrap/>
            <w:vAlign w:val="center"/>
            <w:hideMark/>
          </w:tcPr>
          <w:p w14:paraId="639E40FF" w14:textId="77777777" w:rsidR="005B6BB0" w:rsidRPr="00D14CD7" w:rsidRDefault="005B6BB0" w:rsidP="00286339">
            <w:pPr>
              <w:spacing w:after="0" w:line="240" w:lineRule="auto"/>
              <w:jc w:val="right"/>
              <w:rPr>
                <w:rFonts w:eastAsia="Times New Roman"/>
                <w:color w:val="000000" w:themeColor="text1"/>
                <w:sz w:val="16"/>
                <w:szCs w:val="16"/>
              </w:rPr>
            </w:pPr>
            <w:r w:rsidRPr="00D14CD7">
              <w:rPr>
                <w:rFonts w:eastAsia="Times New Roman"/>
                <w:color w:val="000000" w:themeColor="text1"/>
                <w:sz w:val="16"/>
                <w:szCs w:val="22"/>
              </w:rPr>
              <w:t>—</w:t>
            </w:r>
          </w:p>
        </w:tc>
        <w:tc>
          <w:tcPr>
            <w:tcW w:w="188" w:type="pct"/>
            <w:tcBorders>
              <w:top w:val="single" w:sz="4" w:space="0" w:color="auto"/>
              <w:bottom w:val="single" w:sz="8" w:space="0" w:color="auto"/>
              <w:right w:val="single" w:sz="8" w:space="0" w:color="auto"/>
            </w:tcBorders>
            <w:shd w:val="clear" w:color="auto" w:fill="auto"/>
            <w:noWrap/>
            <w:vAlign w:val="center"/>
            <w:hideMark/>
          </w:tcPr>
          <w:p w14:paraId="49305160" w14:textId="77777777" w:rsidR="005B6BB0" w:rsidRPr="00D14CD7" w:rsidRDefault="005B6BB0" w:rsidP="00286339">
            <w:pPr>
              <w:spacing w:after="0" w:line="240" w:lineRule="auto"/>
              <w:jc w:val="right"/>
              <w:rPr>
                <w:rFonts w:eastAsia="Times New Roman"/>
                <w:color w:val="000000" w:themeColor="text1"/>
                <w:sz w:val="16"/>
                <w:szCs w:val="16"/>
              </w:rPr>
            </w:pPr>
            <w:r w:rsidRPr="00D14CD7">
              <w:rPr>
                <w:rFonts w:eastAsia="Times New Roman"/>
                <w:color w:val="000000" w:themeColor="text1"/>
                <w:sz w:val="16"/>
                <w:szCs w:val="22"/>
              </w:rPr>
              <w:t>—</w:t>
            </w:r>
          </w:p>
        </w:tc>
        <w:tc>
          <w:tcPr>
            <w:tcW w:w="188" w:type="pct"/>
            <w:tcBorders>
              <w:top w:val="single" w:sz="4" w:space="0" w:color="auto"/>
              <w:left w:val="single" w:sz="8" w:space="0" w:color="auto"/>
              <w:bottom w:val="single" w:sz="8" w:space="0" w:color="auto"/>
            </w:tcBorders>
            <w:shd w:val="clear" w:color="auto" w:fill="auto"/>
            <w:noWrap/>
            <w:vAlign w:val="center"/>
            <w:hideMark/>
          </w:tcPr>
          <w:p w14:paraId="5DAEA870" w14:textId="77777777" w:rsidR="005B6BB0" w:rsidRPr="00D14CD7" w:rsidRDefault="005B6BB0" w:rsidP="00286339">
            <w:pPr>
              <w:spacing w:after="0" w:line="240" w:lineRule="auto"/>
              <w:jc w:val="right"/>
              <w:rPr>
                <w:rFonts w:eastAsia="Times New Roman"/>
                <w:color w:val="000000" w:themeColor="text1"/>
                <w:sz w:val="16"/>
                <w:szCs w:val="16"/>
              </w:rPr>
            </w:pPr>
            <w:proofErr w:type="spellStart"/>
            <w:r w:rsidRPr="00D14CD7">
              <w:rPr>
                <w:rFonts w:eastAsia="Times New Roman"/>
                <w:color w:val="000000" w:themeColor="text1"/>
                <w:sz w:val="16"/>
                <w:szCs w:val="22"/>
              </w:rPr>
              <w:t>na</w:t>
            </w:r>
            <w:proofErr w:type="spellEnd"/>
          </w:p>
        </w:tc>
        <w:tc>
          <w:tcPr>
            <w:tcW w:w="146" w:type="pct"/>
            <w:tcBorders>
              <w:top w:val="single" w:sz="4" w:space="0" w:color="auto"/>
              <w:bottom w:val="single" w:sz="8" w:space="0" w:color="auto"/>
              <w:right w:val="double" w:sz="4" w:space="0" w:color="auto"/>
            </w:tcBorders>
            <w:shd w:val="clear" w:color="auto" w:fill="auto"/>
            <w:noWrap/>
            <w:vAlign w:val="center"/>
            <w:hideMark/>
          </w:tcPr>
          <w:p w14:paraId="1080C55B" w14:textId="77777777" w:rsidR="005B6BB0" w:rsidRPr="00D14CD7" w:rsidRDefault="005B6BB0" w:rsidP="00286339">
            <w:pPr>
              <w:spacing w:after="0" w:line="240" w:lineRule="auto"/>
              <w:jc w:val="right"/>
              <w:rPr>
                <w:rFonts w:eastAsia="Times New Roman"/>
                <w:color w:val="000000" w:themeColor="text1"/>
                <w:sz w:val="16"/>
                <w:szCs w:val="16"/>
              </w:rPr>
            </w:pPr>
            <w:proofErr w:type="spellStart"/>
            <w:r w:rsidRPr="00D14CD7">
              <w:rPr>
                <w:rFonts w:eastAsia="Times New Roman"/>
                <w:color w:val="000000" w:themeColor="text1"/>
                <w:sz w:val="16"/>
                <w:szCs w:val="22"/>
              </w:rPr>
              <w:t>na</w:t>
            </w:r>
            <w:proofErr w:type="spellEnd"/>
          </w:p>
        </w:tc>
        <w:tc>
          <w:tcPr>
            <w:tcW w:w="184" w:type="pct"/>
            <w:tcBorders>
              <w:left w:val="double" w:sz="4" w:space="0" w:color="auto"/>
              <w:bottom w:val="single" w:sz="8" w:space="0" w:color="auto"/>
            </w:tcBorders>
            <w:shd w:val="clear" w:color="auto" w:fill="auto"/>
            <w:noWrap/>
            <w:vAlign w:val="center"/>
            <w:hideMark/>
          </w:tcPr>
          <w:p w14:paraId="371FE06B" w14:textId="77777777" w:rsidR="005B6BB0" w:rsidRPr="00D14CD7" w:rsidRDefault="005B6BB0" w:rsidP="00286339">
            <w:pPr>
              <w:spacing w:after="0" w:line="240" w:lineRule="auto"/>
              <w:jc w:val="right"/>
              <w:rPr>
                <w:rFonts w:eastAsia="Times New Roman"/>
                <w:color w:val="000000" w:themeColor="text1"/>
                <w:sz w:val="16"/>
                <w:szCs w:val="16"/>
              </w:rPr>
            </w:pPr>
            <w:r w:rsidRPr="00D14CD7">
              <w:rPr>
                <w:rFonts w:eastAsia="Times New Roman"/>
                <w:color w:val="000000" w:themeColor="text1"/>
                <w:sz w:val="16"/>
                <w:szCs w:val="22"/>
              </w:rPr>
              <w:t>—</w:t>
            </w:r>
          </w:p>
        </w:tc>
        <w:tc>
          <w:tcPr>
            <w:tcW w:w="184" w:type="pct"/>
            <w:tcBorders>
              <w:top w:val="single" w:sz="4" w:space="0" w:color="auto"/>
              <w:bottom w:val="single" w:sz="8" w:space="0" w:color="auto"/>
              <w:right w:val="single" w:sz="8" w:space="0" w:color="auto"/>
            </w:tcBorders>
            <w:shd w:val="clear" w:color="auto" w:fill="auto"/>
            <w:noWrap/>
            <w:vAlign w:val="center"/>
            <w:hideMark/>
          </w:tcPr>
          <w:p w14:paraId="5CF130BA" w14:textId="77777777" w:rsidR="005B6BB0" w:rsidRPr="00D14CD7" w:rsidRDefault="005B6BB0" w:rsidP="00286339">
            <w:pPr>
              <w:spacing w:after="0" w:line="240" w:lineRule="auto"/>
              <w:jc w:val="right"/>
              <w:rPr>
                <w:rFonts w:eastAsia="Times New Roman"/>
                <w:color w:val="000000" w:themeColor="text1"/>
                <w:sz w:val="16"/>
                <w:szCs w:val="16"/>
              </w:rPr>
            </w:pPr>
            <w:r w:rsidRPr="00D14CD7">
              <w:rPr>
                <w:rFonts w:eastAsia="Times New Roman"/>
                <w:color w:val="000000" w:themeColor="text1"/>
                <w:sz w:val="16"/>
                <w:szCs w:val="22"/>
              </w:rPr>
              <w:t>—</w:t>
            </w:r>
          </w:p>
        </w:tc>
        <w:tc>
          <w:tcPr>
            <w:tcW w:w="184" w:type="pct"/>
            <w:tcBorders>
              <w:left w:val="single" w:sz="8" w:space="0" w:color="auto"/>
              <w:bottom w:val="single" w:sz="8" w:space="0" w:color="auto"/>
            </w:tcBorders>
            <w:shd w:val="clear" w:color="auto" w:fill="auto"/>
            <w:noWrap/>
            <w:vAlign w:val="center"/>
            <w:hideMark/>
          </w:tcPr>
          <w:p w14:paraId="2BE730D4" w14:textId="77777777" w:rsidR="005B6BB0" w:rsidRPr="00D14CD7" w:rsidRDefault="005B6BB0" w:rsidP="00286339">
            <w:pPr>
              <w:spacing w:after="0" w:line="240" w:lineRule="auto"/>
              <w:jc w:val="right"/>
              <w:rPr>
                <w:rFonts w:eastAsia="Times New Roman"/>
                <w:color w:val="000000" w:themeColor="text1"/>
                <w:sz w:val="16"/>
                <w:szCs w:val="16"/>
              </w:rPr>
            </w:pPr>
            <w:r w:rsidRPr="00D14CD7">
              <w:rPr>
                <w:rFonts w:eastAsia="Times New Roman"/>
                <w:color w:val="000000" w:themeColor="text1"/>
                <w:sz w:val="16"/>
                <w:szCs w:val="22"/>
              </w:rPr>
              <w:t>—</w:t>
            </w:r>
          </w:p>
        </w:tc>
        <w:tc>
          <w:tcPr>
            <w:tcW w:w="185" w:type="pct"/>
            <w:tcBorders>
              <w:top w:val="single" w:sz="4" w:space="0" w:color="auto"/>
              <w:bottom w:val="single" w:sz="8" w:space="0" w:color="auto"/>
              <w:right w:val="single" w:sz="8" w:space="0" w:color="auto"/>
            </w:tcBorders>
            <w:shd w:val="clear" w:color="auto" w:fill="auto"/>
            <w:noWrap/>
            <w:vAlign w:val="center"/>
            <w:hideMark/>
          </w:tcPr>
          <w:p w14:paraId="5F490603" w14:textId="77777777" w:rsidR="005B6BB0" w:rsidRPr="00D14CD7" w:rsidRDefault="005B6BB0" w:rsidP="00286339">
            <w:pPr>
              <w:spacing w:after="0" w:line="240" w:lineRule="auto"/>
              <w:jc w:val="right"/>
              <w:rPr>
                <w:rFonts w:eastAsia="Times New Roman"/>
                <w:color w:val="000000" w:themeColor="text1"/>
                <w:sz w:val="16"/>
                <w:szCs w:val="16"/>
              </w:rPr>
            </w:pPr>
            <w:r w:rsidRPr="00D14CD7">
              <w:rPr>
                <w:rFonts w:eastAsia="Times New Roman"/>
                <w:color w:val="000000" w:themeColor="text1"/>
                <w:sz w:val="16"/>
                <w:szCs w:val="22"/>
              </w:rPr>
              <w:t>—</w:t>
            </w:r>
          </w:p>
        </w:tc>
        <w:tc>
          <w:tcPr>
            <w:tcW w:w="185" w:type="pct"/>
            <w:tcBorders>
              <w:left w:val="single" w:sz="8" w:space="0" w:color="auto"/>
              <w:bottom w:val="single" w:sz="8" w:space="0" w:color="auto"/>
            </w:tcBorders>
            <w:shd w:val="clear" w:color="auto" w:fill="auto"/>
            <w:noWrap/>
            <w:vAlign w:val="center"/>
            <w:hideMark/>
          </w:tcPr>
          <w:p w14:paraId="0F78887F" w14:textId="77777777" w:rsidR="005B6BB0" w:rsidRPr="00D14CD7" w:rsidRDefault="005B6BB0" w:rsidP="00286339">
            <w:pPr>
              <w:spacing w:after="0" w:line="240" w:lineRule="auto"/>
              <w:jc w:val="right"/>
              <w:rPr>
                <w:rFonts w:eastAsia="Times New Roman"/>
                <w:color w:val="000000" w:themeColor="text1"/>
                <w:sz w:val="16"/>
                <w:szCs w:val="16"/>
              </w:rPr>
            </w:pPr>
            <w:r w:rsidRPr="00D14CD7">
              <w:rPr>
                <w:rFonts w:eastAsia="Times New Roman"/>
                <w:color w:val="000000" w:themeColor="text1"/>
                <w:sz w:val="16"/>
                <w:szCs w:val="22"/>
              </w:rPr>
              <w:t>—</w:t>
            </w:r>
          </w:p>
        </w:tc>
        <w:tc>
          <w:tcPr>
            <w:tcW w:w="185" w:type="pct"/>
            <w:tcBorders>
              <w:top w:val="single" w:sz="4" w:space="0" w:color="auto"/>
              <w:bottom w:val="single" w:sz="8" w:space="0" w:color="auto"/>
              <w:right w:val="single" w:sz="8" w:space="0" w:color="auto"/>
            </w:tcBorders>
            <w:shd w:val="clear" w:color="auto" w:fill="auto"/>
            <w:noWrap/>
            <w:vAlign w:val="center"/>
            <w:hideMark/>
          </w:tcPr>
          <w:p w14:paraId="1E1916BA" w14:textId="77777777" w:rsidR="005B6BB0" w:rsidRPr="00D14CD7" w:rsidRDefault="005B6BB0" w:rsidP="00286339">
            <w:pPr>
              <w:spacing w:after="0" w:line="240" w:lineRule="auto"/>
              <w:jc w:val="right"/>
              <w:rPr>
                <w:rFonts w:eastAsia="Times New Roman"/>
                <w:color w:val="000000" w:themeColor="text1"/>
                <w:sz w:val="16"/>
                <w:szCs w:val="16"/>
              </w:rPr>
            </w:pPr>
            <w:r w:rsidRPr="00D14CD7">
              <w:rPr>
                <w:rFonts w:eastAsia="Times New Roman"/>
                <w:color w:val="000000" w:themeColor="text1"/>
                <w:sz w:val="16"/>
                <w:szCs w:val="22"/>
              </w:rPr>
              <w:t>—</w:t>
            </w:r>
          </w:p>
        </w:tc>
        <w:tc>
          <w:tcPr>
            <w:tcW w:w="156" w:type="pct"/>
            <w:tcBorders>
              <w:left w:val="single" w:sz="8" w:space="0" w:color="auto"/>
              <w:bottom w:val="single" w:sz="8" w:space="0" w:color="auto"/>
            </w:tcBorders>
            <w:shd w:val="clear" w:color="auto" w:fill="auto"/>
            <w:noWrap/>
            <w:vAlign w:val="center"/>
            <w:hideMark/>
          </w:tcPr>
          <w:p w14:paraId="4389A5F3" w14:textId="77777777" w:rsidR="005B6BB0" w:rsidRPr="00D14CD7" w:rsidRDefault="005B6BB0" w:rsidP="00286339">
            <w:pPr>
              <w:spacing w:after="0" w:line="240" w:lineRule="auto"/>
              <w:jc w:val="right"/>
              <w:rPr>
                <w:rFonts w:eastAsia="Times New Roman"/>
                <w:color w:val="000000" w:themeColor="text1"/>
                <w:sz w:val="16"/>
                <w:szCs w:val="16"/>
              </w:rPr>
            </w:pPr>
            <w:proofErr w:type="spellStart"/>
            <w:r w:rsidRPr="00D14CD7">
              <w:rPr>
                <w:rFonts w:eastAsia="Times New Roman"/>
                <w:color w:val="000000" w:themeColor="text1"/>
                <w:sz w:val="16"/>
                <w:szCs w:val="22"/>
              </w:rPr>
              <w:t>na</w:t>
            </w:r>
            <w:proofErr w:type="spellEnd"/>
          </w:p>
        </w:tc>
        <w:tc>
          <w:tcPr>
            <w:tcW w:w="157" w:type="pct"/>
            <w:tcBorders>
              <w:bottom w:val="single" w:sz="8" w:space="0" w:color="auto"/>
              <w:right w:val="double" w:sz="4" w:space="0" w:color="auto"/>
            </w:tcBorders>
            <w:shd w:val="clear" w:color="auto" w:fill="auto"/>
            <w:noWrap/>
            <w:vAlign w:val="center"/>
            <w:hideMark/>
          </w:tcPr>
          <w:p w14:paraId="12B046F4" w14:textId="77777777" w:rsidR="005B6BB0" w:rsidRPr="00D14CD7" w:rsidRDefault="005B6BB0" w:rsidP="00286339">
            <w:pPr>
              <w:spacing w:after="0" w:line="240" w:lineRule="auto"/>
              <w:jc w:val="right"/>
              <w:rPr>
                <w:rFonts w:eastAsia="Times New Roman"/>
                <w:color w:val="000000" w:themeColor="text1"/>
                <w:sz w:val="16"/>
                <w:szCs w:val="16"/>
              </w:rPr>
            </w:pPr>
            <w:proofErr w:type="spellStart"/>
            <w:r w:rsidRPr="00D14CD7">
              <w:rPr>
                <w:rFonts w:eastAsia="Times New Roman"/>
                <w:color w:val="000000" w:themeColor="text1"/>
                <w:sz w:val="16"/>
                <w:szCs w:val="22"/>
              </w:rPr>
              <w:t>na</w:t>
            </w:r>
            <w:proofErr w:type="spellEnd"/>
          </w:p>
        </w:tc>
        <w:tc>
          <w:tcPr>
            <w:tcW w:w="187" w:type="pct"/>
            <w:tcBorders>
              <w:top w:val="single" w:sz="4" w:space="0" w:color="auto"/>
              <w:left w:val="double" w:sz="4" w:space="0" w:color="auto"/>
              <w:bottom w:val="single" w:sz="8" w:space="0" w:color="auto"/>
            </w:tcBorders>
            <w:shd w:val="clear" w:color="auto" w:fill="auto"/>
            <w:noWrap/>
            <w:vAlign w:val="center"/>
            <w:hideMark/>
          </w:tcPr>
          <w:p w14:paraId="0F9EB2CB" w14:textId="77777777" w:rsidR="005B6BB0" w:rsidRPr="00D14CD7" w:rsidRDefault="005B6BB0" w:rsidP="00286339">
            <w:pPr>
              <w:spacing w:after="0" w:line="240" w:lineRule="auto"/>
              <w:jc w:val="right"/>
              <w:rPr>
                <w:rFonts w:eastAsia="Times New Roman"/>
                <w:color w:val="000000" w:themeColor="text1"/>
                <w:sz w:val="16"/>
                <w:szCs w:val="16"/>
              </w:rPr>
            </w:pPr>
            <w:r w:rsidRPr="00D14CD7">
              <w:rPr>
                <w:rFonts w:eastAsia="Times New Roman"/>
                <w:color w:val="000000" w:themeColor="text1"/>
                <w:sz w:val="16"/>
                <w:szCs w:val="16"/>
              </w:rPr>
              <w:t>-0.060</w:t>
            </w:r>
          </w:p>
        </w:tc>
        <w:tc>
          <w:tcPr>
            <w:tcW w:w="183" w:type="pct"/>
            <w:tcBorders>
              <w:bottom w:val="single" w:sz="8" w:space="0" w:color="auto"/>
            </w:tcBorders>
            <w:shd w:val="clear" w:color="auto" w:fill="auto"/>
            <w:noWrap/>
            <w:vAlign w:val="center"/>
            <w:hideMark/>
          </w:tcPr>
          <w:p w14:paraId="563DD968" w14:textId="77777777" w:rsidR="005B6BB0" w:rsidRPr="00D14CD7" w:rsidRDefault="005B6BB0" w:rsidP="00286339">
            <w:pPr>
              <w:spacing w:after="0" w:line="240" w:lineRule="auto"/>
              <w:jc w:val="right"/>
              <w:rPr>
                <w:rFonts w:eastAsia="Times New Roman"/>
                <w:color w:val="000000" w:themeColor="text1"/>
                <w:sz w:val="16"/>
                <w:szCs w:val="16"/>
              </w:rPr>
            </w:pPr>
            <w:r w:rsidRPr="00D14CD7">
              <w:rPr>
                <w:rFonts w:eastAsia="Times New Roman"/>
                <w:color w:val="000000" w:themeColor="text1"/>
                <w:sz w:val="16"/>
                <w:szCs w:val="16"/>
              </w:rPr>
              <w:t>-1.98</w:t>
            </w:r>
          </w:p>
        </w:tc>
      </w:tr>
      <w:tr w:rsidR="00D14CD7" w:rsidRPr="00D14CD7" w14:paraId="18F55D84" w14:textId="77777777" w:rsidTr="00286339">
        <w:trPr>
          <w:trHeight w:val="72"/>
        </w:trPr>
        <w:tc>
          <w:tcPr>
            <w:tcW w:w="5000" w:type="pct"/>
            <w:gridSpan w:val="19"/>
            <w:tcBorders>
              <w:top w:val="single" w:sz="8" w:space="0" w:color="auto"/>
              <w:bottom w:val="single" w:sz="8" w:space="0" w:color="auto"/>
            </w:tcBorders>
            <w:shd w:val="clear" w:color="auto" w:fill="auto"/>
            <w:noWrap/>
            <w:vAlign w:val="center"/>
            <w:hideMark/>
          </w:tcPr>
          <w:p w14:paraId="73D6F802" w14:textId="77777777" w:rsidR="005B6BB0" w:rsidRPr="00D14CD7" w:rsidRDefault="005B6BB0" w:rsidP="00286339">
            <w:pPr>
              <w:spacing w:after="0" w:line="240" w:lineRule="auto"/>
              <w:jc w:val="left"/>
              <w:rPr>
                <w:rFonts w:eastAsia="Times New Roman"/>
                <w:color w:val="000000" w:themeColor="text1"/>
                <w:sz w:val="20"/>
                <w:szCs w:val="20"/>
              </w:rPr>
            </w:pPr>
            <w:r w:rsidRPr="00D14CD7">
              <w:rPr>
                <w:rFonts w:eastAsia="Times New Roman"/>
                <w:b/>
                <w:bCs/>
                <w:color w:val="000000" w:themeColor="text1"/>
                <w:sz w:val="16"/>
                <w:szCs w:val="16"/>
              </w:rPr>
              <w:t>Employment Status/Job Characteristics</w:t>
            </w:r>
          </w:p>
        </w:tc>
      </w:tr>
      <w:tr w:rsidR="00D14CD7" w:rsidRPr="00D14CD7" w14:paraId="685B8E90" w14:textId="77777777" w:rsidTr="00286339">
        <w:trPr>
          <w:trHeight w:val="72"/>
        </w:trPr>
        <w:tc>
          <w:tcPr>
            <w:tcW w:w="5000" w:type="pct"/>
            <w:gridSpan w:val="19"/>
            <w:tcBorders>
              <w:top w:val="single" w:sz="8" w:space="0" w:color="auto"/>
              <w:bottom w:val="single" w:sz="4" w:space="0" w:color="auto"/>
            </w:tcBorders>
            <w:shd w:val="clear" w:color="auto" w:fill="auto"/>
            <w:noWrap/>
            <w:vAlign w:val="center"/>
            <w:hideMark/>
          </w:tcPr>
          <w:p w14:paraId="18113CF0" w14:textId="77777777" w:rsidR="005B6BB0" w:rsidRPr="00D14CD7" w:rsidRDefault="005B6BB0" w:rsidP="00286339">
            <w:pPr>
              <w:spacing w:after="0" w:line="240" w:lineRule="auto"/>
              <w:jc w:val="left"/>
              <w:rPr>
                <w:rFonts w:eastAsia="Times New Roman"/>
                <w:color w:val="000000" w:themeColor="text1"/>
                <w:sz w:val="20"/>
                <w:szCs w:val="20"/>
              </w:rPr>
            </w:pPr>
            <w:r w:rsidRPr="00D14CD7">
              <w:rPr>
                <w:rFonts w:eastAsia="Times New Roman"/>
                <w:b/>
                <w:bCs/>
                <w:i/>
                <w:iCs/>
                <w:color w:val="000000" w:themeColor="text1"/>
                <w:sz w:val="16"/>
                <w:szCs w:val="16"/>
              </w:rPr>
              <w:t>Number of workdays per month</w:t>
            </w:r>
          </w:p>
        </w:tc>
      </w:tr>
      <w:tr w:rsidR="00D14CD7" w:rsidRPr="00D14CD7" w14:paraId="7549BCE4" w14:textId="77777777" w:rsidTr="00286339">
        <w:trPr>
          <w:trHeight w:val="72"/>
        </w:trPr>
        <w:tc>
          <w:tcPr>
            <w:tcW w:w="1709" w:type="pct"/>
            <w:tcBorders>
              <w:top w:val="single" w:sz="4" w:space="0" w:color="auto"/>
              <w:bottom w:val="single" w:sz="8" w:space="0" w:color="auto"/>
              <w:right w:val="double" w:sz="4" w:space="0" w:color="auto"/>
            </w:tcBorders>
            <w:shd w:val="clear" w:color="auto" w:fill="auto"/>
            <w:noWrap/>
            <w:vAlign w:val="center"/>
            <w:hideMark/>
          </w:tcPr>
          <w:p w14:paraId="1B79202D" w14:textId="77777777" w:rsidR="005B6BB0" w:rsidRPr="00D14CD7" w:rsidRDefault="005B6BB0" w:rsidP="00286339">
            <w:pPr>
              <w:spacing w:after="0" w:line="240" w:lineRule="auto"/>
              <w:ind w:firstLine="140"/>
              <w:jc w:val="left"/>
              <w:rPr>
                <w:rFonts w:eastAsia="Times New Roman"/>
                <w:color w:val="000000" w:themeColor="text1"/>
                <w:sz w:val="16"/>
                <w:szCs w:val="16"/>
              </w:rPr>
            </w:pPr>
            <w:r w:rsidRPr="00D14CD7">
              <w:rPr>
                <w:rFonts w:eastAsia="Times New Roman"/>
                <w:color w:val="000000" w:themeColor="text1"/>
                <w:sz w:val="16"/>
                <w:szCs w:val="22"/>
              </w:rPr>
              <w:t>Number of workdays</w:t>
            </w:r>
          </w:p>
        </w:tc>
        <w:tc>
          <w:tcPr>
            <w:tcW w:w="227" w:type="pct"/>
            <w:tcBorders>
              <w:top w:val="single" w:sz="4" w:space="0" w:color="auto"/>
              <w:left w:val="double" w:sz="4" w:space="0" w:color="auto"/>
              <w:bottom w:val="single" w:sz="8" w:space="0" w:color="auto"/>
            </w:tcBorders>
            <w:shd w:val="clear" w:color="auto" w:fill="auto"/>
            <w:noWrap/>
            <w:vAlign w:val="center"/>
            <w:hideMark/>
          </w:tcPr>
          <w:p w14:paraId="10D42D7A" w14:textId="77777777" w:rsidR="005B6BB0" w:rsidRPr="00D14CD7" w:rsidRDefault="005B6BB0" w:rsidP="00286339">
            <w:pPr>
              <w:spacing w:after="0" w:line="240" w:lineRule="auto"/>
              <w:jc w:val="right"/>
              <w:rPr>
                <w:rFonts w:eastAsia="Times New Roman"/>
                <w:color w:val="000000" w:themeColor="text1"/>
                <w:sz w:val="16"/>
                <w:szCs w:val="16"/>
              </w:rPr>
            </w:pPr>
            <w:r w:rsidRPr="00D14CD7">
              <w:rPr>
                <w:rFonts w:eastAsia="Times New Roman"/>
                <w:color w:val="000000" w:themeColor="text1"/>
                <w:sz w:val="16"/>
                <w:szCs w:val="22"/>
              </w:rPr>
              <w:t>—</w:t>
            </w:r>
          </w:p>
        </w:tc>
        <w:tc>
          <w:tcPr>
            <w:tcW w:w="199" w:type="pct"/>
            <w:tcBorders>
              <w:top w:val="single" w:sz="4" w:space="0" w:color="auto"/>
              <w:bottom w:val="single" w:sz="8" w:space="0" w:color="auto"/>
              <w:right w:val="single" w:sz="8" w:space="0" w:color="auto"/>
            </w:tcBorders>
            <w:shd w:val="clear" w:color="auto" w:fill="auto"/>
            <w:noWrap/>
            <w:vAlign w:val="center"/>
            <w:hideMark/>
          </w:tcPr>
          <w:p w14:paraId="36E14D9B" w14:textId="77777777" w:rsidR="005B6BB0" w:rsidRPr="00D14CD7" w:rsidRDefault="005B6BB0" w:rsidP="00286339">
            <w:pPr>
              <w:spacing w:after="0" w:line="240" w:lineRule="auto"/>
              <w:jc w:val="right"/>
              <w:rPr>
                <w:rFonts w:eastAsia="Times New Roman"/>
                <w:color w:val="000000" w:themeColor="text1"/>
                <w:sz w:val="16"/>
                <w:szCs w:val="16"/>
              </w:rPr>
            </w:pPr>
            <w:r w:rsidRPr="00D14CD7">
              <w:rPr>
                <w:rFonts w:eastAsia="Times New Roman"/>
                <w:color w:val="000000" w:themeColor="text1"/>
                <w:sz w:val="16"/>
                <w:szCs w:val="22"/>
              </w:rPr>
              <w:t>—</w:t>
            </w:r>
          </w:p>
        </w:tc>
        <w:tc>
          <w:tcPr>
            <w:tcW w:w="184" w:type="pct"/>
            <w:tcBorders>
              <w:top w:val="single" w:sz="4" w:space="0" w:color="auto"/>
              <w:left w:val="single" w:sz="8" w:space="0" w:color="auto"/>
              <w:bottom w:val="single" w:sz="8" w:space="0" w:color="auto"/>
            </w:tcBorders>
            <w:shd w:val="clear" w:color="auto" w:fill="auto"/>
            <w:noWrap/>
            <w:vAlign w:val="center"/>
            <w:hideMark/>
          </w:tcPr>
          <w:p w14:paraId="7C6AF431" w14:textId="77777777" w:rsidR="005B6BB0" w:rsidRPr="00D14CD7" w:rsidRDefault="005B6BB0" w:rsidP="00286339">
            <w:pPr>
              <w:spacing w:after="0" w:line="240" w:lineRule="auto"/>
              <w:jc w:val="right"/>
              <w:rPr>
                <w:rFonts w:eastAsia="Times New Roman"/>
                <w:color w:val="000000" w:themeColor="text1"/>
                <w:sz w:val="16"/>
                <w:szCs w:val="16"/>
              </w:rPr>
            </w:pPr>
            <w:r w:rsidRPr="00D14CD7">
              <w:rPr>
                <w:rFonts w:eastAsia="Times New Roman"/>
                <w:color w:val="000000" w:themeColor="text1"/>
                <w:sz w:val="16"/>
                <w:szCs w:val="22"/>
              </w:rPr>
              <w:t>—</w:t>
            </w:r>
          </w:p>
        </w:tc>
        <w:tc>
          <w:tcPr>
            <w:tcW w:w="185" w:type="pct"/>
            <w:tcBorders>
              <w:top w:val="single" w:sz="4" w:space="0" w:color="auto"/>
              <w:bottom w:val="single" w:sz="8" w:space="0" w:color="auto"/>
              <w:right w:val="single" w:sz="8" w:space="0" w:color="auto"/>
            </w:tcBorders>
            <w:shd w:val="clear" w:color="auto" w:fill="auto"/>
            <w:noWrap/>
            <w:vAlign w:val="center"/>
            <w:hideMark/>
          </w:tcPr>
          <w:p w14:paraId="2E27078B" w14:textId="77777777" w:rsidR="005B6BB0" w:rsidRPr="00D14CD7" w:rsidRDefault="005B6BB0" w:rsidP="00286339">
            <w:pPr>
              <w:spacing w:after="0" w:line="240" w:lineRule="auto"/>
              <w:jc w:val="right"/>
              <w:rPr>
                <w:rFonts w:eastAsia="Times New Roman"/>
                <w:color w:val="000000" w:themeColor="text1"/>
                <w:sz w:val="16"/>
                <w:szCs w:val="16"/>
              </w:rPr>
            </w:pPr>
            <w:r w:rsidRPr="00D14CD7">
              <w:rPr>
                <w:rFonts w:eastAsia="Times New Roman"/>
                <w:color w:val="000000" w:themeColor="text1"/>
                <w:sz w:val="16"/>
                <w:szCs w:val="22"/>
              </w:rPr>
              <w:t>—</w:t>
            </w:r>
          </w:p>
        </w:tc>
        <w:tc>
          <w:tcPr>
            <w:tcW w:w="184" w:type="pct"/>
            <w:tcBorders>
              <w:top w:val="single" w:sz="4" w:space="0" w:color="auto"/>
              <w:left w:val="single" w:sz="8" w:space="0" w:color="auto"/>
              <w:bottom w:val="single" w:sz="8" w:space="0" w:color="auto"/>
            </w:tcBorders>
            <w:shd w:val="clear" w:color="auto" w:fill="auto"/>
            <w:noWrap/>
            <w:vAlign w:val="center"/>
            <w:hideMark/>
          </w:tcPr>
          <w:p w14:paraId="2A593032" w14:textId="77777777" w:rsidR="005B6BB0" w:rsidRPr="00D14CD7" w:rsidRDefault="005B6BB0" w:rsidP="00286339">
            <w:pPr>
              <w:spacing w:after="0" w:line="240" w:lineRule="auto"/>
              <w:jc w:val="right"/>
              <w:rPr>
                <w:rFonts w:eastAsia="Times New Roman"/>
                <w:color w:val="000000" w:themeColor="text1"/>
                <w:sz w:val="16"/>
                <w:szCs w:val="16"/>
              </w:rPr>
            </w:pPr>
            <w:r w:rsidRPr="00D14CD7">
              <w:rPr>
                <w:rFonts w:eastAsia="Times New Roman"/>
                <w:color w:val="000000" w:themeColor="text1"/>
                <w:sz w:val="16"/>
                <w:szCs w:val="22"/>
              </w:rPr>
              <w:t>—</w:t>
            </w:r>
          </w:p>
        </w:tc>
        <w:tc>
          <w:tcPr>
            <w:tcW w:w="188" w:type="pct"/>
            <w:tcBorders>
              <w:top w:val="single" w:sz="4" w:space="0" w:color="auto"/>
              <w:bottom w:val="single" w:sz="8" w:space="0" w:color="auto"/>
              <w:right w:val="single" w:sz="8" w:space="0" w:color="auto"/>
            </w:tcBorders>
            <w:shd w:val="clear" w:color="auto" w:fill="auto"/>
            <w:noWrap/>
            <w:vAlign w:val="center"/>
            <w:hideMark/>
          </w:tcPr>
          <w:p w14:paraId="3A9AB9B1" w14:textId="77777777" w:rsidR="005B6BB0" w:rsidRPr="00D14CD7" w:rsidRDefault="005B6BB0" w:rsidP="00286339">
            <w:pPr>
              <w:spacing w:after="0" w:line="240" w:lineRule="auto"/>
              <w:jc w:val="right"/>
              <w:rPr>
                <w:rFonts w:eastAsia="Times New Roman"/>
                <w:color w:val="000000" w:themeColor="text1"/>
                <w:sz w:val="16"/>
                <w:szCs w:val="16"/>
              </w:rPr>
            </w:pPr>
            <w:r w:rsidRPr="00D14CD7">
              <w:rPr>
                <w:rFonts w:eastAsia="Times New Roman"/>
                <w:color w:val="000000" w:themeColor="text1"/>
                <w:sz w:val="16"/>
                <w:szCs w:val="22"/>
              </w:rPr>
              <w:t>—</w:t>
            </w:r>
          </w:p>
        </w:tc>
        <w:tc>
          <w:tcPr>
            <w:tcW w:w="188" w:type="pct"/>
            <w:tcBorders>
              <w:top w:val="single" w:sz="4" w:space="0" w:color="auto"/>
              <w:left w:val="single" w:sz="8" w:space="0" w:color="auto"/>
              <w:bottom w:val="single" w:sz="8" w:space="0" w:color="auto"/>
            </w:tcBorders>
            <w:shd w:val="clear" w:color="auto" w:fill="auto"/>
            <w:noWrap/>
            <w:vAlign w:val="center"/>
            <w:hideMark/>
          </w:tcPr>
          <w:p w14:paraId="5CD298BC" w14:textId="77777777" w:rsidR="005B6BB0" w:rsidRPr="00D14CD7" w:rsidRDefault="005B6BB0" w:rsidP="00286339">
            <w:pPr>
              <w:spacing w:after="0" w:line="240" w:lineRule="auto"/>
              <w:jc w:val="right"/>
              <w:rPr>
                <w:rFonts w:eastAsia="Times New Roman"/>
                <w:color w:val="000000" w:themeColor="text1"/>
                <w:sz w:val="16"/>
                <w:szCs w:val="16"/>
              </w:rPr>
            </w:pPr>
            <w:proofErr w:type="spellStart"/>
            <w:r w:rsidRPr="00D14CD7">
              <w:rPr>
                <w:rFonts w:eastAsia="Times New Roman"/>
                <w:color w:val="000000" w:themeColor="text1"/>
                <w:sz w:val="16"/>
                <w:szCs w:val="22"/>
              </w:rPr>
              <w:t>na</w:t>
            </w:r>
            <w:proofErr w:type="spellEnd"/>
          </w:p>
        </w:tc>
        <w:tc>
          <w:tcPr>
            <w:tcW w:w="146" w:type="pct"/>
            <w:tcBorders>
              <w:top w:val="single" w:sz="4" w:space="0" w:color="auto"/>
              <w:bottom w:val="single" w:sz="8" w:space="0" w:color="auto"/>
              <w:right w:val="double" w:sz="4" w:space="0" w:color="auto"/>
            </w:tcBorders>
            <w:shd w:val="clear" w:color="auto" w:fill="auto"/>
            <w:noWrap/>
            <w:vAlign w:val="center"/>
            <w:hideMark/>
          </w:tcPr>
          <w:p w14:paraId="163A518C" w14:textId="77777777" w:rsidR="005B6BB0" w:rsidRPr="00D14CD7" w:rsidRDefault="005B6BB0" w:rsidP="00286339">
            <w:pPr>
              <w:spacing w:after="0" w:line="240" w:lineRule="auto"/>
              <w:jc w:val="right"/>
              <w:rPr>
                <w:rFonts w:eastAsia="Times New Roman"/>
                <w:color w:val="000000" w:themeColor="text1"/>
                <w:sz w:val="16"/>
                <w:szCs w:val="16"/>
              </w:rPr>
            </w:pPr>
            <w:proofErr w:type="spellStart"/>
            <w:r w:rsidRPr="00D14CD7">
              <w:rPr>
                <w:rFonts w:eastAsia="Times New Roman"/>
                <w:color w:val="000000" w:themeColor="text1"/>
                <w:sz w:val="16"/>
                <w:szCs w:val="22"/>
              </w:rPr>
              <w:t>na</w:t>
            </w:r>
            <w:proofErr w:type="spellEnd"/>
          </w:p>
        </w:tc>
        <w:tc>
          <w:tcPr>
            <w:tcW w:w="184" w:type="pct"/>
            <w:tcBorders>
              <w:left w:val="double" w:sz="4" w:space="0" w:color="auto"/>
              <w:bottom w:val="single" w:sz="8" w:space="0" w:color="auto"/>
            </w:tcBorders>
            <w:shd w:val="clear" w:color="auto" w:fill="auto"/>
            <w:noWrap/>
            <w:vAlign w:val="center"/>
            <w:hideMark/>
          </w:tcPr>
          <w:p w14:paraId="565714E4" w14:textId="77777777" w:rsidR="005B6BB0" w:rsidRPr="00D14CD7" w:rsidRDefault="005B6BB0" w:rsidP="00286339">
            <w:pPr>
              <w:spacing w:after="0" w:line="240" w:lineRule="auto"/>
              <w:jc w:val="right"/>
              <w:rPr>
                <w:rFonts w:eastAsia="Times New Roman"/>
                <w:color w:val="000000" w:themeColor="text1"/>
                <w:sz w:val="16"/>
                <w:szCs w:val="16"/>
              </w:rPr>
            </w:pPr>
            <w:r w:rsidRPr="00D14CD7">
              <w:rPr>
                <w:rFonts w:eastAsia="Times New Roman"/>
                <w:color w:val="000000" w:themeColor="text1"/>
                <w:sz w:val="16"/>
                <w:szCs w:val="22"/>
              </w:rPr>
              <w:t>—</w:t>
            </w:r>
          </w:p>
        </w:tc>
        <w:tc>
          <w:tcPr>
            <w:tcW w:w="184" w:type="pct"/>
            <w:tcBorders>
              <w:top w:val="single" w:sz="4" w:space="0" w:color="auto"/>
              <w:bottom w:val="single" w:sz="8" w:space="0" w:color="auto"/>
              <w:right w:val="single" w:sz="8" w:space="0" w:color="auto"/>
            </w:tcBorders>
            <w:shd w:val="clear" w:color="auto" w:fill="auto"/>
            <w:noWrap/>
            <w:vAlign w:val="center"/>
            <w:hideMark/>
          </w:tcPr>
          <w:p w14:paraId="65C94F09" w14:textId="77777777" w:rsidR="005B6BB0" w:rsidRPr="00D14CD7" w:rsidRDefault="005B6BB0" w:rsidP="00286339">
            <w:pPr>
              <w:spacing w:after="0" w:line="240" w:lineRule="auto"/>
              <w:jc w:val="right"/>
              <w:rPr>
                <w:rFonts w:eastAsia="Times New Roman"/>
                <w:color w:val="000000" w:themeColor="text1"/>
                <w:sz w:val="16"/>
                <w:szCs w:val="16"/>
              </w:rPr>
            </w:pPr>
            <w:r w:rsidRPr="00D14CD7">
              <w:rPr>
                <w:rFonts w:eastAsia="Times New Roman"/>
                <w:color w:val="000000" w:themeColor="text1"/>
                <w:sz w:val="16"/>
                <w:szCs w:val="22"/>
              </w:rPr>
              <w:t>—</w:t>
            </w:r>
          </w:p>
        </w:tc>
        <w:tc>
          <w:tcPr>
            <w:tcW w:w="184" w:type="pct"/>
            <w:tcBorders>
              <w:left w:val="single" w:sz="8" w:space="0" w:color="auto"/>
              <w:bottom w:val="single" w:sz="8" w:space="0" w:color="auto"/>
            </w:tcBorders>
            <w:shd w:val="clear" w:color="auto" w:fill="auto"/>
            <w:noWrap/>
            <w:vAlign w:val="center"/>
            <w:hideMark/>
          </w:tcPr>
          <w:p w14:paraId="76E9EECC" w14:textId="77777777" w:rsidR="005B6BB0" w:rsidRPr="00D14CD7" w:rsidRDefault="005B6BB0" w:rsidP="00286339">
            <w:pPr>
              <w:spacing w:after="0" w:line="240" w:lineRule="auto"/>
              <w:jc w:val="right"/>
              <w:rPr>
                <w:rFonts w:eastAsia="Times New Roman"/>
                <w:color w:val="000000" w:themeColor="text1"/>
                <w:sz w:val="16"/>
                <w:szCs w:val="16"/>
              </w:rPr>
            </w:pPr>
            <w:r w:rsidRPr="00D14CD7">
              <w:rPr>
                <w:rFonts w:eastAsia="Times New Roman"/>
                <w:color w:val="000000" w:themeColor="text1"/>
                <w:sz w:val="16"/>
                <w:szCs w:val="22"/>
              </w:rPr>
              <w:t>—</w:t>
            </w:r>
          </w:p>
        </w:tc>
        <w:tc>
          <w:tcPr>
            <w:tcW w:w="185" w:type="pct"/>
            <w:tcBorders>
              <w:top w:val="single" w:sz="4" w:space="0" w:color="auto"/>
              <w:bottom w:val="single" w:sz="8" w:space="0" w:color="auto"/>
              <w:right w:val="single" w:sz="8" w:space="0" w:color="auto"/>
            </w:tcBorders>
            <w:shd w:val="clear" w:color="auto" w:fill="auto"/>
            <w:noWrap/>
            <w:vAlign w:val="center"/>
            <w:hideMark/>
          </w:tcPr>
          <w:p w14:paraId="077B02D9" w14:textId="77777777" w:rsidR="005B6BB0" w:rsidRPr="00D14CD7" w:rsidRDefault="005B6BB0" w:rsidP="00286339">
            <w:pPr>
              <w:spacing w:after="0" w:line="240" w:lineRule="auto"/>
              <w:jc w:val="right"/>
              <w:rPr>
                <w:rFonts w:eastAsia="Times New Roman"/>
                <w:color w:val="000000" w:themeColor="text1"/>
                <w:sz w:val="16"/>
                <w:szCs w:val="16"/>
              </w:rPr>
            </w:pPr>
            <w:r w:rsidRPr="00D14CD7">
              <w:rPr>
                <w:rFonts w:eastAsia="Times New Roman"/>
                <w:color w:val="000000" w:themeColor="text1"/>
                <w:sz w:val="16"/>
                <w:szCs w:val="22"/>
              </w:rPr>
              <w:t>—</w:t>
            </w:r>
          </w:p>
        </w:tc>
        <w:tc>
          <w:tcPr>
            <w:tcW w:w="185" w:type="pct"/>
            <w:tcBorders>
              <w:left w:val="single" w:sz="8" w:space="0" w:color="auto"/>
              <w:bottom w:val="single" w:sz="8" w:space="0" w:color="auto"/>
            </w:tcBorders>
            <w:shd w:val="clear" w:color="auto" w:fill="auto"/>
            <w:noWrap/>
            <w:vAlign w:val="center"/>
            <w:hideMark/>
          </w:tcPr>
          <w:p w14:paraId="1528E054" w14:textId="77777777" w:rsidR="005B6BB0" w:rsidRPr="00D14CD7" w:rsidRDefault="005B6BB0" w:rsidP="00286339">
            <w:pPr>
              <w:spacing w:after="0" w:line="240" w:lineRule="auto"/>
              <w:jc w:val="right"/>
              <w:rPr>
                <w:rFonts w:eastAsia="Times New Roman"/>
                <w:color w:val="000000" w:themeColor="text1"/>
                <w:sz w:val="16"/>
                <w:szCs w:val="16"/>
              </w:rPr>
            </w:pPr>
            <w:r w:rsidRPr="00D14CD7">
              <w:rPr>
                <w:rFonts w:eastAsia="Times New Roman"/>
                <w:color w:val="000000" w:themeColor="text1"/>
                <w:sz w:val="16"/>
                <w:szCs w:val="22"/>
              </w:rPr>
              <w:t>—</w:t>
            </w:r>
          </w:p>
        </w:tc>
        <w:tc>
          <w:tcPr>
            <w:tcW w:w="185" w:type="pct"/>
            <w:tcBorders>
              <w:top w:val="single" w:sz="4" w:space="0" w:color="auto"/>
              <w:bottom w:val="single" w:sz="8" w:space="0" w:color="auto"/>
              <w:right w:val="single" w:sz="8" w:space="0" w:color="auto"/>
            </w:tcBorders>
            <w:shd w:val="clear" w:color="auto" w:fill="auto"/>
            <w:noWrap/>
            <w:vAlign w:val="center"/>
            <w:hideMark/>
          </w:tcPr>
          <w:p w14:paraId="5C32B168" w14:textId="77777777" w:rsidR="005B6BB0" w:rsidRPr="00D14CD7" w:rsidRDefault="005B6BB0" w:rsidP="00286339">
            <w:pPr>
              <w:spacing w:after="0" w:line="240" w:lineRule="auto"/>
              <w:jc w:val="right"/>
              <w:rPr>
                <w:rFonts w:eastAsia="Times New Roman"/>
                <w:color w:val="000000" w:themeColor="text1"/>
                <w:sz w:val="16"/>
                <w:szCs w:val="16"/>
              </w:rPr>
            </w:pPr>
            <w:r w:rsidRPr="00D14CD7">
              <w:rPr>
                <w:rFonts w:eastAsia="Times New Roman"/>
                <w:color w:val="000000" w:themeColor="text1"/>
                <w:sz w:val="16"/>
                <w:szCs w:val="22"/>
              </w:rPr>
              <w:t>—</w:t>
            </w:r>
          </w:p>
        </w:tc>
        <w:tc>
          <w:tcPr>
            <w:tcW w:w="156" w:type="pct"/>
            <w:tcBorders>
              <w:left w:val="single" w:sz="8" w:space="0" w:color="auto"/>
              <w:bottom w:val="single" w:sz="8" w:space="0" w:color="auto"/>
            </w:tcBorders>
            <w:shd w:val="clear" w:color="auto" w:fill="auto"/>
            <w:noWrap/>
            <w:vAlign w:val="center"/>
            <w:hideMark/>
          </w:tcPr>
          <w:p w14:paraId="1FCCDA25" w14:textId="77777777" w:rsidR="005B6BB0" w:rsidRPr="00D14CD7" w:rsidRDefault="005B6BB0" w:rsidP="00286339">
            <w:pPr>
              <w:spacing w:after="0" w:line="240" w:lineRule="auto"/>
              <w:jc w:val="right"/>
              <w:rPr>
                <w:rFonts w:eastAsia="Times New Roman"/>
                <w:color w:val="000000" w:themeColor="text1"/>
                <w:sz w:val="16"/>
                <w:szCs w:val="16"/>
              </w:rPr>
            </w:pPr>
            <w:proofErr w:type="spellStart"/>
            <w:r w:rsidRPr="00D14CD7">
              <w:rPr>
                <w:rFonts w:eastAsia="Times New Roman"/>
                <w:color w:val="000000" w:themeColor="text1"/>
                <w:sz w:val="16"/>
                <w:szCs w:val="22"/>
              </w:rPr>
              <w:t>na</w:t>
            </w:r>
            <w:proofErr w:type="spellEnd"/>
          </w:p>
        </w:tc>
        <w:tc>
          <w:tcPr>
            <w:tcW w:w="157" w:type="pct"/>
            <w:tcBorders>
              <w:bottom w:val="single" w:sz="8" w:space="0" w:color="auto"/>
              <w:right w:val="double" w:sz="4" w:space="0" w:color="auto"/>
            </w:tcBorders>
            <w:shd w:val="clear" w:color="auto" w:fill="auto"/>
            <w:noWrap/>
            <w:vAlign w:val="center"/>
            <w:hideMark/>
          </w:tcPr>
          <w:p w14:paraId="10D97E7B" w14:textId="77777777" w:rsidR="005B6BB0" w:rsidRPr="00D14CD7" w:rsidRDefault="005B6BB0" w:rsidP="00286339">
            <w:pPr>
              <w:spacing w:after="0" w:line="240" w:lineRule="auto"/>
              <w:jc w:val="right"/>
              <w:rPr>
                <w:rFonts w:eastAsia="Times New Roman"/>
                <w:color w:val="000000" w:themeColor="text1"/>
                <w:sz w:val="16"/>
                <w:szCs w:val="16"/>
              </w:rPr>
            </w:pPr>
            <w:proofErr w:type="spellStart"/>
            <w:r w:rsidRPr="00D14CD7">
              <w:rPr>
                <w:rFonts w:eastAsia="Times New Roman"/>
                <w:color w:val="000000" w:themeColor="text1"/>
                <w:sz w:val="16"/>
                <w:szCs w:val="22"/>
              </w:rPr>
              <w:t>na</w:t>
            </w:r>
            <w:proofErr w:type="spellEnd"/>
          </w:p>
        </w:tc>
        <w:tc>
          <w:tcPr>
            <w:tcW w:w="187" w:type="pct"/>
            <w:tcBorders>
              <w:top w:val="single" w:sz="4" w:space="0" w:color="auto"/>
              <w:left w:val="double" w:sz="4" w:space="0" w:color="auto"/>
              <w:bottom w:val="single" w:sz="8" w:space="0" w:color="auto"/>
            </w:tcBorders>
            <w:shd w:val="clear" w:color="auto" w:fill="auto"/>
            <w:noWrap/>
            <w:vAlign w:val="center"/>
            <w:hideMark/>
          </w:tcPr>
          <w:p w14:paraId="02D601A4" w14:textId="77777777" w:rsidR="005B6BB0" w:rsidRPr="00D14CD7" w:rsidRDefault="005B6BB0" w:rsidP="00286339">
            <w:pPr>
              <w:spacing w:after="0" w:line="240" w:lineRule="auto"/>
              <w:jc w:val="right"/>
              <w:rPr>
                <w:rFonts w:eastAsia="Times New Roman"/>
                <w:color w:val="000000" w:themeColor="text1"/>
                <w:sz w:val="16"/>
                <w:szCs w:val="16"/>
              </w:rPr>
            </w:pPr>
            <w:r w:rsidRPr="00D14CD7">
              <w:rPr>
                <w:rFonts w:eastAsia="Times New Roman"/>
                <w:color w:val="000000" w:themeColor="text1"/>
                <w:sz w:val="16"/>
                <w:szCs w:val="16"/>
              </w:rPr>
              <w:t>0.573</w:t>
            </w:r>
          </w:p>
        </w:tc>
        <w:tc>
          <w:tcPr>
            <w:tcW w:w="183" w:type="pct"/>
            <w:tcBorders>
              <w:bottom w:val="single" w:sz="8" w:space="0" w:color="auto"/>
            </w:tcBorders>
            <w:shd w:val="clear" w:color="auto" w:fill="auto"/>
            <w:noWrap/>
            <w:vAlign w:val="center"/>
            <w:hideMark/>
          </w:tcPr>
          <w:p w14:paraId="67099298" w14:textId="77777777" w:rsidR="005B6BB0" w:rsidRPr="00D14CD7" w:rsidRDefault="005B6BB0" w:rsidP="00286339">
            <w:pPr>
              <w:spacing w:after="0" w:line="240" w:lineRule="auto"/>
              <w:jc w:val="right"/>
              <w:rPr>
                <w:rFonts w:eastAsia="Times New Roman"/>
                <w:color w:val="000000" w:themeColor="text1"/>
                <w:sz w:val="16"/>
                <w:szCs w:val="16"/>
              </w:rPr>
            </w:pPr>
            <w:r w:rsidRPr="00D14CD7">
              <w:rPr>
                <w:rFonts w:eastAsia="Times New Roman"/>
                <w:color w:val="000000" w:themeColor="text1"/>
                <w:sz w:val="16"/>
                <w:szCs w:val="16"/>
              </w:rPr>
              <w:t>2.85</w:t>
            </w:r>
          </w:p>
        </w:tc>
      </w:tr>
      <w:tr w:rsidR="00D14CD7" w:rsidRPr="00D14CD7" w14:paraId="5BAD3983" w14:textId="77777777" w:rsidTr="00051F4C">
        <w:trPr>
          <w:trHeight w:val="72"/>
        </w:trPr>
        <w:tc>
          <w:tcPr>
            <w:tcW w:w="5000" w:type="pct"/>
            <w:gridSpan w:val="19"/>
            <w:tcBorders>
              <w:top w:val="single" w:sz="4" w:space="0" w:color="auto"/>
              <w:bottom w:val="single" w:sz="8" w:space="0" w:color="auto"/>
            </w:tcBorders>
            <w:shd w:val="clear" w:color="auto" w:fill="auto"/>
            <w:noWrap/>
            <w:vAlign w:val="center"/>
          </w:tcPr>
          <w:p w14:paraId="0C7ABCE4" w14:textId="0ACD1E38" w:rsidR="00051F4C" w:rsidRPr="00D14CD7" w:rsidRDefault="00051F4C" w:rsidP="00051F4C">
            <w:pPr>
              <w:spacing w:after="0" w:line="240" w:lineRule="auto"/>
              <w:rPr>
                <w:rFonts w:eastAsia="Times New Roman"/>
                <w:color w:val="000000" w:themeColor="text1"/>
                <w:sz w:val="16"/>
                <w:szCs w:val="16"/>
              </w:rPr>
            </w:pPr>
            <w:r w:rsidRPr="00D14CD7">
              <w:rPr>
                <w:rFonts w:eastAsia="Times New Roman"/>
                <w:b/>
                <w:bCs/>
                <w:i/>
                <w:iCs/>
                <w:color w:val="000000" w:themeColor="text1"/>
                <w:sz w:val="16"/>
                <w:szCs w:val="16"/>
              </w:rPr>
              <w:t>Workplace location</w:t>
            </w:r>
          </w:p>
        </w:tc>
      </w:tr>
      <w:tr w:rsidR="00D14CD7" w:rsidRPr="00D14CD7" w14:paraId="773D491B" w14:textId="77777777" w:rsidTr="00286339">
        <w:trPr>
          <w:trHeight w:val="72"/>
        </w:trPr>
        <w:tc>
          <w:tcPr>
            <w:tcW w:w="1709" w:type="pct"/>
            <w:tcBorders>
              <w:top w:val="single" w:sz="4" w:space="0" w:color="auto"/>
              <w:bottom w:val="single" w:sz="8" w:space="0" w:color="auto"/>
              <w:right w:val="double" w:sz="4" w:space="0" w:color="auto"/>
            </w:tcBorders>
            <w:shd w:val="clear" w:color="auto" w:fill="auto"/>
            <w:noWrap/>
            <w:vAlign w:val="center"/>
          </w:tcPr>
          <w:p w14:paraId="12D3070E" w14:textId="7F5E6D56" w:rsidR="004720C0" w:rsidRPr="00D14CD7" w:rsidRDefault="004720C0" w:rsidP="004720C0">
            <w:pPr>
              <w:spacing w:after="0" w:line="240" w:lineRule="auto"/>
              <w:ind w:firstLine="140"/>
              <w:jc w:val="left"/>
              <w:rPr>
                <w:rFonts w:eastAsia="Times New Roman"/>
                <w:color w:val="000000" w:themeColor="text1"/>
                <w:sz w:val="16"/>
                <w:szCs w:val="22"/>
              </w:rPr>
            </w:pPr>
            <w:r w:rsidRPr="00D14CD7">
              <w:rPr>
                <w:rFonts w:eastAsia="Times New Roman"/>
                <w:color w:val="000000" w:themeColor="text1"/>
                <w:sz w:val="16"/>
                <w:szCs w:val="22"/>
              </w:rPr>
              <w:t xml:space="preserve">Fraction of work days from home in the past month </w:t>
            </w:r>
          </w:p>
        </w:tc>
        <w:tc>
          <w:tcPr>
            <w:tcW w:w="227" w:type="pct"/>
            <w:tcBorders>
              <w:top w:val="single" w:sz="4" w:space="0" w:color="auto"/>
              <w:left w:val="double" w:sz="4" w:space="0" w:color="auto"/>
              <w:bottom w:val="single" w:sz="8" w:space="0" w:color="auto"/>
            </w:tcBorders>
            <w:shd w:val="clear" w:color="auto" w:fill="auto"/>
            <w:noWrap/>
            <w:vAlign w:val="center"/>
          </w:tcPr>
          <w:p w14:paraId="44C25A8F" w14:textId="649572C7" w:rsidR="004720C0" w:rsidRPr="00D14CD7" w:rsidRDefault="004720C0" w:rsidP="004720C0">
            <w:pPr>
              <w:spacing w:after="0" w:line="240" w:lineRule="auto"/>
              <w:jc w:val="right"/>
              <w:rPr>
                <w:rFonts w:eastAsia="Times New Roman"/>
                <w:color w:val="000000" w:themeColor="text1"/>
                <w:sz w:val="16"/>
                <w:szCs w:val="22"/>
              </w:rPr>
            </w:pPr>
            <w:r w:rsidRPr="00D14CD7">
              <w:rPr>
                <w:rFonts w:eastAsia="Times New Roman"/>
                <w:color w:val="000000" w:themeColor="text1"/>
                <w:sz w:val="16"/>
                <w:szCs w:val="22"/>
              </w:rPr>
              <w:t>—</w:t>
            </w:r>
          </w:p>
        </w:tc>
        <w:tc>
          <w:tcPr>
            <w:tcW w:w="199" w:type="pct"/>
            <w:tcBorders>
              <w:top w:val="single" w:sz="4" w:space="0" w:color="auto"/>
              <w:bottom w:val="single" w:sz="8" w:space="0" w:color="auto"/>
              <w:right w:val="single" w:sz="8" w:space="0" w:color="auto"/>
            </w:tcBorders>
            <w:shd w:val="clear" w:color="auto" w:fill="auto"/>
            <w:noWrap/>
            <w:vAlign w:val="center"/>
          </w:tcPr>
          <w:p w14:paraId="6F18FBCF" w14:textId="546123EB" w:rsidR="004720C0" w:rsidRPr="00D14CD7" w:rsidRDefault="004720C0" w:rsidP="004720C0">
            <w:pPr>
              <w:spacing w:after="0" w:line="240" w:lineRule="auto"/>
              <w:jc w:val="right"/>
              <w:rPr>
                <w:rFonts w:eastAsia="Times New Roman"/>
                <w:color w:val="000000" w:themeColor="text1"/>
                <w:sz w:val="16"/>
                <w:szCs w:val="22"/>
              </w:rPr>
            </w:pPr>
            <w:r w:rsidRPr="00D14CD7">
              <w:rPr>
                <w:rFonts w:eastAsia="Times New Roman"/>
                <w:color w:val="000000" w:themeColor="text1"/>
                <w:sz w:val="16"/>
                <w:szCs w:val="22"/>
              </w:rPr>
              <w:t>—</w:t>
            </w:r>
          </w:p>
        </w:tc>
        <w:tc>
          <w:tcPr>
            <w:tcW w:w="184" w:type="pct"/>
            <w:tcBorders>
              <w:top w:val="single" w:sz="4" w:space="0" w:color="auto"/>
              <w:left w:val="single" w:sz="8" w:space="0" w:color="auto"/>
              <w:bottom w:val="single" w:sz="8" w:space="0" w:color="auto"/>
            </w:tcBorders>
            <w:shd w:val="clear" w:color="auto" w:fill="auto"/>
            <w:noWrap/>
            <w:vAlign w:val="center"/>
          </w:tcPr>
          <w:p w14:paraId="2C812890" w14:textId="2DABD03B" w:rsidR="004720C0" w:rsidRPr="00D14CD7" w:rsidRDefault="004720C0" w:rsidP="004720C0">
            <w:pPr>
              <w:spacing w:after="0" w:line="240" w:lineRule="auto"/>
              <w:jc w:val="right"/>
              <w:rPr>
                <w:rFonts w:eastAsia="Times New Roman"/>
                <w:color w:val="000000" w:themeColor="text1"/>
                <w:sz w:val="16"/>
                <w:szCs w:val="22"/>
              </w:rPr>
            </w:pPr>
            <w:r w:rsidRPr="00D14CD7">
              <w:rPr>
                <w:rFonts w:eastAsia="Times New Roman"/>
                <w:color w:val="000000" w:themeColor="text1"/>
                <w:sz w:val="16"/>
                <w:szCs w:val="22"/>
              </w:rPr>
              <w:t>—</w:t>
            </w:r>
          </w:p>
        </w:tc>
        <w:tc>
          <w:tcPr>
            <w:tcW w:w="185" w:type="pct"/>
            <w:tcBorders>
              <w:top w:val="single" w:sz="4" w:space="0" w:color="auto"/>
              <w:bottom w:val="single" w:sz="8" w:space="0" w:color="auto"/>
              <w:right w:val="single" w:sz="8" w:space="0" w:color="auto"/>
            </w:tcBorders>
            <w:shd w:val="clear" w:color="auto" w:fill="auto"/>
            <w:noWrap/>
            <w:vAlign w:val="center"/>
          </w:tcPr>
          <w:p w14:paraId="71FDF998" w14:textId="33602374" w:rsidR="004720C0" w:rsidRPr="00D14CD7" w:rsidRDefault="004720C0" w:rsidP="004720C0">
            <w:pPr>
              <w:spacing w:after="0" w:line="240" w:lineRule="auto"/>
              <w:jc w:val="right"/>
              <w:rPr>
                <w:rFonts w:eastAsia="Times New Roman"/>
                <w:color w:val="000000" w:themeColor="text1"/>
                <w:sz w:val="16"/>
                <w:szCs w:val="22"/>
              </w:rPr>
            </w:pPr>
            <w:r w:rsidRPr="00D14CD7">
              <w:rPr>
                <w:rFonts w:eastAsia="Times New Roman"/>
                <w:color w:val="000000" w:themeColor="text1"/>
                <w:sz w:val="16"/>
                <w:szCs w:val="22"/>
              </w:rPr>
              <w:t>—</w:t>
            </w:r>
          </w:p>
        </w:tc>
        <w:tc>
          <w:tcPr>
            <w:tcW w:w="184" w:type="pct"/>
            <w:tcBorders>
              <w:top w:val="single" w:sz="4" w:space="0" w:color="auto"/>
              <w:left w:val="single" w:sz="8" w:space="0" w:color="auto"/>
              <w:bottom w:val="single" w:sz="8" w:space="0" w:color="auto"/>
            </w:tcBorders>
            <w:shd w:val="clear" w:color="auto" w:fill="auto"/>
            <w:noWrap/>
            <w:vAlign w:val="center"/>
          </w:tcPr>
          <w:p w14:paraId="375D41E4" w14:textId="0A3CDF94" w:rsidR="004720C0" w:rsidRPr="00D14CD7" w:rsidRDefault="004720C0" w:rsidP="004720C0">
            <w:pPr>
              <w:spacing w:after="0" w:line="240" w:lineRule="auto"/>
              <w:jc w:val="right"/>
              <w:rPr>
                <w:rFonts w:eastAsia="Times New Roman"/>
                <w:color w:val="000000" w:themeColor="text1"/>
                <w:sz w:val="16"/>
                <w:szCs w:val="22"/>
              </w:rPr>
            </w:pPr>
            <w:r w:rsidRPr="00D14CD7">
              <w:rPr>
                <w:rFonts w:eastAsia="Times New Roman"/>
                <w:color w:val="000000" w:themeColor="text1"/>
                <w:sz w:val="16"/>
                <w:szCs w:val="22"/>
              </w:rPr>
              <w:t>—</w:t>
            </w:r>
          </w:p>
        </w:tc>
        <w:tc>
          <w:tcPr>
            <w:tcW w:w="188" w:type="pct"/>
            <w:tcBorders>
              <w:top w:val="single" w:sz="4" w:space="0" w:color="auto"/>
              <w:bottom w:val="single" w:sz="8" w:space="0" w:color="auto"/>
              <w:right w:val="single" w:sz="8" w:space="0" w:color="auto"/>
            </w:tcBorders>
            <w:shd w:val="clear" w:color="auto" w:fill="auto"/>
            <w:noWrap/>
            <w:vAlign w:val="center"/>
          </w:tcPr>
          <w:p w14:paraId="0FB5A378" w14:textId="5C59DA59" w:rsidR="004720C0" w:rsidRPr="00D14CD7" w:rsidRDefault="004720C0" w:rsidP="004720C0">
            <w:pPr>
              <w:spacing w:after="0" w:line="240" w:lineRule="auto"/>
              <w:jc w:val="right"/>
              <w:rPr>
                <w:rFonts w:eastAsia="Times New Roman"/>
                <w:color w:val="000000" w:themeColor="text1"/>
                <w:sz w:val="16"/>
                <w:szCs w:val="22"/>
              </w:rPr>
            </w:pPr>
            <w:r w:rsidRPr="00D14CD7">
              <w:rPr>
                <w:rFonts w:eastAsia="Times New Roman"/>
                <w:color w:val="000000" w:themeColor="text1"/>
                <w:sz w:val="16"/>
                <w:szCs w:val="22"/>
              </w:rPr>
              <w:t>—</w:t>
            </w:r>
          </w:p>
        </w:tc>
        <w:tc>
          <w:tcPr>
            <w:tcW w:w="188" w:type="pct"/>
            <w:tcBorders>
              <w:top w:val="single" w:sz="4" w:space="0" w:color="auto"/>
              <w:left w:val="single" w:sz="8" w:space="0" w:color="auto"/>
              <w:bottom w:val="single" w:sz="8" w:space="0" w:color="auto"/>
            </w:tcBorders>
            <w:shd w:val="clear" w:color="auto" w:fill="auto"/>
            <w:noWrap/>
            <w:vAlign w:val="center"/>
          </w:tcPr>
          <w:p w14:paraId="464CEBB0" w14:textId="7E1A8143" w:rsidR="004720C0" w:rsidRPr="00D14CD7" w:rsidRDefault="004720C0" w:rsidP="004720C0">
            <w:pPr>
              <w:spacing w:after="0" w:line="240" w:lineRule="auto"/>
              <w:jc w:val="right"/>
              <w:rPr>
                <w:rFonts w:eastAsia="Times New Roman"/>
                <w:color w:val="000000" w:themeColor="text1"/>
                <w:sz w:val="16"/>
                <w:szCs w:val="22"/>
              </w:rPr>
            </w:pPr>
            <w:proofErr w:type="spellStart"/>
            <w:r w:rsidRPr="00D14CD7">
              <w:rPr>
                <w:rFonts w:eastAsia="Times New Roman"/>
                <w:color w:val="000000" w:themeColor="text1"/>
                <w:sz w:val="16"/>
                <w:szCs w:val="22"/>
              </w:rPr>
              <w:t>na</w:t>
            </w:r>
            <w:proofErr w:type="spellEnd"/>
          </w:p>
        </w:tc>
        <w:tc>
          <w:tcPr>
            <w:tcW w:w="146" w:type="pct"/>
            <w:tcBorders>
              <w:top w:val="single" w:sz="4" w:space="0" w:color="auto"/>
              <w:bottom w:val="single" w:sz="8" w:space="0" w:color="auto"/>
              <w:right w:val="double" w:sz="4" w:space="0" w:color="auto"/>
            </w:tcBorders>
            <w:shd w:val="clear" w:color="auto" w:fill="auto"/>
            <w:noWrap/>
            <w:vAlign w:val="center"/>
          </w:tcPr>
          <w:p w14:paraId="0FFAA884" w14:textId="59DDEDFC" w:rsidR="004720C0" w:rsidRPr="00D14CD7" w:rsidRDefault="004720C0" w:rsidP="004720C0">
            <w:pPr>
              <w:spacing w:after="0" w:line="240" w:lineRule="auto"/>
              <w:jc w:val="right"/>
              <w:rPr>
                <w:rFonts w:eastAsia="Times New Roman"/>
                <w:color w:val="000000" w:themeColor="text1"/>
                <w:sz w:val="16"/>
                <w:szCs w:val="22"/>
              </w:rPr>
            </w:pPr>
            <w:proofErr w:type="spellStart"/>
            <w:r w:rsidRPr="00D14CD7">
              <w:rPr>
                <w:rFonts w:eastAsia="Times New Roman"/>
                <w:color w:val="000000" w:themeColor="text1"/>
                <w:sz w:val="16"/>
                <w:szCs w:val="22"/>
              </w:rPr>
              <w:t>na</w:t>
            </w:r>
            <w:proofErr w:type="spellEnd"/>
          </w:p>
        </w:tc>
        <w:tc>
          <w:tcPr>
            <w:tcW w:w="184" w:type="pct"/>
            <w:tcBorders>
              <w:left w:val="double" w:sz="4" w:space="0" w:color="auto"/>
              <w:bottom w:val="single" w:sz="8" w:space="0" w:color="auto"/>
            </w:tcBorders>
            <w:shd w:val="clear" w:color="auto" w:fill="auto"/>
            <w:noWrap/>
            <w:vAlign w:val="center"/>
          </w:tcPr>
          <w:p w14:paraId="1E1F80CF" w14:textId="31FFC61F" w:rsidR="004720C0" w:rsidRPr="00D14CD7" w:rsidRDefault="004720C0" w:rsidP="004720C0">
            <w:pPr>
              <w:spacing w:after="0" w:line="240" w:lineRule="auto"/>
              <w:jc w:val="right"/>
              <w:rPr>
                <w:rFonts w:eastAsia="Times New Roman"/>
                <w:color w:val="000000" w:themeColor="text1"/>
                <w:sz w:val="16"/>
                <w:szCs w:val="22"/>
              </w:rPr>
            </w:pPr>
            <w:r w:rsidRPr="00D14CD7">
              <w:rPr>
                <w:rFonts w:eastAsia="Times New Roman"/>
                <w:color w:val="000000" w:themeColor="text1"/>
                <w:sz w:val="16"/>
                <w:szCs w:val="22"/>
              </w:rPr>
              <w:t>—</w:t>
            </w:r>
          </w:p>
        </w:tc>
        <w:tc>
          <w:tcPr>
            <w:tcW w:w="184" w:type="pct"/>
            <w:tcBorders>
              <w:top w:val="single" w:sz="4" w:space="0" w:color="auto"/>
              <w:bottom w:val="single" w:sz="8" w:space="0" w:color="auto"/>
              <w:right w:val="single" w:sz="8" w:space="0" w:color="auto"/>
            </w:tcBorders>
            <w:shd w:val="clear" w:color="auto" w:fill="auto"/>
            <w:noWrap/>
            <w:vAlign w:val="center"/>
          </w:tcPr>
          <w:p w14:paraId="399D4929" w14:textId="3C606A7B" w:rsidR="004720C0" w:rsidRPr="00D14CD7" w:rsidRDefault="004720C0" w:rsidP="004720C0">
            <w:pPr>
              <w:spacing w:after="0" w:line="240" w:lineRule="auto"/>
              <w:jc w:val="right"/>
              <w:rPr>
                <w:rFonts w:eastAsia="Times New Roman"/>
                <w:color w:val="000000" w:themeColor="text1"/>
                <w:sz w:val="16"/>
                <w:szCs w:val="22"/>
              </w:rPr>
            </w:pPr>
            <w:r w:rsidRPr="00D14CD7">
              <w:rPr>
                <w:rFonts w:eastAsia="Times New Roman"/>
                <w:color w:val="000000" w:themeColor="text1"/>
                <w:sz w:val="16"/>
                <w:szCs w:val="22"/>
              </w:rPr>
              <w:t>—</w:t>
            </w:r>
          </w:p>
        </w:tc>
        <w:tc>
          <w:tcPr>
            <w:tcW w:w="184" w:type="pct"/>
            <w:tcBorders>
              <w:left w:val="single" w:sz="8" w:space="0" w:color="auto"/>
              <w:bottom w:val="single" w:sz="8" w:space="0" w:color="auto"/>
            </w:tcBorders>
            <w:shd w:val="clear" w:color="auto" w:fill="auto"/>
            <w:noWrap/>
            <w:vAlign w:val="center"/>
          </w:tcPr>
          <w:p w14:paraId="620C7A11" w14:textId="59E1B4A4" w:rsidR="004720C0" w:rsidRPr="00D14CD7" w:rsidRDefault="004720C0" w:rsidP="004720C0">
            <w:pPr>
              <w:spacing w:after="0" w:line="240" w:lineRule="auto"/>
              <w:jc w:val="right"/>
              <w:rPr>
                <w:rFonts w:eastAsia="Times New Roman"/>
                <w:color w:val="000000" w:themeColor="text1"/>
                <w:sz w:val="16"/>
                <w:szCs w:val="22"/>
              </w:rPr>
            </w:pPr>
            <w:r w:rsidRPr="00D14CD7">
              <w:rPr>
                <w:rFonts w:eastAsia="Times New Roman"/>
                <w:color w:val="000000" w:themeColor="text1"/>
                <w:sz w:val="16"/>
                <w:szCs w:val="22"/>
              </w:rPr>
              <w:t>—</w:t>
            </w:r>
          </w:p>
        </w:tc>
        <w:tc>
          <w:tcPr>
            <w:tcW w:w="185" w:type="pct"/>
            <w:tcBorders>
              <w:top w:val="single" w:sz="4" w:space="0" w:color="auto"/>
              <w:bottom w:val="single" w:sz="8" w:space="0" w:color="auto"/>
              <w:right w:val="single" w:sz="8" w:space="0" w:color="auto"/>
            </w:tcBorders>
            <w:shd w:val="clear" w:color="auto" w:fill="auto"/>
            <w:noWrap/>
            <w:vAlign w:val="center"/>
          </w:tcPr>
          <w:p w14:paraId="13B3C5A8" w14:textId="42DBEE1D" w:rsidR="004720C0" w:rsidRPr="00D14CD7" w:rsidRDefault="004720C0" w:rsidP="004720C0">
            <w:pPr>
              <w:spacing w:after="0" w:line="240" w:lineRule="auto"/>
              <w:jc w:val="right"/>
              <w:rPr>
                <w:rFonts w:eastAsia="Times New Roman"/>
                <w:color w:val="000000" w:themeColor="text1"/>
                <w:sz w:val="16"/>
                <w:szCs w:val="22"/>
              </w:rPr>
            </w:pPr>
            <w:r w:rsidRPr="00D14CD7">
              <w:rPr>
                <w:rFonts w:eastAsia="Times New Roman"/>
                <w:color w:val="000000" w:themeColor="text1"/>
                <w:sz w:val="16"/>
                <w:szCs w:val="22"/>
              </w:rPr>
              <w:t>—</w:t>
            </w:r>
          </w:p>
        </w:tc>
        <w:tc>
          <w:tcPr>
            <w:tcW w:w="185" w:type="pct"/>
            <w:tcBorders>
              <w:left w:val="single" w:sz="8" w:space="0" w:color="auto"/>
              <w:bottom w:val="single" w:sz="8" w:space="0" w:color="auto"/>
            </w:tcBorders>
            <w:shd w:val="clear" w:color="auto" w:fill="auto"/>
            <w:noWrap/>
            <w:vAlign w:val="center"/>
          </w:tcPr>
          <w:p w14:paraId="72B26B96" w14:textId="0A4AB604" w:rsidR="004720C0" w:rsidRPr="00D14CD7" w:rsidRDefault="004720C0" w:rsidP="004720C0">
            <w:pPr>
              <w:spacing w:after="0" w:line="240" w:lineRule="auto"/>
              <w:jc w:val="right"/>
              <w:rPr>
                <w:rFonts w:eastAsia="Times New Roman"/>
                <w:color w:val="000000" w:themeColor="text1"/>
                <w:sz w:val="16"/>
                <w:szCs w:val="22"/>
              </w:rPr>
            </w:pPr>
            <w:r w:rsidRPr="00D14CD7">
              <w:rPr>
                <w:rFonts w:eastAsia="Times New Roman"/>
                <w:color w:val="000000" w:themeColor="text1"/>
                <w:sz w:val="16"/>
                <w:szCs w:val="22"/>
              </w:rPr>
              <w:t>—</w:t>
            </w:r>
          </w:p>
        </w:tc>
        <w:tc>
          <w:tcPr>
            <w:tcW w:w="185" w:type="pct"/>
            <w:tcBorders>
              <w:top w:val="single" w:sz="4" w:space="0" w:color="auto"/>
              <w:bottom w:val="single" w:sz="8" w:space="0" w:color="auto"/>
              <w:right w:val="single" w:sz="8" w:space="0" w:color="auto"/>
            </w:tcBorders>
            <w:shd w:val="clear" w:color="auto" w:fill="auto"/>
            <w:noWrap/>
            <w:vAlign w:val="center"/>
          </w:tcPr>
          <w:p w14:paraId="41D6441E" w14:textId="6F356502" w:rsidR="004720C0" w:rsidRPr="00D14CD7" w:rsidRDefault="004720C0" w:rsidP="004720C0">
            <w:pPr>
              <w:spacing w:after="0" w:line="240" w:lineRule="auto"/>
              <w:jc w:val="right"/>
              <w:rPr>
                <w:rFonts w:eastAsia="Times New Roman"/>
                <w:color w:val="000000" w:themeColor="text1"/>
                <w:sz w:val="16"/>
                <w:szCs w:val="22"/>
              </w:rPr>
            </w:pPr>
            <w:r w:rsidRPr="00D14CD7">
              <w:rPr>
                <w:rFonts w:eastAsia="Times New Roman"/>
                <w:color w:val="000000" w:themeColor="text1"/>
                <w:sz w:val="16"/>
                <w:szCs w:val="22"/>
              </w:rPr>
              <w:t>—</w:t>
            </w:r>
          </w:p>
        </w:tc>
        <w:tc>
          <w:tcPr>
            <w:tcW w:w="156" w:type="pct"/>
            <w:tcBorders>
              <w:left w:val="single" w:sz="8" w:space="0" w:color="auto"/>
              <w:bottom w:val="single" w:sz="8" w:space="0" w:color="auto"/>
            </w:tcBorders>
            <w:shd w:val="clear" w:color="auto" w:fill="auto"/>
            <w:noWrap/>
            <w:vAlign w:val="center"/>
          </w:tcPr>
          <w:p w14:paraId="53FFF8A8" w14:textId="6E70E859" w:rsidR="004720C0" w:rsidRPr="00D14CD7" w:rsidRDefault="004720C0" w:rsidP="004720C0">
            <w:pPr>
              <w:spacing w:after="0" w:line="240" w:lineRule="auto"/>
              <w:jc w:val="right"/>
              <w:rPr>
                <w:rFonts w:eastAsia="Times New Roman"/>
                <w:color w:val="000000" w:themeColor="text1"/>
                <w:sz w:val="16"/>
                <w:szCs w:val="22"/>
              </w:rPr>
            </w:pPr>
            <w:proofErr w:type="spellStart"/>
            <w:r w:rsidRPr="00D14CD7">
              <w:rPr>
                <w:rFonts w:eastAsia="Times New Roman"/>
                <w:color w:val="000000" w:themeColor="text1"/>
                <w:sz w:val="16"/>
                <w:szCs w:val="22"/>
              </w:rPr>
              <w:t>na</w:t>
            </w:r>
            <w:proofErr w:type="spellEnd"/>
          </w:p>
        </w:tc>
        <w:tc>
          <w:tcPr>
            <w:tcW w:w="157" w:type="pct"/>
            <w:tcBorders>
              <w:bottom w:val="single" w:sz="8" w:space="0" w:color="auto"/>
              <w:right w:val="double" w:sz="4" w:space="0" w:color="auto"/>
            </w:tcBorders>
            <w:shd w:val="clear" w:color="auto" w:fill="auto"/>
            <w:noWrap/>
            <w:vAlign w:val="center"/>
          </w:tcPr>
          <w:p w14:paraId="1DF322FE" w14:textId="7C8E8A73" w:rsidR="004720C0" w:rsidRPr="00D14CD7" w:rsidRDefault="004720C0" w:rsidP="004720C0">
            <w:pPr>
              <w:spacing w:after="0" w:line="240" w:lineRule="auto"/>
              <w:jc w:val="right"/>
              <w:rPr>
                <w:rFonts w:eastAsia="Times New Roman"/>
                <w:color w:val="000000" w:themeColor="text1"/>
                <w:sz w:val="16"/>
                <w:szCs w:val="22"/>
              </w:rPr>
            </w:pPr>
            <w:proofErr w:type="spellStart"/>
            <w:r w:rsidRPr="00D14CD7">
              <w:rPr>
                <w:rFonts w:eastAsia="Times New Roman"/>
                <w:color w:val="000000" w:themeColor="text1"/>
                <w:sz w:val="16"/>
                <w:szCs w:val="22"/>
              </w:rPr>
              <w:t>na</w:t>
            </w:r>
            <w:proofErr w:type="spellEnd"/>
          </w:p>
        </w:tc>
        <w:tc>
          <w:tcPr>
            <w:tcW w:w="187" w:type="pct"/>
            <w:tcBorders>
              <w:top w:val="single" w:sz="4" w:space="0" w:color="auto"/>
              <w:left w:val="double" w:sz="4" w:space="0" w:color="auto"/>
              <w:bottom w:val="single" w:sz="8" w:space="0" w:color="auto"/>
            </w:tcBorders>
            <w:shd w:val="clear" w:color="auto" w:fill="auto"/>
            <w:noWrap/>
            <w:vAlign w:val="center"/>
          </w:tcPr>
          <w:p w14:paraId="13923B93" w14:textId="0362622E" w:rsidR="004720C0" w:rsidRPr="00D14CD7" w:rsidRDefault="004720C0" w:rsidP="004720C0">
            <w:pPr>
              <w:spacing w:after="0" w:line="240" w:lineRule="auto"/>
              <w:jc w:val="right"/>
              <w:rPr>
                <w:rFonts w:eastAsia="Times New Roman"/>
                <w:color w:val="000000" w:themeColor="text1"/>
                <w:sz w:val="16"/>
                <w:szCs w:val="16"/>
              </w:rPr>
            </w:pPr>
            <w:r w:rsidRPr="00D14CD7">
              <w:rPr>
                <w:rFonts w:eastAsia="Times New Roman"/>
                <w:color w:val="000000" w:themeColor="text1"/>
                <w:sz w:val="16"/>
                <w:szCs w:val="16"/>
              </w:rPr>
              <w:t>-0.124</w:t>
            </w:r>
          </w:p>
        </w:tc>
        <w:tc>
          <w:tcPr>
            <w:tcW w:w="183" w:type="pct"/>
            <w:tcBorders>
              <w:bottom w:val="single" w:sz="8" w:space="0" w:color="auto"/>
            </w:tcBorders>
            <w:shd w:val="clear" w:color="auto" w:fill="auto"/>
            <w:noWrap/>
            <w:vAlign w:val="center"/>
          </w:tcPr>
          <w:p w14:paraId="6C042CF3" w14:textId="705D30AF" w:rsidR="004720C0" w:rsidRPr="00D14CD7" w:rsidRDefault="004720C0" w:rsidP="004720C0">
            <w:pPr>
              <w:spacing w:after="0" w:line="240" w:lineRule="auto"/>
              <w:jc w:val="right"/>
              <w:rPr>
                <w:rFonts w:eastAsia="Times New Roman"/>
                <w:color w:val="000000" w:themeColor="text1"/>
                <w:sz w:val="16"/>
                <w:szCs w:val="16"/>
              </w:rPr>
            </w:pPr>
            <w:r w:rsidRPr="00D14CD7">
              <w:rPr>
                <w:rFonts w:eastAsia="Times New Roman"/>
                <w:color w:val="000000" w:themeColor="text1"/>
                <w:sz w:val="16"/>
                <w:szCs w:val="16"/>
              </w:rPr>
              <w:t>-2.97</w:t>
            </w:r>
          </w:p>
        </w:tc>
      </w:tr>
      <w:tr w:rsidR="00D14CD7" w:rsidRPr="00D14CD7" w14:paraId="440FD900" w14:textId="77777777" w:rsidTr="00286339">
        <w:trPr>
          <w:trHeight w:val="72"/>
        </w:trPr>
        <w:tc>
          <w:tcPr>
            <w:tcW w:w="5000" w:type="pct"/>
            <w:gridSpan w:val="19"/>
            <w:tcBorders>
              <w:top w:val="single" w:sz="8" w:space="0" w:color="auto"/>
              <w:bottom w:val="single" w:sz="4" w:space="0" w:color="auto"/>
            </w:tcBorders>
            <w:shd w:val="clear" w:color="auto" w:fill="auto"/>
            <w:noWrap/>
            <w:vAlign w:val="center"/>
            <w:hideMark/>
          </w:tcPr>
          <w:p w14:paraId="28E06859" w14:textId="77777777" w:rsidR="004720C0" w:rsidRPr="00D14CD7" w:rsidRDefault="004720C0" w:rsidP="004720C0">
            <w:pPr>
              <w:spacing w:after="0" w:line="240" w:lineRule="auto"/>
              <w:jc w:val="left"/>
              <w:rPr>
                <w:rFonts w:eastAsia="Times New Roman"/>
                <w:color w:val="000000" w:themeColor="text1"/>
                <w:sz w:val="20"/>
                <w:szCs w:val="20"/>
              </w:rPr>
            </w:pPr>
            <w:r w:rsidRPr="00D14CD7">
              <w:rPr>
                <w:rFonts w:eastAsia="Times New Roman"/>
                <w:b/>
                <w:bCs/>
                <w:i/>
                <w:iCs/>
                <w:color w:val="000000" w:themeColor="text1"/>
                <w:sz w:val="16"/>
                <w:szCs w:val="16"/>
              </w:rPr>
              <w:t>Employment status (base: not employed)</w:t>
            </w:r>
          </w:p>
        </w:tc>
      </w:tr>
      <w:tr w:rsidR="00D14CD7" w:rsidRPr="00D14CD7" w14:paraId="7BBD5080" w14:textId="77777777" w:rsidTr="00286339">
        <w:trPr>
          <w:trHeight w:val="72"/>
        </w:trPr>
        <w:tc>
          <w:tcPr>
            <w:tcW w:w="1709" w:type="pct"/>
            <w:tcBorders>
              <w:top w:val="single" w:sz="4" w:space="0" w:color="auto"/>
              <w:bottom w:val="single" w:sz="4" w:space="0" w:color="auto"/>
              <w:right w:val="double" w:sz="4" w:space="0" w:color="auto"/>
            </w:tcBorders>
            <w:shd w:val="clear" w:color="auto" w:fill="auto"/>
            <w:noWrap/>
            <w:vAlign w:val="center"/>
            <w:hideMark/>
          </w:tcPr>
          <w:p w14:paraId="2F04B775" w14:textId="77777777" w:rsidR="004720C0" w:rsidRPr="00D14CD7" w:rsidRDefault="004720C0" w:rsidP="004720C0">
            <w:pPr>
              <w:spacing w:after="0" w:line="240" w:lineRule="auto"/>
              <w:ind w:firstLine="140"/>
              <w:jc w:val="left"/>
              <w:rPr>
                <w:rFonts w:eastAsia="Times New Roman"/>
                <w:color w:val="000000" w:themeColor="text1"/>
                <w:sz w:val="16"/>
                <w:szCs w:val="16"/>
              </w:rPr>
            </w:pPr>
            <w:r w:rsidRPr="00D14CD7">
              <w:rPr>
                <w:rFonts w:eastAsia="Times New Roman"/>
                <w:color w:val="000000" w:themeColor="text1"/>
                <w:sz w:val="16"/>
                <w:szCs w:val="22"/>
              </w:rPr>
              <w:t>Part-time</w:t>
            </w:r>
          </w:p>
        </w:tc>
        <w:tc>
          <w:tcPr>
            <w:tcW w:w="227" w:type="pct"/>
            <w:tcBorders>
              <w:top w:val="single" w:sz="4" w:space="0" w:color="auto"/>
              <w:left w:val="double" w:sz="4" w:space="0" w:color="auto"/>
              <w:bottom w:val="single" w:sz="4" w:space="0" w:color="auto"/>
            </w:tcBorders>
            <w:shd w:val="clear" w:color="auto" w:fill="auto"/>
            <w:noWrap/>
            <w:vAlign w:val="center"/>
            <w:hideMark/>
          </w:tcPr>
          <w:p w14:paraId="62FED0E7" w14:textId="77777777" w:rsidR="004720C0" w:rsidRPr="00D14CD7" w:rsidRDefault="004720C0" w:rsidP="004720C0">
            <w:pPr>
              <w:spacing w:after="0" w:line="240" w:lineRule="auto"/>
              <w:jc w:val="right"/>
              <w:rPr>
                <w:rFonts w:eastAsia="Times New Roman"/>
                <w:color w:val="000000" w:themeColor="text1"/>
                <w:sz w:val="16"/>
                <w:szCs w:val="16"/>
              </w:rPr>
            </w:pPr>
            <w:r w:rsidRPr="00D14CD7">
              <w:rPr>
                <w:rFonts w:eastAsia="Times New Roman"/>
                <w:color w:val="000000" w:themeColor="text1"/>
                <w:sz w:val="16"/>
                <w:szCs w:val="22"/>
              </w:rPr>
              <w:t>—</w:t>
            </w:r>
          </w:p>
        </w:tc>
        <w:tc>
          <w:tcPr>
            <w:tcW w:w="199" w:type="pct"/>
            <w:tcBorders>
              <w:top w:val="single" w:sz="4" w:space="0" w:color="auto"/>
              <w:bottom w:val="single" w:sz="4" w:space="0" w:color="auto"/>
              <w:right w:val="single" w:sz="8" w:space="0" w:color="auto"/>
            </w:tcBorders>
            <w:shd w:val="clear" w:color="auto" w:fill="auto"/>
            <w:noWrap/>
            <w:vAlign w:val="center"/>
            <w:hideMark/>
          </w:tcPr>
          <w:p w14:paraId="64A1201B" w14:textId="77777777" w:rsidR="004720C0" w:rsidRPr="00D14CD7" w:rsidRDefault="004720C0" w:rsidP="004720C0">
            <w:pPr>
              <w:spacing w:after="0" w:line="240" w:lineRule="auto"/>
              <w:jc w:val="right"/>
              <w:rPr>
                <w:rFonts w:eastAsia="Times New Roman"/>
                <w:color w:val="000000" w:themeColor="text1"/>
                <w:sz w:val="16"/>
                <w:szCs w:val="16"/>
              </w:rPr>
            </w:pPr>
            <w:r w:rsidRPr="00D14CD7">
              <w:rPr>
                <w:rFonts w:eastAsia="Times New Roman"/>
                <w:color w:val="000000" w:themeColor="text1"/>
                <w:sz w:val="16"/>
                <w:szCs w:val="22"/>
              </w:rPr>
              <w:t>—</w:t>
            </w:r>
          </w:p>
        </w:tc>
        <w:tc>
          <w:tcPr>
            <w:tcW w:w="184" w:type="pct"/>
            <w:tcBorders>
              <w:top w:val="single" w:sz="4" w:space="0" w:color="auto"/>
              <w:left w:val="single" w:sz="8" w:space="0" w:color="auto"/>
              <w:bottom w:val="single" w:sz="4" w:space="0" w:color="auto"/>
            </w:tcBorders>
            <w:shd w:val="clear" w:color="auto" w:fill="auto"/>
            <w:noWrap/>
            <w:vAlign w:val="center"/>
            <w:hideMark/>
          </w:tcPr>
          <w:p w14:paraId="1459A51F" w14:textId="77777777" w:rsidR="004720C0" w:rsidRPr="00D14CD7" w:rsidRDefault="004720C0" w:rsidP="004720C0">
            <w:pPr>
              <w:spacing w:after="0" w:line="240" w:lineRule="auto"/>
              <w:jc w:val="right"/>
              <w:rPr>
                <w:rFonts w:eastAsia="Times New Roman"/>
                <w:color w:val="000000" w:themeColor="text1"/>
                <w:sz w:val="16"/>
                <w:szCs w:val="16"/>
              </w:rPr>
            </w:pPr>
            <w:r w:rsidRPr="00D14CD7">
              <w:rPr>
                <w:rFonts w:eastAsia="Times New Roman"/>
                <w:color w:val="000000" w:themeColor="text1"/>
                <w:sz w:val="16"/>
                <w:szCs w:val="16"/>
              </w:rPr>
              <w:t>0.134</w:t>
            </w:r>
          </w:p>
        </w:tc>
        <w:tc>
          <w:tcPr>
            <w:tcW w:w="185" w:type="pct"/>
            <w:tcBorders>
              <w:top w:val="single" w:sz="4" w:space="0" w:color="auto"/>
              <w:bottom w:val="single" w:sz="4" w:space="0" w:color="auto"/>
              <w:right w:val="single" w:sz="8" w:space="0" w:color="auto"/>
            </w:tcBorders>
            <w:shd w:val="clear" w:color="auto" w:fill="auto"/>
            <w:noWrap/>
            <w:vAlign w:val="center"/>
            <w:hideMark/>
          </w:tcPr>
          <w:p w14:paraId="4E204CA9" w14:textId="77777777" w:rsidR="004720C0" w:rsidRPr="00D14CD7" w:rsidRDefault="004720C0" w:rsidP="004720C0">
            <w:pPr>
              <w:spacing w:after="0" w:line="240" w:lineRule="auto"/>
              <w:jc w:val="right"/>
              <w:rPr>
                <w:rFonts w:eastAsia="Times New Roman"/>
                <w:color w:val="000000" w:themeColor="text1"/>
                <w:sz w:val="16"/>
                <w:szCs w:val="16"/>
              </w:rPr>
            </w:pPr>
            <w:r w:rsidRPr="00D14CD7">
              <w:rPr>
                <w:rFonts w:eastAsia="Times New Roman"/>
                <w:color w:val="000000" w:themeColor="text1"/>
                <w:sz w:val="16"/>
                <w:szCs w:val="16"/>
              </w:rPr>
              <w:t>2.14</w:t>
            </w:r>
          </w:p>
        </w:tc>
        <w:tc>
          <w:tcPr>
            <w:tcW w:w="184" w:type="pct"/>
            <w:tcBorders>
              <w:top w:val="single" w:sz="4" w:space="0" w:color="auto"/>
              <w:left w:val="single" w:sz="8" w:space="0" w:color="auto"/>
              <w:bottom w:val="single" w:sz="4" w:space="0" w:color="auto"/>
            </w:tcBorders>
            <w:shd w:val="clear" w:color="auto" w:fill="auto"/>
            <w:noWrap/>
            <w:vAlign w:val="center"/>
            <w:hideMark/>
          </w:tcPr>
          <w:p w14:paraId="4829C44A" w14:textId="77777777" w:rsidR="004720C0" w:rsidRPr="00D14CD7" w:rsidRDefault="004720C0" w:rsidP="004720C0">
            <w:pPr>
              <w:spacing w:after="0" w:line="240" w:lineRule="auto"/>
              <w:jc w:val="right"/>
              <w:rPr>
                <w:rFonts w:eastAsia="Times New Roman"/>
                <w:color w:val="000000" w:themeColor="text1"/>
                <w:sz w:val="16"/>
                <w:szCs w:val="16"/>
              </w:rPr>
            </w:pPr>
            <w:r w:rsidRPr="00D14CD7">
              <w:rPr>
                <w:rFonts w:eastAsia="Times New Roman"/>
                <w:color w:val="000000" w:themeColor="text1"/>
                <w:sz w:val="16"/>
                <w:szCs w:val="22"/>
              </w:rPr>
              <w:t>—</w:t>
            </w:r>
          </w:p>
        </w:tc>
        <w:tc>
          <w:tcPr>
            <w:tcW w:w="188" w:type="pct"/>
            <w:tcBorders>
              <w:top w:val="single" w:sz="4" w:space="0" w:color="auto"/>
              <w:bottom w:val="single" w:sz="4" w:space="0" w:color="auto"/>
              <w:right w:val="single" w:sz="8" w:space="0" w:color="auto"/>
            </w:tcBorders>
            <w:shd w:val="clear" w:color="auto" w:fill="auto"/>
            <w:noWrap/>
            <w:vAlign w:val="center"/>
            <w:hideMark/>
          </w:tcPr>
          <w:p w14:paraId="055C1D02" w14:textId="77777777" w:rsidR="004720C0" w:rsidRPr="00D14CD7" w:rsidRDefault="004720C0" w:rsidP="004720C0">
            <w:pPr>
              <w:spacing w:after="0" w:line="240" w:lineRule="auto"/>
              <w:jc w:val="right"/>
              <w:rPr>
                <w:rFonts w:eastAsia="Times New Roman"/>
                <w:color w:val="000000" w:themeColor="text1"/>
                <w:sz w:val="16"/>
                <w:szCs w:val="16"/>
              </w:rPr>
            </w:pPr>
            <w:r w:rsidRPr="00D14CD7">
              <w:rPr>
                <w:rFonts w:eastAsia="Times New Roman"/>
                <w:color w:val="000000" w:themeColor="text1"/>
                <w:sz w:val="16"/>
                <w:szCs w:val="22"/>
              </w:rPr>
              <w:t>—</w:t>
            </w:r>
          </w:p>
        </w:tc>
        <w:tc>
          <w:tcPr>
            <w:tcW w:w="188" w:type="pct"/>
            <w:tcBorders>
              <w:top w:val="single" w:sz="4" w:space="0" w:color="auto"/>
              <w:left w:val="single" w:sz="8" w:space="0" w:color="auto"/>
              <w:bottom w:val="single" w:sz="4" w:space="0" w:color="auto"/>
            </w:tcBorders>
            <w:shd w:val="clear" w:color="auto" w:fill="auto"/>
            <w:noWrap/>
            <w:vAlign w:val="center"/>
            <w:hideMark/>
          </w:tcPr>
          <w:p w14:paraId="39D18C33" w14:textId="77777777" w:rsidR="004720C0" w:rsidRPr="00D14CD7" w:rsidRDefault="004720C0" w:rsidP="004720C0">
            <w:pPr>
              <w:spacing w:after="0" w:line="240" w:lineRule="auto"/>
              <w:jc w:val="right"/>
              <w:rPr>
                <w:rFonts w:eastAsia="Times New Roman"/>
                <w:color w:val="000000" w:themeColor="text1"/>
                <w:sz w:val="16"/>
                <w:szCs w:val="16"/>
              </w:rPr>
            </w:pPr>
            <w:proofErr w:type="spellStart"/>
            <w:r w:rsidRPr="00D14CD7">
              <w:rPr>
                <w:rFonts w:eastAsia="Times New Roman"/>
                <w:color w:val="000000" w:themeColor="text1"/>
                <w:sz w:val="16"/>
                <w:szCs w:val="22"/>
              </w:rPr>
              <w:t>na</w:t>
            </w:r>
            <w:proofErr w:type="spellEnd"/>
          </w:p>
        </w:tc>
        <w:tc>
          <w:tcPr>
            <w:tcW w:w="146" w:type="pct"/>
            <w:tcBorders>
              <w:top w:val="single" w:sz="4" w:space="0" w:color="auto"/>
              <w:bottom w:val="single" w:sz="4" w:space="0" w:color="auto"/>
              <w:right w:val="double" w:sz="4" w:space="0" w:color="auto"/>
            </w:tcBorders>
            <w:shd w:val="clear" w:color="auto" w:fill="auto"/>
            <w:noWrap/>
            <w:vAlign w:val="center"/>
            <w:hideMark/>
          </w:tcPr>
          <w:p w14:paraId="36FC5C64" w14:textId="77777777" w:rsidR="004720C0" w:rsidRPr="00D14CD7" w:rsidRDefault="004720C0" w:rsidP="004720C0">
            <w:pPr>
              <w:spacing w:after="0" w:line="240" w:lineRule="auto"/>
              <w:jc w:val="right"/>
              <w:rPr>
                <w:rFonts w:eastAsia="Times New Roman"/>
                <w:color w:val="000000" w:themeColor="text1"/>
                <w:sz w:val="16"/>
                <w:szCs w:val="16"/>
              </w:rPr>
            </w:pPr>
            <w:proofErr w:type="spellStart"/>
            <w:r w:rsidRPr="00D14CD7">
              <w:rPr>
                <w:rFonts w:eastAsia="Times New Roman"/>
                <w:color w:val="000000" w:themeColor="text1"/>
                <w:sz w:val="16"/>
                <w:szCs w:val="22"/>
              </w:rPr>
              <w:t>na</w:t>
            </w:r>
            <w:proofErr w:type="spellEnd"/>
          </w:p>
        </w:tc>
        <w:tc>
          <w:tcPr>
            <w:tcW w:w="184" w:type="pct"/>
            <w:tcBorders>
              <w:left w:val="double" w:sz="4" w:space="0" w:color="auto"/>
            </w:tcBorders>
            <w:shd w:val="clear" w:color="auto" w:fill="auto"/>
            <w:noWrap/>
            <w:vAlign w:val="center"/>
            <w:hideMark/>
          </w:tcPr>
          <w:p w14:paraId="0A713655" w14:textId="77777777" w:rsidR="004720C0" w:rsidRPr="00D14CD7" w:rsidRDefault="004720C0" w:rsidP="004720C0">
            <w:pPr>
              <w:spacing w:after="0" w:line="240" w:lineRule="auto"/>
              <w:jc w:val="right"/>
              <w:rPr>
                <w:rFonts w:eastAsia="Times New Roman"/>
                <w:color w:val="000000" w:themeColor="text1"/>
                <w:sz w:val="16"/>
                <w:szCs w:val="16"/>
              </w:rPr>
            </w:pPr>
            <w:r w:rsidRPr="00D14CD7">
              <w:rPr>
                <w:rFonts w:eastAsia="Times New Roman"/>
                <w:color w:val="000000" w:themeColor="text1"/>
                <w:sz w:val="16"/>
                <w:szCs w:val="16"/>
              </w:rPr>
              <w:t>1.179</w:t>
            </w:r>
          </w:p>
        </w:tc>
        <w:tc>
          <w:tcPr>
            <w:tcW w:w="184" w:type="pct"/>
            <w:tcBorders>
              <w:top w:val="single" w:sz="4" w:space="0" w:color="auto"/>
              <w:bottom w:val="single" w:sz="4" w:space="0" w:color="auto"/>
              <w:right w:val="single" w:sz="8" w:space="0" w:color="auto"/>
            </w:tcBorders>
            <w:shd w:val="clear" w:color="auto" w:fill="auto"/>
            <w:noWrap/>
            <w:vAlign w:val="center"/>
            <w:hideMark/>
          </w:tcPr>
          <w:p w14:paraId="343E11BA" w14:textId="77777777" w:rsidR="004720C0" w:rsidRPr="00D14CD7" w:rsidRDefault="004720C0" w:rsidP="004720C0">
            <w:pPr>
              <w:spacing w:after="0" w:line="240" w:lineRule="auto"/>
              <w:jc w:val="right"/>
              <w:rPr>
                <w:rFonts w:eastAsia="Times New Roman"/>
                <w:color w:val="000000" w:themeColor="text1"/>
                <w:sz w:val="16"/>
                <w:szCs w:val="16"/>
              </w:rPr>
            </w:pPr>
            <w:r w:rsidRPr="00D14CD7">
              <w:rPr>
                <w:rFonts w:eastAsia="Times New Roman"/>
                <w:color w:val="000000" w:themeColor="text1"/>
                <w:sz w:val="16"/>
                <w:szCs w:val="16"/>
              </w:rPr>
              <w:t>2.35</w:t>
            </w:r>
          </w:p>
        </w:tc>
        <w:tc>
          <w:tcPr>
            <w:tcW w:w="184" w:type="pct"/>
            <w:tcBorders>
              <w:left w:val="single" w:sz="8" w:space="0" w:color="auto"/>
            </w:tcBorders>
            <w:shd w:val="clear" w:color="auto" w:fill="auto"/>
            <w:noWrap/>
            <w:vAlign w:val="center"/>
            <w:hideMark/>
          </w:tcPr>
          <w:p w14:paraId="4C3AE4E9" w14:textId="77777777" w:rsidR="004720C0" w:rsidRPr="00D14CD7" w:rsidRDefault="004720C0" w:rsidP="004720C0">
            <w:pPr>
              <w:spacing w:after="0" w:line="240" w:lineRule="auto"/>
              <w:jc w:val="right"/>
              <w:rPr>
                <w:rFonts w:eastAsia="Times New Roman"/>
                <w:color w:val="000000" w:themeColor="text1"/>
                <w:sz w:val="16"/>
                <w:szCs w:val="16"/>
              </w:rPr>
            </w:pPr>
            <w:r w:rsidRPr="00D14CD7">
              <w:rPr>
                <w:rFonts w:eastAsia="Times New Roman"/>
                <w:color w:val="000000" w:themeColor="text1"/>
                <w:sz w:val="16"/>
                <w:szCs w:val="22"/>
              </w:rPr>
              <w:t>—</w:t>
            </w:r>
          </w:p>
        </w:tc>
        <w:tc>
          <w:tcPr>
            <w:tcW w:w="185" w:type="pct"/>
            <w:tcBorders>
              <w:top w:val="single" w:sz="4" w:space="0" w:color="auto"/>
              <w:bottom w:val="single" w:sz="4" w:space="0" w:color="auto"/>
              <w:right w:val="single" w:sz="8" w:space="0" w:color="auto"/>
            </w:tcBorders>
            <w:shd w:val="clear" w:color="auto" w:fill="auto"/>
            <w:noWrap/>
            <w:vAlign w:val="center"/>
            <w:hideMark/>
          </w:tcPr>
          <w:p w14:paraId="0A6C9E68" w14:textId="77777777" w:rsidR="004720C0" w:rsidRPr="00D14CD7" w:rsidRDefault="004720C0" w:rsidP="004720C0">
            <w:pPr>
              <w:spacing w:after="0" w:line="240" w:lineRule="auto"/>
              <w:jc w:val="right"/>
              <w:rPr>
                <w:rFonts w:eastAsia="Times New Roman"/>
                <w:color w:val="000000" w:themeColor="text1"/>
                <w:sz w:val="16"/>
                <w:szCs w:val="16"/>
              </w:rPr>
            </w:pPr>
            <w:r w:rsidRPr="00D14CD7">
              <w:rPr>
                <w:rFonts w:eastAsia="Times New Roman"/>
                <w:color w:val="000000" w:themeColor="text1"/>
                <w:sz w:val="16"/>
                <w:szCs w:val="22"/>
              </w:rPr>
              <w:t>—</w:t>
            </w:r>
          </w:p>
        </w:tc>
        <w:tc>
          <w:tcPr>
            <w:tcW w:w="185" w:type="pct"/>
            <w:tcBorders>
              <w:left w:val="single" w:sz="8" w:space="0" w:color="auto"/>
            </w:tcBorders>
            <w:shd w:val="clear" w:color="auto" w:fill="auto"/>
            <w:noWrap/>
            <w:vAlign w:val="center"/>
            <w:hideMark/>
          </w:tcPr>
          <w:p w14:paraId="0405B482" w14:textId="77777777" w:rsidR="004720C0" w:rsidRPr="00D14CD7" w:rsidRDefault="004720C0" w:rsidP="004720C0">
            <w:pPr>
              <w:spacing w:after="0" w:line="240" w:lineRule="auto"/>
              <w:jc w:val="right"/>
              <w:rPr>
                <w:rFonts w:eastAsia="Times New Roman"/>
                <w:color w:val="000000" w:themeColor="text1"/>
                <w:sz w:val="16"/>
                <w:szCs w:val="16"/>
              </w:rPr>
            </w:pPr>
            <w:r w:rsidRPr="00D14CD7">
              <w:rPr>
                <w:rFonts w:eastAsia="Times New Roman"/>
                <w:color w:val="000000" w:themeColor="text1"/>
                <w:sz w:val="16"/>
                <w:szCs w:val="22"/>
              </w:rPr>
              <w:t>—</w:t>
            </w:r>
          </w:p>
        </w:tc>
        <w:tc>
          <w:tcPr>
            <w:tcW w:w="185" w:type="pct"/>
            <w:tcBorders>
              <w:top w:val="single" w:sz="4" w:space="0" w:color="auto"/>
              <w:bottom w:val="single" w:sz="4" w:space="0" w:color="auto"/>
              <w:right w:val="single" w:sz="8" w:space="0" w:color="auto"/>
            </w:tcBorders>
            <w:shd w:val="clear" w:color="auto" w:fill="auto"/>
            <w:noWrap/>
            <w:vAlign w:val="center"/>
            <w:hideMark/>
          </w:tcPr>
          <w:p w14:paraId="69EA7F98" w14:textId="77777777" w:rsidR="004720C0" w:rsidRPr="00D14CD7" w:rsidRDefault="004720C0" w:rsidP="004720C0">
            <w:pPr>
              <w:spacing w:after="0" w:line="240" w:lineRule="auto"/>
              <w:jc w:val="right"/>
              <w:rPr>
                <w:rFonts w:eastAsia="Times New Roman"/>
                <w:color w:val="000000" w:themeColor="text1"/>
                <w:sz w:val="16"/>
                <w:szCs w:val="16"/>
              </w:rPr>
            </w:pPr>
            <w:r w:rsidRPr="00D14CD7">
              <w:rPr>
                <w:rFonts w:eastAsia="Times New Roman"/>
                <w:color w:val="000000" w:themeColor="text1"/>
                <w:sz w:val="16"/>
                <w:szCs w:val="22"/>
              </w:rPr>
              <w:t>—</w:t>
            </w:r>
          </w:p>
        </w:tc>
        <w:tc>
          <w:tcPr>
            <w:tcW w:w="156" w:type="pct"/>
            <w:tcBorders>
              <w:left w:val="single" w:sz="8" w:space="0" w:color="auto"/>
            </w:tcBorders>
            <w:shd w:val="clear" w:color="auto" w:fill="auto"/>
            <w:noWrap/>
            <w:vAlign w:val="center"/>
            <w:hideMark/>
          </w:tcPr>
          <w:p w14:paraId="642DD60A" w14:textId="77777777" w:rsidR="004720C0" w:rsidRPr="00D14CD7" w:rsidRDefault="004720C0" w:rsidP="004720C0">
            <w:pPr>
              <w:spacing w:after="0" w:line="240" w:lineRule="auto"/>
              <w:jc w:val="right"/>
              <w:rPr>
                <w:rFonts w:eastAsia="Times New Roman"/>
                <w:color w:val="000000" w:themeColor="text1"/>
                <w:sz w:val="16"/>
                <w:szCs w:val="16"/>
              </w:rPr>
            </w:pPr>
            <w:proofErr w:type="spellStart"/>
            <w:r w:rsidRPr="00D14CD7">
              <w:rPr>
                <w:rFonts w:eastAsia="Times New Roman"/>
                <w:color w:val="000000" w:themeColor="text1"/>
                <w:sz w:val="16"/>
                <w:szCs w:val="22"/>
              </w:rPr>
              <w:t>na</w:t>
            </w:r>
            <w:proofErr w:type="spellEnd"/>
          </w:p>
        </w:tc>
        <w:tc>
          <w:tcPr>
            <w:tcW w:w="157" w:type="pct"/>
            <w:tcBorders>
              <w:top w:val="single" w:sz="4" w:space="0" w:color="auto"/>
              <w:bottom w:val="single" w:sz="4" w:space="0" w:color="auto"/>
              <w:right w:val="double" w:sz="4" w:space="0" w:color="auto"/>
            </w:tcBorders>
            <w:shd w:val="clear" w:color="auto" w:fill="auto"/>
            <w:noWrap/>
            <w:vAlign w:val="center"/>
            <w:hideMark/>
          </w:tcPr>
          <w:p w14:paraId="4D792615" w14:textId="77777777" w:rsidR="004720C0" w:rsidRPr="00D14CD7" w:rsidRDefault="004720C0" w:rsidP="004720C0">
            <w:pPr>
              <w:spacing w:after="0" w:line="240" w:lineRule="auto"/>
              <w:jc w:val="right"/>
              <w:rPr>
                <w:rFonts w:eastAsia="Times New Roman"/>
                <w:color w:val="000000" w:themeColor="text1"/>
                <w:sz w:val="16"/>
                <w:szCs w:val="16"/>
              </w:rPr>
            </w:pPr>
            <w:proofErr w:type="spellStart"/>
            <w:r w:rsidRPr="00D14CD7">
              <w:rPr>
                <w:rFonts w:eastAsia="Times New Roman"/>
                <w:color w:val="000000" w:themeColor="text1"/>
                <w:sz w:val="16"/>
                <w:szCs w:val="22"/>
              </w:rPr>
              <w:t>na</w:t>
            </w:r>
            <w:proofErr w:type="spellEnd"/>
          </w:p>
        </w:tc>
        <w:tc>
          <w:tcPr>
            <w:tcW w:w="187" w:type="pct"/>
            <w:tcBorders>
              <w:left w:val="double" w:sz="4" w:space="0" w:color="auto"/>
            </w:tcBorders>
            <w:shd w:val="clear" w:color="auto" w:fill="auto"/>
            <w:noWrap/>
            <w:vAlign w:val="center"/>
            <w:hideMark/>
          </w:tcPr>
          <w:p w14:paraId="3BB6D569" w14:textId="77777777" w:rsidR="004720C0" w:rsidRPr="00D14CD7" w:rsidRDefault="004720C0" w:rsidP="004720C0">
            <w:pPr>
              <w:spacing w:after="0" w:line="240" w:lineRule="auto"/>
              <w:jc w:val="right"/>
              <w:rPr>
                <w:rFonts w:eastAsia="Times New Roman"/>
                <w:color w:val="000000" w:themeColor="text1"/>
                <w:sz w:val="16"/>
                <w:szCs w:val="16"/>
              </w:rPr>
            </w:pPr>
            <w:r w:rsidRPr="00D14CD7">
              <w:rPr>
                <w:rFonts w:eastAsia="Times New Roman"/>
                <w:color w:val="000000" w:themeColor="text1"/>
                <w:sz w:val="16"/>
                <w:szCs w:val="22"/>
              </w:rPr>
              <w:t>—</w:t>
            </w:r>
          </w:p>
        </w:tc>
        <w:tc>
          <w:tcPr>
            <w:tcW w:w="183" w:type="pct"/>
            <w:shd w:val="clear" w:color="auto" w:fill="auto"/>
            <w:noWrap/>
            <w:vAlign w:val="center"/>
            <w:hideMark/>
          </w:tcPr>
          <w:p w14:paraId="7025F88E" w14:textId="77777777" w:rsidR="004720C0" w:rsidRPr="00D14CD7" w:rsidRDefault="004720C0" w:rsidP="004720C0">
            <w:pPr>
              <w:spacing w:after="0" w:line="240" w:lineRule="auto"/>
              <w:jc w:val="right"/>
              <w:rPr>
                <w:rFonts w:eastAsia="Times New Roman"/>
                <w:color w:val="000000" w:themeColor="text1"/>
                <w:sz w:val="16"/>
                <w:szCs w:val="16"/>
              </w:rPr>
            </w:pPr>
            <w:r w:rsidRPr="00D14CD7">
              <w:rPr>
                <w:rFonts w:eastAsia="Times New Roman"/>
                <w:color w:val="000000" w:themeColor="text1"/>
                <w:sz w:val="16"/>
                <w:szCs w:val="22"/>
              </w:rPr>
              <w:t>—</w:t>
            </w:r>
          </w:p>
        </w:tc>
      </w:tr>
      <w:tr w:rsidR="00D14CD7" w:rsidRPr="00D14CD7" w14:paraId="3BC2ABB3" w14:textId="77777777" w:rsidTr="00286339">
        <w:trPr>
          <w:trHeight w:val="72"/>
        </w:trPr>
        <w:tc>
          <w:tcPr>
            <w:tcW w:w="1709" w:type="pct"/>
            <w:tcBorders>
              <w:top w:val="single" w:sz="4" w:space="0" w:color="auto"/>
              <w:bottom w:val="single" w:sz="8" w:space="0" w:color="auto"/>
              <w:right w:val="double" w:sz="4" w:space="0" w:color="auto"/>
            </w:tcBorders>
            <w:shd w:val="clear" w:color="auto" w:fill="auto"/>
            <w:noWrap/>
            <w:vAlign w:val="center"/>
            <w:hideMark/>
          </w:tcPr>
          <w:p w14:paraId="28C63484" w14:textId="77777777" w:rsidR="004720C0" w:rsidRPr="00D14CD7" w:rsidRDefault="004720C0" w:rsidP="004720C0">
            <w:pPr>
              <w:spacing w:after="0" w:line="240" w:lineRule="auto"/>
              <w:ind w:firstLine="140"/>
              <w:jc w:val="left"/>
              <w:rPr>
                <w:rFonts w:eastAsia="Times New Roman"/>
                <w:color w:val="000000" w:themeColor="text1"/>
                <w:sz w:val="16"/>
                <w:szCs w:val="16"/>
              </w:rPr>
            </w:pPr>
            <w:r w:rsidRPr="00D14CD7">
              <w:rPr>
                <w:rFonts w:eastAsia="Times New Roman"/>
                <w:color w:val="000000" w:themeColor="text1"/>
                <w:sz w:val="16"/>
                <w:szCs w:val="22"/>
              </w:rPr>
              <w:t>Full-time</w:t>
            </w:r>
          </w:p>
        </w:tc>
        <w:tc>
          <w:tcPr>
            <w:tcW w:w="227" w:type="pct"/>
            <w:tcBorders>
              <w:top w:val="single" w:sz="4" w:space="0" w:color="auto"/>
              <w:left w:val="double" w:sz="4" w:space="0" w:color="auto"/>
              <w:bottom w:val="single" w:sz="8" w:space="0" w:color="auto"/>
            </w:tcBorders>
            <w:shd w:val="clear" w:color="auto" w:fill="auto"/>
            <w:noWrap/>
            <w:vAlign w:val="center"/>
            <w:hideMark/>
          </w:tcPr>
          <w:p w14:paraId="56D962BA" w14:textId="77777777" w:rsidR="004720C0" w:rsidRPr="00D14CD7" w:rsidRDefault="004720C0" w:rsidP="004720C0">
            <w:pPr>
              <w:spacing w:after="0" w:line="240" w:lineRule="auto"/>
              <w:jc w:val="right"/>
              <w:rPr>
                <w:rFonts w:eastAsia="Times New Roman"/>
                <w:color w:val="000000" w:themeColor="text1"/>
                <w:sz w:val="16"/>
                <w:szCs w:val="16"/>
              </w:rPr>
            </w:pPr>
            <w:r w:rsidRPr="00D14CD7">
              <w:rPr>
                <w:rFonts w:eastAsia="Times New Roman"/>
                <w:color w:val="000000" w:themeColor="text1"/>
                <w:sz w:val="16"/>
                <w:szCs w:val="22"/>
              </w:rPr>
              <w:t>—</w:t>
            </w:r>
          </w:p>
        </w:tc>
        <w:tc>
          <w:tcPr>
            <w:tcW w:w="199" w:type="pct"/>
            <w:tcBorders>
              <w:top w:val="single" w:sz="4" w:space="0" w:color="auto"/>
              <w:bottom w:val="single" w:sz="8" w:space="0" w:color="auto"/>
              <w:right w:val="single" w:sz="8" w:space="0" w:color="auto"/>
            </w:tcBorders>
            <w:shd w:val="clear" w:color="auto" w:fill="auto"/>
            <w:noWrap/>
            <w:vAlign w:val="center"/>
            <w:hideMark/>
          </w:tcPr>
          <w:p w14:paraId="6CAD4AF1" w14:textId="77777777" w:rsidR="004720C0" w:rsidRPr="00D14CD7" w:rsidRDefault="004720C0" w:rsidP="004720C0">
            <w:pPr>
              <w:spacing w:after="0" w:line="240" w:lineRule="auto"/>
              <w:jc w:val="right"/>
              <w:rPr>
                <w:rFonts w:eastAsia="Times New Roman"/>
                <w:color w:val="000000" w:themeColor="text1"/>
                <w:sz w:val="16"/>
                <w:szCs w:val="16"/>
              </w:rPr>
            </w:pPr>
            <w:r w:rsidRPr="00D14CD7">
              <w:rPr>
                <w:rFonts w:eastAsia="Times New Roman"/>
                <w:color w:val="000000" w:themeColor="text1"/>
                <w:sz w:val="16"/>
                <w:szCs w:val="22"/>
              </w:rPr>
              <w:t>—</w:t>
            </w:r>
          </w:p>
        </w:tc>
        <w:tc>
          <w:tcPr>
            <w:tcW w:w="184" w:type="pct"/>
            <w:tcBorders>
              <w:top w:val="single" w:sz="4" w:space="0" w:color="auto"/>
              <w:left w:val="single" w:sz="8" w:space="0" w:color="auto"/>
              <w:bottom w:val="single" w:sz="8" w:space="0" w:color="auto"/>
            </w:tcBorders>
            <w:shd w:val="clear" w:color="auto" w:fill="auto"/>
            <w:noWrap/>
            <w:vAlign w:val="center"/>
            <w:hideMark/>
          </w:tcPr>
          <w:p w14:paraId="4F20E36E" w14:textId="77777777" w:rsidR="004720C0" w:rsidRPr="00D14CD7" w:rsidRDefault="004720C0" w:rsidP="004720C0">
            <w:pPr>
              <w:spacing w:after="0" w:line="240" w:lineRule="auto"/>
              <w:jc w:val="right"/>
              <w:rPr>
                <w:rFonts w:eastAsia="Times New Roman"/>
                <w:color w:val="000000" w:themeColor="text1"/>
                <w:sz w:val="16"/>
                <w:szCs w:val="16"/>
              </w:rPr>
            </w:pPr>
            <w:r w:rsidRPr="00D14CD7">
              <w:rPr>
                <w:rFonts w:eastAsia="Times New Roman"/>
                <w:color w:val="000000" w:themeColor="text1"/>
                <w:sz w:val="16"/>
                <w:szCs w:val="16"/>
              </w:rPr>
              <w:t>0.134</w:t>
            </w:r>
          </w:p>
        </w:tc>
        <w:tc>
          <w:tcPr>
            <w:tcW w:w="185" w:type="pct"/>
            <w:tcBorders>
              <w:top w:val="single" w:sz="4" w:space="0" w:color="auto"/>
              <w:bottom w:val="single" w:sz="8" w:space="0" w:color="auto"/>
              <w:right w:val="single" w:sz="8" w:space="0" w:color="auto"/>
            </w:tcBorders>
            <w:shd w:val="clear" w:color="auto" w:fill="auto"/>
            <w:noWrap/>
            <w:vAlign w:val="center"/>
            <w:hideMark/>
          </w:tcPr>
          <w:p w14:paraId="3BC1D1BF" w14:textId="77777777" w:rsidR="004720C0" w:rsidRPr="00D14CD7" w:rsidRDefault="004720C0" w:rsidP="004720C0">
            <w:pPr>
              <w:spacing w:after="0" w:line="240" w:lineRule="auto"/>
              <w:jc w:val="right"/>
              <w:rPr>
                <w:rFonts w:eastAsia="Times New Roman"/>
                <w:color w:val="000000" w:themeColor="text1"/>
                <w:sz w:val="16"/>
                <w:szCs w:val="16"/>
              </w:rPr>
            </w:pPr>
            <w:r w:rsidRPr="00D14CD7">
              <w:rPr>
                <w:rFonts w:eastAsia="Times New Roman"/>
                <w:color w:val="000000" w:themeColor="text1"/>
                <w:sz w:val="16"/>
                <w:szCs w:val="16"/>
              </w:rPr>
              <w:t>2.14</w:t>
            </w:r>
          </w:p>
        </w:tc>
        <w:tc>
          <w:tcPr>
            <w:tcW w:w="184" w:type="pct"/>
            <w:tcBorders>
              <w:top w:val="single" w:sz="4" w:space="0" w:color="auto"/>
              <w:left w:val="single" w:sz="8" w:space="0" w:color="auto"/>
              <w:bottom w:val="single" w:sz="8" w:space="0" w:color="auto"/>
            </w:tcBorders>
            <w:shd w:val="clear" w:color="auto" w:fill="auto"/>
            <w:noWrap/>
            <w:vAlign w:val="center"/>
            <w:hideMark/>
          </w:tcPr>
          <w:p w14:paraId="15985D9D" w14:textId="77777777" w:rsidR="004720C0" w:rsidRPr="00D14CD7" w:rsidRDefault="004720C0" w:rsidP="004720C0">
            <w:pPr>
              <w:spacing w:after="0" w:line="240" w:lineRule="auto"/>
              <w:jc w:val="right"/>
              <w:rPr>
                <w:rFonts w:eastAsia="Times New Roman"/>
                <w:color w:val="000000" w:themeColor="text1"/>
                <w:sz w:val="16"/>
                <w:szCs w:val="16"/>
              </w:rPr>
            </w:pPr>
            <w:r w:rsidRPr="00D14CD7">
              <w:rPr>
                <w:rFonts w:eastAsia="Times New Roman"/>
                <w:color w:val="000000" w:themeColor="text1"/>
                <w:sz w:val="16"/>
                <w:szCs w:val="22"/>
              </w:rPr>
              <w:t>—</w:t>
            </w:r>
          </w:p>
        </w:tc>
        <w:tc>
          <w:tcPr>
            <w:tcW w:w="188" w:type="pct"/>
            <w:tcBorders>
              <w:top w:val="single" w:sz="4" w:space="0" w:color="auto"/>
              <w:bottom w:val="single" w:sz="8" w:space="0" w:color="auto"/>
              <w:right w:val="single" w:sz="8" w:space="0" w:color="auto"/>
            </w:tcBorders>
            <w:shd w:val="clear" w:color="auto" w:fill="auto"/>
            <w:noWrap/>
            <w:vAlign w:val="center"/>
            <w:hideMark/>
          </w:tcPr>
          <w:p w14:paraId="114BFF9E" w14:textId="77777777" w:rsidR="004720C0" w:rsidRPr="00D14CD7" w:rsidRDefault="004720C0" w:rsidP="004720C0">
            <w:pPr>
              <w:spacing w:after="0" w:line="240" w:lineRule="auto"/>
              <w:jc w:val="right"/>
              <w:rPr>
                <w:rFonts w:eastAsia="Times New Roman"/>
                <w:color w:val="000000" w:themeColor="text1"/>
                <w:sz w:val="16"/>
                <w:szCs w:val="16"/>
              </w:rPr>
            </w:pPr>
            <w:r w:rsidRPr="00D14CD7">
              <w:rPr>
                <w:rFonts w:eastAsia="Times New Roman"/>
                <w:color w:val="000000" w:themeColor="text1"/>
                <w:sz w:val="16"/>
                <w:szCs w:val="22"/>
              </w:rPr>
              <w:t>—</w:t>
            </w:r>
          </w:p>
        </w:tc>
        <w:tc>
          <w:tcPr>
            <w:tcW w:w="188" w:type="pct"/>
            <w:tcBorders>
              <w:top w:val="single" w:sz="4" w:space="0" w:color="auto"/>
              <w:left w:val="single" w:sz="8" w:space="0" w:color="auto"/>
              <w:bottom w:val="single" w:sz="8" w:space="0" w:color="auto"/>
            </w:tcBorders>
            <w:shd w:val="clear" w:color="auto" w:fill="auto"/>
            <w:noWrap/>
            <w:vAlign w:val="center"/>
            <w:hideMark/>
          </w:tcPr>
          <w:p w14:paraId="2B9A10FD" w14:textId="77777777" w:rsidR="004720C0" w:rsidRPr="00D14CD7" w:rsidRDefault="004720C0" w:rsidP="004720C0">
            <w:pPr>
              <w:spacing w:after="0" w:line="240" w:lineRule="auto"/>
              <w:jc w:val="right"/>
              <w:rPr>
                <w:rFonts w:eastAsia="Times New Roman"/>
                <w:color w:val="000000" w:themeColor="text1"/>
                <w:sz w:val="16"/>
                <w:szCs w:val="16"/>
              </w:rPr>
            </w:pPr>
            <w:proofErr w:type="spellStart"/>
            <w:r w:rsidRPr="00D14CD7">
              <w:rPr>
                <w:rFonts w:eastAsia="Times New Roman"/>
                <w:color w:val="000000" w:themeColor="text1"/>
                <w:sz w:val="16"/>
                <w:szCs w:val="22"/>
              </w:rPr>
              <w:t>na</w:t>
            </w:r>
            <w:proofErr w:type="spellEnd"/>
          </w:p>
        </w:tc>
        <w:tc>
          <w:tcPr>
            <w:tcW w:w="146" w:type="pct"/>
            <w:tcBorders>
              <w:top w:val="single" w:sz="4" w:space="0" w:color="auto"/>
              <w:bottom w:val="single" w:sz="8" w:space="0" w:color="auto"/>
              <w:right w:val="double" w:sz="4" w:space="0" w:color="auto"/>
            </w:tcBorders>
            <w:shd w:val="clear" w:color="auto" w:fill="auto"/>
            <w:noWrap/>
            <w:vAlign w:val="center"/>
            <w:hideMark/>
          </w:tcPr>
          <w:p w14:paraId="508A836A" w14:textId="77777777" w:rsidR="004720C0" w:rsidRPr="00D14CD7" w:rsidRDefault="004720C0" w:rsidP="004720C0">
            <w:pPr>
              <w:spacing w:after="0" w:line="240" w:lineRule="auto"/>
              <w:jc w:val="right"/>
              <w:rPr>
                <w:rFonts w:eastAsia="Times New Roman"/>
                <w:color w:val="000000" w:themeColor="text1"/>
                <w:sz w:val="16"/>
                <w:szCs w:val="16"/>
              </w:rPr>
            </w:pPr>
            <w:proofErr w:type="spellStart"/>
            <w:r w:rsidRPr="00D14CD7">
              <w:rPr>
                <w:rFonts w:eastAsia="Times New Roman"/>
                <w:color w:val="000000" w:themeColor="text1"/>
                <w:sz w:val="16"/>
                <w:szCs w:val="22"/>
              </w:rPr>
              <w:t>na</w:t>
            </w:r>
            <w:proofErr w:type="spellEnd"/>
          </w:p>
        </w:tc>
        <w:tc>
          <w:tcPr>
            <w:tcW w:w="184" w:type="pct"/>
            <w:tcBorders>
              <w:left w:val="double" w:sz="4" w:space="0" w:color="auto"/>
              <w:bottom w:val="single" w:sz="8" w:space="0" w:color="auto"/>
            </w:tcBorders>
            <w:shd w:val="clear" w:color="auto" w:fill="auto"/>
            <w:noWrap/>
            <w:vAlign w:val="center"/>
            <w:hideMark/>
          </w:tcPr>
          <w:p w14:paraId="6CE05A9D" w14:textId="77777777" w:rsidR="004720C0" w:rsidRPr="00D14CD7" w:rsidRDefault="004720C0" w:rsidP="004720C0">
            <w:pPr>
              <w:spacing w:after="0" w:line="240" w:lineRule="auto"/>
              <w:jc w:val="right"/>
              <w:rPr>
                <w:rFonts w:eastAsia="Times New Roman"/>
                <w:color w:val="000000" w:themeColor="text1"/>
                <w:sz w:val="16"/>
                <w:szCs w:val="16"/>
              </w:rPr>
            </w:pPr>
            <w:r w:rsidRPr="00D14CD7">
              <w:rPr>
                <w:rFonts w:eastAsia="Times New Roman"/>
                <w:color w:val="000000" w:themeColor="text1"/>
                <w:sz w:val="16"/>
                <w:szCs w:val="16"/>
              </w:rPr>
              <w:t>0.601</w:t>
            </w:r>
          </w:p>
        </w:tc>
        <w:tc>
          <w:tcPr>
            <w:tcW w:w="184" w:type="pct"/>
            <w:tcBorders>
              <w:top w:val="single" w:sz="4" w:space="0" w:color="auto"/>
              <w:bottom w:val="single" w:sz="8" w:space="0" w:color="auto"/>
              <w:right w:val="single" w:sz="8" w:space="0" w:color="auto"/>
            </w:tcBorders>
            <w:shd w:val="clear" w:color="auto" w:fill="auto"/>
            <w:noWrap/>
            <w:vAlign w:val="center"/>
            <w:hideMark/>
          </w:tcPr>
          <w:p w14:paraId="76012275" w14:textId="77777777" w:rsidR="004720C0" w:rsidRPr="00D14CD7" w:rsidRDefault="004720C0" w:rsidP="004720C0">
            <w:pPr>
              <w:spacing w:after="0" w:line="240" w:lineRule="auto"/>
              <w:jc w:val="right"/>
              <w:rPr>
                <w:rFonts w:eastAsia="Times New Roman"/>
                <w:color w:val="000000" w:themeColor="text1"/>
                <w:sz w:val="16"/>
                <w:szCs w:val="16"/>
              </w:rPr>
            </w:pPr>
            <w:r w:rsidRPr="00D14CD7">
              <w:rPr>
                <w:rFonts w:eastAsia="Times New Roman"/>
                <w:color w:val="000000" w:themeColor="text1"/>
                <w:sz w:val="16"/>
                <w:szCs w:val="16"/>
              </w:rPr>
              <w:t>1.57</w:t>
            </w:r>
          </w:p>
        </w:tc>
        <w:tc>
          <w:tcPr>
            <w:tcW w:w="184" w:type="pct"/>
            <w:tcBorders>
              <w:left w:val="single" w:sz="8" w:space="0" w:color="auto"/>
              <w:bottom w:val="single" w:sz="8" w:space="0" w:color="auto"/>
            </w:tcBorders>
            <w:shd w:val="clear" w:color="auto" w:fill="auto"/>
            <w:noWrap/>
            <w:vAlign w:val="center"/>
            <w:hideMark/>
          </w:tcPr>
          <w:p w14:paraId="2493D239" w14:textId="77777777" w:rsidR="004720C0" w:rsidRPr="00D14CD7" w:rsidRDefault="004720C0" w:rsidP="004720C0">
            <w:pPr>
              <w:spacing w:after="0" w:line="240" w:lineRule="auto"/>
              <w:jc w:val="right"/>
              <w:rPr>
                <w:rFonts w:eastAsia="Times New Roman"/>
                <w:color w:val="000000" w:themeColor="text1"/>
                <w:sz w:val="16"/>
                <w:szCs w:val="16"/>
              </w:rPr>
            </w:pPr>
            <w:r w:rsidRPr="00D14CD7">
              <w:rPr>
                <w:rFonts w:eastAsia="Times New Roman"/>
                <w:color w:val="000000" w:themeColor="text1"/>
                <w:sz w:val="16"/>
                <w:szCs w:val="22"/>
              </w:rPr>
              <w:t>—</w:t>
            </w:r>
          </w:p>
        </w:tc>
        <w:tc>
          <w:tcPr>
            <w:tcW w:w="185" w:type="pct"/>
            <w:tcBorders>
              <w:top w:val="single" w:sz="4" w:space="0" w:color="auto"/>
              <w:bottom w:val="single" w:sz="8" w:space="0" w:color="auto"/>
              <w:right w:val="single" w:sz="8" w:space="0" w:color="auto"/>
            </w:tcBorders>
            <w:shd w:val="clear" w:color="auto" w:fill="auto"/>
            <w:noWrap/>
            <w:vAlign w:val="center"/>
            <w:hideMark/>
          </w:tcPr>
          <w:p w14:paraId="55F4A7F4" w14:textId="77777777" w:rsidR="004720C0" w:rsidRPr="00D14CD7" w:rsidRDefault="004720C0" w:rsidP="004720C0">
            <w:pPr>
              <w:spacing w:after="0" w:line="240" w:lineRule="auto"/>
              <w:jc w:val="right"/>
              <w:rPr>
                <w:rFonts w:eastAsia="Times New Roman"/>
                <w:color w:val="000000" w:themeColor="text1"/>
                <w:sz w:val="16"/>
                <w:szCs w:val="16"/>
              </w:rPr>
            </w:pPr>
            <w:r w:rsidRPr="00D14CD7">
              <w:rPr>
                <w:rFonts w:eastAsia="Times New Roman"/>
                <w:color w:val="000000" w:themeColor="text1"/>
                <w:sz w:val="16"/>
                <w:szCs w:val="22"/>
              </w:rPr>
              <w:t>—</w:t>
            </w:r>
          </w:p>
        </w:tc>
        <w:tc>
          <w:tcPr>
            <w:tcW w:w="185" w:type="pct"/>
            <w:tcBorders>
              <w:left w:val="single" w:sz="8" w:space="0" w:color="auto"/>
              <w:bottom w:val="single" w:sz="8" w:space="0" w:color="auto"/>
            </w:tcBorders>
            <w:shd w:val="clear" w:color="auto" w:fill="auto"/>
            <w:noWrap/>
            <w:vAlign w:val="center"/>
            <w:hideMark/>
          </w:tcPr>
          <w:p w14:paraId="25DC0DEA" w14:textId="77777777" w:rsidR="004720C0" w:rsidRPr="00D14CD7" w:rsidRDefault="004720C0" w:rsidP="004720C0">
            <w:pPr>
              <w:spacing w:after="0" w:line="240" w:lineRule="auto"/>
              <w:jc w:val="right"/>
              <w:rPr>
                <w:rFonts w:eastAsia="Times New Roman"/>
                <w:color w:val="000000" w:themeColor="text1"/>
                <w:sz w:val="16"/>
                <w:szCs w:val="16"/>
              </w:rPr>
            </w:pPr>
            <w:r w:rsidRPr="00D14CD7">
              <w:rPr>
                <w:rFonts w:eastAsia="Times New Roman"/>
                <w:color w:val="000000" w:themeColor="text1"/>
                <w:sz w:val="16"/>
                <w:szCs w:val="22"/>
              </w:rPr>
              <w:t>—</w:t>
            </w:r>
          </w:p>
        </w:tc>
        <w:tc>
          <w:tcPr>
            <w:tcW w:w="185" w:type="pct"/>
            <w:tcBorders>
              <w:top w:val="single" w:sz="4" w:space="0" w:color="auto"/>
              <w:bottom w:val="single" w:sz="8" w:space="0" w:color="auto"/>
              <w:right w:val="single" w:sz="8" w:space="0" w:color="auto"/>
            </w:tcBorders>
            <w:shd w:val="clear" w:color="auto" w:fill="auto"/>
            <w:noWrap/>
            <w:vAlign w:val="center"/>
            <w:hideMark/>
          </w:tcPr>
          <w:p w14:paraId="060E8E6C" w14:textId="77777777" w:rsidR="004720C0" w:rsidRPr="00D14CD7" w:rsidRDefault="004720C0" w:rsidP="004720C0">
            <w:pPr>
              <w:spacing w:after="0" w:line="240" w:lineRule="auto"/>
              <w:jc w:val="right"/>
              <w:rPr>
                <w:rFonts w:eastAsia="Times New Roman"/>
                <w:color w:val="000000" w:themeColor="text1"/>
                <w:sz w:val="16"/>
                <w:szCs w:val="16"/>
              </w:rPr>
            </w:pPr>
            <w:r w:rsidRPr="00D14CD7">
              <w:rPr>
                <w:rFonts w:eastAsia="Times New Roman"/>
                <w:color w:val="000000" w:themeColor="text1"/>
                <w:sz w:val="16"/>
                <w:szCs w:val="22"/>
              </w:rPr>
              <w:t>—</w:t>
            </w:r>
          </w:p>
        </w:tc>
        <w:tc>
          <w:tcPr>
            <w:tcW w:w="156" w:type="pct"/>
            <w:tcBorders>
              <w:left w:val="single" w:sz="8" w:space="0" w:color="auto"/>
              <w:bottom w:val="single" w:sz="8" w:space="0" w:color="auto"/>
            </w:tcBorders>
            <w:shd w:val="clear" w:color="auto" w:fill="auto"/>
            <w:noWrap/>
            <w:vAlign w:val="center"/>
            <w:hideMark/>
          </w:tcPr>
          <w:p w14:paraId="777A727D" w14:textId="77777777" w:rsidR="004720C0" w:rsidRPr="00D14CD7" w:rsidRDefault="004720C0" w:rsidP="004720C0">
            <w:pPr>
              <w:spacing w:after="0" w:line="240" w:lineRule="auto"/>
              <w:jc w:val="right"/>
              <w:rPr>
                <w:rFonts w:eastAsia="Times New Roman"/>
                <w:color w:val="000000" w:themeColor="text1"/>
                <w:sz w:val="16"/>
                <w:szCs w:val="16"/>
              </w:rPr>
            </w:pPr>
            <w:proofErr w:type="spellStart"/>
            <w:r w:rsidRPr="00D14CD7">
              <w:rPr>
                <w:rFonts w:eastAsia="Times New Roman"/>
                <w:color w:val="000000" w:themeColor="text1"/>
                <w:sz w:val="16"/>
                <w:szCs w:val="22"/>
              </w:rPr>
              <w:t>na</w:t>
            </w:r>
            <w:proofErr w:type="spellEnd"/>
          </w:p>
        </w:tc>
        <w:tc>
          <w:tcPr>
            <w:tcW w:w="157" w:type="pct"/>
            <w:tcBorders>
              <w:top w:val="single" w:sz="4" w:space="0" w:color="auto"/>
              <w:bottom w:val="single" w:sz="8" w:space="0" w:color="auto"/>
              <w:right w:val="double" w:sz="4" w:space="0" w:color="auto"/>
            </w:tcBorders>
            <w:shd w:val="clear" w:color="auto" w:fill="auto"/>
            <w:noWrap/>
            <w:vAlign w:val="center"/>
            <w:hideMark/>
          </w:tcPr>
          <w:p w14:paraId="2F871A86" w14:textId="77777777" w:rsidR="004720C0" w:rsidRPr="00D14CD7" w:rsidRDefault="004720C0" w:rsidP="004720C0">
            <w:pPr>
              <w:spacing w:after="0" w:line="240" w:lineRule="auto"/>
              <w:jc w:val="right"/>
              <w:rPr>
                <w:rFonts w:eastAsia="Times New Roman"/>
                <w:color w:val="000000" w:themeColor="text1"/>
                <w:sz w:val="16"/>
                <w:szCs w:val="16"/>
              </w:rPr>
            </w:pPr>
            <w:proofErr w:type="spellStart"/>
            <w:r w:rsidRPr="00D14CD7">
              <w:rPr>
                <w:rFonts w:eastAsia="Times New Roman"/>
                <w:color w:val="000000" w:themeColor="text1"/>
                <w:sz w:val="16"/>
                <w:szCs w:val="22"/>
              </w:rPr>
              <w:t>na</w:t>
            </w:r>
            <w:proofErr w:type="spellEnd"/>
          </w:p>
        </w:tc>
        <w:tc>
          <w:tcPr>
            <w:tcW w:w="187" w:type="pct"/>
            <w:tcBorders>
              <w:left w:val="double" w:sz="4" w:space="0" w:color="auto"/>
              <w:bottom w:val="single" w:sz="8" w:space="0" w:color="auto"/>
            </w:tcBorders>
            <w:shd w:val="clear" w:color="auto" w:fill="auto"/>
            <w:noWrap/>
            <w:vAlign w:val="center"/>
            <w:hideMark/>
          </w:tcPr>
          <w:p w14:paraId="6D115CEB" w14:textId="77777777" w:rsidR="004720C0" w:rsidRPr="00D14CD7" w:rsidRDefault="004720C0" w:rsidP="004720C0">
            <w:pPr>
              <w:spacing w:after="0" w:line="240" w:lineRule="auto"/>
              <w:jc w:val="right"/>
              <w:rPr>
                <w:rFonts w:eastAsia="Times New Roman"/>
                <w:color w:val="000000" w:themeColor="text1"/>
                <w:sz w:val="16"/>
                <w:szCs w:val="16"/>
              </w:rPr>
            </w:pPr>
            <w:r w:rsidRPr="00D14CD7">
              <w:rPr>
                <w:rFonts w:eastAsia="Times New Roman"/>
                <w:color w:val="000000" w:themeColor="text1"/>
                <w:sz w:val="16"/>
                <w:szCs w:val="22"/>
              </w:rPr>
              <w:t>—</w:t>
            </w:r>
          </w:p>
        </w:tc>
        <w:tc>
          <w:tcPr>
            <w:tcW w:w="183" w:type="pct"/>
            <w:tcBorders>
              <w:bottom w:val="single" w:sz="8" w:space="0" w:color="auto"/>
            </w:tcBorders>
            <w:shd w:val="clear" w:color="auto" w:fill="auto"/>
            <w:noWrap/>
            <w:vAlign w:val="center"/>
            <w:hideMark/>
          </w:tcPr>
          <w:p w14:paraId="4E26A632" w14:textId="77777777" w:rsidR="004720C0" w:rsidRPr="00D14CD7" w:rsidRDefault="004720C0" w:rsidP="004720C0">
            <w:pPr>
              <w:spacing w:after="0" w:line="240" w:lineRule="auto"/>
              <w:jc w:val="right"/>
              <w:rPr>
                <w:rFonts w:eastAsia="Times New Roman"/>
                <w:color w:val="000000" w:themeColor="text1"/>
                <w:sz w:val="16"/>
                <w:szCs w:val="16"/>
              </w:rPr>
            </w:pPr>
            <w:r w:rsidRPr="00D14CD7">
              <w:rPr>
                <w:rFonts w:eastAsia="Times New Roman"/>
                <w:color w:val="000000" w:themeColor="text1"/>
                <w:sz w:val="16"/>
                <w:szCs w:val="22"/>
              </w:rPr>
              <w:t>—</w:t>
            </w:r>
          </w:p>
        </w:tc>
      </w:tr>
      <w:tr w:rsidR="00D14CD7" w:rsidRPr="00D14CD7" w14:paraId="5205421A" w14:textId="77777777" w:rsidTr="00286339">
        <w:trPr>
          <w:trHeight w:val="72"/>
        </w:trPr>
        <w:tc>
          <w:tcPr>
            <w:tcW w:w="5000" w:type="pct"/>
            <w:gridSpan w:val="19"/>
            <w:tcBorders>
              <w:top w:val="single" w:sz="8" w:space="0" w:color="auto"/>
              <w:bottom w:val="single" w:sz="8" w:space="0" w:color="auto"/>
            </w:tcBorders>
            <w:shd w:val="clear" w:color="auto" w:fill="auto"/>
            <w:noWrap/>
            <w:vAlign w:val="center"/>
            <w:hideMark/>
          </w:tcPr>
          <w:p w14:paraId="36EA3523" w14:textId="77777777" w:rsidR="004720C0" w:rsidRPr="00D14CD7" w:rsidRDefault="004720C0" w:rsidP="004720C0">
            <w:pPr>
              <w:spacing w:after="0" w:line="240" w:lineRule="auto"/>
              <w:jc w:val="left"/>
              <w:rPr>
                <w:rFonts w:eastAsia="Times New Roman"/>
                <w:color w:val="000000" w:themeColor="text1"/>
                <w:sz w:val="20"/>
                <w:szCs w:val="20"/>
              </w:rPr>
            </w:pPr>
            <w:r w:rsidRPr="00D14CD7">
              <w:rPr>
                <w:rFonts w:eastAsia="Times New Roman"/>
                <w:b/>
                <w:bCs/>
                <w:color w:val="000000" w:themeColor="text1"/>
                <w:sz w:val="16"/>
                <w:szCs w:val="16"/>
              </w:rPr>
              <w:t>Residential Location BE Factors</w:t>
            </w:r>
          </w:p>
        </w:tc>
      </w:tr>
      <w:tr w:rsidR="00D14CD7" w:rsidRPr="00D14CD7" w14:paraId="72003B96" w14:textId="77777777" w:rsidTr="00286339">
        <w:trPr>
          <w:trHeight w:val="72"/>
        </w:trPr>
        <w:tc>
          <w:tcPr>
            <w:tcW w:w="5000" w:type="pct"/>
            <w:gridSpan w:val="19"/>
            <w:tcBorders>
              <w:top w:val="single" w:sz="8" w:space="0" w:color="auto"/>
              <w:bottom w:val="single" w:sz="4" w:space="0" w:color="auto"/>
            </w:tcBorders>
            <w:shd w:val="clear" w:color="auto" w:fill="auto"/>
            <w:noWrap/>
            <w:vAlign w:val="center"/>
            <w:hideMark/>
          </w:tcPr>
          <w:p w14:paraId="2EC5B6BD" w14:textId="77777777" w:rsidR="004720C0" w:rsidRPr="00D14CD7" w:rsidRDefault="004720C0" w:rsidP="004720C0">
            <w:pPr>
              <w:spacing w:after="0" w:line="240" w:lineRule="auto"/>
              <w:jc w:val="left"/>
              <w:rPr>
                <w:rFonts w:eastAsia="Times New Roman"/>
                <w:color w:val="000000" w:themeColor="text1"/>
                <w:sz w:val="20"/>
                <w:szCs w:val="20"/>
              </w:rPr>
            </w:pPr>
            <w:r w:rsidRPr="00D14CD7">
              <w:rPr>
                <w:rFonts w:eastAsia="Times New Roman"/>
                <w:b/>
                <w:bCs/>
                <w:i/>
                <w:iCs/>
                <w:color w:val="000000" w:themeColor="text1"/>
                <w:sz w:val="16"/>
                <w:szCs w:val="16"/>
              </w:rPr>
              <w:t>Land-use</w:t>
            </w:r>
          </w:p>
        </w:tc>
      </w:tr>
      <w:tr w:rsidR="00D14CD7" w:rsidRPr="00D14CD7" w14:paraId="2065E38D" w14:textId="77777777" w:rsidTr="00286339">
        <w:trPr>
          <w:trHeight w:val="72"/>
        </w:trPr>
        <w:tc>
          <w:tcPr>
            <w:tcW w:w="1709" w:type="pct"/>
            <w:tcBorders>
              <w:top w:val="single" w:sz="4" w:space="0" w:color="auto"/>
              <w:bottom w:val="single" w:sz="4" w:space="0" w:color="auto"/>
              <w:right w:val="double" w:sz="4" w:space="0" w:color="auto"/>
            </w:tcBorders>
            <w:shd w:val="clear" w:color="auto" w:fill="auto"/>
            <w:noWrap/>
            <w:vAlign w:val="center"/>
            <w:hideMark/>
          </w:tcPr>
          <w:p w14:paraId="0DFADBE9" w14:textId="77777777" w:rsidR="004720C0" w:rsidRPr="00D14CD7" w:rsidRDefault="004720C0" w:rsidP="004720C0">
            <w:pPr>
              <w:spacing w:after="0" w:line="240" w:lineRule="auto"/>
              <w:ind w:firstLine="140"/>
              <w:jc w:val="left"/>
              <w:rPr>
                <w:rFonts w:eastAsia="Times New Roman"/>
                <w:color w:val="000000" w:themeColor="text1"/>
                <w:sz w:val="16"/>
                <w:szCs w:val="16"/>
              </w:rPr>
            </w:pPr>
            <w:r w:rsidRPr="00D14CD7">
              <w:rPr>
                <w:rFonts w:eastAsia="Times New Roman"/>
                <w:color w:val="000000" w:themeColor="text1"/>
                <w:sz w:val="16"/>
                <w:szCs w:val="22"/>
              </w:rPr>
              <w:t>Walkability (/100) (range 0-0.2)</w:t>
            </w:r>
          </w:p>
        </w:tc>
        <w:tc>
          <w:tcPr>
            <w:tcW w:w="227" w:type="pct"/>
            <w:tcBorders>
              <w:top w:val="single" w:sz="4" w:space="0" w:color="auto"/>
              <w:left w:val="double" w:sz="4" w:space="0" w:color="auto"/>
              <w:bottom w:val="single" w:sz="4" w:space="0" w:color="auto"/>
            </w:tcBorders>
            <w:shd w:val="clear" w:color="auto" w:fill="auto"/>
            <w:noWrap/>
            <w:vAlign w:val="center"/>
            <w:hideMark/>
          </w:tcPr>
          <w:p w14:paraId="6BD33B34" w14:textId="77777777" w:rsidR="004720C0" w:rsidRPr="00D14CD7" w:rsidRDefault="004720C0" w:rsidP="004720C0">
            <w:pPr>
              <w:spacing w:after="0" w:line="240" w:lineRule="auto"/>
              <w:jc w:val="right"/>
              <w:rPr>
                <w:rFonts w:eastAsia="Times New Roman"/>
                <w:color w:val="000000" w:themeColor="text1"/>
                <w:sz w:val="16"/>
                <w:szCs w:val="16"/>
              </w:rPr>
            </w:pPr>
            <w:r w:rsidRPr="00D14CD7">
              <w:rPr>
                <w:rFonts w:eastAsia="Times New Roman"/>
                <w:color w:val="000000" w:themeColor="text1"/>
                <w:sz w:val="16"/>
                <w:szCs w:val="16"/>
              </w:rPr>
              <w:t>-0.764</w:t>
            </w:r>
          </w:p>
        </w:tc>
        <w:tc>
          <w:tcPr>
            <w:tcW w:w="199" w:type="pct"/>
            <w:tcBorders>
              <w:top w:val="single" w:sz="4" w:space="0" w:color="auto"/>
              <w:bottom w:val="single" w:sz="4" w:space="0" w:color="auto"/>
              <w:right w:val="single" w:sz="8" w:space="0" w:color="auto"/>
            </w:tcBorders>
            <w:shd w:val="clear" w:color="auto" w:fill="auto"/>
            <w:noWrap/>
            <w:vAlign w:val="center"/>
            <w:hideMark/>
          </w:tcPr>
          <w:p w14:paraId="2193379F" w14:textId="77777777" w:rsidR="004720C0" w:rsidRPr="00D14CD7" w:rsidRDefault="004720C0" w:rsidP="004720C0">
            <w:pPr>
              <w:spacing w:after="0" w:line="240" w:lineRule="auto"/>
              <w:jc w:val="right"/>
              <w:rPr>
                <w:rFonts w:eastAsia="Times New Roman"/>
                <w:color w:val="000000" w:themeColor="text1"/>
                <w:sz w:val="16"/>
                <w:szCs w:val="16"/>
              </w:rPr>
            </w:pPr>
            <w:r w:rsidRPr="00D14CD7">
              <w:rPr>
                <w:rFonts w:eastAsia="Times New Roman"/>
                <w:color w:val="000000" w:themeColor="text1"/>
                <w:sz w:val="16"/>
                <w:szCs w:val="16"/>
              </w:rPr>
              <w:t>-1.37</w:t>
            </w:r>
          </w:p>
        </w:tc>
        <w:tc>
          <w:tcPr>
            <w:tcW w:w="184" w:type="pct"/>
            <w:tcBorders>
              <w:top w:val="single" w:sz="4" w:space="0" w:color="auto"/>
              <w:left w:val="single" w:sz="8" w:space="0" w:color="auto"/>
              <w:bottom w:val="single" w:sz="4" w:space="0" w:color="auto"/>
            </w:tcBorders>
            <w:shd w:val="clear" w:color="auto" w:fill="auto"/>
            <w:noWrap/>
            <w:vAlign w:val="center"/>
            <w:hideMark/>
          </w:tcPr>
          <w:p w14:paraId="27C9A0CF" w14:textId="77777777" w:rsidR="004720C0" w:rsidRPr="00D14CD7" w:rsidRDefault="004720C0" w:rsidP="004720C0">
            <w:pPr>
              <w:spacing w:after="0" w:line="240" w:lineRule="auto"/>
              <w:jc w:val="right"/>
              <w:rPr>
                <w:rFonts w:eastAsia="Times New Roman"/>
                <w:color w:val="000000" w:themeColor="text1"/>
                <w:sz w:val="16"/>
                <w:szCs w:val="16"/>
              </w:rPr>
            </w:pPr>
            <w:r w:rsidRPr="00D14CD7">
              <w:rPr>
                <w:rFonts w:eastAsia="Times New Roman"/>
                <w:color w:val="000000" w:themeColor="text1"/>
                <w:sz w:val="16"/>
                <w:szCs w:val="22"/>
              </w:rPr>
              <w:t>—</w:t>
            </w:r>
          </w:p>
        </w:tc>
        <w:tc>
          <w:tcPr>
            <w:tcW w:w="185" w:type="pct"/>
            <w:tcBorders>
              <w:top w:val="single" w:sz="4" w:space="0" w:color="auto"/>
              <w:bottom w:val="single" w:sz="4" w:space="0" w:color="auto"/>
              <w:right w:val="single" w:sz="8" w:space="0" w:color="auto"/>
            </w:tcBorders>
            <w:shd w:val="clear" w:color="auto" w:fill="auto"/>
            <w:noWrap/>
            <w:vAlign w:val="center"/>
            <w:hideMark/>
          </w:tcPr>
          <w:p w14:paraId="7D2AFB10" w14:textId="77777777" w:rsidR="004720C0" w:rsidRPr="00D14CD7" w:rsidRDefault="004720C0" w:rsidP="004720C0">
            <w:pPr>
              <w:spacing w:after="0" w:line="240" w:lineRule="auto"/>
              <w:jc w:val="right"/>
              <w:rPr>
                <w:rFonts w:eastAsia="Times New Roman"/>
                <w:color w:val="000000" w:themeColor="text1"/>
                <w:sz w:val="16"/>
                <w:szCs w:val="16"/>
              </w:rPr>
            </w:pPr>
            <w:r w:rsidRPr="00D14CD7">
              <w:rPr>
                <w:rFonts w:eastAsia="Times New Roman"/>
                <w:color w:val="000000" w:themeColor="text1"/>
                <w:sz w:val="16"/>
                <w:szCs w:val="22"/>
              </w:rPr>
              <w:t>—</w:t>
            </w:r>
          </w:p>
        </w:tc>
        <w:tc>
          <w:tcPr>
            <w:tcW w:w="184" w:type="pct"/>
            <w:tcBorders>
              <w:top w:val="single" w:sz="4" w:space="0" w:color="auto"/>
              <w:left w:val="single" w:sz="8" w:space="0" w:color="auto"/>
              <w:bottom w:val="single" w:sz="4" w:space="0" w:color="auto"/>
            </w:tcBorders>
            <w:shd w:val="clear" w:color="auto" w:fill="auto"/>
            <w:noWrap/>
            <w:vAlign w:val="center"/>
            <w:hideMark/>
          </w:tcPr>
          <w:p w14:paraId="74EE9B28" w14:textId="77777777" w:rsidR="004720C0" w:rsidRPr="00D14CD7" w:rsidRDefault="004720C0" w:rsidP="004720C0">
            <w:pPr>
              <w:spacing w:after="0" w:line="240" w:lineRule="auto"/>
              <w:jc w:val="right"/>
              <w:rPr>
                <w:rFonts w:eastAsia="Times New Roman"/>
                <w:color w:val="000000" w:themeColor="text1"/>
                <w:sz w:val="16"/>
                <w:szCs w:val="16"/>
              </w:rPr>
            </w:pPr>
            <w:r w:rsidRPr="00D14CD7">
              <w:rPr>
                <w:rFonts w:eastAsia="Times New Roman"/>
                <w:color w:val="000000" w:themeColor="text1"/>
                <w:sz w:val="16"/>
                <w:szCs w:val="22"/>
              </w:rPr>
              <w:t>—</w:t>
            </w:r>
          </w:p>
        </w:tc>
        <w:tc>
          <w:tcPr>
            <w:tcW w:w="188" w:type="pct"/>
            <w:tcBorders>
              <w:top w:val="single" w:sz="4" w:space="0" w:color="auto"/>
              <w:bottom w:val="single" w:sz="4" w:space="0" w:color="auto"/>
              <w:right w:val="single" w:sz="8" w:space="0" w:color="auto"/>
            </w:tcBorders>
            <w:shd w:val="clear" w:color="auto" w:fill="auto"/>
            <w:noWrap/>
            <w:vAlign w:val="center"/>
            <w:hideMark/>
          </w:tcPr>
          <w:p w14:paraId="00C34199" w14:textId="77777777" w:rsidR="004720C0" w:rsidRPr="00D14CD7" w:rsidRDefault="004720C0" w:rsidP="004720C0">
            <w:pPr>
              <w:spacing w:after="0" w:line="240" w:lineRule="auto"/>
              <w:jc w:val="right"/>
              <w:rPr>
                <w:rFonts w:eastAsia="Times New Roman"/>
                <w:color w:val="000000" w:themeColor="text1"/>
                <w:sz w:val="16"/>
                <w:szCs w:val="16"/>
              </w:rPr>
            </w:pPr>
            <w:r w:rsidRPr="00D14CD7">
              <w:rPr>
                <w:rFonts w:eastAsia="Times New Roman"/>
                <w:color w:val="000000" w:themeColor="text1"/>
                <w:sz w:val="16"/>
                <w:szCs w:val="22"/>
              </w:rPr>
              <w:t>—</w:t>
            </w:r>
          </w:p>
        </w:tc>
        <w:tc>
          <w:tcPr>
            <w:tcW w:w="188" w:type="pct"/>
            <w:tcBorders>
              <w:top w:val="single" w:sz="4" w:space="0" w:color="auto"/>
              <w:left w:val="single" w:sz="8" w:space="0" w:color="auto"/>
              <w:bottom w:val="single" w:sz="4" w:space="0" w:color="auto"/>
            </w:tcBorders>
            <w:shd w:val="clear" w:color="auto" w:fill="auto"/>
            <w:noWrap/>
            <w:vAlign w:val="center"/>
            <w:hideMark/>
          </w:tcPr>
          <w:p w14:paraId="5DB84BFE" w14:textId="77777777" w:rsidR="004720C0" w:rsidRPr="00D14CD7" w:rsidRDefault="004720C0" w:rsidP="004720C0">
            <w:pPr>
              <w:spacing w:after="0" w:line="240" w:lineRule="auto"/>
              <w:jc w:val="right"/>
              <w:rPr>
                <w:rFonts w:eastAsia="Times New Roman"/>
                <w:color w:val="000000" w:themeColor="text1"/>
                <w:sz w:val="16"/>
                <w:szCs w:val="16"/>
              </w:rPr>
            </w:pPr>
            <w:proofErr w:type="spellStart"/>
            <w:r w:rsidRPr="00D14CD7">
              <w:rPr>
                <w:rFonts w:eastAsia="Times New Roman"/>
                <w:color w:val="000000" w:themeColor="text1"/>
                <w:sz w:val="16"/>
                <w:szCs w:val="22"/>
              </w:rPr>
              <w:t>na</w:t>
            </w:r>
            <w:proofErr w:type="spellEnd"/>
          </w:p>
        </w:tc>
        <w:tc>
          <w:tcPr>
            <w:tcW w:w="146" w:type="pct"/>
            <w:tcBorders>
              <w:top w:val="single" w:sz="4" w:space="0" w:color="auto"/>
              <w:bottom w:val="single" w:sz="4" w:space="0" w:color="auto"/>
              <w:right w:val="double" w:sz="4" w:space="0" w:color="auto"/>
            </w:tcBorders>
            <w:shd w:val="clear" w:color="auto" w:fill="auto"/>
            <w:noWrap/>
            <w:vAlign w:val="center"/>
            <w:hideMark/>
          </w:tcPr>
          <w:p w14:paraId="02483F12" w14:textId="77777777" w:rsidR="004720C0" w:rsidRPr="00D14CD7" w:rsidRDefault="004720C0" w:rsidP="004720C0">
            <w:pPr>
              <w:spacing w:after="0" w:line="240" w:lineRule="auto"/>
              <w:jc w:val="right"/>
              <w:rPr>
                <w:rFonts w:eastAsia="Times New Roman"/>
                <w:color w:val="000000" w:themeColor="text1"/>
                <w:sz w:val="16"/>
                <w:szCs w:val="16"/>
              </w:rPr>
            </w:pPr>
            <w:proofErr w:type="spellStart"/>
            <w:r w:rsidRPr="00D14CD7">
              <w:rPr>
                <w:rFonts w:eastAsia="Times New Roman"/>
                <w:color w:val="000000" w:themeColor="text1"/>
                <w:sz w:val="16"/>
                <w:szCs w:val="22"/>
              </w:rPr>
              <w:t>na</w:t>
            </w:r>
            <w:proofErr w:type="spellEnd"/>
          </w:p>
        </w:tc>
        <w:tc>
          <w:tcPr>
            <w:tcW w:w="184" w:type="pct"/>
            <w:tcBorders>
              <w:left w:val="double" w:sz="4" w:space="0" w:color="auto"/>
            </w:tcBorders>
            <w:shd w:val="clear" w:color="auto" w:fill="auto"/>
            <w:noWrap/>
            <w:vAlign w:val="center"/>
            <w:hideMark/>
          </w:tcPr>
          <w:p w14:paraId="28A854C8" w14:textId="77777777" w:rsidR="004720C0" w:rsidRPr="00D14CD7" w:rsidRDefault="004720C0" w:rsidP="004720C0">
            <w:pPr>
              <w:spacing w:after="0" w:line="240" w:lineRule="auto"/>
              <w:jc w:val="right"/>
              <w:rPr>
                <w:rFonts w:eastAsia="Times New Roman"/>
                <w:color w:val="000000" w:themeColor="text1"/>
                <w:sz w:val="16"/>
                <w:szCs w:val="16"/>
              </w:rPr>
            </w:pPr>
            <w:r w:rsidRPr="00D14CD7">
              <w:rPr>
                <w:rFonts w:eastAsia="Times New Roman"/>
                <w:color w:val="000000" w:themeColor="text1"/>
                <w:sz w:val="16"/>
                <w:szCs w:val="22"/>
              </w:rPr>
              <w:t>—</w:t>
            </w:r>
          </w:p>
        </w:tc>
        <w:tc>
          <w:tcPr>
            <w:tcW w:w="184" w:type="pct"/>
            <w:tcBorders>
              <w:top w:val="single" w:sz="4" w:space="0" w:color="auto"/>
              <w:bottom w:val="single" w:sz="4" w:space="0" w:color="auto"/>
              <w:right w:val="single" w:sz="8" w:space="0" w:color="auto"/>
            </w:tcBorders>
            <w:shd w:val="clear" w:color="auto" w:fill="auto"/>
            <w:noWrap/>
            <w:vAlign w:val="center"/>
            <w:hideMark/>
          </w:tcPr>
          <w:p w14:paraId="5CC93BD2" w14:textId="77777777" w:rsidR="004720C0" w:rsidRPr="00D14CD7" w:rsidRDefault="004720C0" w:rsidP="004720C0">
            <w:pPr>
              <w:spacing w:after="0" w:line="240" w:lineRule="auto"/>
              <w:jc w:val="right"/>
              <w:rPr>
                <w:rFonts w:eastAsia="Times New Roman"/>
                <w:color w:val="000000" w:themeColor="text1"/>
                <w:sz w:val="16"/>
                <w:szCs w:val="16"/>
              </w:rPr>
            </w:pPr>
            <w:r w:rsidRPr="00D14CD7">
              <w:rPr>
                <w:rFonts w:eastAsia="Times New Roman"/>
                <w:color w:val="000000" w:themeColor="text1"/>
                <w:sz w:val="16"/>
                <w:szCs w:val="22"/>
              </w:rPr>
              <w:t>—</w:t>
            </w:r>
          </w:p>
        </w:tc>
        <w:tc>
          <w:tcPr>
            <w:tcW w:w="184" w:type="pct"/>
            <w:tcBorders>
              <w:left w:val="single" w:sz="8" w:space="0" w:color="auto"/>
            </w:tcBorders>
            <w:shd w:val="clear" w:color="auto" w:fill="auto"/>
            <w:noWrap/>
            <w:vAlign w:val="center"/>
            <w:hideMark/>
          </w:tcPr>
          <w:p w14:paraId="2F08DCDA" w14:textId="77777777" w:rsidR="004720C0" w:rsidRPr="00D14CD7" w:rsidRDefault="004720C0" w:rsidP="004720C0">
            <w:pPr>
              <w:spacing w:after="0" w:line="240" w:lineRule="auto"/>
              <w:jc w:val="right"/>
              <w:rPr>
                <w:rFonts w:eastAsia="Times New Roman"/>
                <w:color w:val="000000" w:themeColor="text1"/>
                <w:sz w:val="16"/>
                <w:szCs w:val="16"/>
              </w:rPr>
            </w:pPr>
            <w:r w:rsidRPr="00D14CD7">
              <w:rPr>
                <w:rFonts w:eastAsia="Times New Roman"/>
                <w:color w:val="000000" w:themeColor="text1"/>
                <w:sz w:val="16"/>
                <w:szCs w:val="22"/>
              </w:rPr>
              <w:t>—</w:t>
            </w:r>
          </w:p>
        </w:tc>
        <w:tc>
          <w:tcPr>
            <w:tcW w:w="185" w:type="pct"/>
            <w:tcBorders>
              <w:top w:val="single" w:sz="4" w:space="0" w:color="auto"/>
              <w:bottom w:val="single" w:sz="4" w:space="0" w:color="auto"/>
              <w:right w:val="single" w:sz="8" w:space="0" w:color="auto"/>
            </w:tcBorders>
            <w:shd w:val="clear" w:color="auto" w:fill="auto"/>
            <w:noWrap/>
            <w:vAlign w:val="center"/>
            <w:hideMark/>
          </w:tcPr>
          <w:p w14:paraId="020D70D0" w14:textId="77777777" w:rsidR="004720C0" w:rsidRPr="00D14CD7" w:rsidRDefault="004720C0" w:rsidP="004720C0">
            <w:pPr>
              <w:spacing w:after="0" w:line="240" w:lineRule="auto"/>
              <w:jc w:val="right"/>
              <w:rPr>
                <w:rFonts w:eastAsia="Times New Roman"/>
                <w:color w:val="000000" w:themeColor="text1"/>
                <w:sz w:val="16"/>
                <w:szCs w:val="16"/>
              </w:rPr>
            </w:pPr>
            <w:r w:rsidRPr="00D14CD7">
              <w:rPr>
                <w:rFonts w:eastAsia="Times New Roman"/>
                <w:color w:val="000000" w:themeColor="text1"/>
                <w:sz w:val="16"/>
                <w:szCs w:val="22"/>
              </w:rPr>
              <w:t>—</w:t>
            </w:r>
          </w:p>
        </w:tc>
        <w:tc>
          <w:tcPr>
            <w:tcW w:w="185" w:type="pct"/>
            <w:tcBorders>
              <w:left w:val="single" w:sz="8" w:space="0" w:color="auto"/>
            </w:tcBorders>
            <w:shd w:val="clear" w:color="auto" w:fill="auto"/>
            <w:noWrap/>
            <w:vAlign w:val="center"/>
            <w:hideMark/>
          </w:tcPr>
          <w:p w14:paraId="58AD9854" w14:textId="77777777" w:rsidR="004720C0" w:rsidRPr="00D14CD7" w:rsidRDefault="004720C0" w:rsidP="004720C0">
            <w:pPr>
              <w:spacing w:after="0" w:line="240" w:lineRule="auto"/>
              <w:jc w:val="right"/>
              <w:rPr>
                <w:rFonts w:eastAsia="Times New Roman"/>
                <w:color w:val="000000" w:themeColor="text1"/>
                <w:sz w:val="16"/>
                <w:szCs w:val="16"/>
              </w:rPr>
            </w:pPr>
            <w:r w:rsidRPr="00D14CD7">
              <w:rPr>
                <w:rFonts w:eastAsia="Times New Roman"/>
                <w:color w:val="000000" w:themeColor="text1"/>
                <w:sz w:val="16"/>
                <w:szCs w:val="22"/>
              </w:rPr>
              <w:t>—</w:t>
            </w:r>
          </w:p>
        </w:tc>
        <w:tc>
          <w:tcPr>
            <w:tcW w:w="185" w:type="pct"/>
            <w:tcBorders>
              <w:top w:val="single" w:sz="4" w:space="0" w:color="auto"/>
              <w:bottom w:val="single" w:sz="4" w:space="0" w:color="auto"/>
              <w:right w:val="single" w:sz="8" w:space="0" w:color="auto"/>
            </w:tcBorders>
            <w:shd w:val="clear" w:color="auto" w:fill="auto"/>
            <w:noWrap/>
            <w:vAlign w:val="center"/>
            <w:hideMark/>
          </w:tcPr>
          <w:p w14:paraId="16B9B446" w14:textId="77777777" w:rsidR="004720C0" w:rsidRPr="00D14CD7" w:rsidRDefault="004720C0" w:rsidP="004720C0">
            <w:pPr>
              <w:spacing w:after="0" w:line="240" w:lineRule="auto"/>
              <w:jc w:val="right"/>
              <w:rPr>
                <w:rFonts w:eastAsia="Times New Roman"/>
                <w:color w:val="000000" w:themeColor="text1"/>
                <w:sz w:val="16"/>
                <w:szCs w:val="16"/>
              </w:rPr>
            </w:pPr>
            <w:r w:rsidRPr="00D14CD7">
              <w:rPr>
                <w:rFonts w:eastAsia="Times New Roman"/>
                <w:color w:val="000000" w:themeColor="text1"/>
                <w:sz w:val="16"/>
                <w:szCs w:val="22"/>
              </w:rPr>
              <w:t>—</w:t>
            </w:r>
          </w:p>
        </w:tc>
        <w:tc>
          <w:tcPr>
            <w:tcW w:w="156" w:type="pct"/>
            <w:tcBorders>
              <w:left w:val="single" w:sz="8" w:space="0" w:color="auto"/>
            </w:tcBorders>
            <w:shd w:val="clear" w:color="auto" w:fill="auto"/>
            <w:noWrap/>
            <w:vAlign w:val="center"/>
            <w:hideMark/>
          </w:tcPr>
          <w:p w14:paraId="6D459F2B" w14:textId="77777777" w:rsidR="004720C0" w:rsidRPr="00D14CD7" w:rsidRDefault="004720C0" w:rsidP="004720C0">
            <w:pPr>
              <w:spacing w:after="0" w:line="240" w:lineRule="auto"/>
              <w:jc w:val="right"/>
              <w:rPr>
                <w:rFonts w:eastAsia="Times New Roman"/>
                <w:color w:val="000000" w:themeColor="text1"/>
                <w:sz w:val="16"/>
                <w:szCs w:val="16"/>
              </w:rPr>
            </w:pPr>
            <w:proofErr w:type="spellStart"/>
            <w:r w:rsidRPr="00D14CD7">
              <w:rPr>
                <w:rFonts w:eastAsia="Times New Roman"/>
                <w:color w:val="000000" w:themeColor="text1"/>
                <w:sz w:val="16"/>
                <w:szCs w:val="22"/>
              </w:rPr>
              <w:t>na</w:t>
            </w:r>
            <w:proofErr w:type="spellEnd"/>
          </w:p>
        </w:tc>
        <w:tc>
          <w:tcPr>
            <w:tcW w:w="157" w:type="pct"/>
            <w:tcBorders>
              <w:top w:val="single" w:sz="4" w:space="0" w:color="auto"/>
              <w:bottom w:val="single" w:sz="4" w:space="0" w:color="auto"/>
              <w:right w:val="double" w:sz="4" w:space="0" w:color="auto"/>
            </w:tcBorders>
            <w:shd w:val="clear" w:color="auto" w:fill="auto"/>
            <w:noWrap/>
            <w:vAlign w:val="center"/>
            <w:hideMark/>
          </w:tcPr>
          <w:p w14:paraId="22F8283D" w14:textId="77777777" w:rsidR="004720C0" w:rsidRPr="00D14CD7" w:rsidRDefault="004720C0" w:rsidP="004720C0">
            <w:pPr>
              <w:spacing w:after="0" w:line="240" w:lineRule="auto"/>
              <w:jc w:val="right"/>
              <w:rPr>
                <w:rFonts w:eastAsia="Times New Roman"/>
                <w:color w:val="000000" w:themeColor="text1"/>
                <w:sz w:val="16"/>
                <w:szCs w:val="16"/>
              </w:rPr>
            </w:pPr>
            <w:proofErr w:type="spellStart"/>
            <w:r w:rsidRPr="00D14CD7">
              <w:rPr>
                <w:rFonts w:eastAsia="Times New Roman"/>
                <w:color w:val="000000" w:themeColor="text1"/>
                <w:sz w:val="16"/>
                <w:szCs w:val="22"/>
              </w:rPr>
              <w:t>na</w:t>
            </w:r>
            <w:proofErr w:type="spellEnd"/>
          </w:p>
        </w:tc>
        <w:tc>
          <w:tcPr>
            <w:tcW w:w="187" w:type="pct"/>
            <w:tcBorders>
              <w:left w:val="double" w:sz="4" w:space="0" w:color="auto"/>
            </w:tcBorders>
            <w:shd w:val="clear" w:color="auto" w:fill="auto"/>
            <w:noWrap/>
            <w:vAlign w:val="center"/>
            <w:hideMark/>
          </w:tcPr>
          <w:p w14:paraId="252C6A21" w14:textId="77777777" w:rsidR="004720C0" w:rsidRPr="00D14CD7" w:rsidRDefault="004720C0" w:rsidP="004720C0">
            <w:pPr>
              <w:spacing w:after="0" w:line="240" w:lineRule="auto"/>
              <w:jc w:val="right"/>
              <w:rPr>
                <w:rFonts w:eastAsia="Times New Roman"/>
                <w:color w:val="000000" w:themeColor="text1"/>
                <w:sz w:val="16"/>
                <w:szCs w:val="16"/>
              </w:rPr>
            </w:pPr>
            <w:r w:rsidRPr="00D14CD7">
              <w:rPr>
                <w:rFonts w:eastAsia="Times New Roman"/>
                <w:color w:val="000000" w:themeColor="text1"/>
                <w:sz w:val="16"/>
                <w:szCs w:val="22"/>
              </w:rPr>
              <w:t>—</w:t>
            </w:r>
          </w:p>
        </w:tc>
        <w:tc>
          <w:tcPr>
            <w:tcW w:w="183" w:type="pct"/>
            <w:shd w:val="clear" w:color="auto" w:fill="auto"/>
            <w:noWrap/>
            <w:vAlign w:val="center"/>
            <w:hideMark/>
          </w:tcPr>
          <w:p w14:paraId="33F02FC8" w14:textId="77777777" w:rsidR="004720C0" w:rsidRPr="00D14CD7" w:rsidRDefault="004720C0" w:rsidP="004720C0">
            <w:pPr>
              <w:spacing w:after="0" w:line="240" w:lineRule="auto"/>
              <w:jc w:val="right"/>
              <w:rPr>
                <w:rFonts w:eastAsia="Times New Roman"/>
                <w:color w:val="000000" w:themeColor="text1"/>
                <w:sz w:val="16"/>
                <w:szCs w:val="16"/>
              </w:rPr>
            </w:pPr>
            <w:r w:rsidRPr="00D14CD7">
              <w:rPr>
                <w:rFonts w:eastAsia="Times New Roman"/>
                <w:color w:val="000000" w:themeColor="text1"/>
                <w:sz w:val="16"/>
                <w:szCs w:val="22"/>
              </w:rPr>
              <w:t>—</w:t>
            </w:r>
          </w:p>
        </w:tc>
      </w:tr>
      <w:tr w:rsidR="00D14CD7" w:rsidRPr="00D14CD7" w14:paraId="52DDBB32" w14:textId="77777777" w:rsidTr="00286339">
        <w:trPr>
          <w:trHeight w:val="72"/>
        </w:trPr>
        <w:tc>
          <w:tcPr>
            <w:tcW w:w="1709" w:type="pct"/>
            <w:tcBorders>
              <w:top w:val="single" w:sz="4" w:space="0" w:color="auto"/>
              <w:bottom w:val="single" w:sz="8" w:space="0" w:color="auto"/>
              <w:right w:val="double" w:sz="4" w:space="0" w:color="auto"/>
            </w:tcBorders>
            <w:shd w:val="clear" w:color="auto" w:fill="auto"/>
            <w:noWrap/>
            <w:vAlign w:val="center"/>
            <w:hideMark/>
          </w:tcPr>
          <w:p w14:paraId="7FD74E2B" w14:textId="77777777" w:rsidR="004720C0" w:rsidRPr="00D14CD7" w:rsidRDefault="004720C0" w:rsidP="004720C0">
            <w:pPr>
              <w:spacing w:after="0" w:line="240" w:lineRule="auto"/>
              <w:ind w:firstLine="140"/>
              <w:jc w:val="left"/>
              <w:rPr>
                <w:rFonts w:eastAsia="Times New Roman"/>
                <w:color w:val="000000" w:themeColor="text1"/>
                <w:sz w:val="16"/>
                <w:szCs w:val="16"/>
              </w:rPr>
            </w:pPr>
            <w:r w:rsidRPr="00D14CD7">
              <w:rPr>
                <w:rFonts w:eastAsia="Times New Roman"/>
                <w:color w:val="000000" w:themeColor="text1"/>
                <w:sz w:val="16"/>
                <w:szCs w:val="22"/>
              </w:rPr>
              <w:t>Land-use Diversity Index (range 0-1)</w:t>
            </w:r>
          </w:p>
        </w:tc>
        <w:tc>
          <w:tcPr>
            <w:tcW w:w="227" w:type="pct"/>
            <w:tcBorders>
              <w:top w:val="single" w:sz="4" w:space="0" w:color="auto"/>
              <w:left w:val="double" w:sz="4" w:space="0" w:color="auto"/>
              <w:bottom w:val="single" w:sz="8" w:space="0" w:color="auto"/>
            </w:tcBorders>
            <w:shd w:val="clear" w:color="auto" w:fill="auto"/>
            <w:noWrap/>
            <w:vAlign w:val="center"/>
            <w:hideMark/>
          </w:tcPr>
          <w:p w14:paraId="01DEBF70" w14:textId="77777777" w:rsidR="004720C0" w:rsidRPr="00D14CD7" w:rsidRDefault="004720C0" w:rsidP="004720C0">
            <w:pPr>
              <w:spacing w:after="0" w:line="240" w:lineRule="auto"/>
              <w:jc w:val="right"/>
              <w:rPr>
                <w:rFonts w:eastAsia="Times New Roman"/>
                <w:color w:val="000000" w:themeColor="text1"/>
                <w:sz w:val="16"/>
                <w:szCs w:val="16"/>
              </w:rPr>
            </w:pPr>
            <w:r w:rsidRPr="00D14CD7">
              <w:rPr>
                <w:rFonts w:eastAsia="Times New Roman"/>
                <w:color w:val="000000" w:themeColor="text1"/>
                <w:sz w:val="16"/>
                <w:szCs w:val="22"/>
              </w:rPr>
              <w:t>—</w:t>
            </w:r>
          </w:p>
        </w:tc>
        <w:tc>
          <w:tcPr>
            <w:tcW w:w="199" w:type="pct"/>
            <w:tcBorders>
              <w:top w:val="single" w:sz="4" w:space="0" w:color="auto"/>
              <w:bottom w:val="single" w:sz="8" w:space="0" w:color="auto"/>
              <w:right w:val="single" w:sz="8" w:space="0" w:color="auto"/>
            </w:tcBorders>
            <w:shd w:val="clear" w:color="auto" w:fill="auto"/>
            <w:noWrap/>
            <w:vAlign w:val="center"/>
            <w:hideMark/>
          </w:tcPr>
          <w:p w14:paraId="5962C9E2" w14:textId="77777777" w:rsidR="004720C0" w:rsidRPr="00D14CD7" w:rsidRDefault="004720C0" w:rsidP="004720C0">
            <w:pPr>
              <w:spacing w:after="0" w:line="240" w:lineRule="auto"/>
              <w:jc w:val="right"/>
              <w:rPr>
                <w:rFonts w:eastAsia="Times New Roman"/>
                <w:color w:val="000000" w:themeColor="text1"/>
                <w:sz w:val="16"/>
                <w:szCs w:val="16"/>
              </w:rPr>
            </w:pPr>
            <w:r w:rsidRPr="00D14CD7">
              <w:rPr>
                <w:rFonts w:eastAsia="Times New Roman"/>
                <w:color w:val="000000" w:themeColor="text1"/>
                <w:sz w:val="16"/>
                <w:szCs w:val="22"/>
              </w:rPr>
              <w:t>—</w:t>
            </w:r>
          </w:p>
        </w:tc>
        <w:tc>
          <w:tcPr>
            <w:tcW w:w="184" w:type="pct"/>
            <w:tcBorders>
              <w:top w:val="single" w:sz="4" w:space="0" w:color="auto"/>
              <w:left w:val="single" w:sz="8" w:space="0" w:color="auto"/>
              <w:bottom w:val="single" w:sz="8" w:space="0" w:color="auto"/>
            </w:tcBorders>
            <w:shd w:val="clear" w:color="auto" w:fill="auto"/>
            <w:noWrap/>
            <w:vAlign w:val="center"/>
            <w:hideMark/>
          </w:tcPr>
          <w:p w14:paraId="3DE7C4A9" w14:textId="77777777" w:rsidR="004720C0" w:rsidRPr="00D14CD7" w:rsidRDefault="004720C0" w:rsidP="004720C0">
            <w:pPr>
              <w:spacing w:after="0" w:line="240" w:lineRule="auto"/>
              <w:jc w:val="right"/>
              <w:rPr>
                <w:rFonts w:eastAsia="Times New Roman"/>
                <w:color w:val="000000" w:themeColor="text1"/>
                <w:sz w:val="16"/>
                <w:szCs w:val="16"/>
              </w:rPr>
            </w:pPr>
            <w:r w:rsidRPr="00D14CD7">
              <w:rPr>
                <w:rFonts w:eastAsia="Times New Roman"/>
                <w:color w:val="000000" w:themeColor="text1"/>
                <w:sz w:val="16"/>
                <w:szCs w:val="22"/>
              </w:rPr>
              <w:t>—</w:t>
            </w:r>
          </w:p>
        </w:tc>
        <w:tc>
          <w:tcPr>
            <w:tcW w:w="185" w:type="pct"/>
            <w:tcBorders>
              <w:top w:val="single" w:sz="4" w:space="0" w:color="auto"/>
              <w:bottom w:val="single" w:sz="8" w:space="0" w:color="auto"/>
              <w:right w:val="single" w:sz="8" w:space="0" w:color="auto"/>
            </w:tcBorders>
            <w:shd w:val="clear" w:color="auto" w:fill="auto"/>
            <w:noWrap/>
            <w:vAlign w:val="center"/>
            <w:hideMark/>
          </w:tcPr>
          <w:p w14:paraId="7F7064E7" w14:textId="77777777" w:rsidR="004720C0" w:rsidRPr="00D14CD7" w:rsidRDefault="004720C0" w:rsidP="004720C0">
            <w:pPr>
              <w:spacing w:after="0" w:line="240" w:lineRule="auto"/>
              <w:jc w:val="right"/>
              <w:rPr>
                <w:rFonts w:eastAsia="Times New Roman"/>
                <w:color w:val="000000" w:themeColor="text1"/>
                <w:sz w:val="16"/>
                <w:szCs w:val="16"/>
              </w:rPr>
            </w:pPr>
            <w:r w:rsidRPr="00D14CD7">
              <w:rPr>
                <w:rFonts w:eastAsia="Times New Roman"/>
                <w:color w:val="000000" w:themeColor="text1"/>
                <w:sz w:val="16"/>
                <w:szCs w:val="22"/>
              </w:rPr>
              <w:t>—</w:t>
            </w:r>
          </w:p>
        </w:tc>
        <w:tc>
          <w:tcPr>
            <w:tcW w:w="184" w:type="pct"/>
            <w:tcBorders>
              <w:top w:val="single" w:sz="4" w:space="0" w:color="auto"/>
              <w:left w:val="single" w:sz="8" w:space="0" w:color="auto"/>
              <w:bottom w:val="single" w:sz="8" w:space="0" w:color="auto"/>
            </w:tcBorders>
            <w:shd w:val="clear" w:color="auto" w:fill="auto"/>
            <w:noWrap/>
            <w:vAlign w:val="center"/>
            <w:hideMark/>
          </w:tcPr>
          <w:p w14:paraId="15DBE622" w14:textId="77777777" w:rsidR="004720C0" w:rsidRPr="00D14CD7" w:rsidRDefault="004720C0" w:rsidP="004720C0">
            <w:pPr>
              <w:spacing w:after="0" w:line="240" w:lineRule="auto"/>
              <w:jc w:val="right"/>
              <w:rPr>
                <w:rFonts w:eastAsia="Times New Roman"/>
                <w:color w:val="000000" w:themeColor="text1"/>
                <w:sz w:val="16"/>
                <w:szCs w:val="16"/>
              </w:rPr>
            </w:pPr>
            <w:r w:rsidRPr="00D14CD7">
              <w:rPr>
                <w:rFonts w:eastAsia="Times New Roman"/>
                <w:color w:val="000000" w:themeColor="text1"/>
                <w:sz w:val="16"/>
                <w:szCs w:val="16"/>
              </w:rPr>
              <w:t>0.271</w:t>
            </w:r>
          </w:p>
        </w:tc>
        <w:tc>
          <w:tcPr>
            <w:tcW w:w="188" w:type="pct"/>
            <w:tcBorders>
              <w:top w:val="single" w:sz="4" w:space="0" w:color="auto"/>
              <w:bottom w:val="single" w:sz="8" w:space="0" w:color="auto"/>
              <w:right w:val="single" w:sz="8" w:space="0" w:color="auto"/>
            </w:tcBorders>
            <w:shd w:val="clear" w:color="auto" w:fill="auto"/>
            <w:noWrap/>
            <w:vAlign w:val="center"/>
            <w:hideMark/>
          </w:tcPr>
          <w:p w14:paraId="301875B4" w14:textId="77777777" w:rsidR="004720C0" w:rsidRPr="00D14CD7" w:rsidRDefault="004720C0" w:rsidP="004720C0">
            <w:pPr>
              <w:spacing w:after="0" w:line="240" w:lineRule="auto"/>
              <w:jc w:val="right"/>
              <w:rPr>
                <w:rFonts w:eastAsia="Times New Roman"/>
                <w:color w:val="000000" w:themeColor="text1"/>
                <w:sz w:val="16"/>
                <w:szCs w:val="16"/>
              </w:rPr>
            </w:pPr>
            <w:r w:rsidRPr="00D14CD7">
              <w:rPr>
                <w:rFonts w:eastAsia="Times New Roman"/>
                <w:color w:val="000000" w:themeColor="text1"/>
                <w:sz w:val="16"/>
                <w:szCs w:val="16"/>
              </w:rPr>
              <w:t>1.49</w:t>
            </w:r>
          </w:p>
        </w:tc>
        <w:tc>
          <w:tcPr>
            <w:tcW w:w="188" w:type="pct"/>
            <w:tcBorders>
              <w:top w:val="single" w:sz="4" w:space="0" w:color="auto"/>
              <w:left w:val="single" w:sz="8" w:space="0" w:color="auto"/>
              <w:bottom w:val="single" w:sz="8" w:space="0" w:color="auto"/>
            </w:tcBorders>
            <w:shd w:val="clear" w:color="auto" w:fill="auto"/>
            <w:noWrap/>
            <w:vAlign w:val="center"/>
            <w:hideMark/>
          </w:tcPr>
          <w:p w14:paraId="35683B94" w14:textId="77777777" w:rsidR="004720C0" w:rsidRPr="00D14CD7" w:rsidRDefault="004720C0" w:rsidP="004720C0">
            <w:pPr>
              <w:spacing w:after="0" w:line="240" w:lineRule="auto"/>
              <w:jc w:val="right"/>
              <w:rPr>
                <w:rFonts w:eastAsia="Times New Roman"/>
                <w:color w:val="000000" w:themeColor="text1"/>
                <w:sz w:val="16"/>
                <w:szCs w:val="16"/>
              </w:rPr>
            </w:pPr>
            <w:proofErr w:type="spellStart"/>
            <w:r w:rsidRPr="00D14CD7">
              <w:rPr>
                <w:rFonts w:eastAsia="Times New Roman"/>
                <w:color w:val="000000" w:themeColor="text1"/>
                <w:sz w:val="16"/>
                <w:szCs w:val="22"/>
              </w:rPr>
              <w:t>na</w:t>
            </w:r>
            <w:proofErr w:type="spellEnd"/>
          </w:p>
        </w:tc>
        <w:tc>
          <w:tcPr>
            <w:tcW w:w="146" w:type="pct"/>
            <w:tcBorders>
              <w:top w:val="single" w:sz="4" w:space="0" w:color="auto"/>
              <w:bottom w:val="single" w:sz="8" w:space="0" w:color="auto"/>
              <w:right w:val="double" w:sz="4" w:space="0" w:color="auto"/>
            </w:tcBorders>
            <w:shd w:val="clear" w:color="auto" w:fill="auto"/>
            <w:noWrap/>
            <w:vAlign w:val="center"/>
            <w:hideMark/>
          </w:tcPr>
          <w:p w14:paraId="7AC277A6" w14:textId="77777777" w:rsidR="004720C0" w:rsidRPr="00D14CD7" w:rsidRDefault="004720C0" w:rsidP="004720C0">
            <w:pPr>
              <w:spacing w:after="0" w:line="240" w:lineRule="auto"/>
              <w:jc w:val="right"/>
              <w:rPr>
                <w:rFonts w:eastAsia="Times New Roman"/>
                <w:color w:val="000000" w:themeColor="text1"/>
                <w:sz w:val="16"/>
                <w:szCs w:val="16"/>
              </w:rPr>
            </w:pPr>
            <w:proofErr w:type="spellStart"/>
            <w:r w:rsidRPr="00D14CD7">
              <w:rPr>
                <w:rFonts w:eastAsia="Times New Roman"/>
                <w:color w:val="000000" w:themeColor="text1"/>
                <w:sz w:val="16"/>
                <w:szCs w:val="22"/>
              </w:rPr>
              <w:t>na</w:t>
            </w:r>
            <w:proofErr w:type="spellEnd"/>
          </w:p>
        </w:tc>
        <w:tc>
          <w:tcPr>
            <w:tcW w:w="184" w:type="pct"/>
            <w:tcBorders>
              <w:left w:val="double" w:sz="4" w:space="0" w:color="auto"/>
              <w:bottom w:val="single" w:sz="8" w:space="0" w:color="auto"/>
            </w:tcBorders>
            <w:shd w:val="clear" w:color="auto" w:fill="auto"/>
            <w:noWrap/>
            <w:vAlign w:val="center"/>
            <w:hideMark/>
          </w:tcPr>
          <w:p w14:paraId="1175282C" w14:textId="77777777" w:rsidR="004720C0" w:rsidRPr="00D14CD7" w:rsidRDefault="004720C0" w:rsidP="004720C0">
            <w:pPr>
              <w:spacing w:after="0" w:line="240" w:lineRule="auto"/>
              <w:jc w:val="right"/>
              <w:rPr>
                <w:rFonts w:eastAsia="Times New Roman"/>
                <w:color w:val="000000" w:themeColor="text1"/>
                <w:sz w:val="16"/>
                <w:szCs w:val="16"/>
              </w:rPr>
            </w:pPr>
            <w:r w:rsidRPr="00D14CD7">
              <w:rPr>
                <w:rFonts w:eastAsia="Times New Roman"/>
                <w:color w:val="000000" w:themeColor="text1"/>
                <w:sz w:val="16"/>
                <w:szCs w:val="22"/>
              </w:rPr>
              <w:t>—</w:t>
            </w:r>
          </w:p>
        </w:tc>
        <w:tc>
          <w:tcPr>
            <w:tcW w:w="184" w:type="pct"/>
            <w:tcBorders>
              <w:top w:val="single" w:sz="4" w:space="0" w:color="auto"/>
              <w:bottom w:val="single" w:sz="8" w:space="0" w:color="auto"/>
              <w:right w:val="single" w:sz="8" w:space="0" w:color="auto"/>
            </w:tcBorders>
            <w:shd w:val="clear" w:color="auto" w:fill="auto"/>
            <w:noWrap/>
            <w:vAlign w:val="center"/>
            <w:hideMark/>
          </w:tcPr>
          <w:p w14:paraId="5692E60B" w14:textId="77777777" w:rsidR="004720C0" w:rsidRPr="00D14CD7" w:rsidRDefault="004720C0" w:rsidP="004720C0">
            <w:pPr>
              <w:spacing w:after="0" w:line="240" w:lineRule="auto"/>
              <w:jc w:val="right"/>
              <w:rPr>
                <w:rFonts w:eastAsia="Times New Roman"/>
                <w:color w:val="000000" w:themeColor="text1"/>
                <w:sz w:val="16"/>
                <w:szCs w:val="16"/>
              </w:rPr>
            </w:pPr>
            <w:r w:rsidRPr="00D14CD7">
              <w:rPr>
                <w:rFonts w:eastAsia="Times New Roman"/>
                <w:color w:val="000000" w:themeColor="text1"/>
                <w:sz w:val="16"/>
                <w:szCs w:val="22"/>
              </w:rPr>
              <w:t>—</w:t>
            </w:r>
          </w:p>
        </w:tc>
        <w:tc>
          <w:tcPr>
            <w:tcW w:w="184" w:type="pct"/>
            <w:tcBorders>
              <w:left w:val="single" w:sz="8" w:space="0" w:color="auto"/>
              <w:bottom w:val="single" w:sz="8" w:space="0" w:color="auto"/>
            </w:tcBorders>
            <w:shd w:val="clear" w:color="auto" w:fill="auto"/>
            <w:noWrap/>
            <w:vAlign w:val="center"/>
            <w:hideMark/>
          </w:tcPr>
          <w:p w14:paraId="5C900777" w14:textId="77777777" w:rsidR="004720C0" w:rsidRPr="00D14CD7" w:rsidRDefault="004720C0" w:rsidP="004720C0">
            <w:pPr>
              <w:spacing w:after="0" w:line="240" w:lineRule="auto"/>
              <w:jc w:val="right"/>
              <w:rPr>
                <w:rFonts w:eastAsia="Times New Roman"/>
                <w:color w:val="000000" w:themeColor="text1"/>
                <w:sz w:val="16"/>
                <w:szCs w:val="16"/>
              </w:rPr>
            </w:pPr>
            <w:r w:rsidRPr="00D14CD7">
              <w:rPr>
                <w:rFonts w:eastAsia="Times New Roman"/>
                <w:color w:val="000000" w:themeColor="text1"/>
                <w:sz w:val="16"/>
                <w:szCs w:val="22"/>
              </w:rPr>
              <w:t>—</w:t>
            </w:r>
          </w:p>
        </w:tc>
        <w:tc>
          <w:tcPr>
            <w:tcW w:w="185" w:type="pct"/>
            <w:tcBorders>
              <w:top w:val="single" w:sz="4" w:space="0" w:color="auto"/>
              <w:bottom w:val="single" w:sz="8" w:space="0" w:color="auto"/>
              <w:right w:val="single" w:sz="8" w:space="0" w:color="auto"/>
            </w:tcBorders>
            <w:shd w:val="clear" w:color="auto" w:fill="auto"/>
            <w:noWrap/>
            <w:vAlign w:val="center"/>
            <w:hideMark/>
          </w:tcPr>
          <w:p w14:paraId="1C7B4769" w14:textId="77777777" w:rsidR="004720C0" w:rsidRPr="00D14CD7" w:rsidRDefault="004720C0" w:rsidP="004720C0">
            <w:pPr>
              <w:spacing w:after="0" w:line="240" w:lineRule="auto"/>
              <w:jc w:val="right"/>
              <w:rPr>
                <w:rFonts w:eastAsia="Times New Roman"/>
                <w:color w:val="000000" w:themeColor="text1"/>
                <w:sz w:val="16"/>
                <w:szCs w:val="16"/>
              </w:rPr>
            </w:pPr>
            <w:r w:rsidRPr="00D14CD7">
              <w:rPr>
                <w:rFonts w:eastAsia="Times New Roman"/>
                <w:color w:val="000000" w:themeColor="text1"/>
                <w:sz w:val="16"/>
                <w:szCs w:val="22"/>
              </w:rPr>
              <w:t>—</w:t>
            </w:r>
          </w:p>
        </w:tc>
        <w:tc>
          <w:tcPr>
            <w:tcW w:w="185" w:type="pct"/>
            <w:tcBorders>
              <w:left w:val="single" w:sz="8" w:space="0" w:color="auto"/>
              <w:bottom w:val="single" w:sz="8" w:space="0" w:color="auto"/>
            </w:tcBorders>
            <w:shd w:val="clear" w:color="auto" w:fill="auto"/>
            <w:noWrap/>
            <w:vAlign w:val="center"/>
            <w:hideMark/>
          </w:tcPr>
          <w:p w14:paraId="406F3F31" w14:textId="77777777" w:rsidR="004720C0" w:rsidRPr="00D14CD7" w:rsidRDefault="004720C0" w:rsidP="004720C0">
            <w:pPr>
              <w:spacing w:after="0" w:line="240" w:lineRule="auto"/>
              <w:jc w:val="right"/>
              <w:rPr>
                <w:rFonts w:eastAsia="Times New Roman"/>
                <w:color w:val="000000" w:themeColor="text1"/>
                <w:sz w:val="16"/>
                <w:szCs w:val="16"/>
              </w:rPr>
            </w:pPr>
            <w:r w:rsidRPr="00D14CD7">
              <w:rPr>
                <w:rFonts w:eastAsia="Times New Roman"/>
                <w:color w:val="000000" w:themeColor="text1"/>
                <w:sz w:val="16"/>
                <w:szCs w:val="16"/>
              </w:rPr>
              <w:t>-1.173</w:t>
            </w:r>
          </w:p>
        </w:tc>
        <w:tc>
          <w:tcPr>
            <w:tcW w:w="185" w:type="pct"/>
            <w:tcBorders>
              <w:top w:val="single" w:sz="4" w:space="0" w:color="auto"/>
              <w:bottom w:val="single" w:sz="8" w:space="0" w:color="auto"/>
              <w:right w:val="single" w:sz="8" w:space="0" w:color="auto"/>
            </w:tcBorders>
            <w:shd w:val="clear" w:color="auto" w:fill="auto"/>
            <w:noWrap/>
            <w:vAlign w:val="center"/>
            <w:hideMark/>
          </w:tcPr>
          <w:p w14:paraId="06D80F8C" w14:textId="77777777" w:rsidR="004720C0" w:rsidRPr="00D14CD7" w:rsidRDefault="004720C0" w:rsidP="004720C0">
            <w:pPr>
              <w:spacing w:after="0" w:line="240" w:lineRule="auto"/>
              <w:jc w:val="right"/>
              <w:rPr>
                <w:rFonts w:eastAsia="Times New Roman"/>
                <w:color w:val="000000" w:themeColor="text1"/>
                <w:sz w:val="16"/>
                <w:szCs w:val="16"/>
              </w:rPr>
            </w:pPr>
            <w:r w:rsidRPr="00D14CD7">
              <w:rPr>
                <w:rFonts w:eastAsia="Times New Roman"/>
                <w:color w:val="000000" w:themeColor="text1"/>
                <w:sz w:val="16"/>
                <w:szCs w:val="16"/>
              </w:rPr>
              <w:t>-2.33</w:t>
            </w:r>
          </w:p>
        </w:tc>
        <w:tc>
          <w:tcPr>
            <w:tcW w:w="156" w:type="pct"/>
            <w:tcBorders>
              <w:left w:val="single" w:sz="8" w:space="0" w:color="auto"/>
              <w:bottom w:val="single" w:sz="8" w:space="0" w:color="auto"/>
            </w:tcBorders>
            <w:shd w:val="clear" w:color="auto" w:fill="auto"/>
            <w:noWrap/>
            <w:vAlign w:val="center"/>
            <w:hideMark/>
          </w:tcPr>
          <w:p w14:paraId="29D9320C" w14:textId="77777777" w:rsidR="004720C0" w:rsidRPr="00D14CD7" w:rsidRDefault="004720C0" w:rsidP="004720C0">
            <w:pPr>
              <w:spacing w:after="0" w:line="240" w:lineRule="auto"/>
              <w:jc w:val="right"/>
              <w:rPr>
                <w:rFonts w:eastAsia="Times New Roman"/>
                <w:color w:val="000000" w:themeColor="text1"/>
                <w:sz w:val="16"/>
                <w:szCs w:val="16"/>
              </w:rPr>
            </w:pPr>
            <w:proofErr w:type="spellStart"/>
            <w:r w:rsidRPr="00D14CD7">
              <w:rPr>
                <w:rFonts w:eastAsia="Times New Roman"/>
                <w:color w:val="000000" w:themeColor="text1"/>
                <w:sz w:val="16"/>
                <w:szCs w:val="22"/>
              </w:rPr>
              <w:t>na</w:t>
            </w:r>
            <w:proofErr w:type="spellEnd"/>
          </w:p>
        </w:tc>
        <w:tc>
          <w:tcPr>
            <w:tcW w:w="157" w:type="pct"/>
            <w:tcBorders>
              <w:top w:val="single" w:sz="4" w:space="0" w:color="auto"/>
              <w:bottom w:val="single" w:sz="8" w:space="0" w:color="auto"/>
              <w:right w:val="double" w:sz="4" w:space="0" w:color="auto"/>
            </w:tcBorders>
            <w:shd w:val="clear" w:color="auto" w:fill="auto"/>
            <w:noWrap/>
            <w:vAlign w:val="center"/>
            <w:hideMark/>
          </w:tcPr>
          <w:p w14:paraId="0C61B514" w14:textId="77777777" w:rsidR="004720C0" w:rsidRPr="00D14CD7" w:rsidRDefault="004720C0" w:rsidP="004720C0">
            <w:pPr>
              <w:spacing w:after="0" w:line="240" w:lineRule="auto"/>
              <w:jc w:val="right"/>
              <w:rPr>
                <w:rFonts w:eastAsia="Times New Roman"/>
                <w:color w:val="000000" w:themeColor="text1"/>
                <w:sz w:val="16"/>
                <w:szCs w:val="16"/>
              </w:rPr>
            </w:pPr>
            <w:proofErr w:type="spellStart"/>
            <w:r w:rsidRPr="00D14CD7">
              <w:rPr>
                <w:rFonts w:eastAsia="Times New Roman"/>
                <w:color w:val="000000" w:themeColor="text1"/>
                <w:sz w:val="16"/>
                <w:szCs w:val="22"/>
              </w:rPr>
              <w:t>na</w:t>
            </w:r>
            <w:proofErr w:type="spellEnd"/>
          </w:p>
        </w:tc>
        <w:tc>
          <w:tcPr>
            <w:tcW w:w="187" w:type="pct"/>
            <w:tcBorders>
              <w:left w:val="double" w:sz="4" w:space="0" w:color="auto"/>
              <w:bottom w:val="single" w:sz="8" w:space="0" w:color="auto"/>
            </w:tcBorders>
            <w:shd w:val="clear" w:color="auto" w:fill="auto"/>
            <w:noWrap/>
            <w:vAlign w:val="center"/>
            <w:hideMark/>
          </w:tcPr>
          <w:p w14:paraId="1B6C7505" w14:textId="77777777" w:rsidR="004720C0" w:rsidRPr="00D14CD7" w:rsidRDefault="004720C0" w:rsidP="004720C0">
            <w:pPr>
              <w:spacing w:after="0" w:line="240" w:lineRule="auto"/>
              <w:jc w:val="right"/>
              <w:rPr>
                <w:rFonts w:eastAsia="Times New Roman"/>
                <w:color w:val="000000" w:themeColor="text1"/>
                <w:sz w:val="16"/>
                <w:szCs w:val="16"/>
              </w:rPr>
            </w:pPr>
            <w:r w:rsidRPr="00D14CD7">
              <w:rPr>
                <w:rFonts w:eastAsia="Times New Roman"/>
                <w:color w:val="000000" w:themeColor="text1"/>
                <w:sz w:val="16"/>
                <w:szCs w:val="22"/>
              </w:rPr>
              <w:t>—</w:t>
            </w:r>
          </w:p>
        </w:tc>
        <w:tc>
          <w:tcPr>
            <w:tcW w:w="183" w:type="pct"/>
            <w:tcBorders>
              <w:bottom w:val="single" w:sz="8" w:space="0" w:color="auto"/>
            </w:tcBorders>
            <w:shd w:val="clear" w:color="auto" w:fill="auto"/>
            <w:noWrap/>
            <w:vAlign w:val="center"/>
            <w:hideMark/>
          </w:tcPr>
          <w:p w14:paraId="2AD1EF80" w14:textId="77777777" w:rsidR="004720C0" w:rsidRPr="00D14CD7" w:rsidRDefault="004720C0" w:rsidP="004720C0">
            <w:pPr>
              <w:spacing w:after="0" w:line="240" w:lineRule="auto"/>
              <w:jc w:val="right"/>
              <w:rPr>
                <w:rFonts w:eastAsia="Times New Roman"/>
                <w:color w:val="000000" w:themeColor="text1"/>
                <w:sz w:val="16"/>
                <w:szCs w:val="16"/>
              </w:rPr>
            </w:pPr>
            <w:r w:rsidRPr="00D14CD7">
              <w:rPr>
                <w:rFonts w:eastAsia="Times New Roman"/>
                <w:color w:val="000000" w:themeColor="text1"/>
                <w:sz w:val="16"/>
                <w:szCs w:val="22"/>
              </w:rPr>
              <w:t>—</w:t>
            </w:r>
          </w:p>
        </w:tc>
      </w:tr>
      <w:tr w:rsidR="00D14CD7" w:rsidRPr="00D14CD7" w14:paraId="3DDE8C17" w14:textId="77777777" w:rsidTr="00286339">
        <w:trPr>
          <w:trHeight w:val="72"/>
        </w:trPr>
        <w:tc>
          <w:tcPr>
            <w:tcW w:w="5000" w:type="pct"/>
            <w:gridSpan w:val="19"/>
            <w:tcBorders>
              <w:top w:val="single" w:sz="8" w:space="0" w:color="auto"/>
              <w:bottom w:val="single" w:sz="4" w:space="0" w:color="auto"/>
            </w:tcBorders>
            <w:shd w:val="clear" w:color="auto" w:fill="auto"/>
            <w:noWrap/>
            <w:vAlign w:val="center"/>
            <w:hideMark/>
          </w:tcPr>
          <w:p w14:paraId="1F6341C3" w14:textId="77777777" w:rsidR="004720C0" w:rsidRPr="00D14CD7" w:rsidRDefault="004720C0" w:rsidP="004720C0">
            <w:pPr>
              <w:spacing w:after="0" w:line="240" w:lineRule="auto"/>
              <w:jc w:val="left"/>
              <w:rPr>
                <w:rFonts w:eastAsia="Times New Roman"/>
                <w:color w:val="000000" w:themeColor="text1"/>
                <w:sz w:val="20"/>
                <w:szCs w:val="20"/>
              </w:rPr>
            </w:pPr>
            <w:r w:rsidRPr="00D14CD7">
              <w:rPr>
                <w:rFonts w:eastAsia="Times New Roman"/>
                <w:b/>
                <w:bCs/>
                <w:i/>
                <w:iCs/>
                <w:color w:val="000000" w:themeColor="text1"/>
                <w:sz w:val="16"/>
                <w:szCs w:val="16"/>
              </w:rPr>
              <w:t>Restaurant density</w:t>
            </w:r>
          </w:p>
        </w:tc>
      </w:tr>
      <w:tr w:rsidR="00D14CD7" w:rsidRPr="00D14CD7" w14:paraId="05178DE5" w14:textId="77777777" w:rsidTr="00286339">
        <w:trPr>
          <w:trHeight w:val="72"/>
        </w:trPr>
        <w:tc>
          <w:tcPr>
            <w:tcW w:w="1709" w:type="pct"/>
            <w:tcBorders>
              <w:top w:val="single" w:sz="4" w:space="0" w:color="auto"/>
              <w:bottom w:val="single" w:sz="4" w:space="0" w:color="auto"/>
              <w:right w:val="double" w:sz="4" w:space="0" w:color="auto"/>
            </w:tcBorders>
            <w:shd w:val="clear" w:color="auto" w:fill="auto"/>
            <w:noWrap/>
            <w:vAlign w:val="center"/>
            <w:hideMark/>
          </w:tcPr>
          <w:p w14:paraId="1DB11551" w14:textId="77777777" w:rsidR="004720C0" w:rsidRPr="00D14CD7" w:rsidRDefault="004720C0" w:rsidP="004720C0">
            <w:pPr>
              <w:spacing w:after="0" w:line="240" w:lineRule="auto"/>
              <w:ind w:firstLine="140"/>
              <w:jc w:val="left"/>
              <w:rPr>
                <w:rFonts w:eastAsia="Times New Roman"/>
                <w:color w:val="000000" w:themeColor="text1"/>
                <w:sz w:val="16"/>
                <w:szCs w:val="16"/>
              </w:rPr>
            </w:pPr>
            <w:r w:rsidRPr="00D14CD7">
              <w:rPr>
                <w:rFonts w:eastAsia="Times New Roman"/>
                <w:color w:val="000000" w:themeColor="text1"/>
                <w:sz w:val="16"/>
                <w:szCs w:val="22"/>
              </w:rPr>
              <w:t>Fraction of QSR restaurants (range 0-0.6)</w:t>
            </w:r>
          </w:p>
        </w:tc>
        <w:tc>
          <w:tcPr>
            <w:tcW w:w="227" w:type="pct"/>
            <w:tcBorders>
              <w:top w:val="single" w:sz="4" w:space="0" w:color="auto"/>
              <w:left w:val="double" w:sz="4" w:space="0" w:color="auto"/>
              <w:bottom w:val="single" w:sz="4" w:space="0" w:color="auto"/>
            </w:tcBorders>
            <w:shd w:val="clear" w:color="auto" w:fill="auto"/>
            <w:noWrap/>
            <w:vAlign w:val="center"/>
            <w:hideMark/>
          </w:tcPr>
          <w:p w14:paraId="2D8B786D" w14:textId="77777777" w:rsidR="004720C0" w:rsidRPr="00D14CD7" w:rsidRDefault="004720C0" w:rsidP="004720C0">
            <w:pPr>
              <w:spacing w:after="0" w:line="240" w:lineRule="auto"/>
              <w:jc w:val="right"/>
              <w:rPr>
                <w:rFonts w:eastAsia="Times New Roman"/>
                <w:color w:val="000000" w:themeColor="text1"/>
                <w:sz w:val="16"/>
                <w:szCs w:val="16"/>
              </w:rPr>
            </w:pPr>
            <w:r w:rsidRPr="00D14CD7">
              <w:rPr>
                <w:rFonts w:eastAsia="Times New Roman"/>
                <w:color w:val="000000" w:themeColor="text1"/>
                <w:sz w:val="16"/>
                <w:szCs w:val="16"/>
              </w:rPr>
              <w:t>0.265</w:t>
            </w:r>
          </w:p>
        </w:tc>
        <w:tc>
          <w:tcPr>
            <w:tcW w:w="199" w:type="pct"/>
            <w:tcBorders>
              <w:top w:val="single" w:sz="4" w:space="0" w:color="auto"/>
              <w:bottom w:val="single" w:sz="4" w:space="0" w:color="auto"/>
              <w:right w:val="single" w:sz="8" w:space="0" w:color="auto"/>
            </w:tcBorders>
            <w:shd w:val="clear" w:color="auto" w:fill="auto"/>
            <w:noWrap/>
            <w:vAlign w:val="center"/>
            <w:hideMark/>
          </w:tcPr>
          <w:p w14:paraId="5A97C9AF" w14:textId="77777777" w:rsidR="004720C0" w:rsidRPr="00D14CD7" w:rsidRDefault="004720C0" w:rsidP="004720C0">
            <w:pPr>
              <w:spacing w:after="0" w:line="240" w:lineRule="auto"/>
              <w:jc w:val="right"/>
              <w:rPr>
                <w:rFonts w:eastAsia="Times New Roman"/>
                <w:color w:val="000000" w:themeColor="text1"/>
                <w:sz w:val="16"/>
                <w:szCs w:val="16"/>
              </w:rPr>
            </w:pPr>
            <w:r w:rsidRPr="00D14CD7">
              <w:rPr>
                <w:rFonts w:eastAsia="Times New Roman"/>
                <w:color w:val="000000" w:themeColor="text1"/>
                <w:sz w:val="16"/>
                <w:szCs w:val="16"/>
              </w:rPr>
              <w:t>1.83</w:t>
            </w:r>
          </w:p>
        </w:tc>
        <w:tc>
          <w:tcPr>
            <w:tcW w:w="184" w:type="pct"/>
            <w:tcBorders>
              <w:top w:val="single" w:sz="4" w:space="0" w:color="auto"/>
              <w:left w:val="single" w:sz="8" w:space="0" w:color="auto"/>
              <w:bottom w:val="single" w:sz="4" w:space="0" w:color="auto"/>
            </w:tcBorders>
            <w:shd w:val="clear" w:color="auto" w:fill="auto"/>
            <w:noWrap/>
            <w:vAlign w:val="center"/>
            <w:hideMark/>
          </w:tcPr>
          <w:p w14:paraId="0C21217C" w14:textId="77777777" w:rsidR="004720C0" w:rsidRPr="00D14CD7" w:rsidRDefault="004720C0" w:rsidP="004720C0">
            <w:pPr>
              <w:spacing w:after="0" w:line="240" w:lineRule="auto"/>
              <w:jc w:val="right"/>
              <w:rPr>
                <w:rFonts w:eastAsia="Times New Roman"/>
                <w:color w:val="000000" w:themeColor="text1"/>
                <w:sz w:val="16"/>
                <w:szCs w:val="16"/>
              </w:rPr>
            </w:pPr>
            <w:r w:rsidRPr="00D14CD7">
              <w:rPr>
                <w:rFonts w:eastAsia="Times New Roman"/>
                <w:color w:val="000000" w:themeColor="text1"/>
                <w:sz w:val="16"/>
                <w:szCs w:val="22"/>
              </w:rPr>
              <w:t>—</w:t>
            </w:r>
          </w:p>
        </w:tc>
        <w:tc>
          <w:tcPr>
            <w:tcW w:w="185" w:type="pct"/>
            <w:tcBorders>
              <w:top w:val="single" w:sz="4" w:space="0" w:color="auto"/>
              <w:bottom w:val="single" w:sz="4" w:space="0" w:color="auto"/>
              <w:right w:val="single" w:sz="8" w:space="0" w:color="auto"/>
            </w:tcBorders>
            <w:shd w:val="clear" w:color="auto" w:fill="auto"/>
            <w:noWrap/>
            <w:vAlign w:val="center"/>
            <w:hideMark/>
          </w:tcPr>
          <w:p w14:paraId="6E0E3C87" w14:textId="77777777" w:rsidR="004720C0" w:rsidRPr="00D14CD7" w:rsidRDefault="004720C0" w:rsidP="004720C0">
            <w:pPr>
              <w:spacing w:after="0" w:line="240" w:lineRule="auto"/>
              <w:jc w:val="right"/>
              <w:rPr>
                <w:rFonts w:eastAsia="Times New Roman"/>
                <w:color w:val="000000" w:themeColor="text1"/>
                <w:sz w:val="16"/>
                <w:szCs w:val="16"/>
              </w:rPr>
            </w:pPr>
            <w:r w:rsidRPr="00D14CD7">
              <w:rPr>
                <w:rFonts w:eastAsia="Times New Roman"/>
                <w:color w:val="000000" w:themeColor="text1"/>
                <w:sz w:val="16"/>
                <w:szCs w:val="22"/>
              </w:rPr>
              <w:t>—</w:t>
            </w:r>
          </w:p>
        </w:tc>
        <w:tc>
          <w:tcPr>
            <w:tcW w:w="184" w:type="pct"/>
            <w:tcBorders>
              <w:top w:val="single" w:sz="4" w:space="0" w:color="auto"/>
              <w:left w:val="single" w:sz="8" w:space="0" w:color="auto"/>
              <w:bottom w:val="single" w:sz="4" w:space="0" w:color="auto"/>
            </w:tcBorders>
            <w:shd w:val="clear" w:color="auto" w:fill="auto"/>
            <w:noWrap/>
            <w:vAlign w:val="center"/>
            <w:hideMark/>
          </w:tcPr>
          <w:p w14:paraId="333506DF" w14:textId="77777777" w:rsidR="004720C0" w:rsidRPr="00D14CD7" w:rsidRDefault="004720C0" w:rsidP="004720C0">
            <w:pPr>
              <w:spacing w:after="0" w:line="240" w:lineRule="auto"/>
              <w:jc w:val="right"/>
              <w:rPr>
                <w:rFonts w:eastAsia="Times New Roman"/>
                <w:color w:val="000000" w:themeColor="text1"/>
                <w:sz w:val="16"/>
                <w:szCs w:val="16"/>
              </w:rPr>
            </w:pPr>
            <w:r w:rsidRPr="00D14CD7">
              <w:rPr>
                <w:rFonts w:eastAsia="Times New Roman"/>
                <w:color w:val="000000" w:themeColor="text1"/>
                <w:sz w:val="16"/>
                <w:szCs w:val="22"/>
              </w:rPr>
              <w:t>—</w:t>
            </w:r>
          </w:p>
        </w:tc>
        <w:tc>
          <w:tcPr>
            <w:tcW w:w="188" w:type="pct"/>
            <w:tcBorders>
              <w:top w:val="single" w:sz="4" w:space="0" w:color="auto"/>
              <w:bottom w:val="single" w:sz="4" w:space="0" w:color="auto"/>
              <w:right w:val="single" w:sz="8" w:space="0" w:color="auto"/>
            </w:tcBorders>
            <w:shd w:val="clear" w:color="auto" w:fill="auto"/>
            <w:noWrap/>
            <w:vAlign w:val="center"/>
            <w:hideMark/>
          </w:tcPr>
          <w:p w14:paraId="14556E5C" w14:textId="77777777" w:rsidR="004720C0" w:rsidRPr="00D14CD7" w:rsidRDefault="004720C0" w:rsidP="004720C0">
            <w:pPr>
              <w:spacing w:after="0" w:line="240" w:lineRule="auto"/>
              <w:jc w:val="right"/>
              <w:rPr>
                <w:rFonts w:eastAsia="Times New Roman"/>
                <w:color w:val="000000" w:themeColor="text1"/>
                <w:sz w:val="16"/>
                <w:szCs w:val="16"/>
              </w:rPr>
            </w:pPr>
            <w:r w:rsidRPr="00D14CD7">
              <w:rPr>
                <w:rFonts w:eastAsia="Times New Roman"/>
                <w:color w:val="000000" w:themeColor="text1"/>
                <w:sz w:val="16"/>
                <w:szCs w:val="22"/>
              </w:rPr>
              <w:t>—</w:t>
            </w:r>
          </w:p>
        </w:tc>
        <w:tc>
          <w:tcPr>
            <w:tcW w:w="188" w:type="pct"/>
            <w:tcBorders>
              <w:top w:val="single" w:sz="4" w:space="0" w:color="auto"/>
              <w:left w:val="single" w:sz="8" w:space="0" w:color="auto"/>
              <w:bottom w:val="single" w:sz="4" w:space="0" w:color="auto"/>
            </w:tcBorders>
            <w:shd w:val="clear" w:color="auto" w:fill="auto"/>
            <w:noWrap/>
            <w:vAlign w:val="center"/>
            <w:hideMark/>
          </w:tcPr>
          <w:p w14:paraId="2C776EA1" w14:textId="77777777" w:rsidR="004720C0" w:rsidRPr="00D14CD7" w:rsidRDefault="004720C0" w:rsidP="004720C0">
            <w:pPr>
              <w:spacing w:after="0" w:line="240" w:lineRule="auto"/>
              <w:jc w:val="right"/>
              <w:rPr>
                <w:rFonts w:eastAsia="Times New Roman"/>
                <w:color w:val="000000" w:themeColor="text1"/>
                <w:sz w:val="16"/>
                <w:szCs w:val="16"/>
              </w:rPr>
            </w:pPr>
            <w:proofErr w:type="spellStart"/>
            <w:r w:rsidRPr="00D14CD7">
              <w:rPr>
                <w:rFonts w:eastAsia="Times New Roman"/>
                <w:color w:val="000000" w:themeColor="text1"/>
                <w:sz w:val="16"/>
                <w:szCs w:val="22"/>
              </w:rPr>
              <w:t>na</w:t>
            </w:r>
            <w:proofErr w:type="spellEnd"/>
          </w:p>
        </w:tc>
        <w:tc>
          <w:tcPr>
            <w:tcW w:w="146" w:type="pct"/>
            <w:tcBorders>
              <w:top w:val="single" w:sz="4" w:space="0" w:color="auto"/>
              <w:bottom w:val="single" w:sz="4" w:space="0" w:color="auto"/>
              <w:right w:val="double" w:sz="4" w:space="0" w:color="auto"/>
            </w:tcBorders>
            <w:shd w:val="clear" w:color="auto" w:fill="auto"/>
            <w:noWrap/>
            <w:vAlign w:val="center"/>
            <w:hideMark/>
          </w:tcPr>
          <w:p w14:paraId="7CDBDA98" w14:textId="77777777" w:rsidR="004720C0" w:rsidRPr="00D14CD7" w:rsidRDefault="004720C0" w:rsidP="004720C0">
            <w:pPr>
              <w:spacing w:after="0" w:line="240" w:lineRule="auto"/>
              <w:jc w:val="right"/>
              <w:rPr>
                <w:rFonts w:eastAsia="Times New Roman"/>
                <w:color w:val="000000" w:themeColor="text1"/>
                <w:sz w:val="16"/>
                <w:szCs w:val="16"/>
              </w:rPr>
            </w:pPr>
            <w:proofErr w:type="spellStart"/>
            <w:r w:rsidRPr="00D14CD7">
              <w:rPr>
                <w:rFonts w:eastAsia="Times New Roman"/>
                <w:color w:val="000000" w:themeColor="text1"/>
                <w:sz w:val="16"/>
                <w:szCs w:val="22"/>
              </w:rPr>
              <w:t>na</w:t>
            </w:r>
            <w:proofErr w:type="spellEnd"/>
          </w:p>
        </w:tc>
        <w:tc>
          <w:tcPr>
            <w:tcW w:w="184" w:type="pct"/>
            <w:tcBorders>
              <w:left w:val="double" w:sz="4" w:space="0" w:color="auto"/>
            </w:tcBorders>
            <w:shd w:val="clear" w:color="auto" w:fill="auto"/>
            <w:noWrap/>
            <w:vAlign w:val="center"/>
            <w:hideMark/>
          </w:tcPr>
          <w:p w14:paraId="195DFDB2" w14:textId="77777777" w:rsidR="004720C0" w:rsidRPr="00D14CD7" w:rsidRDefault="004720C0" w:rsidP="004720C0">
            <w:pPr>
              <w:spacing w:after="0" w:line="240" w:lineRule="auto"/>
              <w:jc w:val="right"/>
              <w:rPr>
                <w:rFonts w:eastAsia="Times New Roman"/>
                <w:color w:val="000000" w:themeColor="text1"/>
                <w:sz w:val="16"/>
                <w:szCs w:val="16"/>
              </w:rPr>
            </w:pPr>
            <w:r w:rsidRPr="00D14CD7">
              <w:rPr>
                <w:rFonts w:eastAsia="Times New Roman"/>
                <w:color w:val="000000" w:themeColor="text1"/>
                <w:sz w:val="16"/>
                <w:szCs w:val="22"/>
              </w:rPr>
              <w:t>—</w:t>
            </w:r>
          </w:p>
        </w:tc>
        <w:tc>
          <w:tcPr>
            <w:tcW w:w="184" w:type="pct"/>
            <w:tcBorders>
              <w:top w:val="single" w:sz="4" w:space="0" w:color="auto"/>
              <w:bottom w:val="single" w:sz="4" w:space="0" w:color="auto"/>
              <w:right w:val="single" w:sz="8" w:space="0" w:color="auto"/>
            </w:tcBorders>
            <w:shd w:val="clear" w:color="auto" w:fill="auto"/>
            <w:noWrap/>
            <w:vAlign w:val="center"/>
            <w:hideMark/>
          </w:tcPr>
          <w:p w14:paraId="45DA4E89" w14:textId="77777777" w:rsidR="004720C0" w:rsidRPr="00D14CD7" w:rsidRDefault="004720C0" w:rsidP="004720C0">
            <w:pPr>
              <w:spacing w:after="0" w:line="240" w:lineRule="auto"/>
              <w:jc w:val="right"/>
              <w:rPr>
                <w:rFonts w:eastAsia="Times New Roman"/>
                <w:color w:val="000000" w:themeColor="text1"/>
                <w:sz w:val="16"/>
                <w:szCs w:val="16"/>
              </w:rPr>
            </w:pPr>
            <w:r w:rsidRPr="00D14CD7">
              <w:rPr>
                <w:rFonts w:eastAsia="Times New Roman"/>
                <w:color w:val="000000" w:themeColor="text1"/>
                <w:sz w:val="16"/>
                <w:szCs w:val="22"/>
              </w:rPr>
              <w:t>—</w:t>
            </w:r>
          </w:p>
        </w:tc>
        <w:tc>
          <w:tcPr>
            <w:tcW w:w="184" w:type="pct"/>
            <w:tcBorders>
              <w:left w:val="single" w:sz="8" w:space="0" w:color="auto"/>
            </w:tcBorders>
            <w:shd w:val="clear" w:color="auto" w:fill="auto"/>
            <w:noWrap/>
            <w:vAlign w:val="center"/>
            <w:hideMark/>
          </w:tcPr>
          <w:p w14:paraId="6303B270" w14:textId="77777777" w:rsidR="004720C0" w:rsidRPr="00D14CD7" w:rsidRDefault="004720C0" w:rsidP="004720C0">
            <w:pPr>
              <w:spacing w:after="0" w:line="240" w:lineRule="auto"/>
              <w:jc w:val="right"/>
              <w:rPr>
                <w:rFonts w:eastAsia="Times New Roman"/>
                <w:color w:val="000000" w:themeColor="text1"/>
                <w:sz w:val="16"/>
                <w:szCs w:val="16"/>
              </w:rPr>
            </w:pPr>
            <w:r w:rsidRPr="00D14CD7">
              <w:rPr>
                <w:rFonts w:eastAsia="Times New Roman"/>
                <w:color w:val="000000" w:themeColor="text1"/>
                <w:sz w:val="16"/>
                <w:szCs w:val="22"/>
              </w:rPr>
              <w:t>—</w:t>
            </w:r>
          </w:p>
        </w:tc>
        <w:tc>
          <w:tcPr>
            <w:tcW w:w="185" w:type="pct"/>
            <w:tcBorders>
              <w:top w:val="single" w:sz="4" w:space="0" w:color="auto"/>
              <w:bottom w:val="single" w:sz="4" w:space="0" w:color="auto"/>
              <w:right w:val="single" w:sz="8" w:space="0" w:color="auto"/>
            </w:tcBorders>
            <w:shd w:val="clear" w:color="auto" w:fill="auto"/>
            <w:noWrap/>
            <w:vAlign w:val="center"/>
            <w:hideMark/>
          </w:tcPr>
          <w:p w14:paraId="1FE15645" w14:textId="77777777" w:rsidR="004720C0" w:rsidRPr="00D14CD7" w:rsidRDefault="004720C0" w:rsidP="004720C0">
            <w:pPr>
              <w:spacing w:after="0" w:line="240" w:lineRule="auto"/>
              <w:jc w:val="right"/>
              <w:rPr>
                <w:rFonts w:eastAsia="Times New Roman"/>
                <w:color w:val="000000" w:themeColor="text1"/>
                <w:sz w:val="16"/>
                <w:szCs w:val="16"/>
              </w:rPr>
            </w:pPr>
            <w:r w:rsidRPr="00D14CD7">
              <w:rPr>
                <w:rFonts w:eastAsia="Times New Roman"/>
                <w:color w:val="000000" w:themeColor="text1"/>
                <w:sz w:val="16"/>
                <w:szCs w:val="22"/>
              </w:rPr>
              <w:t>—</w:t>
            </w:r>
          </w:p>
        </w:tc>
        <w:tc>
          <w:tcPr>
            <w:tcW w:w="185" w:type="pct"/>
            <w:tcBorders>
              <w:left w:val="single" w:sz="8" w:space="0" w:color="auto"/>
            </w:tcBorders>
            <w:shd w:val="clear" w:color="auto" w:fill="auto"/>
            <w:noWrap/>
            <w:vAlign w:val="center"/>
            <w:hideMark/>
          </w:tcPr>
          <w:p w14:paraId="22B757E8" w14:textId="77777777" w:rsidR="004720C0" w:rsidRPr="00D14CD7" w:rsidRDefault="004720C0" w:rsidP="004720C0">
            <w:pPr>
              <w:spacing w:after="0" w:line="240" w:lineRule="auto"/>
              <w:jc w:val="right"/>
              <w:rPr>
                <w:rFonts w:eastAsia="Times New Roman"/>
                <w:color w:val="000000" w:themeColor="text1"/>
                <w:sz w:val="16"/>
                <w:szCs w:val="16"/>
              </w:rPr>
            </w:pPr>
            <w:r w:rsidRPr="00D14CD7">
              <w:rPr>
                <w:rFonts w:eastAsia="Times New Roman"/>
                <w:color w:val="000000" w:themeColor="text1"/>
                <w:sz w:val="16"/>
                <w:szCs w:val="22"/>
              </w:rPr>
              <w:t>—</w:t>
            </w:r>
          </w:p>
        </w:tc>
        <w:tc>
          <w:tcPr>
            <w:tcW w:w="185" w:type="pct"/>
            <w:tcBorders>
              <w:top w:val="single" w:sz="4" w:space="0" w:color="auto"/>
              <w:bottom w:val="single" w:sz="4" w:space="0" w:color="auto"/>
              <w:right w:val="single" w:sz="8" w:space="0" w:color="auto"/>
            </w:tcBorders>
            <w:shd w:val="clear" w:color="auto" w:fill="auto"/>
            <w:noWrap/>
            <w:vAlign w:val="center"/>
            <w:hideMark/>
          </w:tcPr>
          <w:p w14:paraId="6EB413A7" w14:textId="77777777" w:rsidR="004720C0" w:rsidRPr="00D14CD7" w:rsidRDefault="004720C0" w:rsidP="004720C0">
            <w:pPr>
              <w:spacing w:after="0" w:line="240" w:lineRule="auto"/>
              <w:jc w:val="right"/>
              <w:rPr>
                <w:rFonts w:eastAsia="Times New Roman"/>
                <w:color w:val="000000" w:themeColor="text1"/>
                <w:sz w:val="16"/>
                <w:szCs w:val="16"/>
              </w:rPr>
            </w:pPr>
            <w:r w:rsidRPr="00D14CD7">
              <w:rPr>
                <w:rFonts w:eastAsia="Times New Roman"/>
                <w:color w:val="000000" w:themeColor="text1"/>
                <w:sz w:val="16"/>
                <w:szCs w:val="22"/>
              </w:rPr>
              <w:t>—</w:t>
            </w:r>
          </w:p>
        </w:tc>
        <w:tc>
          <w:tcPr>
            <w:tcW w:w="156" w:type="pct"/>
            <w:tcBorders>
              <w:left w:val="single" w:sz="8" w:space="0" w:color="auto"/>
            </w:tcBorders>
            <w:shd w:val="clear" w:color="auto" w:fill="auto"/>
            <w:noWrap/>
            <w:vAlign w:val="center"/>
            <w:hideMark/>
          </w:tcPr>
          <w:p w14:paraId="0D62EC9A" w14:textId="77777777" w:rsidR="004720C0" w:rsidRPr="00D14CD7" w:rsidRDefault="004720C0" w:rsidP="004720C0">
            <w:pPr>
              <w:spacing w:after="0" w:line="240" w:lineRule="auto"/>
              <w:jc w:val="right"/>
              <w:rPr>
                <w:rFonts w:eastAsia="Times New Roman"/>
                <w:color w:val="000000" w:themeColor="text1"/>
                <w:sz w:val="16"/>
                <w:szCs w:val="16"/>
              </w:rPr>
            </w:pPr>
            <w:proofErr w:type="spellStart"/>
            <w:r w:rsidRPr="00D14CD7">
              <w:rPr>
                <w:rFonts w:eastAsia="Times New Roman"/>
                <w:color w:val="000000" w:themeColor="text1"/>
                <w:sz w:val="16"/>
                <w:szCs w:val="22"/>
              </w:rPr>
              <w:t>na</w:t>
            </w:r>
            <w:proofErr w:type="spellEnd"/>
          </w:p>
        </w:tc>
        <w:tc>
          <w:tcPr>
            <w:tcW w:w="157" w:type="pct"/>
            <w:tcBorders>
              <w:right w:val="double" w:sz="4" w:space="0" w:color="auto"/>
            </w:tcBorders>
            <w:shd w:val="clear" w:color="auto" w:fill="auto"/>
            <w:noWrap/>
            <w:vAlign w:val="center"/>
            <w:hideMark/>
          </w:tcPr>
          <w:p w14:paraId="271B7809" w14:textId="77777777" w:rsidR="004720C0" w:rsidRPr="00D14CD7" w:rsidRDefault="004720C0" w:rsidP="004720C0">
            <w:pPr>
              <w:spacing w:after="0" w:line="240" w:lineRule="auto"/>
              <w:jc w:val="right"/>
              <w:rPr>
                <w:rFonts w:eastAsia="Times New Roman"/>
                <w:color w:val="000000" w:themeColor="text1"/>
                <w:sz w:val="16"/>
                <w:szCs w:val="16"/>
              </w:rPr>
            </w:pPr>
            <w:proofErr w:type="spellStart"/>
            <w:r w:rsidRPr="00D14CD7">
              <w:rPr>
                <w:rFonts w:eastAsia="Times New Roman"/>
                <w:color w:val="000000" w:themeColor="text1"/>
                <w:sz w:val="16"/>
                <w:szCs w:val="22"/>
              </w:rPr>
              <w:t>na</w:t>
            </w:r>
            <w:proofErr w:type="spellEnd"/>
          </w:p>
        </w:tc>
        <w:tc>
          <w:tcPr>
            <w:tcW w:w="187" w:type="pct"/>
            <w:tcBorders>
              <w:top w:val="single" w:sz="4" w:space="0" w:color="auto"/>
              <w:left w:val="double" w:sz="4" w:space="0" w:color="auto"/>
              <w:bottom w:val="single" w:sz="4" w:space="0" w:color="auto"/>
            </w:tcBorders>
            <w:shd w:val="clear" w:color="auto" w:fill="auto"/>
            <w:noWrap/>
            <w:vAlign w:val="center"/>
            <w:hideMark/>
          </w:tcPr>
          <w:p w14:paraId="63D8AB90" w14:textId="77777777" w:rsidR="004720C0" w:rsidRPr="00D14CD7" w:rsidRDefault="004720C0" w:rsidP="004720C0">
            <w:pPr>
              <w:spacing w:after="0" w:line="240" w:lineRule="auto"/>
              <w:jc w:val="right"/>
              <w:rPr>
                <w:rFonts w:eastAsia="Times New Roman"/>
                <w:color w:val="000000" w:themeColor="text1"/>
                <w:sz w:val="16"/>
                <w:szCs w:val="16"/>
              </w:rPr>
            </w:pPr>
            <w:r w:rsidRPr="00D14CD7">
              <w:rPr>
                <w:rFonts w:eastAsia="Times New Roman"/>
                <w:color w:val="000000" w:themeColor="text1"/>
                <w:sz w:val="16"/>
                <w:szCs w:val="22"/>
              </w:rPr>
              <w:t>—</w:t>
            </w:r>
          </w:p>
        </w:tc>
        <w:tc>
          <w:tcPr>
            <w:tcW w:w="183" w:type="pct"/>
            <w:shd w:val="clear" w:color="auto" w:fill="auto"/>
            <w:noWrap/>
            <w:vAlign w:val="center"/>
            <w:hideMark/>
          </w:tcPr>
          <w:p w14:paraId="0A3A994B" w14:textId="77777777" w:rsidR="004720C0" w:rsidRPr="00D14CD7" w:rsidRDefault="004720C0" w:rsidP="004720C0">
            <w:pPr>
              <w:spacing w:after="0" w:line="240" w:lineRule="auto"/>
              <w:jc w:val="right"/>
              <w:rPr>
                <w:rFonts w:eastAsia="Times New Roman"/>
                <w:color w:val="000000" w:themeColor="text1"/>
                <w:sz w:val="16"/>
                <w:szCs w:val="16"/>
              </w:rPr>
            </w:pPr>
            <w:r w:rsidRPr="00D14CD7">
              <w:rPr>
                <w:rFonts w:eastAsia="Times New Roman"/>
                <w:color w:val="000000" w:themeColor="text1"/>
                <w:sz w:val="16"/>
                <w:szCs w:val="22"/>
              </w:rPr>
              <w:t>—</w:t>
            </w:r>
          </w:p>
        </w:tc>
      </w:tr>
      <w:tr w:rsidR="00D14CD7" w:rsidRPr="00D14CD7" w14:paraId="70E1641D" w14:textId="77777777" w:rsidTr="00286339">
        <w:trPr>
          <w:trHeight w:val="72"/>
        </w:trPr>
        <w:tc>
          <w:tcPr>
            <w:tcW w:w="1709" w:type="pct"/>
            <w:tcBorders>
              <w:top w:val="single" w:sz="4" w:space="0" w:color="auto"/>
              <w:bottom w:val="double" w:sz="4" w:space="0" w:color="auto"/>
              <w:right w:val="double" w:sz="4" w:space="0" w:color="auto"/>
            </w:tcBorders>
            <w:shd w:val="clear" w:color="auto" w:fill="auto"/>
            <w:noWrap/>
            <w:vAlign w:val="center"/>
            <w:hideMark/>
          </w:tcPr>
          <w:p w14:paraId="73AB2DC8" w14:textId="77777777" w:rsidR="004720C0" w:rsidRPr="00D14CD7" w:rsidRDefault="004720C0" w:rsidP="004720C0">
            <w:pPr>
              <w:spacing w:after="0" w:line="240" w:lineRule="auto"/>
              <w:ind w:firstLine="140"/>
              <w:jc w:val="left"/>
              <w:rPr>
                <w:rFonts w:eastAsia="Times New Roman"/>
                <w:color w:val="000000" w:themeColor="text1"/>
                <w:sz w:val="16"/>
                <w:szCs w:val="16"/>
              </w:rPr>
            </w:pPr>
            <w:r w:rsidRPr="00D14CD7">
              <w:rPr>
                <w:rFonts w:eastAsia="Times New Roman"/>
                <w:color w:val="000000" w:themeColor="text1"/>
                <w:sz w:val="16"/>
                <w:szCs w:val="22"/>
              </w:rPr>
              <w:t>Restaurant density (number of restaurants/100 square acres) (range 0-0.4)</w:t>
            </w:r>
          </w:p>
        </w:tc>
        <w:tc>
          <w:tcPr>
            <w:tcW w:w="227" w:type="pct"/>
            <w:tcBorders>
              <w:top w:val="single" w:sz="4" w:space="0" w:color="auto"/>
              <w:left w:val="double" w:sz="4" w:space="0" w:color="auto"/>
              <w:bottom w:val="double" w:sz="4" w:space="0" w:color="auto"/>
            </w:tcBorders>
            <w:shd w:val="clear" w:color="auto" w:fill="auto"/>
            <w:noWrap/>
            <w:vAlign w:val="center"/>
            <w:hideMark/>
          </w:tcPr>
          <w:p w14:paraId="09083637" w14:textId="77777777" w:rsidR="004720C0" w:rsidRPr="00D14CD7" w:rsidRDefault="004720C0" w:rsidP="004720C0">
            <w:pPr>
              <w:spacing w:after="0" w:line="240" w:lineRule="auto"/>
              <w:jc w:val="right"/>
              <w:rPr>
                <w:rFonts w:eastAsia="Times New Roman"/>
                <w:color w:val="000000" w:themeColor="text1"/>
                <w:sz w:val="16"/>
                <w:szCs w:val="16"/>
              </w:rPr>
            </w:pPr>
            <w:r w:rsidRPr="00D14CD7">
              <w:rPr>
                <w:rFonts w:eastAsia="Times New Roman"/>
                <w:color w:val="000000" w:themeColor="text1"/>
                <w:sz w:val="16"/>
                <w:szCs w:val="22"/>
              </w:rPr>
              <w:t>—</w:t>
            </w:r>
          </w:p>
        </w:tc>
        <w:tc>
          <w:tcPr>
            <w:tcW w:w="199" w:type="pct"/>
            <w:tcBorders>
              <w:top w:val="single" w:sz="4" w:space="0" w:color="auto"/>
              <w:bottom w:val="double" w:sz="4" w:space="0" w:color="auto"/>
              <w:right w:val="single" w:sz="8" w:space="0" w:color="auto"/>
            </w:tcBorders>
            <w:shd w:val="clear" w:color="auto" w:fill="auto"/>
            <w:noWrap/>
            <w:vAlign w:val="center"/>
            <w:hideMark/>
          </w:tcPr>
          <w:p w14:paraId="1B148678" w14:textId="77777777" w:rsidR="004720C0" w:rsidRPr="00D14CD7" w:rsidRDefault="004720C0" w:rsidP="004720C0">
            <w:pPr>
              <w:spacing w:after="0" w:line="240" w:lineRule="auto"/>
              <w:jc w:val="right"/>
              <w:rPr>
                <w:rFonts w:eastAsia="Times New Roman"/>
                <w:color w:val="000000" w:themeColor="text1"/>
                <w:sz w:val="16"/>
                <w:szCs w:val="16"/>
              </w:rPr>
            </w:pPr>
            <w:r w:rsidRPr="00D14CD7">
              <w:rPr>
                <w:rFonts w:eastAsia="Times New Roman"/>
                <w:color w:val="000000" w:themeColor="text1"/>
                <w:sz w:val="16"/>
                <w:szCs w:val="22"/>
              </w:rPr>
              <w:t>—</w:t>
            </w:r>
          </w:p>
        </w:tc>
        <w:tc>
          <w:tcPr>
            <w:tcW w:w="184" w:type="pct"/>
            <w:tcBorders>
              <w:top w:val="single" w:sz="4" w:space="0" w:color="auto"/>
              <w:left w:val="single" w:sz="8" w:space="0" w:color="auto"/>
              <w:bottom w:val="double" w:sz="4" w:space="0" w:color="auto"/>
            </w:tcBorders>
            <w:shd w:val="clear" w:color="auto" w:fill="auto"/>
            <w:noWrap/>
            <w:vAlign w:val="center"/>
            <w:hideMark/>
          </w:tcPr>
          <w:p w14:paraId="7D775CB1" w14:textId="77777777" w:rsidR="004720C0" w:rsidRPr="00D14CD7" w:rsidRDefault="004720C0" w:rsidP="004720C0">
            <w:pPr>
              <w:spacing w:after="0" w:line="240" w:lineRule="auto"/>
              <w:jc w:val="right"/>
              <w:rPr>
                <w:rFonts w:eastAsia="Times New Roman"/>
                <w:color w:val="000000" w:themeColor="text1"/>
                <w:sz w:val="16"/>
                <w:szCs w:val="16"/>
              </w:rPr>
            </w:pPr>
            <w:r w:rsidRPr="00D14CD7">
              <w:rPr>
                <w:rFonts w:eastAsia="Times New Roman"/>
                <w:color w:val="000000" w:themeColor="text1"/>
                <w:sz w:val="16"/>
                <w:szCs w:val="22"/>
              </w:rPr>
              <w:t>—</w:t>
            </w:r>
          </w:p>
        </w:tc>
        <w:tc>
          <w:tcPr>
            <w:tcW w:w="185" w:type="pct"/>
            <w:tcBorders>
              <w:top w:val="single" w:sz="4" w:space="0" w:color="auto"/>
              <w:bottom w:val="double" w:sz="4" w:space="0" w:color="auto"/>
              <w:right w:val="single" w:sz="8" w:space="0" w:color="auto"/>
            </w:tcBorders>
            <w:shd w:val="clear" w:color="auto" w:fill="auto"/>
            <w:noWrap/>
            <w:vAlign w:val="center"/>
            <w:hideMark/>
          </w:tcPr>
          <w:p w14:paraId="672BEDDB" w14:textId="77777777" w:rsidR="004720C0" w:rsidRPr="00D14CD7" w:rsidRDefault="004720C0" w:rsidP="004720C0">
            <w:pPr>
              <w:spacing w:after="0" w:line="240" w:lineRule="auto"/>
              <w:jc w:val="right"/>
              <w:rPr>
                <w:rFonts w:eastAsia="Times New Roman"/>
                <w:color w:val="000000" w:themeColor="text1"/>
                <w:sz w:val="16"/>
                <w:szCs w:val="16"/>
              </w:rPr>
            </w:pPr>
            <w:r w:rsidRPr="00D14CD7">
              <w:rPr>
                <w:rFonts w:eastAsia="Times New Roman"/>
                <w:color w:val="000000" w:themeColor="text1"/>
                <w:sz w:val="16"/>
                <w:szCs w:val="22"/>
              </w:rPr>
              <w:t>—</w:t>
            </w:r>
          </w:p>
        </w:tc>
        <w:tc>
          <w:tcPr>
            <w:tcW w:w="184" w:type="pct"/>
            <w:tcBorders>
              <w:top w:val="single" w:sz="4" w:space="0" w:color="auto"/>
              <w:left w:val="single" w:sz="8" w:space="0" w:color="auto"/>
              <w:bottom w:val="double" w:sz="4" w:space="0" w:color="auto"/>
            </w:tcBorders>
            <w:shd w:val="clear" w:color="auto" w:fill="auto"/>
            <w:noWrap/>
            <w:vAlign w:val="center"/>
            <w:hideMark/>
          </w:tcPr>
          <w:p w14:paraId="1B50D8A1" w14:textId="77777777" w:rsidR="004720C0" w:rsidRPr="00D14CD7" w:rsidRDefault="004720C0" w:rsidP="004720C0">
            <w:pPr>
              <w:spacing w:after="0" w:line="240" w:lineRule="auto"/>
              <w:jc w:val="right"/>
              <w:rPr>
                <w:rFonts w:eastAsia="Times New Roman"/>
                <w:color w:val="000000" w:themeColor="text1"/>
                <w:sz w:val="16"/>
                <w:szCs w:val="16"/>
              </w:rPr>
            </w:pPr>
            <w:r w:rsidRPr="00D14CD7">
              <w:rPr>
                <w:rFonts w:eastAsia="Times New Roman"/>
                <w:color w:val="000000" w:themeColor="text1"/>
                <w:sz w:val="16"/>
                <w:szCs w:val="22"/>
              </w:rPr>
              <w:t>—</w:t>
            </w:r>
          </w:p>
        </w:tc>
        <w:tc>
          <w:tcPr>
            <w:tcW w:w="188" w:type="pct"/>
            <w:tcBorders>
              <w:top w:val="single" w:sz="4" w:space="0" w:color="auto"/>
              <w:bottom w:val="double" w:sz="4" w:space="0" w:color="auto"/>
              <w:right w:val="single" w:sz="8" w:space="0" w:color="auto"/>
            </w:tcBorders>
            <w:shd w:val="clear" w:color="auto" w:fill="auto"/>
            <w:noWrap/>
            <w:vAlign w:val="center"/>
            <w:hideMark/>
          </w:tcPr>
          <w:p w14:paraId="07936BD0" w14:textId="77777777" w:rsidR="004720C0" w:rsidRPr="00D14CD7" w:rsidRDefault="004720C0" w:rsidP="004720C0">
            <w:pPr>
              <w:spacing w:after="0" w:line="240" w:lineRule="auto"/>
              <w:jc w:val="right"/>
              <w:rPr>
                <w:rFonts w:eastAsia="Times New Roman"/>
                <w:color w:val="000000" w:themeColor="text1"/>
                <w:sz w:val="16"/>
                <w:szCs w:val="16"/>
              </w:rPr>
            </w:pPr>
            <w:r w:rsidRPr="00D14CD7">
              <w:rPr>
                <w:rFonts w:eastAsia="Times New Roman"/>
                <w:color w:val="000000" w:themeColor="text1"/>
                <w:sz w:val="16"/>
                <w:szCs w:val="22"/>
              </w:rPr>
              <w:t>—</w:t>
            </w:r>
          </w:p>
        </w:tc>
        <w:tc>
          <w:tcPr>
            <w:tcW w:w="188" w:type="pct"/>
            <w:tcBorders>
              <w:top w:val="single" w:sz="4" w:space="0" w:color="auto"/>
              <w:left w:val="single" w:sz="8" w:space="0" w:color="auto"/>
              <w:bottom w:val="double" w:sz="4" w:space="0" w:color="auto"/>
            </w:tcBorders>
            <w:shd w:val="clear" w:color="auto" w:fill="auto"/>
            <w:noWrap/>
            <w:vAlign w:val="center"/>
            <w:hideMark/>
          </w:tcPr>
          <w:p w14:paraId="3D9BBD70" w14:textId="77777777" w:rsidR="004720C0" w:rsidRPr="00D14CD7" w:rsidRDefault="004720C0" w:rsidP="004720C0">
            <w:pPr>
              <w:spacing w:after="0" w:line="240" w:lineRule="auto"/>
              <w:jc w:val="right"/>
              <w:rPr>
                <w:rFonts w:eastAsia="Times New Roman"/>
                <w:color w:val="000000" w:themeColor="text1"/>
                <w:sz w:val="16"/>
                <w:szCs w:val="16"/>
              </w:rPr>
            </w:pPr>
            <w:proofErr w:type="spellStart"/>
            <w:r w:rsidRPr="00D14CD7">
              <w:rPr>
                <w:rFonts w:eastAsia="Times New Roman"/>
                <w:color w:val="000000" w:themeColor="text1"/>
                <w:sz w:val="16"/>
                <w:szCs w:val="22"/>
              </w:rPr>
              <w:t>na</w:t>
            </w:r>
            <w:proofErr w:type="spellEnd"/>
          </w:p>
        </w:tc>
        <w:tc>
          <w:tcPr>
            <w:tcW w:w="146" w:type="pct"/>
            <w:tcBorders>
              <w:top w:val="single" w:sz="4" w:space="0" w:color="auto"/>
              <w:bottom w:val="double" w:sz="4" w:space="0" w:color="auto"/>
              <w:right w:val="double" w:sz="4" w:space="0" w:color="auto"/>
            </w:tcBorders>
            <w:shd w:val="clear" w:color="auto" w:fill="auto"/>
            <w:noWrap/>
            <w:vAlign w:val="center"/>
            <w:hideMark/>
          </w:tcPr>
          <w:p w14:paraId="1ABF5858" w14:textId="77777777" w:rsidR="004720C0" w:rsidRPr="00D14CD7" w:rsidRDefault="004720C0" w:rsidP="004720C0">
            <w:pPr>
              <w:spacing w:after="0" w:line="240" w:lineRule="auto"/>
              <w:jc w:val="right"/>
              <w:rPr>
                <w:rFonts w:eastAsia="Times New Roman"/>
                <w:color w:val="000000" w:themeColor="text1"/>
                <w:sz w:val="16"/>
                <w:szCs w:val="16"/>
              </w:rPr>
            </w:pPr>
            <w:proofErr w:type="spellStart"/>
            <w:r w:rsidRPr="00D14CD7">
              <w:rPr>
                <w:rFonts w:eastAsia="Times New Roman"/>
                <w:color w:val="000000" w:themeColor="text1"/>
                <w:sz w:val="16"/>
                <w:szCs w:val="22"/>
              </w:rPr>
              <w:t>na</w:t>
            </w:r>
            <w:proofErr w:type="spellEnd"/>
          </w:p>
        </w:tc>
        <w:tc>
          <w:tcPr>
            <w:tcW w:w="184" w:type="pct"/>
            <w:tcBorders>
              <w:left w:val="double" w:sz="4" w:space="0" w:color="auto"/>
            </w:tcBorders>
            <w:shd w:val="clear" w:color="auto" w:fill="auto"/>
            <w:noWrap/>
            <w:vAlign w:val="center"/>
            <w:hideMark/>
          </w:tcPr>
          <w:p w14:paraId="39ACD59A" w14:textId="77777777" w:rsidR="004720C0" w:rsidRPr="00D14CD7" w:rsidRDefault="004720C0" w:rsidP="004720C0">
            <w:pPr>
              <w:spacing w:after="0" w:line="240" w:lineRule="auto"/>
              <w:jc w:val="right"/>
              <w:rPr>
                <w:rFonts w:eastAsia="Times New Roman"/>
                <w:color w:val="000000" w:themeColor="text1"/>
                <w:sz w:val="16"/>
                <w:szCs w:val="16"/>
              </w:rPr>
            </w:pPr>
            <w:r w:rsidRPr="00D14CD7">
              <w:rPr>
                <w:rFonts w:eastAsia="Times New Roman"/>
                <w:color w:val="000000" w:themeColor="text1"/>
                <w:sz w:val="16"/>
                <w:szCs w:val="22"/>
              </w:rPr>
              <w:t>—</w:t>
            </w:r>
          </w:p>
        </w:tc>
        <w:tc>
          <w:tcPr>
            <w:tcW w:w="184" w:type="pct"/>
            <w:tcBorders>
              <w:top w:val="single" w:sz="4" w:space="0" w:color="auto"/>
              <w:bottom w:val="double" w:sz="4" w:space="0" w:color="auto"/>
              <w:right w:val="single" w:sz="8" w:space="0" w:color="auto"/>
            </w:tcBorders>
            <w:shd w:val="clear" w:color="auto" w:fill="auto"/>
            <w:noWrap/>
            <w:vAlign w:val="center"/>
            <w:hideMark/>
          </w:tcPr>
          <w:p w14:paraId="368B402D" w14:textId="77777777" w:rsidR="004720C0" w:rsidRPr="00D14CD7" w:rsidRDefault="004720C0" w:rsidP="004720C0">
            <w:pPr>
              <w:spacing w:after="0" w:line="240" w:lineRule="auto"/>
              <w:jc w:val="right"/>
              <w:rPr>
                <w:rFonts w:eastAsia="Times New Roman"/>
                <w:color w:val="000000" w:themeColor="text1"/>
                <w:sz w:val="16"/>
                <w:szCs w:val="16"/>
              </w:rPr>
            </w:pPr>
            <w:r w:rsidRPr="00D14CD7">
              <w:rPr>
                <w:rFonts w:eastAsia="Times New Roman"/>
                <w:color w:val="000000" w:themeColor="text1"/>
                <w:sz w:val="16"/>
                <w:szCs w:val="22"/>
              </w:rPr>
              <w:t>—</w:t>
            </w:r>
          </w:p>
        </w:tc>
        <w:tc>
          <w:tcPr>
            <w:tcW w:w="184" w:type="pct"/>
            <w:tcBorders>
              <w:left w:val="single" w:sz="8" w:space="0" w:color="auto"/>
            </w:tcBorders>
            <w:shd w:val="clear" w:color="auto" w:fill="auto"/>
            <w:noWrap/>
            <w:vAlign w:val="center"/>
            <w:hideMark/>
          </w:tcPr>
          <w:p w14:paraId="1729BFEA" w14:textId="77777777" w:rsidR="004720C0" w:rsidRPr="00D14CD7" w:rsidRDefault="004720C0" w:rsidP="004720C0">
            <w:pPr>
              <w:spacing w:after="0" w:line="240" w:lineRule="auto"/>
              <w:jc w:val="right"/>
              <w:rPr>
                <w:rFonts w:eastAsia="Times New Roman"/>
                <w:color w:val="000000" w:themeColor="text1"/>
                <w:sz w:val="16"/>
                <w:szCs w:val="16"/>
              </w:rPr>
            </w:pPr>
            <w:r w:rsidRPr="00D14CD7">
              <w:rPr>
                <w:rFonts w:eastAsia="Times New Roman"/>
                <w:color w:val="000000" w:themeColor="text1"/>
                <w:sz w:val="16"/>
                <w:szCs w:val="22"/>
              </w:rPr>
              <w:t>—</w:t>
            </w:r>
          </w:p>
        </w:tc>
        <w:tc>
          <w:tcPr>
            <w:tcW w:w="185" w:type="pct"/>
            <w:tcBorders>
              <w:top w:val="single" w:sz="4" w:space="0" w:color="auto"/>
              <w:bottom w:val="double" w:sz="4" w:space="0" w:color="auto"/>
              <w:right w:val="single" w:sz="8" w:space="0" w:color="auto"/>
            </w:tcBorders>
            <w:shd w:val="clear" w:color="auto" w:fill="auto"/>
            <w:noWrap/>
            <w:vAlign w:val="center"/>
            <w:hideMark/>
          </w:tcPr>
          <w:p w14:paraId="37B42503" w14:textId="77777777" w:rsidR="004720C0" w:rsidRPr="00D14CD7" w:rsidRDefault="004720C0" w:rsidP="004720C0">
            <w:pPr>
              <w:spacing w:after="0" w:line="240" w:lineRule="auto"/>
              <w:jc w:val="right"/>
              <w:rPr>
                <w:rFonts w:eastAsia="Times New Roman"/>
                <w:color w:val="000000" w:themeColor="text1"/>
                <w:sz w:val="16"/>
                <w:szCs w:val="16"/>
              </w:rPr>
            </w:pPr>
            <w:r w:rsidRPr="00D14CD7">
              <w:rPr>
                <w:rFonts w:eastAsia="Times New Roman"/>
                <w:color w:val="000000" w:themeColor="text1"/>
                <w:sz w:val="16"/>
                <w:szCs w:val="22"/>
              </w:rPr>
              <w:t>—</w:t>
            </w:r>
          </w:p>
        </w:tc>
        <w:tc>
          <w:tcPr>
            <w:tcW w:w="185" w:type="pct"/>
            <w:tcBorders>
              <w:left w:val="single" w:sz="8" w:space="0" w:color="auto"/>
            </w:tcBorders>
            <w:shd w:val="clear" w:color="auto" w:fill="auto"/>
            <w:noWrap/>
            <w:vAlign w:val="center"/>
            <w:hideMark/>
          </w:tcPr>
          <w:p w14:paraId="14FCB5FD" w14:textId="77777777" w:rsidR="004720C0" w:rsidRPr="00D14CD7" w:rsidRDefault="004720C0" w:rsidP="004720C0">
            <w:pPr>
              <w:spacing w:after="0" w:line="240" w:lineRule="auto"/>
              <w:jc w:val="right"/>
              <w:rPr>
                <w:rFonts w:eastAsia="Times New Roman"/>
                <w:color w:val="000000" w:themeColor="text1"/>
                <w:sz w:val="16"/>
                <w:szCs w:val="16"/>
              </w:rPr>
            </w:pPr>
            <w:r w:rsidRPr="00D14CD7">
              <w:rPr>
                <w:rFonts w:eastAsia="Times New Roman"/>
                <w:color w:val="000000" w:themeColor="text1"/>
                <w:sz w:val="16"/>
                <w:szCs w:val="22"/>
              </w:rPr>
              <w:t>—</w:t>
            </w:r>
          </w:p>
        </w:tc>
        <w:tc>
          <w:tcPr>
            <w:tcW w:w="185" w:type="pct"/>
            <w:tcBorders>
              <w:top w:val="single" w:sz="4" w:space="0" w:color="auto"/>
              <w:bottom w:val="double" w:sz="4" w:space="0" w:color="auto"/>
              <w:right w:val="single" w:sz="8" w:space="0" w:color="auto"/>
            </w:tcBorders>
            <w:shd w:val="clear" w:color="auto" w:fill="auto"/>
            <w:noWrap/>
            <w:vAlign w:val="center"/>
            <w:hideMark/>
          </w:tcPr>
          <w:p w14:paraId="3DDE72D7" w14:textId="77777777" w:rsidR="004720C0" w:rsidRPr="00D14CD7" w:rsidRDefault="004720C0" w:rsidP="004720C0">
            <w:pPr>
              <w:spacing w:after="0" w:line="240" w:lineRule="auto"/>
              <w:jc w:val="right"/>
              <w:rPr>
                <w:rFonts w:eastAsia="Times New Roman"/>
                <w:color w:val="000000" w:themeColor="text1"/>
                <w:sz w:val="16"/>
                <w:szCs w:val="16"/>
              </w:rPr>
            </w:pPr>
            <w:r w:rsidRPr="00D14CD7">
              <w:rPr>
                <w:rFonts w:eastAsia="Times New Roman"/>
                <w:color w:val="000000" w:themeColor="text1"/>
                <w:sz w:val="16"/>
                <w:szCs w:val="22"/>
              </w:rPr>
              <w:t>—</w:t>
            </w:r>
          </w:p>
        </w:tc>
        <w:tc>
          <w:tcPr>
            <w:tcW w:w="156" w:type="pct"/>
            <w:tcBorders>
              <w:left w:val="single" w:sz="8" w:space="0" w:color="auto"/>
            </w:tcBorders>
            <w:shd w:val="clear" w:color="auto" w:fill="auto"/>
            <w:noWrap/>
            <w:vAlign w:val="center"/>
            <w:hideMark/>
          </w:tcPr>
          <w:p w14:paraId="19E88A55" w14:textId="77777777" w:rsidR="004720C0" w:rsidRPr="00D14CD7" w:rsidRDefault="004720C0" w:rsidP="004720C0">
            <w:pPr>
              <w:spacing w:after="0" w:line="240" w:lineRule="auto"/>
              <w:jc w:val="right"/>
              <w:rPr>
                <w:rFonts w:eastAsia="Times New Roman"/>
                <w:color w:val="000000" w:themeColor="text1"/>
                <w:sz w:val="16"/>
                <w:szCs w:val="16"/>
              </w:rPr>
            </w:pPr>
            <w:proofErr w:type="spellStart"/>
            <w:r w:rsidRPr="00D14CD7">
              <w:rPr>
                <w:rFonts w:eastAsia="Times New Roman"/>
                <w:color w:val="000000" w:themeColor="text1"/>
                <w:sz w:val="16"/>
                <w:szCs w:val="22"/>
              </w:rPr>
              <w:t>na</w:t>
            </w:r>
            <w:proofErr w:type="spellEnd"/>
          </w:p>
        </w:tc>
        <w:tc>
          <w:tcPr>
            <w:tcW w:w="157" w:type="pct"/>
            <w:tcBorders>
              <w:right w:val="double" w:sz="4" w:space="0" w:color="auto"/>
            </w:tcBorders>
            <w:shd w:val="clear" w:color="auto" w:fill="auto"/>
            <w:noWrap/>
            <w:vAlign w:val="center"/>
            <w:hideMark/>
          </w:tcPr>
          <w:p w14:paraId="090FABC2" w14:textId="77777777" w:rsidR="004720C0" w:rsidRPr="00D14CD7" w:rsidRDefault="004720C0" w:rsidP="004720C0">
            <w:pPr>
              <w:spacing w:after="0" w:line="240" w:lineRule="auto"/>
              <w:jc w:val="right"/>
              <w:rPr>
                <w:rFonts w:eastAsia="Times New Roman"/>
                <w:color w:val="000000" w:themeColor="text1"/>
                <w:sz w:val="16"/>
                <w:szCs w:val="16"/>
              </w:rPr>
            </w:pPr>
            <w:proofErr w:type="spellStart"/>
            <w:r w:rsidRPr="00D14CD7">
              <w:rPr>
                <w:rFonts w:eastAsia="Times New Roman"/>
                <w:color w:val="000000" w:themeColor="text1"/>
                <w:sz w:val="16"/>
                <w:szCs w:val="22"/>
              </w:rPr>
              <w:t>na</w:t>
            </w:r>
            <w:proofErr w:type="spellEnd"/>
          </w:p>
        </w:tc>
        <w:tc>
          <w:tcPr>
            <w:tcW w:w="187" w:type="pct"/>
            <w:tcBorders>
              <w:top w:val="single" w:sz="4" w:space="0" w:color="auto"/>
              <w:left w:val="double" w:sz="4" w:space="0" w:color="auto"/>
              <w:bottom w:val="double" w:sz="4" w:space="0" w:color="auto"/>
            </w:tcBorders>
            <w:shd w:val="clear" w:color="auto" w:fill="auto"/>
            <w:noWrap/>
            <w:vAlign w:val="center"/>
            <w:hideMark/>
          </w:tcPr>
          <w:p w14:paraId="393CF2E4" w14:textId="77777777" w:rsidR="004720C0" w:rsidRPr="00D14CD7" w:rsidRDefault="004720C0" w:rsidP="004720C0">
            <w:pPr>
              <w:spacing w:after="0" w:line="240" w:lineRule="auto"/>
              <w:jc w:val="right"/>
              <w:rPr>
                <w:rFonts w:eastAsia="Times New Roman"/>
                <w:color w:val="000000" w:themeColor="text1"/>
                <w:sz w:val="16"/>
                <w:szCs w:val="16"/>
              </w:rPr>
            </w:pPr>
            <w:r w:rsidRPr="00D14CD7">
              <w:rPr>
                <w:rFonts w:eastAsia="Times New Roman"/>
                <w:color w:val="000000" w:themeColor="text1"/>
                <w:sz w:val="16"/>
                <w:szCs w:val="16"/>
              </w:rPr>
              <w:t>0.620</w:t>
            </w:r>
          </w:p>
        </w:tc>
        <w:tc>
          <w:tcPr>
            <w:tcW w:w="183" w:type="pct"/>
            <w:shd w:val="clear" w:color="auto" w:fill="auto"/>
            <w:noWrap/>
            <w:vAlign w:val="center"/>
            <w:hideMark/>
          </w:tcPr>
          <w:p w14:paraId="723EDE41" w14:textId="77777777" w:rsidR="004720C0" w:rsidRPr="00D14CD7" w:rsidRDefault="004720C0" w:rsidP="004720C0">
            <w:pPr>
              <w:spacing w:after="0" w:line="240" w:lineRule="auto"/>
              <w:jc w:val="right"/>
              <w:rPr>
                <w:rFonts w:eastAsia="Times New Roman"/>
                <w:color w:val="000000" w:themeColor="text1"/>
                <w:sz w:val="16"/>
                <w:szCs w:val="16"/>
              </w:rPr>
            </w:pPr>
            <w:r w:rsidRPr="00D14CD7">
              <w:rPr>
                <w:rFonts w:eastAsia="Times New Roman"/>
                <w:color w:val="000000" w:themeColor="text1"/>
                <w:sz w:val="16"/>
                <w:szCs w:val="16"/>
              </w:rPr>
              <w:t>2.12</w:t>
            </w:r>
          </w:p>
        </w:tc>
      </w:tr>
      <w:bookmarkEnd w:id="64"/>
    </w:tbl>
    <w:p w14:paraId="11CA9A29" w14:textId="77777777" w:rsidR="005B6BB0" w:rsidRPr="00D14CD7" w:rsidRDefault="005B6BB0" w:rsidP="005B6BB0">
      <w:pPr>
        <w:rPr>
          <w:color w:val="000000" w:themeColor="text1"/>
          <w:highlight w:val="yellow"/>
        </w:rPr>
      </w:pPr>
    </w:p>
    <w:p w14:paraId="2488C07B" w14:textId="77777777" w:rsidR="005B6BB0" w:rsidRPr="00D14CD7" w:rsidRDefault="005B6BB0" w:rsidP="005B6BB0">
      <w:pPr>
        <w:rPr>
          <w:color w:val="000000" w:themeColor="text1"/>
        </w:rPr>
      </w:pPr>
    </w:p>
    <w:p w14:paraId="2D4D0142" w14:textId="1E43525B" w:rsidR="005B6BB0" w:rsidRPr="00D14CD7" w:rsidRDefault="00BE151D" w:rsidP="00630A69">
      <w:pPr>
        <w:pStyle w:val="Caption"/>
        <w:keepNext/>
        <w:spacing w:after="120"/>
        <w:rPr>
          <w:color w:val="000000" w:themeColor="text1"/>
        </w:rPr>
      </w:pPr>
      <w:r w:rsidRPr="00D14CD7">
        <w:rPr>
          <w:b/>
          <w:i w:val="0"/>
          <w:color w:val="000000" w:themeColor="text1"/>
          <w:sz w:val="24"/>
          <w:szCs w:val="24"/>
        </w:rPr>
        <w:t>Table 6</w:t>
      </w:r>
      <w:r w:rsidR="005B6BB0" w:rsidRPr="00D14CD7">
        <w:rPr>
          <w:b/>
          <w:i w:val="0"/>
          <w:color w:val="000000" w:themeColor="text1"/>
          <w:sz w:val="24"/>
          <w:szCs w:val="24"/>
        </w:rPr>
        <w:t>. Model estimation results (contd.)</w:t>
      </w:r>
    </w:p>
    <w:tbl>
      <w:tblPr>
        <w:tblW w:w="5000" w:type="pct"/>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CellMar>
          <w:left w:w="29" w:type="dxa"/>
          <w:right w:w="29" w:type="dxa"/>
        </w:tblCellMar>
        <w:tblLook w:val="04A0" w:firstRow="1" w:lastRow="0" w:firstColumn="1" w:lastColumn="0" w:noHBand="0" w:noVBand="1"/>
      </w:tblPr>
      <w:tblGrid>
        <w:gridCol w:w="4941"/>
        <w:gridCol w:w="625"/>
        <w:gridCol w:w="561"/>
        <w:gridCol w:w="541"/>
        <w:gridCol w:w="540"/>
        <w:gridCol w:w="540"/>
        <w:gridCol w:w="540"/>
        <w:gridCol w:w="540"/>
        <w:gridCol w:w="457"/>
        <w:gridCol w:w="543"/>
        <w:gridCol w:w="457"/>
        <w:gridCol w:w="537"/>
        <w:gridCol w:w="540"/>
        <w:gridCol w:w="540"/>
        <w:gridCol w:w="540"/>
        <w:gridCol w:w="445"/>
        <w:gridCol w:w="454"/>
        <w:gridCol w:w="540"/>
        <w:gridCol w:w="489"/>
      </w:tblGrid>
      <w:tr w:rsidR="00D14CD7" w:rsidRPr="00D14CD7" w14:paraId="4246C715" w14:textId="77777777" w:rsidTr="004720C0">
        <w:trPr>
          <w:trHeight w:val="260"/>
        </w:trPr>
        <w:tc>
          <w:tcPr>
            <w:tcW w:w="1719" w:type="pct"/>
            <w:vMerge w:val="restart"/>
            <w:tcBorders>
              <w:top w:val="double" w:sz="4" w:space="0" w:color="auto"/>
              <w:bottom w:val="single" w:sz="4" w:space="0" w:color="auto"/>
              <w:right w:val="double" w:sz="4" w:space="0" w:color="auto"/>
            </w:tcBorders>
            <w:shd w:val="clear" w:color="auto" w:fill="auto"/>
            <w:noWrap/>
            <w:vAlign w:val="center"/>
            <w:hideMark/>
          </w:tcPr>
          <w:p w14:paraId="7E35FAE5" w14:textId="77777777" w:rsidR="005B6BB0" w:rsidRPr="00D14CD7" w:rsidRDefault="005B6BB0" w:rsidP="00286339">
            <w:pPr>
              <w:spacing w:after="0" w:line="240" w:lineRule="auto"/>
              <w:jc w:val="left"/>
              <w:rPr>
                <w:rFonts w:eastAsia="Times New Roman"/>
                <w:b/>
                <w:bCs/>
                <w:color w:val="000000" w:themeColor="text1"/>
                <w:sz w:val="16"/>
                <w:szCs w:val="16"/>
              </w:rPr>
            </w:pPr>
            <w:bookmarkStart w:id="65" w:name="_Hlk171456887"/>
            <w:r w:rsidRPr="00D14CD7">
              <w:rPr>
                <w:rFonts w:eastAsia="Times New Roman"/>
                <w:b/>
                <w:bCs/>
                <w:color w:val="000000" w:themeColor="text1"/>
                <w:sz w:val="16"/>
                <w:szCs w:val="22"/>
              </w:rPr>
              <w:t>Variables</w:t>
            </w:r>
          </w:p>
        </w:tc>
        <w:tc>
          <w:tcPr>
            <w:tcW w:w="1511" w:type="pct"/>
            <w:gridSpan w:val="8"/>
            <w:tcBorders>
              <w:top w:val="double" w:sz="4" w:space="0" w:color="auto"/>
              <w:left w:val="double" w:sz="4" w:space="0" w:color="auto"/>
              <w:bottom w:val="single" w:sz="4" w:space="0" w:color="auto"/>
              <w:right w:val="double" w:sz="4" w:space="0" w:color="auto"/>
            </w:tcBorders>
            <w:shd w:val="clear" w:color="auto" w:fill="auto"/>
            <w:noWrap/>
            <w:vAlign w:val="center"/>
            <w:hideMark/>
          </w:tcPr>
          <w:p w14:paraId="77E70CB0" w14:textId="77777777" w:rsidR="005B6BB0" w:rsidRPr="00D14CD7" w:rsidRDefault="005B6BB0" w:rsidP="00286339">
            <w:pPr>
              <w:spacing w:after="0" w:line="240" w:lineRule="auto"/>
              <w:jc w:val="center"/>
              <w:rPr>
                <w:rFonts w:eastAsia="Times New Roman"/>
                <w:b/>
                <w:bCs/>
                <w:color w:val="000000" w:themeColor="text1"/>
                <w:sz w:val="16"/>
                <w:szCs w:val="16"/>
              </w:rPr>
            </w:pPr>
            <w:r w:rsidRPr="00D14CD7">
              <w:rPr>
                <w:rFonts w:eastAsia="Times New Roman"/>
                <w:b/>
                <w:bCs/>
                <w:color w:val="000000" w:themeColor="text1"/>
                <w:sz w:val="16"/>
                <w:szCs w:val="22"/>
              </w:rPr>
              <w:t>Baseline Marginal Utility Component of MDC Model</w:t>
            </w:r>
          </w:p>
        </w:tc>
        <w:tc>
          <w:tcPr>
            <w:tcW w:w="1411" w:type="pct"/>
            <w:gridSpan w:val="8"/>
            <w:tcBorders>
              <w:top w:val="double" w:sz="4" w:space="0" w:color="auto"/>
              <w:left w:val="double" w:sz="4" w:space="0" w:color="auto"/>
              <w:bottom w:val="single" w:sz="4" w:space="0" w:color="auto"/>
              <w:right w:val="double" w:sz="4" w:space="0" w:color="auto"/>
            </w:tcBorders>
            <w:shd w:val="clear" w:color="auto" w:fill="auto"/>
            <w:noWrap/>
            <w:vAlign w:val="center"/>
            <w:hideMark/>
          </w:tcPr>
          <w:p w14:paraId="75DEB28C" w14:textId="77777777" w:rsidR="005B6BB0" w:rsidRPr="00D14CD7" w:rsidRDefault="005B6BB0" w:rsidP="00286339">
            <w:pPr>
              <w:spacing w:after="0" w:line="240" w:lineRule="auto"/>
              <w:jc w:val="center"/>
              <w:rPr>
                <w:rFonts w:eastAsia="Times New Roman"/>
                <w:b/>
                <w:bCs/>
                <w:color w:val="000000" w:themeColor="text1"/>
                <w:sz w:val="16"/>
                <w:szCs w:val="16"/>
              </w:rPr>
            </w:pPr>
            <w:r w:rsidRPr="00D14CD7">
              <w:rPr>
                <w:rFonts w:eastAsia="Times New Roman"/>
                <w:b/>
                <w:bCs/>
                <w:color w:val="000000" w:themeColor="text1"/>
                <w:sz w:val="16"/>
                <w:szCs w:val="22"/>
              </w:rPr>
              <w:t>Satiation Component of MDC Model</w:t>
            </w:r>
          </w:p>
        </w:tc>
        <w:tc>
          <w:tcPr>
            <w:tcW w:w="359" w:type="pct"/>
            <w:gridSpan w:val="2"/>
            <w:tcBorders>
              <w:top w:val="double" w:sz="4" w:space="0" w:color="auto"/>
              <w:left w:val="double" w:sz="4" w:space="0" w:color="auto"/>
              <w:bottom w:val="single" w:sz="4" w:space="0" w:color="auto"/>
            </w:tcBorders>
            <w:shd w:val="clear" w:color="auto" w:fill="auto"/>
            <w:noWrap/>
            <w:vAlign w:val="center"/>
            <w:hideMark/>
          </w:tcPr>
          <w:p w14:paraId="7B749360" w14:textId="77777777" w:rsidR="005B6BB0" w:rsidRPr="00D14CD7" w:rsidRDefault="005B6BB0" w:rsidP="00286339">
            <w:pPr>
              <w:spacing w:after="0" w:line="240" w:lineRule="auto"/>
              <w:jc w:val="center"/>
              <w:rPr>
                <w:rFonts w:eastAsia="Times New Roman"/>
                <w:b/>
                <w:bCs/>
                <w:color w:val="000000" w:themeColor="text1"/>
                <w:sz w:val="16"/>
                <w:szCs w:val="16"/>
              </w:rPr>
            </w:pPr>
            <w:r w:rsidRPr="00D14CD7">
              <w:rPr>
                <w:rFonts w:eastAsia="Times New Roman"/>
                <w:b/>
                <w:bCs/>
                <w:color w:val="000000" w:themeColor="text1"/>
                <w:sz w:val="16"/>
                <w:szCs w:val="22"/>
              </w:rPr>
              <w:t>Count Model</w:t>
            </w:r>
          </w:p>
        </w:tc>
      </w:tr>
      <w:tr w:rsidR="00D14CD7" w:rsidRPr="00D14CD7" w14:paraId="0690F406" w14:textId="77777777" w:rsidTr="004720C0">
        <w:trPr>
          <w:trHeight w:val="206"/>
        </w:trPr>
        <w:tc>
          <w:tcPr>
            <w:tcW w:w="1719" w:type="pct"/>
            <w:vMerge/>
            <w:tcBorders>
              <w:top w:val="single" w:sz="4" w:space="0" w:color="auto"/>
              <w:bottom w:val="single" w:sz="4" w:space="0" w:color="auto"/>
              <w:right w:val="double" w:sz="4" w:space="0" w:color="auto"/>
            </w:tcBorders>
            <w:vAlign w:val="center"/>
            <w:hideMark/>
          </w:tcPr>
          <w:p w14:paraId="30503830" w14:textId="77777777" w:rsidR="005B6BB0" w:rsidRPr="00D14CD7" w:rsidRDefault="005B6BB0" w:rsidP="00286339">
            <w:pPr>
              <w:spacing w:after="0" w:line="240" w:lineRule="auto"/>
              <w:jc w:val="left"/>
              <w:rPr>
                <w:rFonts w:eastAsia="Times New Roman"/>
                <w:b/>
                <w:bCs/>
                <w:color w:val="000000" w:themeColor="text1"/>
                <w:sz w:val="16"/>
                <w:szCs w:val="16"/>
              </w:rPr>
            </w:pPr>
          </w:p>
        </w:tc>
        <w:tc>
          <w:tcPr>
            <w:tcW w:w="412" w:type="pct"/>
            <w:gridSpan w:val="2"/>
            <w:tcBorders>
              <w:top w:val="single" w:sz="4" w:space="0" w:color="auto"/>
              <w:left w:val="double" w:sz="4" w:space="0" w:color="auto"/>
              <w:bottom w:val="single" w:sz="4" w:space="0" w:color="auto"/>
            </w:tcBorders>
            <w:shd w:val="clear" w:color="auto" w:fill="auto"/>
            <w:noWrap/>
            <w:vAlign w:val="center"/>
            <w:hideMark/>
          </w:tcPr>
          <w:p w14:paraId="10884ED3" w14:textId="77777777" w:rsidR="005B6BB0" w:rsidRPr="00D14CD7" w:rsidRDefault="005B6BB0" w:rsidP="00286339">
            <w:pPr>
              <w:spacing w:after="0" w:line="240" w:lineRule="auto"/>
              <w:jc w:val="center"/>
              <w:rPr>
                <w:rFonts w:eastAsia="Times New Roman"/>
                <w:b/>
                <w:bCs/>
                <w:color w:val="000000" w:themeColor="text1"/>
                <w:sz w:val="16"/>
                <w:szCs w:val="16"/>
              </w:rPr>
            </w:pPr>
            <w:r w:rsidRPr="00D14CD7">
              <w:rPr>
                <w:rFonts w:eastAsia="Times New Roman"/>
                <w:b/>
                <w:bCs/>
                <w:color w:val="000000" w:themeColor="text1"/>
                <w:sz w:val="16"/>
                <w:szCs w:val="22"/>
              </w:rPr>
              <w:t>QSR</w:t>
            </w:r>
          </w:p>
        </w:tc>
        <w:tc>
          <w:tcPr>
            <w:tcW w:w="376" w:type="pct"/>
            <w:gridSpan w:val="2"/>
            <w:tcBorders>
              <w:top w:val="single" w:sz="4" w:space="0" w:color="auto"/>
              <w:bottom w:val="single" w:sz="4" w:space="0" w:color="auto"/>
            </w:tcBorders>
            <w:shd w:val="clear" w:color="auto" w:fill="auto"/>
            <w:noWrap/>
            <w:vAlign w:val="center"/>
            <w:hideMark/>
          </w:tcPr>
          <w:p w14:paraId="5844AFC5" w14:textId="77777777" w:rsidR="005B6BB0" w:rsidRPr="00D14CD7" w:rsidRDefault="005B6BB0" w:rsidP="00286339">
            <w:pPr>
              <w:spacing w:after="0" w:line="240" w:lineRule="auto"/>
              <w:jc w:val="center"/>
              <w:rPr>
                <w:rFonts w:eastAsia="Times New Roman"/>
                <w:b/>
                <w:bCs/>
                <w:color w:val="000000" w:themeColor="text1"/>
                <w:sz w:val="16"/>
                <w:szCs w:val="16"/>
              </w:rPr>
            </w:pPr>
            <w:r w:rsidRPr="00D14CD7">
              <w:rPr>
                <w:rFonts w:eastAsia="Times New Roman"/>
                <w:b/>
                <w:bCs/>
                <w:color w:val="000000" w:themeColor="text1"/>
                <w:sz w:val="16"/>
                <w:szCs w:val="22"/>
              </w:rPr>
              <w:t>CH</w:t>
            </w:r>
          </w:p>
        </w:tc>
        <w:tc>
          <w:tcPr>
            <w:tcW w:w="376" w:type="pct"/>
            <w:gridSpan w:val="2"/>
            <w:tcBorders>
              <w:top w:val="single" w:sz="4" w:space="0" w:color="auto"/>
              <w:bottom w:val="single" w:sz="4" w:space="0" w:color="auto"/>
            </w:tcBorders>
            <w:shd w:val="clear" w:color="auto" w:fill="auto"/>
            <w:noWrap/>
            <w:vAlign w:val="center"/>
            <w:hideMark/>
          </w:tcPr>
          <w:p w14:paraId="5E17FE78" w14:textId="77777777" w:rsidR="005B6BB0" w:rsidRPr="00D14CD7" w:rsidRDefault="005B6BB0" w:rsidP="00286339">
            <w:pPr>
              <w:spacing w:after="0" w:line="240" w:lineRule="auto"/>
              <w:jc w:val="center"/>
              <w:rPr>
                <w:rFonts w:eastAsia="Times New Roman"/>
                <w:b/>
                <w:bCs/>
                <w:color w:val="000000" w:themeColor="text1"/>
                <w:sz w:val="16"/>
                <w:szCs w:val="16"/>
              </w:rPr>
            </w:pPr>
            <w:r w:rsidRPr="00D14CD7">
              <w:rPr>
                <w:rFonts w:eastAsia="Times New Roman"/>
                <w:b/>
                <w:bCs/>
                <w:color w:val="000000" w:themeColor="text1"/>
                <w:sz w:val="16"/>
                <w:szCs w:val="22"/>
              </w:rPr>
              <w:t>CSR</w:t>
            </w:r>
          </w:p>
        </w:tc>
        <w:tc>
          <w:tcPr>
            <w:tcW w:w="347" w:type="pct"/>
            <w:gridSpan w:val="2"/>
            <w:tcBorders>
              <w:top w:val="single" w:sz="4" w:space="0" w:color="auto"/>
              <w:bottom w:val="single" w:sz="4" w:space="0" w:color="auto"/>
              <w:right w:val="double" w:sz="4" w:space="0" w:color="auto"/>
            </w:tcBorders>
            <w:shd w:val="clear" w:color="auto" w:fill="auto"/>
            <w:noWrap/>
            <w:vAlign w:val="center"/>
            <w:hideMark/>
          </w:tcPr>
          <w:p w14:paraId="598A1CA1" w14:textId="77777777" w:rsidR="005B6BB0" w:rsidRPr="00D14CD7" w:rsidRDefault="005B6BB0" w:rsidP="00286339">
            <w:pPr>
              <w:spacing w:after="0" w:line="240" w:lineRule="auto"/>
              <w:jc w:val="center"/>
              <w:rPr>
                <w:rFonts w:eastAsia="Times New Roman"/>
                <w:b/>
                <w:bCs/>
                <w:color w:val="000000" w:themeColor="text1"/>
                <w:sz w:val="16"/>
                <w:szCs w:val="16"/>
              </w:rPr>
            </w:pPr>
            <w:r w:rsidRPr="00D14CD7">
              <w:rPr>
                <w:rFonts w:eastAsia="Times New Roman"/>
                <w:b/>
                <w:bCs/>
                <w:color w:val="000000" w:themeColor="text1"/>
                <w:sz w:val="16"/>
                <w:szCs w:val="22"/>
              </w:rPr>
              <w:t>FSR</w:t>
            </w:r>
          </w:p>
        </w:tc>
        <w:tc>
          <w:tcPr>
            <w:tcW w:w="348" w:type="pct"/>
            <w:gridSpan w:val="2"/>
            <w:tcBorders>
              <w:top w:val="single" w:sz="4" w:space="0" w:color="auto"/>
              <w:left w:val="double" w:sz="4" w:space="0" w:color="auto"/>
              <w:bottom w:val="single" w:sz="4" w:space="0" w:color="auto"/>
            </w:tcBorders>
            <w:shd w:val="clear" w:color="auto" w:fill="auto"/>
            <w:noWrap/>
            <w:vAlign w:val="center"/>
            <w:hideMark/>
          </w:tcPr>
          <w:p w14:paraId="227940EE" w14:textId="77777777" w:rsidR="005B6BB0" w:rsidRPr="00D14CD7" w:rsidRDefault="005B6BB0" w:rsidP="00286339">
            <w:pPr>
              <w:spacing w:after="0" w:line="240" w:lineRule="auto"/>
              <w:jc w:val="center"/>
              <w:rPr>
                <w:rFonts w:eastAsia="Times New Roman"/>
                <w:b/>
                <w:bCs/>
                <w:color w:val="000000" w:themeColor="text1"/>
                <w:sz w:val="16"/>
                <w:szCs w:val="16"/>
              </w:rPr>
            </w:pPr>
            <w:r w:rsidRPr="00D14CD7">
              <w:rPr>
                <w:rFonts w:eastAsia="Times New Roman"/>
                <w:b/>
                <w:bCs/>
                <w:color w:val="000000" w:themeColor="text1"/>
                <w:sz w:val="16"/>
                <w:szCs w:val="22"/>
              </w:rPr>
              <w:t>QSR</w:t>
            </w:r>
          </w:p>
        </w:tc>
        <w:tc>
          <w:tcPr>
            <w:tcW w:w="375" w:type="pct"/>
            <w:gridSpan w:val="2"/>
            <w:tcBorders>
              <w:top w:val="single" w:sz="4" w:space="0" w:color="auto"/>
              <w:bottom w:val="single" w:sz="4" w:space="0" w:color="auto"/>
            </w:tcBorders>
            <w:shd w:val="clear" w:color="auto" w:fill="auto"/>
            <w:noWrap/>
            <w:vAlign w:val="center"/>
            <w:hideMark/>
          </w:tcPr>
          <w:p w14:paraId="20BCA847" w14:textId="77777777" w:rsidR="005B6BB0" w:rsidRPr="00D14CD7" w:rsidRDefault="005B6BB0" w:rsidP="00286339">
            <w:pPr>
              <w:spacing w:after="0" w:line="240" w:lineRule="auto"/>
              <w:jc w:val="center"/>
              <w:rPr>
                <w:rFonts w:eastAsia="Times New Roman"/>
                <w:b/>
                <w:bCs/>
                <w:color w:val="000000" w:themeColor="text1"/>
                <w:sz w:val="16"/>
                <w:szCs w:val="16"/>
              </w:rPr>
            </w:pPr>
            <w:r w:rsidRPr="00D14CD7">
              <w:rPr>
                <w:rFonts w:eastAsia="Times New Roman"/>
                <w:b/>
                <w:bCs/>
                <w:color w:val="000000" w:themeColor="text1"/>
                <w:sz w:val="16"/>
                <w:szCs w:val="22"/>
              </w:rPr>
              <w:t>CH</w:t>
            </w:r>
          </w:p>
        </w:tc>
        <w:tc>
          <w:tcPr>
            <w:tcW w:w="376" w:type="pct"/>
            <w:gridSpan w:val="2"/>
            <w:tcBorders>
              <w:top w:val="single" w:sz="4" w:space="0" w:color="auto"/>
              <w:bottom w:val="single" w:sz="4" w:space="0" w:color="auto"/>
            </w:tcBorders>
            <w:shd w:val="clear" w:color="auto" w:fill="auto"/>
            <w:noWrap/>
            <w:vAlign w:val="center"/>
            <w:hideMark/>
          </w:tcPr>
          <w:p w14:paraId="00908004" w14:textId="77777777" w:rsidR="005B6BB0" w:rsidRPr="00D14CD7" w:rsidRDefault="005B6BB0" w:rsidP="00286339">
            <w:pPr>
              <w:spacing w:after="0" w:line="240" w:lineRule="auto"/>
              <w:jc w:val="center"/>
              <w:rPr>
                <w:rFonts w:eastAsia="Times New Roman"/>
                <w:b/>
                <w:bCs/>
                <w:color w:val="000000" w:themeColor="text1"/>
                <w:sz w:val="16"/>
                <w:szCs w:val="16"/>
              </w:rPr>
            </w:pPr>
            <w:r w:rsidRPr="00D14CD7">
              <w:rPr>
                <w:rFonts w:eastAsia="Times New Roman"/>
                <w:b/>
                <w:bCs/>
                <w:color w:val="000000" w:themeColor="text1"/>
                <w:sz w:val="16"/>
                <w:szCs w:val="22"/>
              </w:rPr>
              <w:t>CSR</w:t>
            </w:r>
          </w:p>
        </w:tc>
        <w:tc>
          <w:tcPr>
            <w:tcW w:w="313" w:type="pct"/>
            <w:gridSpan w:val="2"/>
            <w:tcBorders>
              <w:top w:val="single" w:sz="4" w:space="0" w:color="auto"/>
              <w:bottom w:val="single" w:sz="4" w:space="0" w:color="auto"/>
              <w:right w:val="double" w:sz="4" w:space="0" w:color="auto"/>
            </w:tcBorders>
            <w:shd w:val="clear" w:color="auto" w:fill="auto"/>
            <w:noWrap/>
            <w:vAlign w:val="center"/>
            <w:hideMark/>
          </w:tcPr>
          <w:p w14:paraId="428BD339" w14:textId="77777777" w:rsidR="005B6BB0" w:rsidRPr="00D14CD7" w:rsidRDefault="005B6BB0" w:rsidP="00286339">
            <w:pPr>
              <w:spacing w:after="0" w:line="240" w:lineRule="auto"/>
              <w:jc w:val="center"/>
              <w:rPr>
                <w:rFonts w:eastAsia="Times New Roman"/>
                <w:b/>
                <w:bCs/>
                <w:color w:val="000000" w:themeColor="text1"/>
                <w:sz w:val="16"/>
                <w:szCs w:val="16"/>
              </w:rPr>
            </w:pPr>
            <w:r w:rsidRPr="00D14CD7">
              <w:rPr>
                <w:rFonts w:eastAsia="Times New Roman"/>
                <w:b/>
                <w:bCs/>
                <w:color w:val="000000" w:themeColor="text1"/>
                <w:sz w:val="16"/>
                <w:szCs w:val="22"/>
              </w:rPr>
              <w:t>FSR</w:t>
            </w:r>
          </w:p>
        </w:tc>
        <w:tc>
          <w:tcPr>
            <w:tcW w:w="359" w:type="pct"/>
            <w:gridSpan w:val="2"/>
            <w:tcBorders>
              <w:top w:val="single" w:sz="4" w:space="0" w:color="auto"/>
              <w:left w:val="double" w:sz="4" w:space="0" w:color="auto"/>
              <w:bottom w:val="single" w:sz="4" w:space="0" w:color="auto"/>
            </w:tcBorders>
            <w:shd w:val="clear" w:color="auto" w:fill="auto"/>
            <w:noWrap/>
            <w:vAlign w:val="center"/>
            <w:hideMark/>
          </w:tcPr>
          <w:p w14:paraId="09330D46" w14:textId="77777777" w:rsidR="005B6BB0" w:rsidRPr="00D14CD7" w:rsidRDefault="005B6BB0" w:rsidP="00286339">
            <w:pPr>
              <w:spacing w:after="0" w:line="240" w:lineRule="auto"/>
              <w:jc w:val="center"/>
              <w:rPr>
                <w:rFonts w:eastAsia="Times New Roman"/>
                <w:b/>
                <w:bCs/>
                <w:color w:val="000000" w:themeColor="text1"/>
                <w:sz w:val="16"/>
                <w:szCs w:val="16"/>
              </w:rPr>
            </w:pPr>
            <w:r w:rsidRPr="00D14CD7">
              <w:rPr>
                <w:rFonts w:eastAsia="Times New Roman"/>
                <w:b/>
                <w:bCs/>
                <w:color w:val="000000" w:themeColor="text1"/>
                <w:sz w:val="16"/>
                <w:szCs w:val="22"/>
              </w:rPr>
              <w:t>Eat out</w:t>
            </w:r>
          </w:p>
        </w:tc>
      </w:tr>
      <w:tr w:rsidR="00D14CD7" w:rsidRPr="00D14CD7" w14:paraId="4BB98C0A" w14:textId="77777777" w:rsidTr="004720C0">
        <w:trPr>
          <w:trHeight w:val="432"/>
        </w:trPr>
        <w:tc>
          <w:tcPr>
            <w:tcW w:w="1719" w:type="pct"/>
            <w:vMerge/>
            <w:tcBorders>
              <w:top w:val="single" w:sz="4" w:space="0" w:color="auto"/>
              <w:bottom w:val="double" w:sz="4" w:space="0" w:color="auto"/>
              <w:right w:val="double" w:sz="4" w:space="0" w:color="auto"/>
            </w:tcBorders>
            <w:vAlign w:val="center"/>
            <w:hideMark/>
          </w:tcPr>
          <w:p w14:paraId="01EE4980" w14:textId="77777777" w:rsidR="005B6BB0" w:rsidRPr="00D14CD7" w:rsidRDefault="005B6BB0" w:rsidP="00286339">
            <w:pPr>
              <w:spacing w:after="0" w:line="240" w:lineRule="auto"/>
              <w:jc w:val="left"/>
              <w:rPr>
                <w:rFonts w:eastAsia="Times New Roman"/>
                <w:b/>
                <w:bCs/>
                <w:color w:val="000000" w:themeColor="text1"/>
                <w:sz w:val="16"/>
                <w:szCs w:val="16"/>
              </w:rPr>
            </w:pPr>
          </w:p>
        </w:tc>
        <w:tc>
          <w:tcPr>
            <w:tcW w:w="217" w:type="pct"/>
            <w:tcBorders>
              <w:top w:val="single" w:sz="4" w:space="0" w:color="auto"/>
              <w:left w:val="double" w:sz="4" w:space="0" w:color="auto"/>
              <w:bottom w:val="double" w:sz="4" w:space="0" w:color="auto"/>
            </w:tcBorders>
            <w:shd w:val="clear" w:color="auto" w:fill="auto"/>
            <w:noWrap/>
            <w:textDirection w:val="btLr"/>
            <w:vAlign w:val="center"/>
            <w:hideMark/>
          </w:tcPr>
          <w:p w14:paraId="2D865345" w14:textId="77777777" w:rsidR="005B6BB0" w:rsidRPr="00D14CD7" w:rsidRDefault="005B6BB0" w:rsidP="00286339">
            <w:pPr>
              <w:spacing w:after="0" w:line="240" w:lineRule="auto"/>
              <w:jc w:val="center"/>
              <w:rPr>
                <w:rFonts w:eastAsia="Times New Roman"/>
                <w:b/>
                <w:bCs/>
                <w:color w:val="000000" w:themeColor="text1"/>
                <w:sz w:val="16"/>
                <w:szCs w:val="16"/>
              </w:rPr>
            </w:pPr>
            <w:r w:rsidRPr="00D14CD7">
              <w:rPr>
                <w:rFonts w:eastAsia="Times New Roman"/>
                <w:b/>
                <w:bCs/>
                <w:color w:val="000000" w:themeColor="text1"/>
                <w:sz w:val="16"/>
                <w:szCs w:val="22"/>
              </w:rPr>
              <w:t>Coef.</w:t>
            </w:r>
          </w:p>
        </w:tc>
        <w:tc>
          <w:tcPr>
            <w:tcW w:w="195" w:type="pct"/>
            <w:tcBorders>
              <w:top w:val="single" w:sz="4" w:space="0" w:color="auto"/>
              <w:bottom w:val="double" w:sz="4" w:space="0" w:color="auto"/>
            </w:tcBorders>
            <w:shd w:val="clear" w:color="auto" w:fill="auto"/>
            <w:noWrap/>
            <w:textDirection w:val="btLr"/>
            <w:vAlign w:val="center"/>
            <w:hideMark/>
          </w:tcPr>
          <w:p w14:paraId="15355883" w14:textId="77777777" w:rsidR="005B6BB0" w:rsidRPr="00D14CD7" w:rsidRDefault="005B6BB0" w:rsidP="00286339">
            <w:pPr>
              <w:spacing w:after="0" w:line="240" w:lineRule="auto"/>
              <w:jc w:val="center"/>
              <w:rPr>
                <w:rFonts w:eastAsia="Times New Roman"/>
                <w:b/>
                <w:bCs/>
                <w:color w:val="000000" w:themeColor="text1"/>
                <w:sz w:val="16"/>
                <w:szCs w:val="16"/>
              </w:rPr>
            </w:pPr>
            <w:r w:rsidRPr="00D14CD7">
              <w:rPr>
                <w:rFonts w:eastAsia="Times New Roman"/>
                <w:b/>
                <w:bCs/>
                <w:color w:val="000000" w:themeColor="text1"/>
                <w:sz w:val="16"/>
                <w:szCs w:val="22"/>
              </w:rPr>
              <w:t>t-stat</w:t>
            </w:r>
            <w:r w:rsidRPr="00D14CD7">
              <w:rPr>
                <w:rFonts w:eastAsia="Times New Roman"/>
                <w:b/>
                <w:bCs/>
                <w:color w:val="000000" w:themeColor="text1"/>
                <w:sz w:val="16"/>
                <w:szCs w:val="16"/>
              </w:rPr>
              <w:t> </w:t>
            </w:r>
          </w:p>
        </w:tc>
        <w:tc>
          <w:tcPr>
            <w:tcW w:w="188" w:type="pct"/>
            <w:tcBorders>
              <w:top w:val="single" w:sz="4" w:space="0" w:color="auto"/>
              <w:bottom w:val="double" w:sz="4" w:space="0" w:color="auto"/>
            </w:tcBorders>
            <w:shd w:val="clear" w:color="auto" w:fill="auto"/>
            <w:noWrap/>
            <w:textDirection w:val="btLr"/>
            <w:vAlign w:val="center"/>
            <w:hideMark/>
          </w:tcPr>
          <w:p w14:paraId="3A9146EC" w14:textId="77777777" w:rsidR="005B6BB0" w:rsidRPr="00D14CD7" w:rsidRDefault="005B6BB0" w:rsidP="00286339">
            <w:pPr>
              <w:spacing w:after="0" w:line="240" w:lineRule="auto"/>
              <w:jc w:val="center"/>
              <w:rPr>
                <w:rFonts w:eastAsia="Times New Roman"/>
                <w:b/>
                <w:bCs/>
                <w:color w:val="000000" w:themeColor="text1"/>
                <w:sz w:val="16"/>
                <w:szCs w:val="16"/>
              </w:rPr>
            </w:pPr>
            <w:r w:rsidRPr="00D14CD7">
              <w:rPr>
                <w:rFonts w:eastAsia="Times New Roman"/>
                <w:b/>
                <w:bCs/>
                <w:color w:val="000000" w:themeColor="text1"/>
                <w:sz w:val="16"/>
                <w:szCs w:val="22"/>
              </w:rPr>
              <w:t>Coef.</w:t>
            </w:r>
          </w:p>
        </w:tc>
        <w:tc>
          <w:tcPr>
            <w:tcW w:w="188" w:type="pct"/>
            <w:tcBorders>
              <w:top w:val="single" w:sz="4" w:space="0" w:color="auto"/>
              <w:bottom w:val="double" w:sz="4" w:space="0" w:color="auto"/>
            </w:tcBorders>
            <w:shd w:val="clear" w:color="auto" w:fill="auto"/>
            <w:noWrap/>
            <w:textDirection w:val="btLr"/>
            <w:vAlign w:val="center"/>
            <w:hideMark/>
          </w:tcPr>
          <w:p w14:paraId="725AA173" w14:textId="77777777" w:rsidR="005B6BB0" w:rsidRPr="00D14CD7" w:rsidRDefault="005B6BB0" w:rsidP="00286339">
            <w:pPr>
              <w:spacing w:after="0" w:line="240" w:lineRule="auto"/>
              <w:jc w:val="center"/>
              <w:rPr>
                <w:rFonts w:eastAsia="Times New Roman"/>
                <w:b/>
                <w:bCs/>
                <w:color w:val="000000" w:themeColor="text1"/>
                <w:sz w:val="16"/>
                <w:szCs w:val="16"/>
              </w:rPr>
            </w:pPr>
            <w:r w:rsidRPr="00D14CD7">
              <w:rPr>
                <w:rFonts w:eastAsia="Times New Roman"/>
                <w:b/>
                <w:bCs/>
                <w:color w:val="000000" w:themeColor="text1"/>
                <w:sz w:val="16"/>
                <w:szCs w:val="22"/>
              </w:rPr>
              <w:t>t-stat</w:t>
            </w:r>
          </w:p>
        </w:tc>
        <w:tc>
          <w:tcPr>
            <w:tcW w:w="188" w:type="pct"/>
            <w:tcBorders>
              <w:top w:val="single" w:sz="4" w:space="0" w:color="auto"/>
              <w:bottom w:val="double" w:sz="4" w:space="0" w:color="auto"/>
            </w:tcBorders>
            <w:shd w:val="clear" w:color="auto" w:fill="auto"/>
            <w:noWrap/>
            <w:textDirection w:val="btLr"/>
            <w:vAlign w:val="center"/>
            <w:hideMark/>
          </w:tcPr>
          <w:p w14:paraId="19F0B131" w14:textId="77777777" w:rsidR="005B6BB0" w:rsidRPr="00D14CD7" w:rsidRDefault="005B6BB0" w:rsidP="00286339">
            <w:pPr>
              <w:spacing w:after="0" w:line="240" w:lineRule="auto"/>
              <w:jc w:val="center"/>
              <w:rPr>
                <w:rFonts w:eastAsia="Times New Roman"/>
                <w:b/>
                <w:bCs/>
                <w:color w:val="000000" w:themeColor="text1"/>
                <w:sz w:val="16"/>
                <w:szCs w:val="16"/>
              </w:rPr>
            </w:pPr>
            <w:r w:rsidRPr="00D14CD7">
              <w:rPr>
                <w:rFonts w:eastAsia="Times New Roman"/>
                <w:b/>
                <w:bCs/>
                <w:color w:val="000000" w:themeColor="text1"/>
                <w:sz w:val="16"/>
                <w:szCs w:val="22"/>
              </w:rPr>
              <w:t>Coef.</w:t>
            </w:r>
          </w:p>
        </w:tc>
        <w:tc>
          <w:tcPr>
            <w:tcW w:w="188" w:type="pct"/>
            <w:tcBorders>
              <w:top w:val="single" w:sz="4" w:space="0" w:color="auto"/>
              <w:bottom w:val="double" w:sz="4" w:space="0" w:color="auto"/>
            </w:tcBorders>
            <w:shd w:val="clear" w:color="auto" w:fill="auto"/>
            <w:noWrap/>
            <w:textDirection w:val="btLr"/>
            <w:vAlign w:val="center"/>
            <w:hideMark/>
          </w:tcPr>
          <w:p w14:paraId="41CA5461" w14:textId="77777777" w:rsidR="005B6BB0" w:rsidRPr="00D14CD7" w:rsidRDefault="005B6BB0" w:rsidP="00286339">
            <w:pPr>
              <w:spacing w:after="0" w:line="240" w:lineRule="auto"/>
              <w:jc w:val="center"/>
              <w:rPr>
                <w:rFonts w:eastAsia="Times New Roman"/>
                <w:b/>
                <w:bCs/>
                <w:color w:val="000000" w:themeColor="text1"/>
                <w:sz w:val="16"/>
                <w:szCs w:val="16"/>
              </w:rPr>
            </w:pPr>
            <w:r w:rsidRPr="00D14CD7">
              <w:rPr>
                <w:rFonts w:eastAsia="Times New Roman"/>
                <w:b/>
                <w:bCs/>
                <w:color w:val="000000" w:themeColor="text1"/>
                <w:sz w:val="16"/>
                <w:szCs w:val="22"/>
              </w:rPr>
              <w:t>t-stat</w:t>
            </w:r>
          </w:p>
        </w:tc>
        <w:tc>
          <w:tcPr>
            <w:tcW w:w="188" w:type="pct"/>
            <w:tcBorders>
              <w:top w:val="single" w:sz="4" w:space="0" w:color="auto"/>
              <w:bottom w:val="double" w:sz="4" w:space="0" w:color="auto"/>
            </w:tcBorders>
            <w:shd w:val="clear" w:color="auto" w:fill="auto"/>
            <w:noWrap/>
            <w:textDirection w:val="btLr"/>
            <w:vAlign w:val="center"/>
            <w:hideMark/>
          </w:tcPr>
          <w:p w14:paraId="0A13F432" w14:textId="77777777" w:rsidR="005B6BB0" w:rsidRPr="00D14CD7" w:rsidRDefault="005B6BB0" w:rsidP="00286339">
            <w:pPr>
              <w:spacing w:after="0" w:line="240" w:lineRule="auto"/>
              <w:jc w:val="center"/>
              <w:rPr>
                <w:rFonts w:eastAsia="Times New Roman"/>
                <w:b/>
                <w:bCs/>
                <w:color w:val="000000" w:themeColor="text1"/>
                <w:sz w:val="16"/>
                <w:szCs w:val="16"/>
              </w:rPr>
            </w:pPr>
            <w:r w:rsidRPr="00D14CD7">
              <w:rPr>
                <w:rFonts w:eastAsia="Times New Roman"/>
                <w:b/>
                <w:bCs/>
                <w:color w:val="000000" w:themeColor="text1"/>
                <w:sz w:val="16"/>
                <w:szCs w:val="22"/>
              </w:rPr>
              <w:t>Coef.</w:t>
            </w:r>
          </w:p>
        </w:tc>
        <w:tc>
          <w:tcPr>
            <w:tcW w:w="159" w:type="pct"/>
            <w:tcBorders>
              <w:top w:val="single" w:sz="4" w:space="0" w:color="auto"/>
              <w:bottom w:val="double" w:sz="4" w:space="0" w:color="auto"/>
              <w:right w:val="double" w:sz="4" w:space="0" w:color="auto"/>
            </w:tcBorders>
            <w:shd w:val="clear" w:color="auto" w:fill="auto"/>
            <w:noWrap/>
            <w:textDirection w:val="btLr"/>
            <w:vAlign w:val="center"/>
            <w:hideMark/>
          </w:tcPr>
          <w:p w14:paraId="3A8BC54E" w14:textId="77777777" w:rsidR="005B6BB0" w:rsidRPr="00D14CD7" w:rsidRDefault="005B6BB0" w:rsidP="00286339">
            <w:pPr>
              <w:spacing w:after="0" w:line="240" w:lineRule="auto"/>
              <w:jc w:val="center"/>
              <w:rPr>
                <w:rFonts w:eastAsia="Times New Roman"/>
                <w:b/>
                <w:bCs/>
                <w:color w:val="000000" w:themeColor="text1"/>
                <w:sz w:val="16"/>
                <w:szCs w:val="16"/>
              </w:rPr>
            </w:pPr>
            <w:r w:rsidRPr="00D14CD7">
              <w:rPr>
                <w:rFonts w:eastAsia="Times New Roman"/>
                <w:b/>
                <w:bCs/>
                <w:color w:val="000000" w:themeColor="text1"/>
                <w:sz w:val="16"/>
                <w:szCs w:val="22"/>
              </w:rPr>
              <w:t>t-stat</w:t>
            </w:r>
          </w:p>
        </w:tc>
        <w:tc>
          <w:tcPr>
            <w:tcW w:w="189" w:type="pct"/>
            <w:tcBorders>
              <w:top w:val="single" w:sz="4" w:space="0" w:color="auto"/>
              <w:left w:val="double" w:sz="4" w:space="0" w:color="auto"/>
              <w:bottom w:val="double" w:sz="4" w:space="0" w:color="auto"/>
            </w:tcBorders>
            <w:shd w:val="clear" w:color="auto" w:fill="auto"/>
            <w:noWrap/>
            <w:textDirection w:val="btLr"/>
            <w:vAlign w:val="center"/>
            <w:hideMark/>
          </w:tcPr>
          <w:p w14:paraId="1F1D2272" w14:textId="77777777" w:rsidR="005B6BB0" w:rsidRPr="00D14CD7" w:rsidRDefault="005B6BB0" w:rsidP="00286339">
            <w:pPr>
              <w:spacing w:after="0" w:line="240" w:lineRule="auto"/>
              <w:jc w:val="center"/>
              <w:rPr>
                <w:rFonts w:eastAsia="Times New Roman"/>
                <w:b/>
                <w:bCs/>
                <w:color w:val="000000" w:themeColor="text1"/>
                <w:sz w:val="16"/>
                <w:szCs w:val="16"/>
              </w:rPr>
            </w:pPr>
            <w:r w:rsidRPr="00D14CD7">
              <w:rPr>
                <w:rFonts w:eastAsia="Times New Roman"/>
                <w:b/>
                <w:bCs/>
                <w:color w:val="000000" w:themeColor="text1"/>
                <w:sz w:val="16"/>
                <w:szCs w:val="22"/>
              </w:rPr>
              <w:t>Coef.</w:t>
            </w:r>
          </w:p>
        </w:tc>
        <w:tc>
          <w:tcPr>
            <w:tcW w:w="159" w:type="pct"/>
            <w:tcBorders>
              <w:top w:val="single" w:sz="4" w:space="0" w:color="auto"/>
              <w:bottom w:val="double" w:sz="4" w:space="0" w:color="auto"/>
            </w:tcBorders>
            <w:shd w:val="clear" w:color="auto" w:fill="auto"/>
            <w:noWrap/>
            <w:textDirection w:val="btLr"/>
            <w:vAlign w:val="center"/>
            <w:hideMark/>
          </w:tcPr>
          <w:p w14:paraId="3BBF327A" w14:textId="77777777" w:rsidR="005B6BB0" w:rsidRPr="00D14CD7" w:rsidRDefault="005B6BB0" w:rsidP="00286339">
            <w:pPr>
              <w:spacing w:after="0" w:line="240" w:lineRule="auto"/>
              <w:jc w:val="center"/>
              <w:rPr>
                <w:rFonts w:eastAsia="Times New Roman"/>
                <w:b/>
                <w:bCs/>
                <w:color w:val="000000" w:themeColor="text1"/>
                <w:sz w:val="16"/>
                <w:szCs w:val="16"/>
              </w:rPr>
            </w:pPr>
            <w:r w:rsidRPr="00D14CD7">
              <w:rPr>
                <w:rFonts w:eastAsia="Times New Roman"/>
                <w:b/>
                <w:bCs/>
                <w:color w:val="000000" w:themeColor="text1"/>
                <w:sz w:val="16"/>
                <w:szCs w:val="22"/>
              </w:rPr>
              <w:t>t-stat</w:t>
            </w:r>
          </w:p>
        </w:tc>
        <w:tc>
          <w:tcPr>
            <w:tcW w:w="187" w:type="pct"/>
            <w:tcBorders>
              <w:top w:val="single" w:sz="4" w:space="0" w:color="auto"/>
              <w:bottom w:val="double" w:sz="4" w:space="0" w:color="auto"/>
            </w:tcBorders>
            <w:shd w:val="clear" w:color="auto" w:fill="auto"/>
            <w:noWrap/>
            <w:textDirection w:val="btLr"/>
            <w:vAlign w:val="center"/>
            <w:hideMark/>
          </w:tcPr>
          <w:p w14:paraId="31003B9A" w14:textId="77777777" w:rsidR="005B6BB0" w:rsidRPr="00D14CD7" w:rsidRDefault="005B6BB0" w:rsidP="00286339">
            <w:pPr>
              <w:spacing w:after="0" w:line="240" w:lineRule="auto"/>
              <w:jc w:val="center"/>
              <w:rPr>
                <w:rFonts w:eastAsia="Times New Roman"/>
                <w:b/>
                <w:bCs/>
                <w:color w:val="000000" w:themeColor="text1"/>
                <w:sz w:val="16"/>
                <w:szCs w:val="16"/>
              </w:rPr>
            </w:pPr>
            <w:r w:rsidRPr="00D14CD7">
              <w:rPr>
                <w:rFonts w:eastAsia="Times New Roman"/>
                <w:b/>
                <w:bCs/>
                <w:color w:val="000000" w:themeColor="text1"/>
                <w:sz w:val="16"/>
                <w:szCs w:val="22"/>
              </w:rPr>
              <w:t>Coef.</w:t>
            </w:r>
          </w:p>
        </w:tc>
        <w:tc>
          <w:tcPr>
            <w:tcW w:w="188" w:type="pct"/>
            <w:tcBorders>
              <w:top w:val="single" w:sz="4" w:space="0" w:color="auto"/>
              <w:bottom w:val="double" w:sz="4" w:space="0" w:color="auto"/>
            </w:tcBorders>
            <w:shd w:val="clear" w:color="auto" w:fill="auto"/>
            <w:noWrap/>
            <w:textDirection w:val="btLr"/>
            <w:vAlign w:val="center"/>
            <w:hideMark/>
          </w:tcPr>
          <w:p w14:paraId="70FB4F25" w14:textId="77777777" w:rsidR="005B6BB0" w:rsidRPr="00D14CD7" w:rsidRDefault="005B6BB0" w:rsidP="00286339">
            <w:pPr>
              <w:spacing w:after="0" w:line="240" w:lineRule="auto"/>
              <w:jc w:val="center"/>
              <w:rPr>
                <w:rFonts w:eastAsia="Times New Roman"/>
                <w:b/>
                <w:bCs/>
                <w:color w:val="000000" w:themeColor="text1"/>
                <w:sz w:val="16"/>
                <w:szCs w:val="16"/>
              </w:rPr>
            </w:pPr>
            <w:r w:rsidRPr="00D14CD7">
              <w:rPr>
                <w:rFonts w:eastAsia="Times New Roman"/>
                <w:b/>
                <w:bCs/>
                <w:color w:val="000000" w:themeColor="text1"/>
                <w:sz w:val="16"/>
                <w:szCs w:val="22"/>
              </w:rPr>
              <w:t>t-stat</w:t>
            </w:r>
          </w:p>
        </w:tc>
        <w:tc>
          <w:tcPr>
            <w:tcW w:w="188" w:type="pct"/>
            <w:tcBorders>
              <w:top w:val="single" w:sz="4" w:space="0" w:color="auto"/>
              <w:bottom w:val="double" w:sz="4" w:space="0" w:color="auto"/>
            </w:tcBorders>
            <w:shd w:val="clear" w:color="auto" w:fill="auto"/>
            <w:noWrap/>
            <w:textDirection w:val="btLr"/>
            <w:vAlign w:val="center"/>
            <w:hideMark/>
          </w:tcPr>
          <w:p w14:paraId="7418343A" w14:textId="77777777" w:rsidR="005B6BB0" w:rsidRPr="00D14CD7" w:rsidRDefault="005B6BB0" w:rsidP="00286339">
            <w:pPr>
              <w:spacing w:after="0" w:line="240" w:lineRule="auto"/>
              <w:jc w:val="center"/>
              <w:rPr>
                <w:rFonts w:eastAsia="Times New Roman"/>
                <w:b/>
                <w:bCs/>
                <w:color w:val="000000" w:themeColor="text1"/>
                <w:sz w:val="16"/>
                <w:szCs w:val="16"/>
              </w:rPr>
            </w:pPr>
            <w:r w:rsidRPr="00D14CD7">
              <w:rPr>
                <w:rFonts w:eastAsia="Times New Roman"/>
                <w:b/>
                <w:bCs/>
                <w:color w:val="000000" w:themeColor="text1"/>
                <w:sz w:val="16"/>
                <w:szCs w:val="22"/>
              </w:rPr>
              <w:t>Coef.</w:t>
            </w:r>
          </w:p>
        </w:tc>
        <w:tc>
          <w:tcPr>
            <w:tcW w:w="188" w:type="pct"/>
            <w:tcBorders>
              <w:top w:val="single" w:sz="4" w:space="0" w:color="auto"/>
              <w:bottom w:val="double" w:sz="4" w:space="0" w:color="auto"/>
            </w:tcBorders>
            <w:shd w:val="clear" w:color="auto" w:fill="auto"/>
            <w:noWrap/>
            <w:textDirection w:val="btLr"/>
            <w:vAlign w:val="center"/>
            <w:hideMark/>
          </w:tcPr>
          <w:p w14:paraId="5F988397" w14:textId="77777777" w:rsidR="005B6BB0" w:rsidRPr="00D14CD7" w:rsidRDefault="005B6BB0" w:rsidP="00286339">
            <w:pPr>
              <w:spacing w:after="0" w:line="240" w:lineRule="auto"/>
              <w:jc w:val="center"/>
              <w:rPr>
                <w:rFonts w:eastAsia="Times New Roman"/>
                <w:b/>
                <w:bCs/>
                <w:color w:val="000000" w:themeColor="text1"/>
                <w:sz w:val="16"/>
                <w:szCs w:val="16"/>
              </w:rPr>
            </w:pPr>
            <w:r w:rsidRPr="00D14CD7">
              <w:rPr>
                <w:rFonts w:eastAsia="Times New Roman"/>
                <w:b/>
                <w:bCs/>
                <w:color w:val="000000" w:themeColor="text1"/>
                <w:sz w:val="16"/>
                <w:szCs w:val="22"/>
              </w:rPr>
              <w:t>t-stat</w:t>
            </w:r>
          </w:p>
        </w:tc>
        <w:tc>
          <w:tcPr>
            <w:tcW w:w="155" w:type="pct"/>
            <w:tcBorders>
              <w:top w:val="single" w:sz="4" w:space="0" w:color="auto"/>
              <w:bottom w:val="double" w:sz="4" w:space="0" w:color="auto"/>
            </w:tcBorders>
            <w:shd w:val="clear" w:color="auto" w:fill="auto"/>
            <w:noWrap/>
            <w:textDirection w:val="btLr"/>
            <w:vAlign w:val="center"/>
            <w:hideMark/>
          </w:tcPr>
          <w:p w14:paraId="78FD0EB2" w14:textId="77777777" w:rsidR="005B6BB0" w:rsidRPr="00D14CD7" w:rsidRDefault="005B6BB0" w:rsidP="00286339">
            <w:pPr>
              <w:spacing w:after="0" w:line="240" w:lineRule="auto"/>
              <w:jc w:val="center"/>
              <w:rPr>
                <w:rFonts w:eastAsia="Times New Roman"/>
                <w:b/>
                <w:bCs/>
                <w:color w:val="000000" w:themeColor="text1"/>
                <w:sz w:val="16"/>
                <w:szCs w:val="16"/>
              </w:rPr>
            </w:pPr>
            <w:r w:rsidRPr="00D14CD7">
              <w:rPr>
                <w:rFonts w:eastAsia="Times New Roman"/>
                <w:b/>
                <w:bCs/>
                <w:color w:val="000000" w:themeColor="text1"/>
                <w:sz w:val="16"/>
                <w:szCs w:val="22"/>
              </w:rPr>
              <w:t>Coef.</w:t>
            </w:r>
          </w:p>
        </w:tc>
        <w:tc>
          <w:tcPr>
            <w:tcW w:w="158" w:type="pct"/>
            <w:tcBorders>
              <w:top w:val="single" w:sz="4" w:space="0" w:color="auto"/>
              <w:bottom w:val="double" w:sz="4" w:space="0" w:color="auto"/>
              <w:right w:val="double" w:sz="4" w:space="0" w:color="auto"/>
            </w:tcBorders>
            <w:shd w:val="clear" w:color="auto" w:fill="auto"/>
            <w:noWrap/>
            <w:textDirection w:val="btLr"/>
            <w:vAlign w:val="center"/>
            <w:hideMark/>
          </w:tcPr>
          <w:p w14:paraId="1F29B083" w14:textId="77777777" w:rsidR="005B6BB0" w:rsidRPr="00D14CD7" w:rsidRDefault="005B6BB0" w:rsidP="00286339">
            <w:pPr>
              <w:spacing w:after="0" w:line="240" w:lineRule="auto"/>
              <w:jc w:val="center"/>
              <w:rPr>
                <w:rFonts w:eastAsia="Times New Roman"/>
                <w:b/>
                <w:bCs/>
                <w:color w:val="000000" w:themeColor="text1"/>
                <w:sz w:val="16"/>
                <w:szCs w:val="16"/>
              </w:rPr>
            </w:pPr>
            <w:r w:rsidRPr="00D14CD7">
              <w:rPr>
                <w:rFonts w:eastAsia="Times New Roman"/>
                <w:b/>
                <w:bCs/>
                <w:color w:val="000000" w:themeColor="text1"/>
                <w:sz w:val="16"/>
                <w:szCs w:val="22"/>
              </w:rPr>
              <w:t>t-stat</w:t>
            </w:r>
          </w:p>
        </w:tc>
        <w:tc>
          <w:tcPr>
            <w:tcW w:w="188" w:type="pct"/>
            <w:tcBorders>
              <w:top w:val="single" w:sz="4" w:space="0" w:color="auto"/>
              <w:left w:val="double" w:sz="4" w:space="0" w:color="auto"/>
              <w:bottom w:val="double" w:sz="4" w:space="0" w:color="auto"/>
            </w:tcBorders>
            <w:shd w:val="clear" w:color="auto" w:fill="auto"/>
            <w:noWrap/>
            <w:textDirection w:val="btLr"/>
            <w:vAlign w:val="center"/>
            <w:hideMark/>
          </w:tcPr>
          <w:p w14:paraId="1D655028" w14:textId="77777777" w:rsidR="005B6BB0" w:rsidRPr="00D14CD7" w:rsidRDefault="005B6BB0" w:rsidP="00286339">
            <w:pPr>
              <w:spacing w:after="0" w:line="240" w:lineRule="auto"/>
              <w:jc w:val="center"/>
              <w:rPr>
                <w:rFonts w:eastAsia="Times New Roman"/>
                <w:b/>
                <w:bCs/>
                <w:color w:val="000000" w:themeColor="text1"/>
                <w:sz w:val="16"/>
                <w:szCs w:val="16"/>
              </w:rPr>
            </w:pPr>
            <w:r w:rsidRPr="00D14CD7">
              <w:rPr>
                <w:rFonts w:eastAsia="Times New Roman"/>
                <w:b/>
                <w:bCs/>
                <w:color w:val="000000" w:themeColor="text1"/>
                <w:sz w:val="16"/>
                <w:szCs w:val="22"/>
              </w:rPr>
              <w:t>Coef.</w:t>
            </w:r>
          </w:p>
        </w:tc>
        <w:tc>
          <w:tcPr>
            <w:tcW w:w="171" w:type="pct"/>
            <w:tcBorders>
              <w:top w:val="single" w:sz="4" w:space="0" w:color="auto"/>
              <w:bottom w:val="double" w:sz="4" w:space="0" w:color="auto"/>
            </w:tcBorders>
            <w:shd w:val="clear" w:color="auto" w:fill="auto"/>
            <w:noWrap/>
            <w:textDirection w:val="btLr"/>
            <w:vAlign w:val="center"/>
            <w:hideMark/>
          </w:tcPr>
          <w:p w14:paraId="52C0DBB5" w14:textId="77777777" w:rsidR="005B6BB0" w:rsidRPr="00D14CD7" w:rsidRDefault="005B6BB0" w:rsidP="00286339">
            <w:pPr>
              <w:spacing w:after="0" w:line="240" w:lineRule="auto"/>
              <w:jc w:val="center"/>
              <w:rPr>
                <w:rFonts w:eastAsia="Times New Roman"/>
                <w:b/>
                <w:bCs/>
                <w:color w:val="000000" w:themeColor="text1"/>
                <w:sz w:val="16"/>
                <w:szCs w:val="16"/>
              </w:rPr>
            </w:pPr>
            <w:r w:rsidRPr="00D14CD7">
              <w:rPr>
                <w:rFonts w:eastAsia="Times New Roman"/>
                <w:b/>
                <w:bCs/>
                <w:color w:val="000000" w:themeColor="text1"/>
                <w:sz w:val="16"/>
                <w:szCs w:val="22"/>
              </w:rPr>
              <w:t>t-stat</w:t>
            </w:r>
          </w:p>
        </w:tc>
      </w:tr>
      <w:tr w:rsidR="00D14CD7" w:rsidRPr="00D14CD7" w14:paraId="76680B2F" w14:textId="77777777" w:rsidTr="00286339">
        <w:trPr>
          <w:trHeight w:val="72"/>
        </w:trPr>
        <w:tc>
          <w:tcPr>
            <w:tcW w:w="5000" w:type="pct"/>
            <w:gridSpan w:val="19"/>
            <w:tcBorders>
              <w:top w:val="double" w:sz="4" w:space="0" w:color="auto"/>
              <w:bottom w:val="single" w:sz="8" w:space="0" w:color="auto"/>
            </w:tcBorders>
            <w:shd w:val="clear" w:color="auto" w:fill="auto"/>
            <w:noWrap/>
            <w:vAlign w:val="center"/>
            <w:hideMark/>
          </w:tcPr>
          <w:p w14:paraId="283E3AF2" w14:textId="77777777" w:rsidR="005B6BB0" w:rsidRPr="00D14CD7" w:rsidRDefault="005B6BB0" w:rsidP="00286339">
            <w:pPr>
              <w:spacing w:after="0" w:line="240" w:lineRule="auto"/>
              <w:jc w:val="left"/>
              <w:rPr>
                <w:rFonts w:eastAsia="Times New Roman"/>
                <w:color w:val="000000" w:themeColor="text1"/>
                <w:sz w:val="20"/>
                <w:szCs w:val="20"/>
              </w:rPr>
            </w:pPr>
            <w:r w:rsidRPr="00D14CD7">
              <w:rPr>
                <w:rFonts w:eastAsia="Times New Roman"/>
                <w:b/>
                <w:bCs/>
                <w:color w:val="000000" w:themeColor="text1"/>
                <w:sz w:val="16"/>
                <w:szCs w:val="16"/>
              </w:rPr>
              <w:t>Exogenous Variables</w:t>
            </w:r>
          </w:p>
        </w:tc>
      </w:tr>
      <w:tr w:rsidR="00D14CD7" w:rsidRPr="00D14CD7" w14:paraId="68A8ADEA" w14:textId="77777777" w:rsidTr="00286339">
        <w:trPr>
          <w:trHeight w:val="72"/>
        </w:trPr>
        <w:tc>
          <w:tcPr>
            <w:tcW w:w="5000" w:type="pct"/>
            <w:gridSpan w:val="19"/>
            <w:tcBorders>
              <w:top w:val="single" w:sz="8" w:space="0" w:color="auto"/>
              <w:bottom w:val="single" w:sz="4" w:space="0" w:color="auto"/>
            </w:tcBorders>
            <w:shd w:val="clear" w:color="auto" w:fill="auto"/>
            <w:noWrap/>
            <w:vAlign w:val="center"/>
            <w:hideMark/>
          </w:tcPr>
          <w:p w14:paraId="10820FE6" w14:textId="77777777" w:rsidR="005B6BB0" w:rsidRPr="00D14CD7" w:rsidRDefault="005B6BB0" w:rsidP="00286339">
            <w:pPr>
              <w:spacing w:after="0" w:line="240" w:lineRule="auto"/>
              <w:jc w:val="left"/>
              <w:rPr>
                <w:rFonts w:eastAsia="Times New Roman"/>
                <w:color w:val="000000" w:themeColor="text1"/>
                <w:sz w:val="20"/>
                <w:szCs w:val="20"/>
              </w:rPr>
            </w:pPr>
            <w:r w:rsidRPr="00D14CD7">
              <w:rPr>
                <w:rFonts w:eastAsia="Times New Roman"/>
                <w:b/>
                <w:bCs/>
                <w:i/>
                <w:iCs/>
                <w:color w:val="000000" w:themeColor="text1"/>
                <w:sz w:val="16"/>
                <w:szCs w:val="16"/>
              </w:rPr>
              <w:t>COVID-19 Perspectives</w:t>
            </w:r>
          </w:p>
        </w:tc>
      </w:tr>
      <w:tr w:rsidR="00D14CD7" w:rsidRPr="00D14CD7" w14:paraId="761E17A8" w14:textId="77777777" w:rsidTr="004720C0">
        <w:trPr>
          <w:trHeight w:val="72"/>
        </w:trPr>
        <w:tc>
          <w:tcPr>
            <w:tcW w:w="1719" w:type="pct"/>
            <w:tcBorders>
              <w:top w:val="single" w:sz="4" w:space="0" w:color="auto"/>
              <w:bottom w:val="single" w:sz="4" w:space="0" w:color="auto"/>
              <w:right w:val="double" w:sz="4" w:space="0" w:color="auto"/>
            </w:tcBorders>
            <w:shd w:val="clear" w:color="auto" w:fill="auto"/>
            <w:noWrap/>
            <w:vAlign w:val="center"/>
          </w:tcPr>
          <w:p w14:paraId="7A1DCB85" w14:textId="67BDAD4A" w:rsidR="004720C0" w:rsidRPr="00D14CD7" w:rsidRDefault="004720C0" w:rsidP="004720C0">
            <w:pPr>
              <w:spacing w:after="0" w:line="240" w:lineRule="auto"/>
              <w:ind w:firstLineChars="100" w:firstLine="160"/>
              <w:jc w:val="left"/>
              <w:rPr>
                <w:rFonts w:eastAsia="Times New Roman"/>
                <w:color w:val="000000" w:themeColor="text1"/>
                <w:sz w:val="16"/>
                <w:szCs w:val="16"/>
              </w:rPr>
            </w:pPr>
            <w:r w:rsidRPr="00D14CD7">
              <w:rPr>
                <w:rFonts w:eastAsia="Times New Roman"/>
                <w:color w:val="000000" w:themeColor="text1"/>
                <w:sz w:val="16"/>
                <w:szCs w:val="16"/>
              </w:rPr>
              <w:t xml:space="preserve">I or </w:t>
            </w:r>
            <w:r w:rsidR="004A7AFD">
              <w:rPr>
                <w:rFonts w:eastAsia="Times New Roman"/>
                <w:color w:val="000000" w:themeColor="text1"/>
                <w:sz w:val="16"/>
                <w:szCs w:val="16"/>
              </w:rPr>
              <w:t>s</w:t>
            </w:r>
            <w:r w:rsidRPr="00D14CD7">
              <w:rPr>
                <w:rFonts w:eastAsia="Times New Roman"/>
                <w:color w:val="000000" w:themeColor="text1"/>
                <w:sz w:val="16"/>
                <w:szCs w:val="16"/>
              </w:rPr>
              <w:t>omeone I live with or frequently visit is immunocompromised</w:t>
            </w:r>
          </w:p>
        </w:tc>
        <w:tc>
          <w:tcPr>
            <w:tcW w:w="217" w:type="pct"/>
            <w:tcBorders>
              <w:left w:val="double" w:sz="4" w:space="0" w:color="auto"/>
            </w:tcBorders>
            <w:shd w:val="clear" w:color="auto" w:fill="auto"/>
            <w:noWrap/>
            <w:vAlign w:val="center"/>
          </w:tcPr>
          <w:p w14:paraId="6415AFB1" w14:textId="699B8F76" w:rsidR="004720C0" w:rsidRPr="00D14CD7" w:rsidRDefault="004720C0" w:rsidP="004720C0">
            <w:pPr>
              <w:spacing w:after="0" w:line="240" w:lineRule="auto"/>
              <w:jc w:val="right"/>
              <w:rPr>
                <w:rFonts w:eastAsia="Times New Roman"/>
                <w:color w:val="000000" w:themeColor="text1"/>
                <w:sz w:val="16"/>
                <w:szCs w:val="16"/>
              </w:rPr>
            </w:pPr>
            <w:r w:rsidRPr="00D14CD7">
              <w:rPr>
                <w:rFonts w:eastAsia="Times New Roman"/>
                <w:color w:val="000000" w:themeColor="text1"/>
                <w:sz w:val="16"/>
                <w:szCs w:val="16"/>
              </w:rPr>
              <w:t>—</w:t>
            </w:r>
          </w:p>
        </w:tc>
        <w:tc>
          <w:tcPr>
            <w:tcW w:w="195" w:type="pct"/>
            <w:shd w:val="clear" w:color="auto" w:fill="auto"/>
            <w:noWrap/>
            <w:vAlign w:val="center"/>
          </w:tcPr>
          <w:p w14:paraId="2F01F53D" w14:textId="0FDB8500" w:rsidR="004720C0" w:rsidRPr="00D14CD7" w:rsidRDefault="004720C0" w:rsidP="004720C0">
            <w:pPr>
              <w:spacing w:after="0" w:line="240" w:lineRule="auto"/>
              <w:jc w:val="right"/>
              <w:rPr>
                <w:rFonts w:eastAsia="Times New Roman"/>
                <w:color w:val="000000" w:themeColor="text1"/>
                <w:sz w:val="16"/>
                <w:szCs w:val="16"/>
              </w:rPr>
            </w:pPr>
            <w:r w:rsidRPr="00D14CD7">
              <w:rPr>
                <w:rFonts w:eastAsia="Times New Roman"/>
                <w:color w:val="000000" w:themeColor="text1"/>
                <w:sz w:val="16"/>
                <w:szCs w:val="16"/>
              </w:rPr>
              <w:t>—</w:t>
            </w:r>
          </w:p>
        </w:tc>
        <w:tc>
          <w:tcPr>
            <w:tcW w:w="188" w:type="pct"/>
            <w:shd w:val="clear" w:color="auto" w:fill="auto"/>
            <w:noWrap/>
            <w:vAlign w:val="center"/>
          </w:tcPr>
          <w:p w14:paraId="7929FA20" w14:textId="738A1063" w:rsidR="004720C0" w:rsidRPr="00D14CD7" w:rsidRDefault="004720C0" w:rsidP="004720C0">
            <w:pPr>
              <w:spacing w:after="0" w:line="240" w:lineRule="auto"/>
              <w:jc w:val="right"/>
              <w:rPr>
                <w:rFonts w:eastAsia="Times New Roman"/>
                <w:color w:val="000000" w:themeColor="text1"/>
                <w:sz w:val="16"/>
                <w:szCs w:val="16"/>
              </w:rPr>
            </w:pPr>
            <w:r w:rsidRPr="00D14CD7">
              <w:rPr>
                <w:rFonts w:eastAsia="Times New Roman"/>
                <w:color w:val="000000" w:themeColor="text1"/>
                <w:sz w:val="16"/>
                <w:szCs w:val="16"/>
              </w:rPr>
              <w:t>-0.103</w:t>
            </w:r>
          </w:p>
        </w:tc>
        <w:tc>
          <w:tcPr>
            <w:tcW w:w="188" w:type="pct"/>
            <w:shd w:val="clear" w:color="auto" w:fill="auto"/>
            <w:noWrap/>
            <w:vAlign w:val="center"/>
          </w:tcPr>
          <w:p w14:paraId="5A6D9D14" w14:textId="12A3996F" w:rsidR="004720C0" w:rsidRPr="00D14CD7" w:rsidRDefault="004720C0" w:rsidP="004720C0">
            <w:pPr>
              <w:spacing w:after="0" w:line="240" w:lineRule="auto"/>
              <w:jc w:val="right"/>
              <w:rPr>
                <w:rFonts w:eastAsia="Times New Roman"/>
                <w:color w:val="000000" w:themeColor="text1"/>
                <w:sz w:val="16"/>
                <w:szCs w:val="16"/>
              </w:rPr>
            </w:pPr>
            <w:r w:rsidRPr="00D14CD7">
              <w:rPr>
                <w:rFonts w:eastAsia="Times New Roman"/>
                <w:color w:val="000000" w:themeColor="text1"/>
                <w:sz w:val="16"/>
                <w:szCs w:val="16"/>
              </w:rPr>
              <w:t>-2.28</w:t>
            </w:r>
          </w:p>
        </w:tc>
        <w:tc>
          <w:tcPr>
            <w:tcW w:w="188" w:type="pct"/>
            <w:shd w:val="clear" w:color="auto" w:fill="auto"/>
            <w:noWrap/>
            <w:vAlign w:val="center"/>
          </w:tcPr>
          <w:p w14:paraId="3A2FE10E" w14:textId="2941E75B" w:rsidR="004720C0" w:rsidRPr="00D14CD7" w:rsidRDefault="004720C0" w:rsidP="004720C0">
            <w:pPr>
              <w:spacing w:after="0" w:line="240" w:lineRule="auto"/>
              <w:jc w:val="right"/>
              <w:rPr>
                <w:rFonts w:eastAsia="Times New Roman"/>
                <w:color w:val="000000" w:themeColor="text1"/>
                <w:sz w:val="16"/>
                <w:szCs w:val="16"/>
              </w:rPr>
            </w:pPr>
            <w:r w:rsidRPr="00D14CD7">
              <w:rPr>
                <w:rFonts w:eastAsia="Times New Roman"/>
                <w:color w:val="000000" w:themeColor="text1"/>
                <w:sz w:val="16"/>
                <w:szCs w:val="16"/>
              </w:rPr>
              <w:t>—</w:t>
            </w:r>
          </w:p>
        </w:tc>
        <w:tc>
          <w:tcPr>
            <w:tcW w:w="188" w:type="pct"/>
            <w:shd w:val="clear" w:color="auto" w:fill="auto"/>
            <w:noWrap/>
            <w:vAlign w:val="center"/>
          </w:tcPr>
          <w:p w14:paraId="59D9B94A" w14:textId="60555218" w:rsidR="004720C0" w:rsidRPr="00D14CD7" w:rsidRDefault="004720C0" w:rsidP="004720C0">
            <w:pPr>
              <w:spacing w:after="0" w:line="240" w:lineRule="auto"/>
              <w:jc w:val="right"/>
              <w:rPr>
                <w:rFonts w:eastAsia="Times New Roman"/>
                <w:color w:val="000000" w:themeColor="text1"/>
                <w:sz w:val="16"/>
                <w:szCs w:val="16"/>
              </w:rPr>
            </w:pPr>
            <w:r w:rsidRPr="00D14CD7">
              <w:rPr>
                <w:rFonts w:eastAsia="Times New Roman"/>
                <w:color w:val="000000" w:themeColor="text1"/>
                <w:sz w:val="16"/>
                <w:szCs w:val="16"/>
              </w:rPr>
              <w:t>—</w:t>
            </w:r>
          </w:p>
        </w:tc>
        <w:tc>
          <w:tcPr>
            <w:tcW w:w="188" w:type="pct"/>
            <w:shd w:val="clear" w:color="auto" w:fill="auto"/>
            <w:noWrap/>
            <w:vAlign w:val="center"/>
          </w:tcPr>
          <w:p w14:paraId="10A6389B" w14:textId="443B39DC" w:rsidR="004720C0" w:rsidRPr="00D14CD7" w:rsidRDefault="004720C0" w:rsidP="004720C0">
            <w:pPr>
              <w:spacing w:after="0" w:line="240" w:lineRule="auto"/>
              <w:jc w:val="right"/>
              <w:rPr>
                <w:rFonts w:eastAsia="Times New Roman"/>
                <w:color w:val="000000" w:themeColor="text1"/>
                <w:sz w:val="16"/>
                <w:szCs w:val="16"/>
              </w:rPr>
            </w:pPr>
            <w:proofErr w:type="spellStart"/>
            <w:r w:rsidRPr="00D14CD7">
              <w:rPr>
                <w:rFonts w:eastAsia="Times New Roman"/>
                <w:color w:val="000000" w:themeColor="text1"/>
                <w:sz w:val="16"/>
                <w:szCs w:val="16"/>
              </w:rPr>
              <w:t>na</w:t>
            </w:r>
            <w:proofErr w:type="spellEnd"/>
          </w:p>
        </w:tc>
        <w:tc>
          <w:tcPr>
            <w:tcW w:w="159" w:type="pct"/>
            <w:tcBorders>
              <w:right w:val="double" w:sz="4" w:space="0" w:color="auto"/>
            </w:tcBorders>
            <w:shd w:val="clear" w:color="auto" w:fill="auto"/>
            <w:noWrap/>
            <w:vAlign w:val="center"/>
          </w:tcPr>
          <w:p w14:paraId="53D65B4A" w14:textId="2F279047" w:rsidR="004720C0" w:rsidRPr="00D14CD7" w:rsidRDefault="004720C0" w:rsidP="004720C0">
            <w:pPr>
              <w:spacing w:after="0" w:line="240" w:lineRule="auto"/>
              <w:jc w:val="right"/>
              <w:rPr>
                <w:rFonts w:eastAsia="Times New Roman"/>
                <w:color w:val="000000" w:themeColor="text1"/>
                <w:sz w:val="16"/>
                <w:szCs w:val="16"/>
              </w:rPr>
            </w:pPr>
            <w:proofErr w:type="spellStart"/>
            <w:r w:rsidRPr="00D14CD7">
              <w:rPr>
                <w:rFonts w:eastAsia="Times New Roman"/>
                <w:color w:val="000000" w:themeColor="text1"/>
                <w:sz w:val="16"/>
                <w:szCs w:val="16"/>
              </w:rPr>
              <w:t>na</w:t>
            </w:r>
            <w:proofErr w:type="spellEnd"/>
          </w:p>
        </w:tc>
        <w:tc>
          <w:tcPr>
            <w:tcW w:w="189" w:type="pct"/>
            <w:tcBorders>
              <w:top w:val="single" w:sz="4" w:space="0" w:color="auto"/>
              <w:left w:val="double" w:sz="4" w:space="0" w:color="auto"/>
              <w:bottom w:val="single" w:sz="4" w:space="0" w:color="auto"/>
            </w:tcBorders>
            <w:shd w:val="clear" w:color="auto" w:fill="auto"/>
            <w:noWrap/>
            <w:vAlign w:val="center"/>
          </w:tcPr>
          <w:p w14:paraId="6178FC93" w14:textId="1BD6C817" w:rsidR="004720C0" w:rsidRPr="00D14CD7" w:rsidRDefault="004720C0" w:rsidP="004720C0">
            <w:pPr>
              <w:spacing w:after="0" w:line="240" w:lineRule="auto"/>
              <w:jc w:val="right"/>
              <w:rPr>
                <w:rFonts w:eastAsia="Times New Roman"/>
                <w:color w:val="000000" w:themeColor="text1"/>
                <w:sz w:val="16"/>
                <w:szCs w:val="16"/>
              </w:rPr>
            </w:pPr>
            <w:r w:rsidRPr="00D14CD7">
              <w:rPr>
                <w:rFonts w:eastAsia="Times New Roman"/>
                <w:color w:val="000000" w:themeColor="text1"/>
                <w:sz w:val="16"/>
                <w:szCs w:val="16"/>
              </w:rPr>
              <w:t>—</w:t>
            </w:r>
          </w:p>
        </w:tc>
        <w:tc>
          <w:tcPr>
            <w:tcW w:w="159" w:type="pct"/>
            <w:tcBorders>
              <w:top w:val="single" w:sz="4" w:space="0" w:color="auto"/>
              <w:bottom w:val="single" w:sz="4" w:space="0" w:color="auto"/>
            </w:tcBorders>
            <w:shd w:val="clear" w:color="auto" w:fill="auto"/>
            <w:noWrap/>
            <w:vAlign w:val="center"/>
          </w:tcPr>
          <w:p w14:paraId="797E734F" w14:textId="19C6DB19" w:rsidR="004720C0" w:rsidRPr="00D14CD7" w:rsidRDefault="004720C0" w:rsidP="004720C0">
            <w:pPr>
              <w:spacing w:after="0" w:line="240" w:lineRule="auto"/>
              <w:jc w:val="right"/>
              <w:rPr>
                <w:rFonts w:eastAsia="Times New Roman"/>
                <w:color w:val="000000" w:themeColor="text1"/>
                <w:sz w:val="16"/>
                <w:szCs w:val="16"/>
              </w:rPr>
            </w:pPr>
            <w:r w:rsidRPr="00D14CD7">
              <w:rPr>
                <w:rFonts w:eastAsia="Times New Roman"/>
                <w:color w:val="000000" w:themeColor="text1"/>
                <w:sz w:val="16"/>
                <w:szCs w:val="16"/>
              </w:rPr>
              <w:t>—</w:t>
            </w:r>
          </w:p>
        </w:tc>
        <w:tc>
          <w:tcPr>
            <w:tcW w:w="187" w:type="pct"/>
            <w:tcBorders>
              <w:top w:val="single" w:sz="4" w:space="0" w:color="auto"/>
              <w:bottom w:val="single" w:sz="4" w:space="0" w:color="auto"/>
            </w:tcBorders>
            <w:shd w:val="clear" w:color="auto" w:fill="auto"/>
            <w:noWrap/>
            <w:vAlign w:val="center"/>
          </w:tcPr>
          <w:p w14:paraId="031A8AB9" w14:textId="7CCFFF28" w:rsidR="004720C0" w:rsidRPr="00D14CD7" w:rsidRDefault="004720C0" w:rsidP="004720C0">
            <w:pPr>
              <w:spacing w:after="0" w:line="240" w:lineRule="auto"/>
              <w:jc w:val="right"/>
              <w:rPr>
                <w:rFonts w:eastAsia="Times New Roman"/>
                <w:color w:val="000000" w:themeColor="text1"/>
                <w:sz w:val="16"/>
                <w:szCs w:val="16"/>
              </w:rPr>
            </w:pPr>
            <w:r w:rsidRPr="00D14CD7">
              <w:rPr>
                <w:rFonts w:eastAsia="Times New Roman"/>
                <w:color w:val="000000" w:themeColor="text1"/>
                <w:sz w:val="16"/>
                <w:szCs w:val="16"/>
              </w:rPr>
              <w:t>—</w:t>
            </w:r>
          </w:p>
        </w:tc>
        <w:tc>
          <w:tcPr>
            <w:tcW w:w="188" w:type="pct"/>
            <w:tcBorders>
              <w:top w:val="single" w:sz="4" w:space="0" w:color="auto"/>
              <w:bottom w:val="single" w:sz="4" w:space="0" w:color="auto"/>
            </w:tcBorders>
            <w:shd w:val="clear" w:color="auto" w:fill="auto"/>
            <w:noWrap/>
            <w:vAlign w:val="center"/>
          </w:tcPr>
          <w:p w14:paraId="2C4899C6" w14:textId="527CA0C2" w:rsidR="004720C0" w:rsidRPr="00D14CD7" w:rsidRDefault="004720C0" w:rsidP="004720C0">
            <w:pPr>
              <w:spacing w:after="0" w:line="240" w:lineRule="auto"/>
              <w:jc w:val="right"/>
              <w:rPr>
                <w:rFonts w:eastAsia="Times New Roman"/>
                <w:color w:val="000000" w:themeColor="text1"/>
                <w:sz w:val="16"/>
                <w:szCs w:val="16"/>
              </w:rPr>
            </w:pPr>
            <w:r w:rsidRPr="00D14CD7">
              <w:rPr>
                <w:rFonts w:eastAsia="Times New Roman"/>
                <w:color w:val="000000" w:themeColor="text1"/>
                <w:sz w:val="16"/>
                <w:szCs w:val="16"/>
              </w:rPr>
              <w:t>—</w:t>
            </w:r>
          </w:p>
        </w:tc>
        <w:tc>
          <w:tcPr>
            <w:tcW w:w="188" w:type="pct"/>
            <w:tcBorders>
              <w:top w:val="single" w:sz="4" w:space="0" w:color="auto"/>
              <w:bottom w:val="single" w:sz="4" w:space="0" w:color="auto"/>
            </w:tcBorders>
            <w:shd w:val="clear" w:color="auto" w:fill="auto"/>
            <w:noWrap/>
            <w:vAlign w:val="center"/>
          </w:tcPr>
          <w:p w14:paraId="78400E1B" w14:textId="12301CCE" w:rsidR="004720C0" w:rsidRPr="00D14CD7" w:rsidRDefault="004720C0" w:rsidP="004720C0">
            <w:pPr>
              <w:spacing w:after="0" w:line="240" w:lineRule="auto"/>
              <w:jc w:val="right"/>
              <w:rPr>
                <w:rFonts w:eastAsia="Times New Roman"/>
                <w:color w:val="000000" w:themeColor="text1"/>
                <w:sz w:val="16"/>
                <w:szCs w:val="16"/>
              </w:rPr>
            </w:pPr>
            <w:r w:rsidRPr="00D14CD7">
              <w:rPr>
                <w:rFonts w:eastAsia="Times New Roman"/>
                <w:color w:val="000000" w:themeColor="text1"/>
                <w:sz w:val="16"/>
                <w:szCs w:val="16"/>
              </w:rPr>
              <w:t>—</w:t>
            </w:r>
          </w:p>
        </w:tc>
        <w:tc>
          <w:tcPr>
            <w:tcW w:w="188" w:type="pct"/>
            <w:tcBorders>
              <w:top w:val="single" w:sz="4" w:space="0" w:color="auto"/>
              <w:bottom w:val="single" w:sz="4" w:space="0" w:color="auto"/>
            </w:tcBorders>
            <w:shd w:val="clear" w:color="auto" w:fill="auto"/>
            <w:noWrap/>
            <w:vAlign w:val="center"/>
          </w:tcPr>
          <w:p w14:paraId="4C6A1619" w14:textId="5ACDB4A5" w:rsidR="004720C0" w:rsidRPr="00D14CD7" w:rsidRDefault="004720C0" w:rsidP="004720C0">
            <w:pPr>
              <w:spacing w:after="0" w:line="240" w:lineRule="auto"/>
              <w:jc w:val="right"/>
              <w:rPr>
                <w:rFonts w:eastAsia="Times New Roman"/>
                <w:color w:val="000000" w:themeColor="text1"/>
                <w:sz w:val="16"/>
                <w:szCs w:val="16"/>
              </w:rPr>
            </w:pPr>
            <w:r w:rsidRPr="00D14CD7">
              <w:rPr>
                <w:rFonts w:eastAsia="Times New Roman"/>
                <w:color w:val="000000" w:themeColor="text1"/>
                <w:sz w:val="16"/>
                <w:szCs w:val="16"/>
              </w:rPr>
              <w:t>—</w:t>
            </w:r>
          </w:p>
        </w:tc>
        <w:tc>
          <w:tcPr>
            <w:tcW w:w="155" w:type="pct"/>
            <w:tcBorders>
              <w:top w:val="single" w:sz="4" w:space="0" w:color="auto"/>
              <w:bottom w:val="single" w:sz="4" w:space="0" w:color="auto"/>
            </w:tcBorders>
            <w:shd w:val="clear" w:color="auto" w:fill="auto"/>
            <w:noWrap/>
            <w:vAlign w:val="center"/>
          </w:tcPr>
          <w:p w14:paraId="1CDE9354" w14:textId="2098056B" w:rsidR="004720C0" w:rsidRPr="00D14CD7" w:rsidRDefault="004720C0" w:rsidP="004720C0">
            <w:pPr>
              <w:spacing w:after="0" w:line="240" w:lineRule="auto"/>
              <w:jc w:val="right"/>
              <w:rPr>
                <w:rFonts w:eastAsia="Times New Roman"/>
                <w:color w:val="000000" w:themeColor="text1"/>
                <w:sz w:val="16"/>
                <w:szCs w:val="16"/>
              </w:rPr>
            </w:pPr>
            <w:proofErr w:type="spellStart"/>
            <w:r w:rsidRPr="00D14CD7">
              <w:rPr>
                <w:rFonts w:eastAsia="Times New Roman"/>
                <w:color w:val="000000" w:themeColor="text1"/>
                <w:sz w:val="16"/>
                <w:szCs w:val="16"/>
              </w:rPr>
              <w:t>na</w:t>
            </w:r>
            <w:proofErr w:type="spellEnd"/>
          </w:p>
        </w:tc>
        <w:tc>
          <w:tcPr>
            <w:tcW w:w="158" w:type="pct"/>
            <w:tcBorders>
              <w:top w:val="single" w:sz="4" w:space="0" w:color="auto"/>
              <w:bottom w:val="single" w:sz="4" w:space="0" w:color="auto"/>
              <w:right w:val="double" w:sz="4" w:space="0" w:color="auto"/>
            </w:tcBorders>
            <w:shd w:val="clear" w:color="auto" w:fill="auto"/>
            <w:noWrap/>
            <w:vAlign w:val="center"/>
          </w:tcPr>
          <w:p w14:paraId="21C6B39E" w14:textId="0314ADCB" w:rsidR="004720C0" w:rsidRPr="00D14CD7" w:rsidRDefault="004720C0" w:rsidP="004720C0">
            <w:pPr>
              <w:spacing w:after="0" w:line="240" w:lineRule="auto"/>
              <w:jc w:val="right"/>
              <w:rPr>
                <w:rFonts w:eastAsia="Times New Roman"/>
                <w:color w:val="000000" w:themeColor="text1"/>
                <w:sz w:val="16"/>
                <w:szCs w:val="16"/>
              </w:rPr>
            </w:pPr>
            <w:proofErr w:type="spellStart"/>
            <w:r w:rsidRPr="00D14CD7">
              <w:rPr>
                <w:rFonts w:eastAsia="Times New Roman"/>
                <w:color w:val="000000" w:themeColor="text1"/>
                <w:sz w:val="16"/>
                <w:szCs w:val="16"/>
              </w:rPr>
              <w:t>na</w:t>
            </w:r>
            <w:proofErr w:type="spellEnd"/>
          </w:p>
        </w:tc>
        <w:tc>
          <w:tcPr>
            <w:tcW w:w="188" w:type="pct"/>
            <w:tcBorders>
              <w:top w:val="single" w:sz="4" w:space="0" w:color="auto"/>
              <w:left w:val="double" w:sz="4" w:space="0" w:color="auto"/>
              <w:bottom w:val="single" w:sz="4" w:space="0" w:color="auto"/>
            </w:tcBorders>
            <w:shd w:val="clear" w:color="auto" w:fill="auto"/>
            <w:noWrap/>
            <w:vAlign w:val="center"/>
          </w:tcPr>
          <w:p w14:paraId="5EE56D6B" w14:textId="4B5C0901" w:rsidR="004720C0" w:rsidRPr="00D14CD7" w:rsidRDefault="004720C0" w:rsidP="004720C0">
            <w:pPr>
              <w:spacing w:after="0" w:line="240" w:lineRule="auto"/>
              <w:jc w:val="right"/>
              <w:rPr>
                <w:rFonts w:eastAsia="Times New Roman"/>
                <w:color w:val="000000" w:themeColor="text1"/>
                <w:sz w:val="16"/>
                <w:szCs w:val="16"/>
              </w:rPr>
            </w:pPr>
            <w:r w:rsidRPr="00D14CD7">
              <w:rPr>
                <w:rFonts w:eastAsia="Times New Roman"/>
                <w:color w:val="000000" w:themeColor="text1"/>
                <w:sz w:val="16"/>
                <w:szCs w:val="16"/>
              </w:rPr>
              <w:t>-0.062</w:t>
            </w:r>
          </w:p>
        </w:tc>
        <w:tc>
          <w:tcPr>
            <w:tcW w:w="171" w:type="pct"/>
            <w:tcBorders>
              <w:top w:val="single" w:sz="4" w:space="0" w:color="auto"/>
              <w:bottom w:val="single" w:sz="4" w:space="0" w:color="auto"/>
            </w:tcBorders>
            <w:shd w:val="clear" w:color="auto" w:fill="auto"/>
            <w:noWrap/>
            <w:vAlign w:val="center"/>
          </w:tcPr>
          <w:p w14:paraId="22A3847B" w14:textId="24D2576A" w:rsidR="004720C0" w:rsidRPr="00D14CD7" w:rsidRDefault="004720C0" w:rsidP="004720C0">
            <w:pPr>
              <w:spacing w:after="0" w:line="240" w:lineRule="auto"/>
              <w:jc w:val="right"/>
              <w:rPr>
                <w:rFonts w:eastAsia="Times New Roman"/>
                <w:color w:val="000000" w:themeColor="text1"/>
                <w:sz w:val="16"/>
                <w:szCs w:val="16"/>
              </w:rPr>
            </w:pPr>
            <w:r w:rsidRPr="00D14CD7">
              <w:rPr>
                <w:rFonts w:eastAsia="Times New Roman"/>
                <w:color w:val="000000" w:themeColor="text1"/>
                <w:sz w:val="16"/>
                <w:szCs w:val="16"/>
              </w:rPr>
              <w:t>-2.27</w:t>
            </w:r>
          </w:p>
        </w:tc>
      </w:tr>
      <w:tr w:rsidR="00D14CD7" w:rsidRPr="00D14CD7" w14:paraId="15A66F4F" w14:textId="77777777" w:rsidTr="004720C0">
        <w:trPr>
          <w:trHeight w:val="72"/>
        </w:trPr>
        <w:tc>
          <w:tcPr>
            <w:tcW w:w="1719" w:type="pct"/>
            <w:tcBorders>
              <w:top w:val="single" w:sz="4" w:space="0" w:color="auto"/>
              <w:bottom w:val="single" w:sz="4" w:space="0" w:color="auto"/>
              <w:right w:val="double" w:sz="4" w:space="0" w:color="auto"/>
            </w:tcBorders>
            <w:shd w:val="clear" w:color="auto" w:fill="auto"/>
            <w:noWrap/>
            <w:vAlign w:val="center"/>
            <w:hideMark/>
          </w:tcPr>
          <w:p w14:paraId="2A24CF2A" w14:textId="77777777" w:rsidR="004720C0" w:rsidRPr="00D14CD7" w:rsidRDefault="004720C0" w:rsidP="004720C0">
            <w:pPr>
              <w:spacing w:after="0" w:line="240" w:lineRule="auto"/>
              <w:ind w:firstLineChars="100" w:firstLine="160"/>
              <w:jc w:val="left"/>
              <w:rPr>
                <w:rFonts w:eastAsia="Times New Roman"/>
                <w:color w:val="000000" w:themeColor="text1"/>
                <w:sz w:val="16"/>
                <w:szCs w:val="16"/>
              </w:rPr>
            </w:pPr>
            <w:r w:rsidRPr="00D14CD7">
              <w:rPr>
                <w:rFonts w:eastAsia="Times New Roman"/>
                <w:color w:val="000000" w:themeColor="text1"/>
                <w:sz w:val="16"/>
                <w:szCs w:val="16"/>
              </w:rPr>
              <w:t>My personal well-being was or still is at risk during the pandemic</w:t>
            </w:r>
          </w:p>
        </w:tc>
        <w:tc>
          <w:tcPr>
            <w:tcW w:w="217" w:type="pct"/>
            <w:tcBorders>
              <w:left w:val="double" w:sz="4" w:space="0" w:color="auto"/>
            </w:tcBorders>
            <w:shd w:val="clear" w:color="auto" w:fill="auto"/>
            <w:noWrap/>
            <w:vAlign w:val="center"/>
            <w:hideMark/>
          </w:tcPr>
          <w:p w14:paraId="612C39F9" w14:textId="77777777" w:rsidR="004720C0" w:rsidRPr="00D14CD7" w:rsidRDefault="004720C0" w:rsidP="004720C0">
            <w:pPr>
              <w:spacing w:after="0" w:line="240" w:lineRule="auto"/>
              <w:jc w:val="right"/>
              <w:rPr>
                <w:rFonts w:eastAsia="Times New Roman"/>
                <w:color w:val="000000" w:themeColor="text1"/>
                <w:sz w:val="16"/>
                <w:szCs w:val="16"/>
              </w:rPr>
            </w:pPr>
            <w:r w:rsidRPr="00D14CD7">
              <w:rPr>
                <w:rFonts w:eastAsia="Times New Roman"/>
                <w:color w:val="000000" w:themeColor="text1"/>
                <w:sz w:val="16"/>
                <w:szCs w:val="16"/>
              </w:rPr>
              <w:t>—</w:t>
            </w:r>
          </w:p>
        </w:tc>
        <w:tc>
          <w:tcPr>
            <w:tcW w:w="195" w:type="pct"/>
            <w:shd w:val="clear" w:color="auto" w:fill="auto"/>
            <w:noWrap/>
            <w:vAlign w:val="center"/>
            <w:hideMark/>
          </w:tcPr>
          <w:p w14:paraId="78B8FCBD" w14:textId="77777777" w:rsidR="004720C0" w:rsidRPr="00D14CD7" w:rsidRDefault="004720C0" w:rsidP="004720C0">
            <w:pPr>
              <w:spacing w:after="0" w:line="240" w:lineRule="auto"/>
              <w:jc w:val="right"/>
              <w:rPr>
                <w:rFonts w:eastAsia="Times New Roman"/>
                <w:color w:val="000000" w:themeColor="text1"/>
                <w:sz w:val="16"/>
                <w:szCs w:val="16"/>
              </w:rPr>
            </w:pPr>
            <w:r w:rsidRPr="00D14CD7">
              <w:rPr>
                <w:rFonts w:eastAsia="Times New Roman"/>
                <w:color w:val="000000" w:themeColor="text1"/>
                <w:sz w:val="16"/>
                <w:szCs w:val="16"/>
              </w:rPr>
              <w:t>—</w:t>
            </w:r>
          </w:p>
        </w:tc>
        <w:tc>
          <w:tcPr>
            <w:tcW w:w="188" w:type="pct"/>
            <w:shd w:val="clear" w:color="auto" w:fill="auto"/>
            <w:noWrap/>
            <w:vAlign w:val="center"/>
            <w:hideMark/>
          </w:tcPr>
          <w:p w14:paraId="6BC4E574" w14:textId="77777777" w:rsidR="004720C0" w:rsidRPr="00D14CD7" w:rsidRDefault="004720C0" w:rsidP="004720C0">
            <w:pPr>
              <w:spacing w:after="0" w:line="240" w:lineRule="auto"/>
              <w:jc w:val="right"/>
              <w:rPr>
                <w:rFonts w:eastAsia="Times New Roman"/>
                <w:color w:val="000000" w:themeColor="text1"/>
                <w:sz w:val="16"/>
                <w:szCs w:val="16"/>
              </w:rPr>
            </w:pPr>
            <w:r w:rsidRPr="00D14CD7">
              <w:rPr>
                <w:rFonts w:eastAsia="Times New Roman"/>
                <w:color w:val="000000" w:themeColor="text1"/>
                <w:sz w:val="16"/>
                <w:szCs w:val="16"/>
              </w:rPr>
              <w:t>—</w:t>
            </w:r>
          </w:p>
        </w:tc>
        <w:tc>
          <w:tcPr>
            <w:tcW w:w="188" w:type="pct"/>
            <w:shd w:val="clear" w:color="auto" w:fill="auto"/>
            <w:noWrap/>
            <w:vAlign w:val="center"/>
            <w:hideMark/>
          </w:tcPr>
          <w:p w14:paraId="7BA38AA6" w14:textId="77777777" w:rsidR="004720C0" w:rsidRPr="00D14CD7" w:rsidRDefault="004720C0" w:rsidP="004720C0">
            <w:pPr>
              <w:spacing w:after="0" w:line="240" w:lineRule="auto"/>
              <w:jc w:val="right"/>
              <w:rPr>
                <w:rFonts w:eastAsia="Times New Roman"/>
                <w:color w:val="000000" w:themeColor="text1"/>
                <w:sz w:val="16"/>
                <w:szCs w:val="16"/>
              </w:rPr>
            </w:pPr>
            <w:r w:rsidRPr="00D14CD7">
              <w:rPr>
                <w:rFonts w:eastAsia="Times New Roman"/>
                <w:color w:val="000000" w:themeColor="text1"/>
                <w:sz w:val="16"/>
                <w:szCs w:val="16"/>
              </w:rPr>
              <w:t>—</w:t>
            </w:r>
          </w:p>
        </w:tc>
        <w:tc>
          <w:tcPr>
            <w:tcW w:w="188" w:type="pct"/>
            <w:shd w:val="clear" w:color="auto" w:fill="auto"/>
            <w:noWrap/>
            <w:vAlign w:val="center"/>
            <w:hideMark/>
          </w:tcPr>
          <w:p w14:paraId="4C0AF7B8" w14:textId="77777777" w:rsidR="004720C0" w:rsidRPr="00D14CD7" w:rsidRDefault="004720C0" w:rsidP="004720C0">
            <w:pPr>
              <w:spacing w:after="0" w:line="240" w:lineRule="auto"/>
              <w:jc w:val="right"/>
              <w:rPr>
                <w:rFonts w:eastAsia="Times New Roman"/>
                <w:color w:val="000000" w:themeColor="text1"/>
                <w:sz w:val="16"/>
                <w:szCs w:val="16"/>
              </w:rPr>
            </w:pPr>
            <w:r w:rsidRPr="00D14CD7">
              <w:rPr>
                <w:rFonts w:eastAsia="Times New Roman"/>
                <w:color w:val="000000" w:themeColor="text1"/>
                <w:sz w:val="16"/>
                <w:szCs w:val="16"/>
              </w:rPr>
              <w:t>—</w:t>
            </w:r>
          </w:p>
        </w:tc>
        <w:tc>
          <w:tcPr>
            <w:tcW w:w="188" w:type="pct"/>
            <w:shd w:val="clear" w:color="auto" w:fill="auto"/>
            <w:noWrap/>
            <w:vAlign w:val="center"/>
            <w:hideMark/>
          </w:tcPr>
          <w:p w14:paraId="5BCE1998" w14:textId="77777777" w:rsidR="004720C0" w:rsidRPr="00D14CD7" w:rsidRDefault="004720C0" w:rsidP="004720C0">
            <w:pPr>
              <w:spacing w:after="0" w:line="240" w:lineRule="auto"/>
              <w:jc w:val="right"/>
              <w:rPr>
                <w:rFonts w:eastAsia="Times New Roman"/>
                <w:color w:val="000000" w:themeColor="text1"/>
                <w:sz w:val="16"/>
                <w:szCs w:val="16"/>
              </w:rPr>
            </w:pPr>
            <w:r w:rsidRPr="00D14CD7">
              <w:rPr>
                <w:rFonts w:eastAsia="Times New Roman"/>
                <w:color w:val="000000" w:themeColor="text1"/>
                <w:sz w:val="16"/>
                <w:szCs w:val="16"/>
              </w:rPr>
              <w:t>—</w:t>
            </w:r>
          </w:p>
        </w:tc>
        <w:tc>
          <w:tcPr>
            <w:tcW w:w="188" w:type="pct"/>
            <w:shd w:val="clear" w:color="auto" w:fill="auto"/>
            <w:noWrap/>
            <w:vAlign w:val="center"/>
            <w:hideMark/>
          </w:tcPr>
          <w:p w14:paraId="0CB8CE90" w14:textId="77777777" w:rsidR="004720C0" w:rsidRPr="00D14CD7" w:rsidRDefault="004720C0" w:rsidP="004720C0">
            <w:pPr>
              <w:spacing w:after="0" w:line="240" w:lineRule="auto"/>
              <w:jc w:val="right"/>
              <w:rPr>
                <w:rFonts w:eastAsia="Times New Roman"/>
                <w:color w:val="000000" w:themeColor="text1"/>
                <w:sz w:val="16"/>
                <w:szCs w:val="16"/>
              </w:rPr>
            </w:pPr>
            <w:proofErr w:type="spellStart"/>
            <w:r w:rsidRPr="00D14CD7">
              <w:rPr>
                <w:rFonts w:eastAsia="Times New Roman"/>
                <w:color w:val="000000" w:themeColor="text1"/>
                <w:sz w:val="16"/>
                <w:szCs w:val="16"/>
              </w:rPr>
              <w:t>na</w:t>
            </w:r>
            <w:proofErr w:type="spellEnd"/>
          </w:p>
        </w:tc>
        <w:tc>
          <w:tcPr>
            <w:tcW w:w="159" w:type="pct"/>
            <w:tcBorders>
              <w:right w:val="double" w:sz="4" w:space="0" w:color="auto"/>
            </w:tcBorders>
            <w:shd w:val="clear" w:color="auto" w:fill="auto"/>
            <w:noWrap/>
            <w:vAlign w:val="center"/>
            <w:hideMark/>
          </w:tcPr>
          <w:p w14:paraId="28D924D5" w14:textId="77777777" w:rsidR="004720C0" w:rsidRPr="00D14CD7" w:rsidRDefault="004720C0" w:rsidP="004720C0">
            <w:pPr>
              <w:spacing w:after="0" w:line="240" w:lineRule="auto"/>
              <w:jc w:val="right"/>
              <w:rPr>
                <w:rFonts w:eastAsia="Times New Roman"/>
                <w:color w:val="000000" w:themeColor="text1"/>
                <w:sz w:val="16"/>
                <w:szCs w:val="16"/>
              </w:rPr>
            </w:pPr>
            <w:proofErr w:type="spellStart"/>
            <w:r w:rsidRPr="00D14CD7">
              <w:rPr>
                <w:rFonts w:eastAsia="Times New Roman"/>
                <w:color w:val="000000" w:themeColor="text1"/>
                <w:sz w:val="16"/>
                <w:szCs w:val="16"/>
              </w:rPr>
              <w:t>na</w:t>
            </w:r>
            <w:proofErr w:type="spellEnd"/>
          </w:p>
        </w:tc>
        <w:tc>
          <w:tcPr>
            <w:tcW w:w="189" w:type="pct"/>
            <w:tcBorders>
              <w:top w:val="single" w:sz="4" w:space="0" w:color="auto"/>
              <w:left w:val="double" w:sz="4" w:space="0" w:color="auto"/>
              <w:bottom w:val="single" w:sz="4" w:space="0" w:color="auto"/>
            </w:tcBorders>
            <w:shd w:val="clear" w:color="auto" w:fill="auto"/>
            <w:noWrap/>
            <w:vAlign w:val="center"/>
            <w:hideMark/>
          </w:tcPr>
          <w:p w14:paraId="2D66D3E6" w14:textId="77777777" w:rsidR="004720C0" w:rsidRPr="00D14CD7" w:rsidRDefault="004720C0" w:rsidP="004720C0">
            <w:pPr>
              <w:spacing w:after="0" w:line="240" w:lineRule="auto"/>
              <w:jc w:val="right"/>
              <w:rPr>
                <w:rFonts w:eastAsia="Times New Roman"/>
                <w:color w:val="000000" w:themeColor="text1"/>
                <w:sz w:val="16"/>
                <w:szCs w:val="16"/>
              </w:rPr>
            </w:pPr>
            <w:r w:rsidRPr="00D14CD7">
              <w:rPr>
                <w:rFonts w:eastAsia="Times New Roman"/>
                <w:color w:val="000000" w:themeColor="text1"/>
                <w:sz w:val="16"/>
                <w:szCs w:val="16"/>
              </w:rPr>
              <w:t>-0.443</w:t>
            </w:r>
          </w:p>
        </w:tc>
        <w:tc>
          <w:tcPr>
            <w:tcW w:w="159" w:type="pct"/>
            <w:tcBorders>
              <w:top w:val="single" w:sz="4" w:space="0" w:color="auto"/>
              <w:bottom w:val="single" w:sz="4" w:space="0" w:color="auto"/>
            </w:tcBorders>
            <w:shd w:val="clear" w:color="auto" w:fill="auto"/>
            <w:noWrap/>
            <w:vAlign w:val="center"/>
            <w:hideMark/>
          </w:tcPr>
          <w:p w14:paraId="5CDBF432" w14:textId="77777777" w:rsidR="004720C0" w:rsidRPr="00D14CD7" w:rsidRDefault="004720C0" w:rsidP="004720C0">
            <w:pPr>
              <w:spacing w:after="0" w:line="240" w:lineRule="auto"/>
              <w:jc w:val="right"/>
              <w:rPr>
                <w:rFonts w:eastAsia="Times New Roman"/>
                <w:color w:val="000000" w:themeColor="text1"/>
                <w:sz w:val="16"/>
                <w:szCs w:val="16"/>
              </w:rPr>
            </w:pPr>
            <w:r w:rsidRPr="00D14CD7">
              <w:rPr>
                <w:rFonts w:eastAsia="Times New Roman"/>
                <w:color w:val="000000" w:themeColor="text1"/>
                <w:sz w:val="16"/>
                <w:szCs w:val="16"/>
              </w:rPr>
              <w:t>-1.52</w:t>
            </w:r>
          </w:p>
        </w:tc>
        <w:tc>
          <w:tcPr>
            <w:tcW w:w="187" w:type="pct"/>
            <w:tcBorders>
              <w:top w:val="single" w:sz="4" w:space="0" w:color="auto"/>
              <w:bottom w:val="single" w:sz="4" w:space="0" w:color="auto"/>
            </w:tcBorders>
            <w:shd w:val="clear" w:color="auto" w:fill="auto"/>
            <w:noWrap/>
            <w:vAlign w:val="center"/>
            <w:hideMark/>
          </w:tcPr>
          <w:p w14:paraId="7D34139A" w14:textId="77777777" w:rsidR="004720C0" w:rsidRPr="00D14CD7" w:rsidRDefault="004720C0" w:rsidP="004720C0">
            <w:pPr>
              <w:spacing w:after="0" w:line="240" w:lineRule="auto"/>
              <w:jc w:val="right"/>
              <w:rPr>
                <w:rFonts w:eastAsia="Times New Roman"/>
                <w:color w:val="000000" w:themeColor="text1"/>
                <w:sz w:val="16"/>
                <w:szCs w:val="16"/>
              </w:rPr>
            </w:pPr>
            <w:r w:rsidRPr="00D14CD7">
              <w:rPr>
                <w:rFonts w:eastAsia="Times New Roman"/>
                <w:color w:val="000000" w:themeColor="text1"/>
                <w:sz w:val="16"/>
                <w:szCs w:val="16"/>
              </w:rPr>
              <w:t>—</w:t>
            </w:r>
          </w:p>
        </w:tc>
        <w:tc>
          <w:tcPr>
            <w:tcW w:w="188" w:type="pct"/>
            <w:tcBorders>
              <w:top w:val="single" w:sz="4" w:space="0" w:color="auto"/>
              <w:bottom w:val="single" w:sz="4" w:space="0" w:color="auto"/>
            </w:tcBorders>
            <w:shd w:val="clear" w:color="auto" w:fill="auto"/>
            <w:noWrap/>
            <w:vAlign w:val="center"/>
            <w:hideMark/>
          </w:tcPr>
          <w:p w14:paraId="51E0FB4C" w14:textId="77777777" w:rsidR="004720C0" w:rsidRPr="00D14CD7" w:rsidRDefault="004720C0" w:rsidP="004720C0">
            <w:pPr>
              <w:spacing w:after="0" w:line="240" w:lineRule="auto"/>
              <w:jc w:val="right"/>
              <w:rPr>
                <w:rFonts w:eastAsia="Times New Roman"/>
                <w:color w:val="000000" w:themeColor="text1"/>
                <w:sz w:val="16"/>
                <w:szCs w:val="16"/>
              </w:rPr>
            </w:pPr>
            <w:r w:rsidRPr="00D14CD7">
              <w:rPr>
                <w:rFonts w:eastAsia="Times New Roman"/>
                <w:color w:val="000000" w:themeColor="text1"/>
                <w:sz w:val="16"/>
                <w:szCs w:val="16"/>
              </w:rPr>
              <w:t>—</w:t>
            </w:r>
          </w:p>
        </w:tc>
        <w:tc>
          <w:tcPr>
            <w:tcW w:w="188" w:type="pct"/>
            <w:tcBorders>
              <w:top w:val="single" w:sz="4" w:space="0" w:color="auto"/>
              <w:bottom w:val="single" w:sz="4" w:space="0" w:color="auto"/>
            </w:tcBorders>
            <w:shd w:val="clear" w:color="auto" w:fill="auto"/>
            <w:noWrap/>
            <w:vAlign w:val="center"/>
            <w:hideMark/>
          </w:tcPr>
          <w:p w14:paraId="3F15724B" w14:textId="77777777" w:rsidR="004720C0" w:rsidRPr="00D14CD7" w:rsidRDefault="004720C0" w:rsidP="004720C0">
            <w:pPr>
              <w:spacing w:after="0" w:line="240" w:lineRule="auto"/>
              <w:jc w:val="right"/>
              <w:rPr>
                <w:rFonts w:eastAsia="Times New Roman"/>
                <w:color w:val="000000" w:themeColor="text1"/>
                <w:sz w:val="16"/>
                <w:szCs w:val="16"/>
              </w:rPr>
            </w:pPr>
            <w:r w:rsidRPr="00D14CD7">
              <w:rPr>
                <w:rFonts w:eastAsia="Times New Roman"/>
                <w:color w:val="000000" w:themeColor="text1"/>
                <w:sz w:val="16"/>
                <w:szCs w:val="16"/>
              </w:rPr>
              <w:t>0.258</w:t>
            </w:r>
          </w:p>
        </w:tc>
        <w:tc>
          <w:tcPr>
            <w:tcW w:w="188" w:type="pct"/>
            <w:tcBorders>
              <w:top w:val="single" w:sz="4" w:space="0" w:color="auto"/>
              <w:bottom w:val="single" w:sz="4" w:space="0" w:color="auto"/>
            </w:tcBorders>
            <w:shd w:val="clear" w:color="auto" w:fill="auto"/>
            <w:noWrap/>
            <w:vAlign w:val="center"/>
            <w:hideMark/>
          </w:tcPr>
          <w:p w14:paraId="34CE7F5D" w14:textId="77777777" w:rsidR="004720C0" w:rsidRPr="00D14CD7" w:rsidRDefault="004720C0" w:rsidP="004720C0">
            <w:pPr>
              <w:spacing w:after="0" w:line="240" w:lineRule="auto"/>
              <w:jc w:val="right"/>
              <w:rPr>
                <w:rFonts w:eastAsia="Times New Roman"/>
                <w:color w:val="000000" w:themeColor="text1"/>
                <w:sz w:val="16"/>
                <w:szCs w:val="16"/>
              </w:rPr>
            </w:pPr>
            <w:r w:rsidRPr="00D14CD7">
              <w:rPr>
                <w:rFonts w:eastAsia="Times New Roman"/>
                <w:color w:val="000000" w:themeColor="text1"/>
                <w:sz w:val="16"/>
                <w:szCs w:val="16"/>
              </w:rPr>
              <w:t>3.203</w:t>
            </w:r>
          </w:p>
        </w:tc>
        <w:tc>
          <w:tcPr>
            <w:tcW w:w="155" w:type="pct"/>
            <w:tcBorders>
              <w:top w:val="single" w:sz="4" w:space="0" w:color="auto"/>
              <w:bottom w:val="single" w:sz="4" w:space="0" w:color="auto"/>
            </w:tcBorders>
            <w:shd w:val="clear" w:color="auto" w:fill="auto"/>
            <w:noWrap/>
            <w:vAlign w:val="center"/>
            <w:hideMark/>
          </w:tcPr>
          <w:p w14:paraId="70F8DDA3" w14:textId="77777777" w:rsidR="004720C0" w:rsidRPr="00D14CD7" w:rsidRDefault="004720C0" w:rsidP="004720C0">
            <w:pPr>
              <w:spacing w:after="0" w:line="240" w:lineRule="auto"/>
              <w:jc w:val="right"/>
              <w:rPr>
                <w:rFonts w:eastAsia="Times New Roman"/>
                <w:color w:val="000000" w:themeColor="text1"/>
                <w:sz w:val="16"/>
                <w:szCs w:val="16"/>
              </w:rPr>
            </w:pPr>
            <w:proofErr w:type="spellStart"/>
            <w:r w:rsidRPr="00D14CD7">
              <w:rPr>
                <w:rFonts w:eastAsia="Times New Roman"/>
                <w:color w:val="000000" w:themeColor="text1"/>
                <w:sz w:val="16"/>
                <w:szCs w:val="16"/>
              </w:rPr>
              <w:t>na</w:t>
            </w:r>
            <w:proofErr w:type="spellEnd"/>
          </w:p>
        </w:tc>
        <w:tc>
          <w:tcPr>
            <w:tcW w:w="158" w:type="pct"/>
            <w:tcBorders>
              <w:top w:val="single" w:sz="4" w:space="0" w:color="auto"/>
              <w:bottom w:val="single" w:sz="4" w:space="0" w:color="auto"/>
              <w:right w:val="double" w:sz="4" w:space="0" w:color="auto"/>
            </w:tcBorders>
            <w:shd w:val="clear" w:color="auto" w:fill="auto"/>
            <w:noWrap/>
            <w:vAlign w:val="center"/>
            <w:hideMark/>
          </w:tcPr>
          <w:p w14:paraId="165BA1AA" w14:textId="77777777" w:rsidR="004720C0" w:rsidRPr="00D14CD7" w:rsidRDefault="004720C0" w:rsidP="004720C0">
            <w:pPr>
              <w:spacing w:after="0" w:line="240" w:lineRule="auto"/>
              <w:jc w:val="right"/>
              <w:rPr>
                <w:rFonts w:eastAsia="Times New Roman"/>
                <w:color w:val="000000" w:themeColor="text1"/>
                <w:sz w:val="16"/>
                <w:szCs w:val="16"/>
              </w:rPr>
            </w:pPr>
            <w:proofErr w:type="spellStart"/>
            <w:r w:rsidRPr="00D14CD7">
              <w:rPr>
                <w:rFonts w:eastAsia="Times New Roman"/>
                <w:color w:val="000000" w:themeColor="text1"/>
                <w:sz w:val="16"/>
                <w:szCs w:val="16"/>
              </w:rPr>
              <w:t>na</w:t>
            </w:r>
            <w:proofErr w:type="spellEnd"/>
          </w:p>
        </w:tc>
        <w:tc>
          <w:tcPr>
            <w:tcW w:w="188" w:type="pct"/>
            <w:tcBorders>
              <w:top w:val="single" w:sz="4" w:space="0" w:color="auto"/>
              <w:left w:val="double" w:sz="4" w:space="0" w:color="auto"/>
              <w:bottom w:val="single" w:sz="4" w:space="0" w:color="auto"/>
            </w:tcBorders>
            <w:shd w:val="clear" w:color="auto" w:fill="auto"/>
            <w:noWrap/>
            <w:vAlign w:val="center"/>
            <w:hideMark/>
          </w:tcPr>
          <w:p w14:paraId="5455BC84" w14:textId="77777777" w:rsidR="004720C0" w:rsidRPr="00D14CD7" w:rsidRDefault="004720C0" w:rsidP="004720C0">
            <w:pPr>
              <w:spacing w:after="0" w:line="240" w:lineRule="auto"/>
              <w:jc w:val="right"/>
              <w:rPr>
                <w:rFonts w:eastAsia="Times New Roman"/>
                <w:color w:val="000000" w:themeColor="text1"/>
                <w:sz w:val="16"/>
                <w:szCs w:val="16"/>
              </w:rPr>
            </w:pPr>
            <w:r w:rsidRPr="00D14CD7">
              <w:rPr>
                <w:rFonts w:eastAsia="Times New Roman"/>
                <w:color w:val="000000" w:themeColor="text1"/>
                <w:sz w:val="16"/>
                <w:szCs w:val="16"/>
              </w:rPr>
              <w:t>-0.104</w:t>
            </w:r>
          </w:p>
        </w:tc>
        <w:tc>
          <w:tcPr>
            <w:tcW w:w="171" w:type="pct"/>
            <w:tcBorders>
              <w:top w:val="single" w:sz="4" w:space="0" w:color="auto"/>
              <w:bottom w:val="single" w:sz="4" w:space="0" w:color="auto"/>
            </w:tcBorders>
            <w:shd w:val="clear" w:color="auto" w:fill="auto"/>
            <w:noWrap/>
            <w:vAlign w:val="center"/>
            <w:hideMark/>
          </w:tcPr>
          <w:p w14:paraId="782DF1E9" w14:textId="77777777" w:rsidR="004720C0" w:rsidRPr="00D14CD7" w:rsidRDefault="004720C0" w:rsidP="004720C0">
            <w:pPr>
              <w:spacing w:after="0" w:line="240" w:lineRule="auto"/>
              <w:jc w:val="right"/>
              <w:rPr>
                <w:rFonts w:eastAsia="Times New Roman"/>
                <w:color w:val="000000" w:themeColor="text1"/>
                <w:sz w:val="16"/>
                <w:szCs w:val="16"/>
              </w:rPr>
            </w:pPr>
            <w:r w:rsidRPr="00D14CD7">
              <w:rPr>
                <w:rFonts w:eastAsia="Times New Roman"/>
                <w:color w:val="000000" w:themeColor="text1"/>
                <w:sz w:val="16"/>
                <w:szCs w:val="16"/>
              </w:rPr>
              <w:t>-2.37</w:t>
            </w:r>
          </w:p>
        </w:tc>
      </w:tr>
      <w:tr w:rsidR="00D14CD7" w:rsidRPr="00D14CD7" w14:paraId="091110EC" w14:textId="77777777" w:rsidTr="004720C0">
        <w:trPr>
          <w:trHeight w:val="72"/>
        </w:trPr>
        <w:tc>
          <w:tcPr>
            <w:tcW w:w="1719" w:type="pct"/>
            <w:tcBorders>
              <w:top w:val="single" w:sz="4" w:space="0" w:color="auto"/>
              <w:bottom w:val="single" w:sz="4" w:space="0" w:color="auto"/>
              <w:right w:val="double" w:sz="4" w:space="0" w:color="auto"/>
            </w:tcBorders>
            <w:shd w:val="clear" w:color="auto" w:fill="auto"/>
            <w:vAlign w:val="center"/>
            <w:hideMark/>
          </w:tcPr>
          <w:p w14:paraId="2D08E053" w14:textId="48AC42F0" w:rsidR="004720C0" w:rsidRPr="00D14CD7" w:rsidRDefault="004720C0" w:rsidP="004720C0">
            <w:pPr>
              <w:spacing w:after="0" w:line="240" w:lineRule="auto"/>
              <w:ind w:left="140" w:firstLineChars="12" w:firstLine="19"/>
              <w:jc w:val="left"/>
              <w:rPr>
                <w:rFonts w:eastAsia="Times New Roman"/>
                <w:color w:val="000000" w:themeColor="text1"/>
                <w:sz w:val="16"/>
                <w:szCs w:val="16"/>
              </w:rPr>
            </w:pPr>
            <w:r w:rsidRPr="00D14CD7">
              <w:rPr>
                <w:rFonts w:eastAsia="Times New Roman"/>
                <w:color w:val="000000" w:themeColor="text1"/>
                <w:sz w:val="16"/>
                <w:szCs w:val="16"/>
              </w:rPr>
              <w:t xml:space="preserve">My personal well-being was or still is at risk during the pandemic </w:t>
            </w:r>
            <w:r w:rsidR="00306BFA">
              <w:rPr>
                <w:rFonts w:eastAsia="Times New Roman"/>
                <w:color w:val="000000" w:themeColor="text1"/>
                <w:sz w:val="16"/>
                <w:szCs w:val="16"/>
              </w:rPr>
              <w:t>×</w:t>
            </w:r>
            <w:r w:rsidRPr="00D14CD7">
              <w:rPr>
                <w:rFonts w:eastAsia="Times New Roman"/>
                <w:color w:val="000000" w:themeColor="text1"/>
                <w:sz w:val="16"/>
                <w:szCs w:val="16"/>
              </w:rPr>
              <w:t xml:space="preserve"> Age 50 and older</w:t>
            </w:r>
          </w:p>
        </w:tc>
        <w:tc>
          <w:tcPr>
            <w:tcW w:w="217" w:type="pct"/>
            <w:tcBorders>
              <w:left w:val="double" w:sz="4" w:space="0" w:color="auto"/>
            </w:tcBorders>
            <w:shd w:val="clear" w:color="auto" w:fill="auto"/>
            <w:noWrap/>
            <w:vAlign w:val="center"/>
            <w:hideMark/>
          </w:tcPr>
          <w:p w14:paraId="48929396" w14:textId="77777777" w:rsidR="004720C0" w:rsidRPr="00D14CD7" w:rsidRDefault="004720C0" w:rsidP="004720C0">
            <w:pPr>
              <w:spacing w:after="0" w:line="240" w:lineRule="auto"/>
              <w:jc w:val="right"/>
              <w:rPr>
                <w:rFonts w:eastAsia="Times New Roman"/>
                <w:color w:val="000000" w:themeColor="text1"/>
                <w:sz w:val="16"/>
                <w:szCs w:val="16"/>
              </w:rPr>
            </w:pPr>
            <w:r w:rsidRPr="00D14CD7">
              <w:rPr>
                <w:rFonts w:eastAsia="Times New Roman"/>
                <w:color w:val="000000" w:themeColor="text1"/>
                <w:sz w:val="16"/>
                <w:szCs w:val="16"/>
              </w:rPr>
              <w:t>—</w:t>
            </w:r>
          </w:p>
        </w:tc>
        <w:tc>
          <w:tcPr>
            <w:tcW w:w="195" w:type="pct"/>
            <w:shd w:val="clear" w:color="auto" w:fill="auto"/>
            <w:noWrap/>
            <w:vAlign w:val="center"/>
            <w:hideMark/>
          </w:tcPr>
          <w:p w14:paraId="3A34CD9D" w14:textId="77777777" w:rsidR="004720C0" w:rsidRPr="00D14CD7" w:rsidRDefault="004720C0" w:rsidP="004720C0">
            <w:pPr>
              <w:spacing w:after="0" w:line="240" w:lineRule="auto"/>
              <w:jc w:val="right"/>
              <w:rPr>
                <w:rFonts w:eastAsia="Times New Roman"/>
                <w:color w:val="000000" w:themeColor="text1"/>
                <w:sz w:val="16"/>
                <w:szCs w:val="16"/>
              </w:rPr>
            </w:pPr>
            <w:r w:rsidRPr="00D14CD7">
              <w:rPr>
                <w:rFonts w:eastAsia="Times New Roman"/>
                <w:color w:val="000000" w:themeColor="text1"/>
                <w:sz w:val="16"/>
                <w:szCs w:val="16"/>
              </w:rPr>
              <w:t>—</w:t>
            </w:r>
          </w:p>
        </w:tc>
        <w:tc>
          <w:tcPr>
            <w:tcW w:w="188" w:type="pct"/>
            <w:shd w:val="clear" w:color="auto" w:fill="auto"/>
            <w:noWrap/>
            <w:vAlign w:val="center"/>
            <w:hideMark/>
          </w:tcPr>
          <w:p w14:paraId="16C0DE00" w14:textId="77777777" w:rsidR="004720C0" w:rsidRPr="00D14CD7" w:rsidRDefault="004720C0" w:rsidP="004720C0">
            <w:pPr>
              <w:spacing w:after="0" w:line="240" w:lineRule="auto"/>
              <w:jc w:val="right"/>
              <w:rPr>
                <w:rFonts w:eastAsia="Times New Roman"/>
                <w:color w:val="000000" w:themeColor="text1"/>
                <w:sz w:val="16"/>
                <w:szCs w:val="16"/>
              </w:rPr>
            </w:pPr>
            <w:r w:rsidRPr="00D14CD7">
              <w:rPr>
                <w:rFonts w:eastAsia="Times New Roman"/>
                <w:color w:val="000000" w:themeColor="text1"/>
                <w:sz w:val="16"/>
                <w:szCs w:val="16"/>
              </w:rPr>
              <w:t>—</w:t>
            </w:r>
          </w:p>
        </w:tc>
        <w:tc>
          <w:tcPr>
            <w:tcW w:w="188" w:type="pct"/>
            <w:shd w:val="clear" w:color="auto" w:fill="auto"/>
            <w:noWrap/>
            <w:vAlign w:val="center"/>
            <w:hideMark/>
          </w:tcPr>
          <w:p w14:paraId="001150F0" w14:textId="77777777" w:rsidR="004720C0" w:rsidRPr="00D14CD7" w:rsidRDefault="004720C0" w:rsidP="004720C0">
            <w:pPr>
              <w:spacing w:after="0" w:line="240" w:lineRule="auto"/>
              <w:jc w:val="right"/>
              <w:rPr>
                <w:rFonts w:eastAsia="Times New Roman"/>
                <w:color w:val="000000" w:themeColor="text1"/>
                <w:sz w:val="16"/>
                <w:szCs w:val="16"/>
              </w:rPr>
            </w:pPr>
            <w:r w:rsidRPr="00D14CD7">
              <w:rPr>
                <w:rFonts w:eastAsia="Times New Roman"/>
                <w:color w:val="000000" w:themeColor="text1"/>
                <w:sz w:val="16"/>
                <w:szCs w:val="16"/>
              </w:rPr>
              <w:t>—</w:t>
            </w:r>
          </w:p>
        </w:tc>
        <w:tc>
          <w:tcPr>
            <w:tcW w:w="188" w:type="pct"/>
            <w:shd w:val="clear" w:color="auto" w:fill="auto"/>
            <w:noWrap/>
            <w:vAlign w:val="center"/>
            <w:hideMark/>
          </w:tcPr>
          <w:p w14:paraId="335ABDBD" w14:textId="77777777" w:rsidR="004720C0" w:rsidRPr="00D14CD7" w:rsidRDefault="004720C0" w:rsidP="004720C0">
            <w:pPr>
              <w:spacing w:after="0" w:line="240" w:lineRule="auto"/>
              <w:jc w:val="right"/>
              <w:rPr>
                <w:rFonts w:eastAsia="Times New Roman"/>
                <w:color w:val="000000" w:themeColor="text1"/>
                <w:sz w:val="16"/>
                <w:szCs w:val="16"/>
              </w:rPr>
            </w:pPr>
            <w:r w:rsidRPr="00D14CD7">
              <w:rPr>
                <w:rFonts w:eastAsia="Times New Roman"/>
                <w:color w:val="000000" w:themeColor="text1"/>
                <w:sz w:val="16"/>
                <w:szCs w:val="16"/>
              </w:rPr>
              <w:t>—</w:t>
            </w:r>
          </w:p>
        </w:tc>
        <w:tc>
          <w:tcPr>
            <w:tcW w:w="188" w:type="pct"/>
            <w:shd w:val="clear" w:color="auto" w:fill="auto"/>
            <w:noWrap/>
            <w:vAlign w:val="center"/>
            <w:hideMark/>
          </w:tcPr>
          <w:p w14:paraId="3B2DB821" w14:textId="77777777" w:rsidR="004720C0" w:rsidRPr="00D14CD7" w:rsidRDefault="004720C0" w:rsidP="004720C0">
            <w:pPr>
              <w:spacing w:after="0" w:line="240" w:lineRule="auto"/>
              <w:jc w:val="right"/>
              <w:rPr>
                <w:rFonts w:eastAsia="Times New Roman"/>
                <w:color w:val="000000" w:themeColor="text1"/>
                <w:sz w:val="16"/>
                <w:szCs w:val="16"/>
              </w:rPr>
            </w:pPr>
            <w:r w:rsidRPr="00D14CD7">
              <w:rPr>
                <w:rFonts w:eastAsia="Times New Roman"/>
                <w:color w:val="000000" w:themeColor="text1"/>
                <w:sz w:val="16"/>
                <w:szCs w:val="16"/>
              </w:rPr>
              <w:t>—</w:t>
            </w:r>
          </w:p>
        </w:tc>
        <w:tc>
          <w:tcPr>
            <w:tcW w:w="188" w:type="pct"/>
            <w:shd w:val="clear" w:color="auto" w:fill="auto"/>
            <w:noWrap/>
            <w:vAlign w:val="center"/>
            <w:hideMark/>
          </w:tcPr>
          <w:p w14:paraId="63FDA181" w14:textId="77777777" w:rsidR="004720C0" w:rsidRPr="00D14CD7" w:rsidRDefault="004720C0" w:rsidP="004720C0">
            <w:pPr>
              <w:spacing w:after="0" w:line="240" w:lineRule="auto"/>
              <w:jc w:val="right"/>
              <w:rPr>
                <w:rFonts w:eastAsia="Times New Roman"/>
                <w:color w:val="000000" w:themeColor="text1"/>
                <w:sz w:val="16"/>
                <w:szCs w:val="16"/>
              </w:rPr>
            </w:pPr>
            <w:proofErr w:type="spellStart"/>
            <w:r w:rsidRPr="00D14CD7">
              <w:rPr>
                <w:rFonts w:eastAsia="Times New Roman"/>
                <w:color w:val="000000" w:themeColor="text1"/>
                <w:sz w:val="16"/>
                <w:szCs w:val="16"/>
              </w:rPr>
              <w:t>na</w:t>
            </w:r>
            <w:proofErr w:type="spellEnd"/>
          </w:p>
        </w:tc>
        <w:tc>
          <w:tcPr>
            <w:tcW w:w="159" w:type="pct"/>
            <w:tcBorders>
              <w:right w:val="double" w:sz="4" w:space="0" w:color="auto"/>
            </w:tcBorders>
            <w:shd w:val="clear" w:color="auto" w:fill="auto"/>
            <w:noWrap/>
            <w:vAlign w:val="center"/>
            <w:hideMark/>
          </w:tcPr>
          <w:p w14:paraId="1429B1B3" w14:textId="77777777" w:rsidR="004720C0" w:rsidRPr="00D14CD7" w:rsidRDefault="004720C0" w:rsidP="004720C0">
            <w:pPr>
              <w:spacing w:after="0" w:line="240" w:lineRule="auto"/>
              <w:jc w:val="right"/>
              <w:rPr>
                <w:rFonts w:eastAsia="Times New Roman"/>
                <w:color w:val="000000" w:themeColor="text1"/>
                <w:sz w:val="16"/>
                <w:szCs w:val="16"/>
              </w:rPr>
            </w:pPr>
            <w:proofErr w:type="spellStart"/>
            <w:r w:rsidRPr="00D14CD7">
              <w:rPr>
                <w:rFonts w:eastAsia="Times New Roman"/>
                <w:color w:val="000000" w:themeColor="text1"/>
                <w:sz w:val="16"/>
                <w:szCs w:val="16"/>
              </w:rPr>
              <w:t>na</w:t>
            </w:r>
            <w:proofErr w:type="spellEnd"/>
          </w:p>
        </w:tc>
        <w:tc>
          <w:tcPr>
            <w:tcW w:w="189" w:type="pct"/>
            <w:tcBorders>
              <w:top w:val="single" w:sz="4" w:space="0" w:color="auto"/>
              <w:left w:val="double" w:sz="4" w:space="0" w:color="auto"/>
              <w:bottom w:val="single" w:sz="4" w:space="0" w:color="auto"/>
            </w:tcBorders>
            <w:shd w:val="clear" w:color="auto" w:fill="auto"/>
            <w:noWrap/>
            <w:vAlign w:val="center"/>
            <w:hideMark/>
          </w:tcPr>
          <w:p w14:paraId="1E92DFB8" w14:textId="77777777" w:rsidR="004720C0" w:rsidRPr="00D14CD7" w:rsidRDefault="004720C0" w:rsidP="004720C0">
            <w:pPr>
              <w:spacing w:after="0" w:line="240" w:lineRule="auto"/>
              <w:jc w:val="right"/>
              <w:rPr>
                <w:rFonts w:eastAsia="Times New Roman"/>
                <w:color w:val="000000" w:themeColor="text1"/>
                <w:sz w:val="16"/>
                <w:szCs w:val="16"/>
              </w:rPr>
            </w:pPr>
            <w:r w:rsidRPr="00D14CD7">
              <w:rPr>
                <w:rFonts w:eastAsia="Times New Roman"/>
                <w:color w:val="000000" w:themeColor="text1"/>
                <w:sz w:val="16"/>
                <w:szCs w:val="16"/>
              </w:rPr>
              <w:t>—</w:t>
            </w:r>
          </w:p>
        </w:tc>
        <w:tc>
          <w:tcPr>
            <w:tcW w:w="159" w:type="pct"/>
            <w:tcBorders>
              <w:top w:val="single" w:sz="4" w:space="0" w:color="auto"/>
              <w:bottom w:val="single" w:sz="4" w:space="0" w:color="auto"/>
            </w:tcBorders>
            <w:shd w:val="clear" w:color="auto" w:fill="auto"/>
            <w:noWrap/>
            <w:vAlign w:val="center"/>
            <w:hideMark/>
          </w:tcPr>
          <w:p w14:paraId="039D5876" w14:textId="77777777" w:rsidR="004720C0" w:rsidRPr="00D14CD7" w:rsidRDefault="004720C0" w:rsidP="004720C0">
            <w:pPr>
              <w:spacing w:after="0" w:line="240" w:lineRule="auto"/>
              <w:jc w:val="right"/>
              <w:rPr>
                <w:rFonts w:eastAsia="Times New Roman"/>
                <w:color w:val="000000" w:themeColor="text1"/>
                <w:sz w:val="16"/>
                <w:szCs w:val="16"/>
              </w:rPr>
            </w:pPr>
            <w:r w:rsidRPr="00D14CD7">
              <w:rPr>
                <w:rFonts w:eastAsia="Times New Roman"/>
                <w:color w:val="000000" w:themeColor="text1"/>
                <w:sz w:val="16"/>
                <w:szCs w:val="16"/>
              </w:rPr>
              <w:t>—</w:t>
            </w:r>
          </w:p>
        </w:tc>
        <w:tc>
          <w:tcPr>
            <w:tcW w:w="187" w:type="pct"/>
            <w:tcBorders>
              <w:top w:val="single" w:sz="4" w:space="0" w:color="auto"/>
              <w:bottom w:val="single" w:sz="4" w:space="0" w:color="auto"/>
            </w:tcBorders>
            <w:shd w:val="clear" w:color="auto" w:fill="auto"/>
            <w:noWrap/>
            <w:vAlign w:val="center"/>
            <w:hideMark/>
          </w:tcPr>
          <w:p w14:paraId="46574656" w14:textId="77777777" w:rsidR="004720C0" w:rsidRPr="00D14CD7" w:rsidRDefault="004720C0" w:rsidP="004720C0">
            <w:pPr>
              <w:spacing w:after="0" w:line="240" w:lineRule="auto"/>
              <w:jc w:val="right"/>
              <w:rPr>
                <w:rFonts w:eastAsia="Times New Roman"/>
                <w:color w:val="000000" w:themeColor="text1"/>
                <w:sz w:val="16"/>
                <w:szCs w:val="16"/>
              </w:rPr>
            </w:pPr>
            <w:r w:rsidRPr="00D14CD7">
              <w:rPr>
                <w:rFonts w:eastAsia="Times New Roman"/>
                <w:color w:val="000000" w:themeColor="text1"/>
                <w:sz w:val="16"/>
                <w:szCs w:val="16"/>
              </w:rPr>
              <w:t>—</w:t>
            </w:r>
          </w:p>
        </w:tc>
        <w:tc>
          <w:tcPr>
            <w:tcW w:w="188" w:type="pct"/>
            <w:tcBorders>
              <w:top w:val="single" w:sz="4" w:space="0" w:color="auto"/>
              <w:bottom w:val="single" w:sz="4" w:space="0" w:color="auto"/>
            </w:tcBorders>
            <w:shd w:val="clear" w:color="auto" w:fill="auto"/>
            <w:noWrap/>
            <w:vAlign w:val="center"/>
            <w:hideMark/>
          </w:tcPr>
          <w:p w14:paraId="1D32362C" w14:textId="77777777" w:rsidR="004720C0" w:rsidRPr="00D14CD7" w:rsidRDefault="004720C0" w:rsidP="004720C0">
            <w:pPr>
              <w:spacing w:after="0" w:line="240" w:lineRule="auto"/>
              <w:jc w:val="right"/>
              <w:rPr>
                <w:rFonts w:eastAsia="Times New Roman"/>
                <w:color w:val="000000" w:themeColor="text1"/>
                <w:sz w:val="16"/>
                <w:szCs w:val="16"/>
              </w:rPr>
            </w:pPr>
            <w:r w:rsidRPr="00D14CD7">
              <w:rPr>
                <w:rFonts w:eastAsia="Times New Roman"/>
                <w:color w:val="000000" w:themeColor="text1"/>
                <w:sz w:val="16"/>
                <w:szCs w:val="16"/>
              </w:rPr>
              <w:t>—</w:t>
            </w:r>
          </w:p>
        </w:tc>
        <w:tc>
          <w:tcPr>
            <w:tcW w:w="188" w:type="pct"/>
            <w:tcBorders>
              <w:top w:val="single" w:sz="4" w:space="0" w:color="auto"/>
              <w:bottom w:val="single" w:sz="4" w:space="0" w:color="auto"/>
            </w:tcBorders>
            <w:shd w:val="clear" w:color="auto" w:fill="auto"/>
            <w:noWrap/>
            <w:vAlign w:val="center"/>
            <w:hideMark/>
          </w:tcPr>
          <w:p w14:paraId="2A55032A" w14:textId="77777777" w:rsidR="004720C0" w:rsidRPr="00D14CD7" w:rsidRDefault="004720C0" w:rsidP="004720C0">
            <w:pPr>
              <w:spacing w:after="0" w:line="240" w:lineRule="auto"/>
              <w:jc w:val="right"/>
              <w:rPr>
                <w:rFonts w:eastAsia="Times New Roman"/>
                <w:color w:val="000000" w:themeColor="text1"/>
                <w:sz w:val="16"/>
                <w:szCs w:val="16"/>
              </w:rPr>
            </w:pPr>
            <w:r w:rsidRPr="00D14CD7">
              <w:rPr>
                <w:rFonts w:eastAsia="Times New Roman"/>
                <w:color w:val="000000" w:themeColor="text1"/>
                <w:sz w:val="16"/>
                <w:szCs w:val="16"/>
              </w:rPr>
              <w:t>—</w:t>
            </w:r>
          </w:p>
        </w:tc>
        <w:tc>
          <w:tcPr>
            <w:tcW w:w="188" w:type="pct"/>
            <w:tcBorders>
              <w:top w:val="single" w:sz="4" w:space="0" w:color="auto"/>
              <w:bottom w:val="single" w:sz="4" w:space="0" w:color="auto"/>
            </w:tcBorders>
            <w:shd w:val="clear" w:color="auto" w:fill="auto"/>
            <w:noWrap/>
            <w:vAlign w:val="center"/>
            <w:hideMark/>
          </w:tcPr>
          <w:p w14:paraId="1A67192F" w14:textId="77777777" w:rsidR="004720C0" w:rsidRPr="00D14CD7" w:rsidRDefault="004720C0" w:rsidP="004720C0">
            <w:pPr>
              <w:spacing w:after="0" w:line="240" w:lineRule="auto"/>
              <w:jc w:val="right"/>
              <w:rPr>
                <w:rFonts w:eastAsia="Times New Roman"/>
                <w:color w:val="000000" w:themeColor="text1"/>
                <w:sz w:val="16"/>
                <w:szCs w:val="16"/>
              </w:rPr>
            </w:pPr>
            <w:r w:rsidRPr="00D14CD7">
              <w:rPr>
                <w:rFonts w:eastAsia="Times New Roman"/>
                <w:color w:val="000000" w:themeColor="text1"/>
                <w:sz w:val="16"/>
                <w:szCs w:val="16"/>
              </w:rPr>
              <w:t>—</w:t>
            </w:r>
          </w:p>
        </w:tc>
        <w:tc>
          <w:tcPr>
            <w:tcW w:w="155" w:type="pct"/>
            <w:tcBorders>
              <w:top w:val="single" w:sz="4" w:space="0" w:color="auto"/>
              <w:bottom w:val="single" w:sz="4" w:space="0" w:color="auto"/>
            </w:tcBorders>
            <w:shd w:val="clear" w:color="auto" w:fill="auto"/>
            <w:noWrap/>
            <w:vAlign w:val="center"/>
            <w:hideMark/>
          </w:tcPr>
          <w:p w14:paraId="003DD906" w14:textId="77777777" w:rsidR="004720C0" w:rsidRPr="00D14CD7" w:rsidRDefault="004720C0" w:rsidP="004720C0">
            <w:pPr>
              <w:spacing w:after="0" w:line="240" w:lineRule="auto"/>
              <w:jc w:val="right"/>
              <w:rPr>
                <w:rFonts w:eastAsia="Times New Roman"/>
                <w:color w:val="000000" w:themeColor="text1"/>
                <w:sz w:val="16"/>
                <w:szCs w:val="16"/>
              </w:rPr>
            </w:pPr>
            <w:proofErr w:type="spellStart"/>
            <w:r w:rsidRPr="00D14CD7">
              <w:rPr>
                <w:rFonts w:eastAsia="Times New Roman"/>
                <w:color w:val="000000" w:themeColor="text1"/>
                <w:sz w:val="16"/>
                <w:szCs w:val="16"/>
              </w:rPr>
              <w:t>na</w:t>
            </w:r>
            <w:proofErr w:type="spellEnd"/>
          </w:p>
        </w:tc>
        <w:tc>
          <w:tcPr>
            <w:tcW w:w="158" w:type="pct"/>
            <w:tcBorders>
              <w:top w:val="single" w:sz="4" w:space="0" w:color="auto"/>
              <w:bottom w:val="single" w:sz="4" w:space="0" w:color="auto"/>
              <w:right w:val="double" w:sz="4" w:space="0" w:color="auto"/>
            </w:tcBorders>
            <w:shd w:val="clear" w:color="auto" w:fill="auto"/>
            <w:noWrap/>
            <w:vAlign w:val="center"/>
            <w:hideMark/>
          </w:tcPr>
          <w:p w14:paraId="5FBB7074" w14:textId="77777777" w:rsidR="004720C0" w:rsidRPr="00D14CD7" w:rsidRDefault="004720C0" w:rsidP="004720C0">
            <w:pPr>
              <w:spacing w:after="0" w:line="240" w:lineRule="auto"/>
              <w:jc w:val="right"/>
              <w:rPr>
                <w:rFonts w:eastAsia="Times New Roman"/>
                <w:color w:val="000000" w:themeColor="text1"/>
                <w:sz w:val="16"/>
                <w:szCs w:val="16"/>
              </w:rPr>
            </w:pPr>
            <w:proofErr w:type="spellStart"/>
            <w:r w:rsidRPr="00D14CD7">
              <w:rPr>
                <w:rFonts w:eastAsia="Times New Roman"/>
                <w:color w:val="000000" w:themeColor="text1"/>
                <w:sz w:val="16"/>
                <w:szCs w:val="16"/>
              </w:rPr>
              <w:t>na</w:t>
            </w:r>
            <w:proofErr w:type="spellEnd"/>
          </w:p>
        </w:tc>
        <w:tc>
          <w:tcPr>
            <w:tcW w:w="188" w:type="pct"/>
            <w:tcBorders>
              <w:top w:val="single" w:sz="4" w:space="0" w:color="auto"/>
              <w:left w:val="double" w:sz="4" w:space="0" w:color="auto"/>
              <w:bottom w:val="single" w:sz="4" w:space="0" w:color="auto"/>
            </w:tcBorders>
            <w:shd w:val="clear" w:color="auto" w:fill="auto"/>
            <w:noWrap/>
            <w:vAlign w:val="center"/>
            <w:hideMark/>
          </w:tcPr>
          <w:p w14:paraId="34D5F19A" w14:textId="77777777" w:rsidR="004720C0" w:rsidRPr="00D14CD7" w:rsidRDefault="004720C0" w:rsidP="004720C0">
            <w:pPr>
              <w:spacing w:after="0" w:line="240" w:lineRule="auto"/>
              <w:jc w:val="right"/>
              <w:rPr>
                <w:rFonts w:eastAsia="Times New Roman"/>
                <w:color w:val="000000" w:themeColor="text1"/>
                <w:sz w:val="16"/>
                <w:szCs w:val="16"/>
              </w:rPr>
            </w:pPr>
            <w:r w:rsidRPr="00D14CD7">
              <w:rPr>
                <w:rFonts w:eastAsia="Times New Roman"/>
                <w:color w:val="000000" w:themeColor="text1"/>
                <w:sz w:val="16"/>
                <w:szCs w:val="16"/>
              </w:rPr>
              <w:t>0.042</w:t>
            </w:r>
          </w:p>
        </w:tc>
        <w:tc>
          <w:tcPr>
            <w:tcW w:w="171" w:type="pct"/>
            <w:tcBorders>
              <w:top w:val="single" w:sz="4" w:space="0" w:color="auto"/>
              <w:bottom w:val="single" w:sz="4" w:space="0" w:color="auto"/>
            </w:tcBorders>
            <w:shd w:val="clear" w:color="auto" w:fill="auto"/>
            <w:noWrap/>
            <w:vAlign w:val="center"/>
            <w:hideMark/>
          </w:tcPr>
          <w:p w14:paraId="0EA2728C" w14:textId="77777777" w:rsidR="004720C0" w:rsidRPr="00D14CD7" w:rsidRDefault="004720C0" w:rsidP="004720C0">
            <w:pPr>
              <w:spacing w:after="0" w:line="240" w:lineRule="auto"/>
              <w:jc w:val="right"/>
              <w:rPr>
                <w:rFonts w:eastAsia="Times New Roman"/>
                <w:color w:val="000000" w:themeColor="text1"/>
                <w:sz w:val="16"/>
                <w:szCs w:val="16"/>
              </w:rPr>
            </w:pPr>
            <w:r w:rsidRPr="00D14CD7">
              <w:rPr>
                <w:rFonts w:eastAsia="Times New Roman"/>
                <w:color w:val="000000" w:themeColor="text1"/>
                <w:sz w:val="16"/>
                <w:szCs w:val="16"/>
              </w:rPr>
              <w:t>1.23</w:t>
            </w:r>
          </w:p>
        </w:tc>
      </w:tr>
      <w:tr w:rsidR="00D14CD7" w:rsidRPr="00D14CD7" w14:paraId="6CFD20F1" w14:textId="77777777" w:rsidTr="004720C0">
        <w:trPr>
          <w:trHeight w:val="72"/>
        </w:trPr>
        <w:tc>
          <w:tcPr>
            <w:tcW w:w="1719" w:type="pct"/>
            <w:tcBorders>
              <w:top w:val="single" w:sz="8" w:space="0" w:color="auto"/>
              <w:bottom w:val="single" w:sz="8" w:space="0" w:color="auto"/>
              <w:right w:val="double" w:sz="4" w:space="0" w:color="auto"/>
            </w:tcBorders>
            <w:shd w:val="clear" w:color="auto" w:fill="auto"/>
            <w:noWrap/>
            <w:vAlign w:val="center"/>
            <w:hideMark/>
          </w:tcPr>
          <w:p w14:paraId="4F544B2E" w14:textId="77777777" w:rsidR="004720C0" w:rsidRPr="00D14CD7" w:rsidRDefault="004720C0" w:rsidP="004720C0">
            <w:pPr>
              <w:spacing w:after="0" w:line="240" w:lineRule="auto"/>
              <w:jc w:val="left"/>
              <w:rPr>
                <w:rFonts w:eastAsia="Times New Roman"/>
                <w:b/>
                <w:bCs/>
                <w:i/>
                <w:iCs/>
                <w:color w:val="000000" w:themeColor="text1"/>
                <w:sz w:val="16"/>
                <w:szCs w:val="16"/>
              </w:rPr>
            </w:pPr>
            <w:r w:rsidRPr="00D14CD7">
              <w:rPr>
                <w:rFonts w:eastAsia="Times New Roman"/>
                <w:b/>
                <w:bCs/>
                <w:i/>
                <w:iCs/>
                <w:color w:val="000000" w:themeColor="text1"/>
                <w:sz w:val="16"/>
                <w:szCs w:val="16"/>
              </w:rPr>
              <w:t>Constant</w:t>
            </w:r>
          </w:p>
        </w:tc>
        <w:tc>
          <w:tcPr>
            <w:tcW w:w="217" w:type="pct"/>
            <w:tcBorders>
              <w:top w:val="single" w:sz="8" w:space="0" w:color="auto"/>
              <w:left w:val="double" w:sz="4" w:space="0" w:color="auto"/>
              <w:bottom w:val="single" w:sz="8" w:space="0" w:color="auto"/>
            </w:tcBorders>
            <w:shd w:val="clear" w:color="auto" w:fill="auto"/>
            <w:noWrap/>
            <w:vAlign w:val="center"/>
            <w:hideMark/>
          </w:tcPr>
          <w:p w14:paraId="6FD50ACF" w14:textId="77777777" w:rsidR="004720C0" w:rsidRPr="00D14CD7" w:rsidRDefault="004720C0" w:rsidP="004720C0">
            <w:pPr>
              <w:spacing w:after="0" w:line="240" w:lineRule="auto"/>
              <w:jc w:val="right"/>
              <w:rPr>
                <w:rFonts w:eastAsia="Times New Roman"/>
                <w:color w:val="000000" w:themeColor="text1"/>
                <w:sz w:val="16"/>
                <w:szCs w:val="16"/>
              </w:rPr>
            </w:pPr>
            <w:proofErr w:type="spellStart"/>
            <w:r w:rsidRPr="00D14CD7">
              <w:rPr>
                <w:rFonts w:eastAsia="Times New Roman"/>
                <w:color w:val="000000" w:themeColor="text1"/>
                <w:sz w:val="16"/>
                <w:szCs w:val="16"/>
              </w:rPr>
              <w:t>na</w:t>
            </w:r>
            <w:proofErr w:type="spellEnd"/>
          </w:p>
        </w:tc>
        <w:tc>
          <w:tcPr>
            <w:tcW w:w="195" w:type="pct"/>
            <w:tcBorders>
              <w:top w:val="single" w:sz="8" w:space="0" w:color="auto"/>
              <w:bottom w:val="single" w:sz="8" w:space="0" w:color="auto"/>
            </w:tcBorders>
            <w:shd w:val="clear" w:color="auto" w:fill="auto"/>
            <w:noWrap/>
            <w:vAlign w:val="center"/>
            <w:hideMark/>
          </w:tcPr>
          <w:p w14:paraId="5B0CA501" w14:textId="77777777" w:rsidR="004720C0" w:rsidRPr="00D14CD7" w:rsidRDefault="004720C0" w:rsidP="004720C0">
            <w:pPr>
              <w:spacing w:after="0" w:line="240" w:lineRule="auto"/>
              <w:jc w:val="right"/>
              <w:rPr>
                <w:rFonts w:eastAsia="Times New Roman"/>
                <w:color w:val="000000" w:themeColor="text1"/>
                <w:sz w:val="16"/>
                <w:szCs w:val="16"/>
              </w:rPr>
            </w:pPr>
            <w:proofErr w:type="spellStart"/>
            <w:r w:rsidRPr="00D14CD7">
              <w:rPr>
                <w:rFonts w:eastAsia="Times New Roman"/>
                <w:color w:val="000000" w:themeColor="text1"/>
                <w:sz w:val="16"/>
                <w:szCs w:val="16"/>
              </w:rPr>
              <w:t>na</w:t>
            </w:r>
            <w:proofErr w:type="spellEnd"/>
          </w:p>
        </w:tc>
        <w:tc>
          <w:tcPr>
            <w:tcW w:w="188" w:type="pct"/>
            <w:tcBorders>
              <w:top w:val="single" w:sz="8" w:space="0" w:color="auto"/>
              <w:bottom w:val="single" w:sz="8" w:space="0" w:color="auto"/>
            </w:tcBorders>
            <w:shd w:val="clear" w:color="auto" w:fill="auto"/>
            <w:noWrap/>
            <w:vAlign w:val="center"/>
            <w:hideMark/>
          </w:tcPr>
          <w:p w14:paraId="0F22F04E" w14:textId="77777777" w:rsidR="004720C0" w:rsidRPr="00D14CD7" w:rsidRDefault="004720C0" w:rsidP="004720C0">
            <w:pPr>
              <w:spacing w:after="0" w:line="240" w:lineRule="auto"/>
              <w:jc w:val="right"/>
              <w:rPr>
                <w:rFonts w:eastAsia="Times New Roman"/>
                <w:color w:val="000000" w:themeColor="text1"/>
                <w:sz w:val="16"/>
                <w:szCs w:val="16"/>
              </w:rPr>
            </w:pPr>
            <w:r w:rsidRPr="00D14CD7">
              <w:rPr>
                <w:rFonts w:eastAsia="Times New Roman"/>
                <w:color w:val="000000" w:themeColor="text1"/>
                <w:sz w:val="16"/>
                <w:szCs w:val="16"/>
              </w:rPr>
              <w:t>0.107</w:t>
            </w:r>
          </w:p>
        </w:tc>
        <w:tc>
          <w:tcPr>
            <w:tcW w:w="188" w:type="pct"/>
            <w:tcBorders>
              <w:top w:val="single" w:sz="8" w:space="0" w:color="auto"/>
              <w:bottom w:val="single" w:sz="8" w:space="0" w:color="auto"/>
            </w:tcBorders>
            <w:shd w:val="clear" w:color="auto" w:fill="auto"/>
            <w:noWrap/>
            <w:vAlign w:val="center"/>
            <w:hideMark/>
          </w:tcPr>
          <w:p w14:paraId="4A69AB1D" w14:textId="77777777" w:rsidR="004720C0" w:rsidRPr="00D14CD7" w:rsidRDefault="004720C0" w:rsidP="004720C0">
            <w:pPr>
              <w:spacing w:after="0" w:line="240" w:lineRule="auto"/>
              <w:jc w:val="right"/>
              <w:rPr>
                <w:rFonts w:eastAsia="Times New Roman"/>
                <w:color w:val="000000" w:themeColor="text1"/>
                <w:sz w:val="16"/>
                <w:szCs w:val="16"/>
              </w:rPr>
            </w:pPr>
            <w:r w:rsidRPr="00D14CD7">
              <w:rPr>
                <w:rFonts w:eastAsia="Times New Roman"/>
                <w:color w:val="000000" w:themeColor="text1"/>
                <w:sz w:val="16"/>
                <w:szCs w:val="16"/>
              </w:rPr>
              <w:t>-0.94</w:t>
            </w:r>
          </w:p>
        </w:tc>
        <w:tc>
          <w:tcPr>
            <w:tcW w:w="188" w:type="pct"/>
            <w:tcBorders>
              <w:top w:val="single" w:sz="8" w:space="0" w:color="auto"/>
              <w:bottom w:val="single" w:sz="8" w:space="0" w:color="auto"/>
            </w:tcBorders>
            <w:shd w:val="clear" w:color="auto" w:fill="auto"/>
            <w:noWrap/>
            <w:vAlign w:val="center"/>
            <w:hideMark/>
          </w:tcPr>
          <w:p w14:paraId="52D65C03" w14:textId="77777777" w:rsidR="004720C0" w:rsidRPr="00D14CD7" w:rsidRDefault="004720C0" w:rsidP="004720C0">
            <w:pPr>
              <w:spacing w:after="0" w:line="240" w:lineRule="auto"/>
              <w:jc w:val="right"/>
              <w:rPr>
                <w:rFonts w:eastAsia="Times New Roman"/>
                <w:color w:val="000000" w:themeColor="text1"/>
                <w:sz w:val="16"/>
                <w:szCs w:val="16"/>
              </w:rPr>
            </w:pPr>
            <w:r w:rsidRPr="00D14CD7">
              <w:rPr>
                <w:rFonts w:eastAsia="Times New Roman"/>
                <w:color w:val="000000" w:themeColor="text1"/>
                <w:sz w:val="16"/>
                <w:szCs w:val="16"/>
              </w:rPr>
              <w:t>0.337</w:t>
            </w:r>
          </w:p>
        </w:tc>
        <w:tc>
          <w:tcPr>
            <w:tcW w:w="188" w:type="pct"/>
            <w:tcBorders>
              <w:top w:val="single" w:sz="8" w:space="0" w:color="auto"/>
              <w:bottom w:val="single" w:sz="8" w:space="0" w:color="auto"/>
            </w:tcBorders>
            <w:shd w:val="clear" w:color="auto" w:fill="auto"/>
            <w:noWrap/>
            <w:vAlign w:val="center"/>
            <w:hideMark/>
          </w:tcPr>
          <w:p w14:paraId="0494CF30" w14:textId="77777777" w:rsidR="004720C0" w:rsidRPr="00D14CD7" w:rsidRDefault="004720C0" w:rsidP="004720C0">
            <w:pPr>
              <w:spacing w:after="0" w:line="240" w:lineRule="auto"/>
              <w:jc w:val="right"/>
              <w:rPr>
                <w:rFonts w:eastAsia="Times New Roman"/>
                <w:color w:val="000000" w:themeColor="text1"/>
                <w:sz w:val="16"/>
                <w:szCs w:val="16"/>
              </w:rPr>
            </w:pPr>
            <w:r w:rsidRPr="00D14CD7">
              <w:rPr>
                <w:rFonts w:eastAsia="Times New Roman"/>
                <w:color w:val="000000" w:themeColor="text1"/>
                <w:sz w:val="16"/>
                <w:szCs w:val="16"/>
              </w:rPr>
              <w:t>2.12</w:t>
            </w:r>
          </w:p>
        </w:tc>
        <w:tc>
          <w:tcPr>
            <w:tcW w:w="188" w:type="pct"/>
            <w:tcBorders>
              <w:top w:val="single" w:sz="8" w:space="0" w:color="auto"/>
              <w:bottom w:val="single" w:sz="8" w:space="0" w:color="auto"/>
            </w:tcBorders>
            <w:shd w:val="clear" w:color="auto" w:fill="auto"/>
            <w:noWrap/>
            <w:vAlign w:val="center"/>
            <w:hideMark/>
          </w:tcPr>
          <w:p w14:paraId="5BDD0DB9" w14:textId="77777777" w:rsidR="004720C0" w:rsidRPr="00D14CD7" w:rsidRDefault="004720C0" w:rsidP="004720C0">
            <w:pPr>
              <w:spacing w:after="0" w:line="240" w:lineRule="auto"/>
              <w:jc w:val="right"/>
              <w:rPr>
                <w:rFonts w:eastAsia="Times New Roman"/>
                <w:color w:val="000000" w:themeColor="text1"/>
                <w:sz w:val="16"/>
                <w:szCs w:val="16"/>
              </w:rPr>
            </w:pPr>
            <w:r w:rsidRPr="00D14CD7">
              <w:rPr>
                <w:rFonts w:eastAsia="Times New Roman"/>
                <w:color w:val="000000" w:themeColor="text1"/>
                <w:sz w:val="16"/>
                <w:szCs w:val="16"/>
              </w:rPr>
              <w:t>-0.174</w:t>
            </w:r>
          </w:p>
        </w:tc>
        <w:tc>
          <w:tcPr>
            <w:tcW w:w="159" w:type="pct"/>
            <w:tcBorders>
              <w:top w:val="single" w:sz="8" w:space="0" w:color="auto"/>
              <w:bottom w:val="single" w:sz="8" w:space="0" w:color="auto"/>
              <w:right w:val="double" w:sz="4" w:space="0" w:color="auto"/>
            </w:tcBorders>
            <w:shd w:val="clear" w:color="auto" w:fill="auto"/>
            <w:noWrap/>
            <w:vAlign w:val="center"/>
            <w:hideMark/>
          </w:tcPr>
          <w:p w14:paraId="4A644F45" w14:textId="77777777" w:rsidR="004720C0" w:rsidRPr="00D14CD7" w:rsidRDefault="004720C0" w:rsidP="004720C0">
            <w:pPr>
              <w:spacing w:after="0" w:line="240" w:lineRule="auto"/>
              <w:jc w:val="right"/>
              <w:rPr>
                <w:rFonts w:eastAsia="Times New Roman"/>
                <w:color w:val="000000" w:themeColor="text1"/>
                <w:sz w:val="16"/>
                <w:szCs w:val="16"/>
              </w:rPr>
            </w:pPr>
            <w:r w:rsidRPr="00D14CD7">
              <w:rPr>
                <w:rFonts w:eastAsia="Times New Roman"/>
                <w:color w:val="000000" w:themeColor="text1"/>
                <w:sz w:val="16"/>
                <w:szCs w:val="16"/>
              </w:rPr>
              <w:t>-1.89</w:t>
            </w:r>
          </w:p>
        </w:tc>
        <w:tc>
          <w:tcPr>
            <w:tcW w:w="189" w:type="pct"/>
            <w:tcBorders>
              <w:top w:val="single" w:sz="8" w:space="0" w:color="auto"/>
              <w:left w:val="double" w:sz="4" w:space="0" w:color="auto"/>
              <w:bottom w:val="single" w:sz="8" w:space="0" w:color="auto"/>
            </w:tcBorders>
            <w:shd w:val="clear" w:color="auto" w:fill="auto"/>
            <w:noWrap/>
            <w:vAlign w:val="center"/>
            <w:hideMark/>
          </w:tcPr>
          <w:p w14:paraId="0541D479" w14:textId="77777777" w:rsidR="004720C0" w:rsidRPr="00D14CD7" w:rsidRDefault="004720C0" w:rsidP="004720C0">
            <w:pPr>
              <w:spacing w:after="0" w:line="240" w:lineRule="auto"/>
              <w:jc w:val="right"/>
              <w:rPr>
                <w:rFonts w:eastAsia="Times New Roman"/>
                <w:color w:val="000000" w:themeColor="text1"/>
                <w:sz w:val="16"/>
                <w:szCs w:val="16"/>
              </w:rPr>
            </w:pPr>
            <w:r w:rsidRPr="00D14CD7">
              <w:rPr>
                <w:rFonts w:eastAsia="Times New Roman"/>
                <w:color w:val="000000" w:themeColor="text1"/>
                <w:sz w:val="16"/>
                <w:szCs w:val="16"/>
              </w:rPr>
              <w:t>1.293</w:t>
            </w:r>
          </w:p>
        </w:tc>
        <w:tc>
          <w:tcPr>
            <w:tcW w:w="159" w:type="pct"/>
            <w:tcBorders>
              <w:top w:val="single" w:sz="8" w:space="0" w:color="auto"/>
              <w:bottom w:val="single" w:sz="8" w:space="0" w:color="auto"/>
            </w:tcBorders>
            <w:shd w:val="clear" w:color="auto" w:fill="auto"/>
            <w:noWrap/>
            <w:vAlign w:val="center"/>
            <w:hideMark/>
          </w:tcPr>
          <w:p w14:paraId="4980E798" w14:textId="77777777" w:rsidR="004720C0" w:rsidRPr="00D14CD7" w:rsidRDefault="004720C0" w:rsidP="004720C0">
            <w:pPr>
              <w:spacing w:after="0" w:line="240" w:lineRule="auto"/>
              <w:jc w:val="right"/>
              <w:rPr>
                <w:rFonts w:eastAsia="Times New Roman"/>
                <w:color w:val="000000" w:themeColor="text1"/>
                <w:sz w:val="16"/>
                <w:szCs w:val="16"/>
              </w:rPr>
            </w:pPr>
            <w:r w:rsidRPr="00D14CD7">
              <w:rPr>
                <w:rFonts w:eastAsia="Times New Roman"/>
                <w:color w:val="000000" w:themeColor="text1"/>
                <w:sz w:val="16"/>
                <w:szCs w:val="16"/>
              </w:rPr>
              <w:t>2.68</w:t>
            </w:r>
          </w:p>
        </w:tc>
        <w:tc>
          <w:tcPr>
            <w:tcW w:w="187" w:type="pct"/>
            <w:tcBorders>
              <w:top w:val="single" w:sz="8" w:space="0" w:color="auto"/>
              <w:bottom w:val="single" w:sz="8" w:space="0" w:color="auto"/>
            </w:tcBorders>
            <w:shd w:val="clear" w:color="auto" w:fill="auto"/>
            <w:noWrap/>
            <w:vAlign w:val="center"/>
            <w:hideMark/>
          </w:tcPr>
          <w:p w14:paraId="7141908D" w14:textId="77777777" w:rsidR="004720C0" w:rsidRPr="00D14CD7" w:rsidRDefault="004720C0" w:rsidP="004720C0">
            <w:pPr>
              <w:spacing w:after="0" w:line="240" w:lineRule="auto"/>
              <w:jc w:val="right"/>
              <w:rPr>
                <w:rFonts w:eastAsia="Times New Roman"/>
                <w:color w:val="000000" w:themeColor="text1"/>
                <w:sz w:val="16"/>
                <w:szCs w:val="16"/>
              </w:rPr>
            </w:pPr>
            <w:r w:rsidRPr="00D14CD7">
              <w:rPr>
                <w:rFonts w:eastAsia="Times New Roman"/>
                <w:color w:val="000000" w:themeColor="text1"/>
                <w:sz w:val="16"/>
                <w:szCs w:val="16"/>
              </w:rPr>
              <w:t>0.916</w:t>
            </w:r>
          </w:p>
        </w:tc>
        <w:tc>
          <w:tcPr>
            <w:tcW w:w="188" w:type="pct"/>
            <w:tcBorders>
              <w:top w:val="single" w:sz="8" w:space="0" w:color="auto"/>
              <w:bottom w:val="single" w:sz="8" w:space="0" w:color="auto"/>
            </w:tcBorders>
            <w:shd w:val="clear" w:color="auto" w:fill="auto"/>
            <w:noWrap/>
            <w:vAlign w:val="center"/>
            <w:hideMark/>
          </w:tcPr>
          <w:p w14:paraId="7B53655C" w14:textId="77777777" w:rsidR="004720C0" w:rsidRPr="00D14CD7" w:rsidRDefault="004720C0" w:rsidP="004720C0">
            <w:pPr>
              <w:spacing w:after="0" w:line="240" w:lineRule="auto"/>
              <w:jc w:val="right"/>
              <w:rPr>
                <w:rFonts w:eastAsia="Times New Roman"/>
                <w:color w:val="000000" w:themeColor="text1"/>
                <w:sz w:val="16"/>
                <w:szCs w:val="16"/>
              </w:rPr>
            </w:pPr>
            <w:r w:rsidRPr="00D14CD7">
              <w:rPr>
                <w:rFonts w:eastAsia="Times New Roman"/>
                <w:color w:val="000000" w:themeColor="text1"/>
                <w:sz w:val="16"/>
                <w:szCs w:val="16"/>
              </w:rPr>
              <w:t>2.75</w:t>
            </w:r>
          </w:p>
        </w:tc>
        <w:tc>
          <w:tcPr>
            <w:tcW w:w="188" w:type="pct"/>
            <w:tcBorders>
              <w:top w:val="single" w:sz="8" w:space="0" w:color="auto"/>
              <w:bottom w:val="single" w:sz="8" w:space="0" w:color="auto"/>
            </w:tcBorders>
            <w:shd w:val="clear" w:color="auto" w:fill="auto"/>
            <w:noWrap/>
            <w:vAlign w:val="center"/>
            <w:hideMark/>
          </w:tcPr>
          <w:p w14:paraId="4964693E" w14:textId="77777777" w:rsidR="004720C0" w:rsidRPr="00D14CD7" w:rsidRDefault="004720C0" w:rsidP="004720C0">
            <w:pPr>
              <w:spacing w:after="0" w:line="240" w:lineRule="auto"/>
              <w:jc w:val="right"/>
              <w:rPr>
                <w:rFonts w:eastAsia="Times New Roman"/>
                <w:color w:val="000000" w:themeColor="text1"/>
                <w:sz w:val="16"/>
                <w:szCs w:val="16"/>
              </w:rPr>
            </w:pPr>
            <w:r w:rsidRPr="00D14CD7">
              <w:rPr>
                <w:rFonts w:eastAsia="Times New Roman"/>
                <w:color w:val="000000" w:themeColor="text1"/>
                <w:sz w:val="16"/>
                <w:szCs w:val="16"/>
              </w:rPr>
              <w:t>0.350</w:t>
            </w:r>
          </w:p>
        </w:tc>
        <w:tc>
          <w:tcPr>
            <w:tcW w:w="188" w:type="pct"/>
            <w:tcBorders>
              <w:top w:val="single" w:sz="8" w:space="0" w:color="auto"/>
              <w:bottom w:val="single" w:sz="8" w:space="0" w:color="auto"/>
            </w:tcBorders>
            <w:shd w:val="clear" w:color="auto" w:fill="auto"/>
            <w:noWrap/>
            <w:vAlign w:val="center"/>
            <w:hideMark/>
          </w:tcPr>
          <w:p w14:paraId="2C263BE0" w14:textId="77777777" w:rsidR="004720C0" w:rsidRPr="00D14CD7" w:rsidRDefault="004720C0" w:rsidP="004720C0">
            <w:pPr>
              <w:spacing w:after="0" w:line="240" w:lineRule="auto"/>
              <w:jc w:val="right"/>
              <w:rPr>
                <w:rFonts w:eastAsia="Times New Roman"/>
                <w:color w:val="000000" w:themeColor="text1"/>
                <w:sz w:val="16"/>
                <w:szCs w:val="16"/>
              </w:rPr>
            </w:pPr>
            <w:r w:rsidRPr="00D14CD7">
              <w:rPr>
                <w:rFonts w:eastAsia="Times New Roman"/>
                <w:color w:val="000000" w:themeColor="text1"/>
                <w:sz w:val="16"/>
                <w:szCs w:val="16"/>
              </w:rPr>
              <w:t>0.70</w:t>
            </w:r>
          </w:p>
        </w:tc>
        <w:tc>
          <w:tcPr>
            <w:tcW w:w="155" w:type="pct"/>
            <w:tcBorders>
              <w:top w:val="single" w:sz="8" w:space="0" w:color="auto"/>
              <w:bottom w:val="single" w:sz="8" w:space="0" w:color="auto"/>
            </w:tcBorders>
            <w:shd w:val="clear" w:color="auto" w:fill="auto"/>
            <w:noWrap/>
            <w:vAlign w:val="center"/>
            <w:hideMark/>
          </w:tcPr>
          <w:p w14:paraId="51D3DDBC" w14:textId="77777777" w:rsidR="004720C0" w:rsidRPr="00D14CD7" w:rsidRDefault="004720C0" w:rsidP="004720C0">
            <w:pPr>
              <w:spacing w:after="0" w:line="240" w:lineRule="auto"/>
              <w:jc w:val="right"/>
              <w:rPr>
                <w:rFonts w:eastAsia="Times New Roman"/>
                <w:color w:val="000000" w:themeColor="text1"/>
                <w:sz w:val="16"/>
                <w:szCs w:val="16"/>
              </w:rPr>
            </w:pPr>
            <w:r w:rsidRPr="00D14CD7">
              <w:rPr>
                <w:rFonts w:eastAsia="Times New Roman"/>
                <w:color w:val="000000" w:themeColor="text1"/>
                <w:sz w:val="16"/>
                <w:szCs w:val="16"/>
              </w:rPr>
              <w:t>1.382</w:t>
            </w:r>
          </w:p>
        </w:tc>
        <w:tc>
          <w:tcPr>
            <w:tcW w:w="158" w:type="pct"/>
            <w:tcBorders>
              <w:top w:val="single" w:sz="8" w:space="0" w:color="auto"/>
              <w:bottom w:val="single" w:sz="8" w:space="0" w:color="auto"/>
              <w:right w:val="double" w:sz="4" w:space="0" w:color="auto"/>
            </w:tcBorders>
            <w:shd w:val="clear" w:color="auto" w:fill="auto"/>
            <w:noWrap/>
            <w:vAlign w:val="center"/>
            <w:hideMark/>
          </w:tcPr>
          <w:p w14:paraId="47EE5B93" w14:textId="77777777" w:rsidR="004720C0" w:rsidRPr="00D14CD7" w:rsidRDefault="004720C0" w:rsidP="004720C0">
            <w:pPr>
              <w:spacing w:after="0" w:line="240" w:lineRule="auto"/>
              <w:jc w:val="right"/>
              <w:rPr>
                <w:rFonts w:eastAsia="Times New Roman"/>
                <w:color w:val="000000" w:themeColor="text1"/>
                <w:sz w:val="16"/>
                <w:szCs w:val="16"/>
              </w:rPr>
            </w:pPr>
            <w:r w:rsidRPr="00D14CD7">
              <w:rPr>
                <w:rFonts w:eastAsia="Times New Roman"/>
                <w:color w:val="000000" w:themeColor="text1"/>
                <w:sz w:val="16"/>
                <w:szCs w:val="16"/>
              </w:rPr>
              <w:t>4.45</w:t>
            </w:r>
          </w:p>
        </w:tc>
        <w:tc>
          <w:tcPr>
            <w:tcW w:w="188" w:type="pct"/>
            <w:tcBorders>
              <w:top w:val="single" w:sz="8" w:space="0" w:color="auto"/>
              <w:left w:val="double" w:sz="4" w:space="0" w:color="auto"/>
              <w:bottom w:val="single" w:sz="8" w:space="0" w:color="auto"/>
            </w:tcBorders>
            <w:shd w:val="clear" w:color="auto" w:fill="auto"/>
            <w:noWrap/>
            <w:vAlign w:val="center"/>
            <w:hideMark/>
          </w:tcPr>
          <w:p w14:paraId="1E3BEDEC" w14:textId="77777777" w:rsidR="004720C0" w:rsidRPr="00D14CD7" w:rsidRDefault="004720C0" w:rsidP="004720C0">
            <w:pPr>
              <w:spacing w:after="0" w:line="240" w:lineRule="auto"/>
              <w:jc w:val="right"/>
              <w:rPr>
                <w:rFonts w:eastAsia="Times New Roman"/>
                <w:color w:val="000000" w:themeColor="text1"/>
                <w:sz w:val="16"/>
                <w:szCs w:val="16"/>
              </w:rPr>
            </w:pPr>
            <w:r w:rsidRPr="00D14CD7">
              <w:rPr>
                <w:rFonts w:eastAsia="Times New Roman"/>
                <w:color w:val="000000" w:themeColor="text1"/>
                <w:sz w:val="16"/>
                <w:szCs w:val="16"/>
              </w:rPr>
              <w:t>3.425</w:t>
            </w:r>
          </w:p>
        </w:tc>
        <w:tc>
          <w:tcPr>
            <w:tcW w:w="171" w:type="pct"/>
            <w:tcBorders>
              <w:top w:val="single" w:sz="8" w:space="0" w:color="auto"/>
              <w:bottom w:val="single" w:sz="8" w:space="0" w:color="auto"/>
            </w:tcBorders>
            <w:shd w:val="clear" w:color="auto" w:fill="auto"/>
            <w:noWrap/>
            <w:vAlign w:val="center"/>
            <w:hideMark/>
          </w:tcPr>
          <w:p w14:paraId="7C233033" w14:textId="77777777" w:rsidR="004720C0" w:rsidRPr="00D14CD7" w:rsidRDefault="004720C0" w:rsidP="004720C0">
            <w:pPr>
              <w:spacing w:after="0" w:line="240" w:lineRule="auto"/>
              <w:jc w:val="right"/>
              <w:rPr>
                <w:rFonts w:eastAsia="Times New Roman"/>
                <w:color w:val="000000" w:themeColor="text1"/>
                <w:sz w:val="16"/>
                <w:szCs w:val="16"/>
              </w:rPr>
            </w:pPr>
            <w:r w:rsidRPr="00D14CD7">
              <w:rPr>
                <w:rFonts w:eastAsia="Times New Roman"/>
                <w:color w:val="000000" w:themeColor="text1"/>
                <w:sz w:val="16"/>
                <w:szCs w:val="16"/>
              </w:rPr>
              <w:t>9.71</w:t>
            </w:r>
          </w:p>
        </w:tc>
      </w:tr>
      <w:tr w:rsidR="00D14CD7" w:rsidRPr="00D14CD7" w14:paraId="16380EB2" w14:textId="77777777" w:rsidTr="00286339">
        <w:trPr>
          <w:trHeight w:val="72"/>
        </w:trPr>
        <w:tc>
          <w:tcPr>
            <w:tcW w:w="5000" w:type="pct"/>
            <w:gridSpan w:val="19"/>
            <w:tcBorders>
              <w:top w:val="single" w:sz="8" w:space="0" w:color="auto"/>
              <w:bottom w:val="single" w:sz="4" w:space="0" w:color="auto"/>
            </w:tcBorders>
            <w:shd w:val="clear" w:color="auto" w:fill="auto"/>
            <w:noWrap/>
            <w:vAlign w:val="center"/>
            <w:hideMark/>
          </w:tcPr>
          <w:p w14:paraId="45E5A6AD" w14:textId="1BEFECBF" w:rsidR="004720C0" w:rsidRPr="00D14CD7" w:rsidRDefault="004720C0" w:rsidP="004720C0">
            <w:pPr>
              <w:spacing w:after="0" w:line="240" w:lineRule="auto"/>
              <w:jc w:val="left"/>
              <w:rPr>
                <w:rFonts w:eastAsia="Times New Roman"/>
                <w:color w:val="000000" w:themeColor="text1"/>
                <w:sz w:val="20"/>
                <w:szCs w:val="20"/>
              </w:rPr>
            </w:pPr>
            <w:r w:rsidRPr="00D14CD7">
              <w:rPr>
                <w:rFonts w:eastAsia="Times New Roman"/>
                <w:b/>
                <w:bCs/>
                <w:color w:val="000000" w:themeColor="text1"/>
                <w:sz w:val="16"/>
                <w:szCs w:val="16"/>
              </w:rPr>
              <w:t>Threshold</w:t>
            </w:r>
            <w:r w:rsidR="004E4033" w:rsidRPr="00D14CD7">
              <w:rPr>
                <w:rFonts w:eastAsia="Times New Roman"/>
                <w:b/>
                <w:bCs/>
                <w:color w:val="000000" w:themeColor="text1"/>
                <w:sz w:val="16"/>
                <w:szCs w:val="16"/>
              </w:rPr>
              <w:t xml:space="preserve"> Shifters</w:t>
            </w:r>
          </w:p>
        </w:tc>
      </w:tr>
      <w:tr w:rsidR="00D14CD7" w:rsidRPr="00D14CD7" w14:paraId="65CDC5D9" w14:textId="77777777" w:rsidTr="004720C0">
        <w:trPr>
          <w:trHeight w:val="72"/>
        </w:trPr>
        <w:tc>
          <w:tcPr>
            <w:tcW w:w="1719" w:type="pct"/>
            <w:tcBorders>
              <w:top w:val="single" w:sz="4" w:space="0" w:color="auto"/>
              <w:bottom w:val="single" w:sz="4" w:space="0" w:color="auto"/>
              <w:right w:val="double" w:sz="4" w:space="0" w:color="auto"/>
            </w:tcBorders>
            <w:shd w:val="clear" w:color="auto" w:fill="auto"/>
            <w:noWrap/>
            <w:vAlign w:val="center"/>
            <w:hideMark/>
          </w:tcPr>
          <w:p w14:paraId="7F987FF4" w14:textId="77777777" w:rsidR="004720C0" w:rsidRPr="00D14CD7" w:rsidRDefault="004720C0" w:rsidP="004720C0">
            <w:pPr>
              <w:spacing w:after="0" w:line="240" w:lineRule="auto"/>
              <w:ind w:firstLineChars="100" w:firstLine="160"/>
              <w:jc w:val="left"/>
              <w:rPr>
                <w:rFonts w:eastAsia="Times New Roman"/>
                <w:color w:val="000000" w:themeColor="text1"/>
                <w:sz w:val="16"/>
                <w:szCs w:val="16"/>
              </w:rPr>
            </w:pPr>
            <w:r w:rsidRPr="00D14CD7">
              <w:rPr>
                <w:rFonts w:eastAsia="Times New Roman"/>
                <w:color w:val="000000" w:themeColor="text1"/>
                <w:sz w:val="16"/>
                <w:szCs w:val="16"/>
              </w:rPr>
              <w:t>0 | 1</w:t>
            </w:r>
          </w:p>
        </w:tc>
        <w:tc>
          <w:tcPr>
            <w:tcW w:w="217" w:type="pct"/>
            <w:tcBorders>
              <w:left w:val="double" w:sz="4" w:space="0" w:color="auto"/>
            </w:tcBorders>
            <w:shd w:val="clear" w:color="auto" w:fill="auto"/>
            <w:noWrap/>
            <w:vAlign w:val="center"/>
            <w:hideMark/>
          </w:tcPr>
          <w:p w14:paraId="1871A3D0" w14:textId="77777777" w:rsidR="004720C0" w:rsidRPr="00D14CD7" w:rsidRDefault="004720C0" w:rsidP="004720C0">
            <w:pPr>
              <w:spacing w:after="0" w:line="240" w:lineRule="auto"/>
              <w:jc w:val="right"/>
              <w:rPr>
                <w:rFonts w:eastAsia="Times New Roman"/>
                <w:color w:val="000000" w:themeColor="text1"/>
                <w:sz w:val="16"/>
                <w:szCs w:val="16"/>
              </w:rPr>
            </w:pPr>
            <w:r w:rsidRPr="00D14CD7">
              <w:rPr>
                <w:rFonts w:eastAsia="Times New Roman"/>
                <w:color w:val="000000" w:themeColor="text1"/>
                <w:sz w:val="16"/>
                <w:szCs w:val="16"/>
              </w:rPr>
              <w:t>—</w:t>
            </w:r>
          </w:p>
        </w:tc>
        <w:tc>
          <w:tcPr>
            <w:tcW w:w="195" w:type="pct"/>
            <w:shd w:val="clear" w:color="auto" w:fill="auto"/>
            <w:noWrap/>
            <w:vAlign w:val="center"/>
            <w:hideMark/>
          </w:tcPr>
          <w:p w14:paraId="5AA612E4" w14:textId="77777777" w:rsidR="004720C0" w:rsidRPr="00D14CD7" w:rsidRDefault="004720C0" w:rsidP="004720C0">
            <w:pPr>
              <w:spacing w:after="0" w:line="240" w:lineRule="auto"/>
              <w:jc w:val="right"/>
              <w:rPr>
                <w:rFonts w:eastAsia="Times New Roman"/>
                <w:color w:val="000000" w:themeColor="text1"/>
                <w:sz w:val="16"/>
                <w:szCs w:val="16"/>
              </w:rPr>
            </w:pPr>
            <w:r w:rsidRPr="00D14CD7">
              <w:rPr>
                <w:rFonts w:eastAsia="Times New Roman"/>
                <w:color w:val="000000" w:themeColor="text1"/>
                <w:sz w:val="16"/>
                <w:szCs w:val="16"/>
              </w:rPr>
              <w:t>—</w:t>
            </w:r>
          </w:p>
        </w:tc>
        <w:tc>
          <w:tcPr>
            <w:tcW w:w="188" w:type="pct"/>
            <w:shd w:val="clear" w:color="auto" w:fill="auto"/>
            <w:noWrap/>
            <w:vAlign w:val="center"/>
            <w:hideMark/>
          </w:tcPr>
          <w:p w14:paraId="302F94BD" w14:textId="77777777" w:rsidR="004720C0" w:rsidRPr="00D14CD7" w:rsidRDefault="004720C0" w:rsidP="004720C0">
            <w:pPr>
              <w:spacing w:after="0" w:line="240" w:lineRule="auto"/>
              <w:jc w:val="right"/>
              <w:rPr>
                <w:rFonts w:eastAsia="Times New Roman"/>
                <w:color w:val="000000" w:themeColor="text1"/>
                <w:sz w:val="16"/>
                <w:szCs w:val="16"/>
              </w:rPr>
            </w:pPr>
            <w:r w:rsidRPr="00D14CD7">
              <w:rPr>
                <w:rFonts w:eastAsia="Times New Roman"/>
                <w:color w:val="000000" w:themeColor="text1"/>
                <w:sz w:val="16"/>
                <w:szCs w:val="16"/>
              </w:rPr>
              <w:t>—</w:t>
            </w:r>
          </w:p>
        </w:tc>
        <w:tc>
          <w:tcPr>
            <w:tcW w:w="188" w:type="pct"/>
            <w:shd w:val="clear" w:color="auto" w:fill="auto"/>
            <w:noWrap/>
            <w:vAlign w:val="center"/>
            <w:hideMark/>
          </w:tcPr>
          <w:p w14:paraId="2C69DD52" w14:textId="77777777" w:rsidR="004720C0" w:rsidRPr="00D14CD7" w:rsidRDefault="004720C0" w:rsidP="004720C0">
            <w:pPr>
              <w:spacing w:after="0" w:line="240" w:lineRule="auto"/>
              <w:jc w:val="right"/>
              <w:rPr>
                <w:rFonts w:eastAsia="Times New Roman"/>
                <w:color w:val="000000" w:themeColor="text1"/>
                <w:sz w:val="16"/>
                <w:szCs w:val="16"/>
              </w:rPr>
            </w:pPr>
            <w:r w:rsidRPr="00D14CD7">
              <w:rPr>
                <w:rFonts w:eastAsia="Times New Roman"/>
                <w:color w:val="000000" w:themeColor="text1"/>
                <w:sz w:val="16"/>
                <w:szCs w:val="16"/>
              </w:rPr>
              <w:t>—</w:t>
            </w:r>
          </w:p>
        </w:tc>
        <w:tc>
          <w:tcPr>
            <w:tcW w:w="188" w:type="pct"/>
            <w:shd w:val="clear" w:color="auto" w:fill="auto"/>
            <w:noWrap/>
            <w:vAlign w:val="center"/>
            <w:hideMark/>
          </w:tcPr>
          <w:p w14:paraId="745C5147" w14:textId="77777777" w:rsidR="004720C0" w:rsidRPr="00D14CD7" w:rsidRDefault="004720C0" w:rsidP="004720C0">
            <w:pPr>
              <w:spacing w:after="0" w:line="240" w:lineRule="auto"/>
              <w:jc w:val="right"/>
              <w:rPr>
                <w:rFonts w:eastAsia="Times New Roman"/>
                <w:color w:val="000000" w:themeColor="text1"/>
                <w:sz w:val="16"/>
                <w:szCs w:val="16"/>
              </w:rPr>
            </w:pPr>
            <w:r w:rsidRPr="00D14CD7">
              <w:rPr>
                <w:rFonts w:eastAsia="Times New Roman"/>
                <w:color w:val="000000" w:themeColor="text1"/>
                <w:sz w:val="16"/>
                <w:szCs w:val="16"/>
              </w:rPr>
              <w:t>—</w:t>
            </w:r>
          </w:p>
        </w:tc>
        <w:tc>
          <w:tcPr>
            <w:tcW w:w="188" w:type="pct"/>
            <w:shd w:val="clear" w:color="auto" w:fill="auto"/>
            <w:noWrap/>
            <w:vAlign w:val="center"/>
            <w:hideMark/>
          </w:tcPr>
          <w:p w14:paraId="14A6FD5E" w14:textId="77777777" w:rsidR="004720C0" w:rsidRPr="00D14CD7" w:rsidRDefault="004720C0" w:rsidP="004720C0">
            <w:pPr>
              <w:spacing w:after="0" w:line="240" w:lineRule="auto"/>
              <w:jc w:val="right"/>
              <w:rPr>
                <w:rFonts w:eastAsia="Times New Roman"/>
                <w:color w:val="000000" w:themeColor="text1"/>
                <w:sz w:val="16"/>
                <w:szCs w:val="16"/>
              </w:rPr>
            </w:pPr>
            <w:r w:rsidRPr="00D14CD7">
              <w:rPr>
                <w:rFonts w:eastAsia="Times New Roman"/>
                <w:color w:val="000000" w:themeColor="text1"/>
                <w:sz w:val="16"/>
                <w:szCs w:val="16"/>
              </w:rPr>
              <w:t>—</w:t>
            </w:r>
          </w:p>
        </w:tc>
        <w:tc>
          <w:tcPr>
            <w:tcW w:w="188" w:type="pct"/>
            <w:shd w:val="clear" w:color="auto" w:fill="auto"/>
            <w:noWrap/>
            <w:vAlign w:val="center"/>
            <w:hideMark/>
          </w:tcPr>
          <w:p w14:paraId="6552BA44" w14:textId="77777777" w:rsidR="004720C0" w:rsidRPr="00D14CD7" w:rsidRDefault="004720C0" w:rsidP="004720C0">
            <w:pPr>
              <w:spacing w:after="0" w:line="240" w:lineRule="auto"/>
              <w:jc w:val="right"/>
              <w:rPr>
                <w:rFonts w:eastAsia="Times New Roman"/>
                <w:color w:val="000000" w:themeColor="text1"/>
                <w:sz w:val="16"/>
                <w:szCs w:val="16"/>
              </w:rPr>
            </w:pPr>
            <w:r w:rsidRPr="00D14CD7">
              <w:rPr>
                <w:rFonts w:eastAsia="Times New Roman"/>
                <w:color w:val="000000" w:themeColor="text1"/>
                <w:sz w:val="16"/>
                <w:szCs w:val="16"/>
              </w:rPr>
              <w:t>—</w:t>
            </w:r>
          </w:p>
        </w:tc>
        <w:tc>
          <w:tcPr>
            <w:tcW w:w="159" w:type="pct"/>
            <w:tcBorders>
              <w:right w:val="double" w:sz="4" w:space="0" w:color="auto"/>
            </w:tcBorders>
            <w:shd w:val="clear" w:color="auto" w:fill="auto"/>
            <w:noWrap/>
            <w:vAlign w:val="center"/>
            <w:hideMark/>
          </w:tcPr>
          <w:p w14:paraId="31C0A89B" w14:textId="77777777" w:rsidR="004720C0" w:rsidRPr="00D14CD7" w:rsidRDefault="004720C0" w:rsidP="004720C0">
            <w:pPr>
              <w:spacing w:after="0" w:line="240" w:lineRule="auto"/>
              <w:jc w:val="right"/>
              <w:rPr>
                <w:rFonts w:eastAsia="Times New Roman"/>
                <w:color w:val="000000" w:themeColor="text1"/>
                <w:sz w:val="16"/>
                <w:szCs w:val="16"/>
              </w:rPr>
            </w:pPr>
            <w:r w:rsidRPr="00D14CD7">
              <w:rPr>
                <w:rFonts w:eastAsia="Times New Roman"/>
                <w:color w:val="000000" w:themeColor="text1"/>
                <w:sz w:val="16"/>
                <w:szCs w:val="16"/>
              </w:rPr>
              <w:t>—</w:t>
            </w:r>
          </w:p>
        </w:tc>
        <w:tc>
          <w:tcPr>
            <w:tcW w:w="189" w:type="pct"/>
            <w:tcBorders>
              <w:top w:val="single" w:sz="4" w:space="0" w:color="auto"/>
              <w:left w:val="double" w:sz="4" w:space="0" w:color="auto"/>
              <w:bottom w:val="single" w:sz="4" w:space="0" w:color="auto"/>
            </w:tcBorders>
            <w:shd w:val="clear" w:color="auto" w:fill="auto"/>
            <w:noWrap/>
            <w:vAlign w:val="center"/>
            <w:hideMark/>
          </w:tcPr>
          <w:p w14:paraId="47111D59" w14:textId="77777777" w:rsidR="004720C0" w:rsidRPr="00D14CD7" w:rsidRDefault="004720C0" w:rsidP="004720C0">
            <w:pPr>
              <w:spacing w:after="0" w:line="240" w:lineRule="auto"/>
              <w:jc w:val="right"/>
              <w:rPr>
                <w:rFonts w:eastAsia="Times New Roman"/>
                <w:color w:val="000000" w:themeColor="text1"/>
                <w:sz w:val="16"/>
                <w:szCs w:val="16"/>
              </w:rPr>
            </w:pPr>
            <w:r w:rsidRPr="00D14CD7">
              <w:rPr>
                <w:rFonts w:eastAsia="Times New Roman"/>
                <w:color w:val="000000" w:themeColor="text1"/>
                <w:sz w:val="16"/>
                <w:szCs w:val="16"/>
              </w:rPr>
              <w:t>—</w:t>
            </w:r>
          </w:p>
        </w:tc>
        <w:tc>
          <w:tcPr>
            <w:tcW w:w="159" w:type="pct"/>
            <w:tcBorders>
              <w:top w:val="single" w:sz="4" w:space="0" w:color="auto"/>
              <w:bottom w:val="single" w:sz="4" w:space="0" w:color="auto"/>
            </w:tcBorders>
            <w:shd w:val="clear" w:color="auto" w:fill="auto"/>
            <w:noWrap/>
            <w:vAlign w:val="center"/>
            <w:hideMark/>
          </w:tcPr>
          <w:p w14:paraId="769FAD68" w14:textId="77777777" w:rsidR="004720C0" w:rsidRPr="00D14CD7" w:rsidRDefault="004720C0" w:rsidP="004720C0">
            <w:pPr>
              <w:spacing w:after="0" w:line="240" w:lineRule="auto"/>
              <w:jc w:val="right"/>
              <w:rPr>
                <w:rFonts w:eastAsia="Times New Roman"/>
                <w:color w:val="000000" w:themeColor="text1"/>
                <w:sz w:val="16"/>
                <w:szCs w:val="16"/>
              </w:rPr>
            </w:pPr>
            <w:r w:rsidRPr="00D14CD7">
              <w:rPr>
                <w:rFonts w:eastAsia="Times New Roman"/>
                <w:color w:val="000000" w:themeColor="text1"/>
                <w:sz w:val="16"/>
                <w:szCs w:val="16"/>
              </w:rPr>
              <w:t>—</w:t>
            </w:r>
          </w:p>
        </w:tc>
        <w:tc>
          <w:tcPr>
            <w:tcW w:w="187" w:type="pct"/>
            <w:tcBorders>
              <w:top w:val="single" w:sz="4" w:space="0" w:color="auto"/>
              <w:bottom w:val="single" w:sz="4" w:space="0" w:color="auto"/>
            </w:tcBorders>
            <w:shd w:val="clear" w:color="auto" w:fill="auto"/>
            <w:noWrap/>
            <w:vAlign w:val="center"/>
            <w:hideMark/>
          </w:tcPr>
          <w:p w14:paraId="66CC52F5" w14:textId="77777777" w:rsidR="004720C0" w:rsidRPr="00D14CD7" w:rsidRDefault="004720C0" w:rsidP="004720C0">
            <w:pPr>
              <w:spacing w:after="0" w:line="240" w:lineRule="auto"/>
              <w:jc w:val="right"/>
              <w:rPr>
                <w:rFonts w:eastAsia="Times New Roman"/>
                <w:color w:val="000000" w:themeColor="text1"/>
                <w:sz w:val="16"/>
                <w:szCs w:val="16"/>
              </w:rPr>
            </w:pPr>
            <w:r w:rsidRPr="00D14CD7">
              <w:rPr>
                <w:rFonts w:eastAsia="Times New Roman"/>
                <w:color w:val="000000" w:themeColor="text1"/>
                <w:sz w:val="16"/>
                <w:szCs w:val="16"/>
              </w:rPr>
              <w:t>—</w:t>
            </w:r>
          </w:p>
        </w:tc>
        <w:tc>
          <w:tcPr>
            <w:tcW w:w="188" w:type="pct"/>
            <w:tcBorders>
              <w:top w:val="single" w:sz="4" w:space="0" w:color="auto"/>
              <w:bottom w:val="single" w:sz="4" w:space="0" w:color="auto"/>
            </w:tcBorders>
            <w:shd w:val="clear" w:color="auto" w:fill="auto"/>
            <w:noWrap/>
            <w:vAlign w:val="center"/>
            <w:hideMark/>
          </w:tcPr>
          <w:p w14:paraId="47977BA9" w14:textId="77777777" w:rsidR="004720C0" w:rsidRPr="00D14CD7" w:rsidRDefault="004720C0" w:rsidP="004720C0">
            <w:pPr>
              <w:spacing w:after="0" w:line="240" w:lineRule="auto"/>
              <w:jc w:val="right"/>
              <w:rPr>
                <w:rFonts w:eastAsia="Times New Roman"/>
                <w:color w:val="000000" w:themeColor="text1"/>
                <w:sz w:val="16"/>
                <w:szCs w:val="16"/>
              </w:rPr>
            </w:pPr>
            <w:r w:rsidRPr="00D14CD7">
              <w:rPr>
                <w:rFonts w:eastAsia="Times New Roman"/>
                <w:color w:val="000000" w:themeColor="text1"/>
                <w:sz w:val="16"/>
                <w:szCs w:val="16"/>
              </w:rPr>
              <w:t>—</w:t>
            </w:r>
          </w:p>
        </w:tc>
        <w:tc>
          <w:tcPr>
            <w:tcW w:w="188" w:type="pct"/>
            <w:tcBorders>
              <w:top w:val="single" w:sz="4" w:space="0" w:color="auto"/>
              <w:bottom w:val="single" w:sz="4" w:space="0" w:color="auto"/>
            </w:tcBorders>
            <w:shd w:val="clear" w:color="auto" w:fill="auto"/>
            <w:noWrap/>
            <w:vAlign w:val="center"/>
            <w:hideMark/>
          </w:tcPr>
          <w:p w14:paraId="196FE980" w14:textId="77777777" w:rsidR="004720C0" w:rsidRPr="00D14CD7" w:rsidRDefault="004720C0" w:rsidP="004720C0">
            <w:pPr>
              <w:spacing w:after="0" w:line="240" w:lineRule="auto"/>
              <w:jc w:val="right"/>
              <w:rPr>
                <w:rFonts w:eastAsia="Times New Roman"/>
                <w:color w:val="000000" w:themeColor="text1"/>
                <w:sz w:val="16"/>
                <w:szCs w:val="16"/>
              </w:rPr>
            </w:pPr>
            <w:r w:rsidRPr="00D14CD7">
              <w:rPr>
                <w:rFonts w:eastAsia="Times New Roman"/>
                <w:color w:val="000000" w:themeColor="text1"/>
                <w:sz w:val="16"/>
                <w:szCs w:val="16"/>
              </w:rPr>
              <w:t>—</w:t>
            </w:r>
          </w:p>
        </w:tc>
        <w:tc>
          <w:tcPr>
            <w:tcW w:w="188" w:type="pct"/>
            <w:tcBorders>
              <w:top w:val="single" w:sz="4" w:space="0" w:color="auto"/>
              <w:bottom w:val="single" w:sz="4" w:space="0" w:color="auto"/>
            </w:tcBorders>
            <w:shd w:val="clear" w:color="auto" w:fill="auto"/>
            <w:noWrap/>
            <w:vAlign w:val="center"/>
            <w:hideMark/>
          </w:tcPr>
          <w:p w14:paraId="755D8493" w14:textId="77777777" w:rsidR="004720C0" w:rsidRPr="00D14CD7" w:rsidRDefault="004720C0" w:rsidP="004720C0">
            <w:pPr>
              <w:spacing w:after="0" w:line="240" w:lineRule="auto"/>
              <w:jc w:val="right"/>
              <w:rPr>
                <w:rFonts w:eastAsia="Times New Roman"/>
                <w:color w:val="000000" w:themeColor="text1"/>
                <w:sz w:val="16"/>
                <w:szCs w:val="16"/>
              </w:rPr>
            </w:pPr>
            <w:r w:rsidRPr="00D14CD7">
              <w:rPr>
                <w:rFonts w:eastAsia="Times New Roman"/>
                <w:color w:val="000000" w:themeColor="text1"/>
                <w:sz w:val="16"/>
                <w:szCs w:val="16"/>
              </w:rPr>
              <w:t>—</w:t>
            </w:r>
          </w:p>
        </w:tc>
        <w:tc>
          <w:tcPr>
            <w:tcW w:w="155" w:type="pct"/>
            <w:tcBorders>
              <w:top w:val="single" w:sz="4" w:space="0" w:color="auto"/>
              <w:bottom w:val="single" w:sz="4" w:space="0" w:color="auto"/>
            </w:tcBorders>
            <w:shd w:val="clear" w:color="auto" w:fill="auto"/>
            <w:noWrap/>
            <w:vAlign w:val="center"/>
            <w:hideMark/>
          </w:tcPr>
          <w:p w14:paraId="1FB3FAA2" w14:textId="77777777" w:rsidR="004720C0" w:rsidRPr="00D14CD7" w:rsidRDefault="004720C0" w:rsidP="004720C0">
            <w:pPr>
              <w:spacing w:after="0" w:line="240" w:lineRule="auto"/>
              <w:jc w:val="right"/>
              <w:rPr>
                <w:rFonts w:eastAsia="Times New Roman"/>
                <w:color w:val="000000" w:themeColor="text1"/>
                <w:sz w:val="16"/>
                <w:szCs w:val="16"/>
              </w:rPr>
            </w:pPr>
            <w:r w:rsidRPr="00D14CD7">
              <w:rPr>
                <w:rFonts w:eastAsia="Times New Roman"/>
                <w:color w:val="000000" w:themeColor="text1"/>
                <w:sz w:val="16"/>
                <w:szCs w:val="16"/>
              </w:rPr>
              <w:t>—</w:t>
            </w:r>
          </w:p>
        </w:tc>
        <w:tc>
          <w:tcPr>
            <w:tcW w:w="158" w:type="pct"/>
            <w:tcBorders>
              <w:top w:val="single" w:sz="4" w:space="0" w:color="auto"/>
              <w:bottom w:val="single" w:sz="4" w:space="0" w:color="auto"/>
              <w:right w:val="double" w:sz="4" w:space="0" w:color="auto"/>
            </w:tcBorders>
            <w:shd w:val="clear" w:color="auto" w:fill="auto"/>
            <w:noWrap/>
            <w:vAlign w:val="center"/>
            <w:hideMark/>
          </w:tcPr>
          <w:p w14:paraId="56A2DCCF" w14:textId="77777777" w:rsidR="004720C0" w:rsidRPr="00D14CD7" w:rsidRDefault="004720C0" w:rsidP="004720C0">
            <w:pPr>
              <w:spacing w:after="0" w:line="240" w:lineRule="auto"/>
              <w:jc w:val="right"/>
              <w:rPr>
                <w:rFonts w:eastAsia="Times New Roman"/>
                <w:color w:val="000000" w:themeColor="text1"/>
                <w:sz w:val="16"/>
                <w:szCs w:val="16"/>
              </w:rPr>
            </w:pPr>
            <w:r w:rsidRPr="00D14CD7">
              <w:rPr>
                <w:rFonts w:eastAsia="Times New Roman"/>
                <w:color w:val="000000" w:themeColor="text1"/>
                <w:sz w:val="16"/>
                <w:szCs w:val="16"/>
              </w:rPr>
              <w:t>—</w:t>
            </w:r>
          </w:p>
        </w:tc>
        <w:tc>
          <w:tcPr>
            <w:tcW w:w="188" w:type="pct"/>
            <w:tcBorders>
              <w:top w:val="single" w:sz="4" w:space="0" w:color="auto"/>
              <w:left w:val="double" w:sz="4" w:space="0" w:color="auto"/>
              <w:bottom w:val="single" w:sz="4" w:space="0" w:color="auto"/>
            </w:tcBorders>
            <w:shd w:val="clear" w:color="auto" w:fill="auto"/>
            <w:noWrap/>
            <w:vAlign w:val="center"/>
            <w:hideMark/>
          </w:tcPr>
          <w:p w14:paraId="40FDE7BC" w14:textId="77777777" w:rsidR="004720C0" w:rsidRPr="00D14CD7" w:rsidRDefault="004720C0" w:rsidP="004720C0">
            <w:pPr>
              <w:spacing w:after="0" w:line="240" w:lineRule="auto"/>
              <w:jc w:val="right"/>
              <w:rPr>
                <w:rFonts w:eastAsia="Times New Roman"/>
                <w:color w:val="000000" w:themeColor="text1"/>
                <w:sz w:val="16"/>
                <w:szCs w:val="16"/>
              </w:rPr>
            </w:pPr>
            <w:r w:rsidRPr="00D14CD7">
              <w:rPr>
                <w:rFonts w:eastAsia="Times New Roman"/>
                <w:color w:val="000000" w:themeColor="text1"/>
                <w:sz w:val="16"/>
                <w:szCs w:val="16"/>
              </w:rPr>
              <w:t>4.213</w:t>
            </w:r>
          </w:p>
        </w:tc>
        <w:tc>
          <w:tcPr>
            <w:tcW w:w="171" w:type="pct"/>
            <w:tcBorders>
              <w:top w:val="single" w:sz="4" w:space="0" w:color="auto"/>
              <w:bottom w:val="single" w:sz="4" w:space="0" w:color="auto"/>
            </w:tcBorders>
            <w:shd w:val="clear" w:color="auto" w:fill="auto"/>
            <w:noWrap/>
            <w:vAlign w:val="center"/>
            <w:hideMark/>
          </w:tcPr>
          <w:p w14:paraId="67AFFEC5" w14:textId="77777777" w:rsidR="004720C0" w:rsidRPr="00D14CD7" w:rsidRDefault="004720C0" w:rsidP="004720C0">
            <w:pPr>
              <w:spacing w:after="0" w:line="240" w:lineRule="auto"/>
              <w:jc w:val="right"/>
              <w:rPr>
                <w:rFonts w:eastAsia="Times New Roman"/>
                <w:color w:val="000000" w:themeColor="text1"/>
                <w:sz w:val="16"/>
                <w:szCs w:val="16"/>
              </w:rPr>
            </w:pPr>
            <w:r w:rsidRPr="00D14CD7">
              <w:rPr>
                <w:rFonts w:eastAsia="Times New Roman"/>
                <w:color w:val="000000" w:themeColor="text1"/>
                <w:sz w:val="16"/>
                <w:szCs w:val="16"/>
              </w:rPr>
              <w:t>17.55</w:t>
            </w:r>
          </w:p>
        </w:tc>
      </w:tr>
      <w:tr w:rsidR="00D14CD7" w:rsidRPr="00D14CD7" w14:paraId="7D3522AA" w14:textId="77777777" w:rsidTr="004720C0">
        <w:trPr>
          <w:trHeight w:val="72"/>
        </w:trPr>
        <w:tc>
          <w:tcPr>
            <w:tcW w:w="1719" w:type="pct"/>
            <w:tcBorders>
              <w:top w:val="single" w:sz="4" w:space="0" w:color="auto"/>
              <w:bottom w:val="single" w:sz="4" w:space="0" w:color="auto"/>
              <w:right w:val="double" w:sz="4" w:space="0" w:color="auto"/>
            </w:tcBorders>
            <w:shd w:val="clear" w:color="auto" w:fill="auto"/>
            <w:noWrap/>
            <w:vAlign w:val="center"/>
            <w:hideMark/>
          </w:tcPr>
          <w:p w14:paraId="222C0075" w14:textId="77777777" w:rsidR="004720C0" w:rsidRPr="00D14CD7" w:rsidRDefault="004720C0" w:rsidP="004720C0">
            <w:pPr>
              <w:spacing w:after="0" w:line="240" w:lineRule="auto"/>
              <w:ind w:firstLineChars="100" w:firstLine="160"/>
              <w:jc w:val="left"/>
              <w:rPr>
                <w:rFonts w:eastAsia="Times New Roman"/>
                <w:color w:val="000000" w:themeColor="text1"/>
                <w:sz w:val="16"/>
                <w:szCs w:val="16"/>
              </w:rPr>
            </w:pPr>
            <w:r w:rsidRPr="00D14CD7">
              <w:rPr>
                <w:rFonts w:eastAsia="Times New Roman"/>
                <w:color w:val="000000" w:themeColor="text1"/>
                <w:sz w:val="16"/>
                <w:szCs w:val="16"/>
              </w:rPr>
              <w:t>1 | 2</w:t>
            </w:r>
          </w:p>
        </w:tc>
        <w:tc>
          <w:tcPr>
            <w:tcW w:w="217" w:type="pct"/>
            <w:tcBorders>
              <w:left w:val="double" w:sz="4" w:space="0" w:color="auto"/>
            </w:tcBorders>
            <w:shd w:val="clear" w:color="auto" w:fill="auto"/>
            <w:noWrap/>
            <w:vAlign w:val="center"/>
            <w:hideMark/>
          </w:tcPr>
          <w:p w14:paraId="0D1A4E31" w14:textId="77777777" w:rsidR="004720C0" w:rsidRPr="00D14CD7" w:rsidRDefault="004720C0" w:rsidP="004720C0">
            <w:pPr>
              <w:spacing w:after="0" w:line="240" w:lineRule="auto"/>
              <w:jc w:val="right"/>
              <w:rPr>
                <w:rFonts w:eastAsia="Times New Roman"/>
                <w:color w:val="000000" w:themeColor="text1"/>
                <w:sz w:val="16"/>
                <w:szCs w:val="16"/>
              </w:rPr>
            </w:pPr>
            <w:r w:rsidRPr="00D14CD7">
              <w:rPr>
                <w:rFonts w:eastAsia="Times New Roman"/>
                <w:color w:val="000000" w:themeColor="text1"/>
                <w:sz w:val="16"/>
                <w:szCs w:val="16"/>
              </w:rPr>
              <w:t>—</w:t>
            </w:r>
          </w:p>
        </w:tc>
        <w:tc>
          <w:tcPr>
            <w:tcW w:w="195" w:type="pct"/>
            <w:shd w:val="clear" w:color="auto" w:fill="auto"/>
            <w:noWrap/>
            <w:vAlign w:val="center"/>
            <w:hideMark/>
          </w:tcPr>
          <w:p w14:paraId="45365E6E" w14:textId="77777777" w:rsidR="004720C0" w:rsidRPr="00D14CD7" w:rsidRDefault="004720C0" w:rsidP="004720C0">
            <w:pPr>
              <w:spacing w:after="0" w:line="240" w:lineRule="auto"/>
              <w:jc w:val="right"/>
              <w:rPr>
                <w:rFonts w:eastAsia="Times New Roman"/>
                <w:color w:val="000000" w:themeColor="text1"/>
                <w:sz w:val="16"/>
                <w:szCs w:val="16"/>
              </w:rPr>
            </w:pPr>
            <w:r w:rsidRPr="00D14CD7">
              <w:rPr>
                <w:rFonts w:eastAsia="Times New Roman"/>
                <w:color w:val="000000" w:themeColor="text1"/>
                <w:sz w:val="16"/>
                <w:szCs w:val="16"/>
              </w:rPr>
              <w:t>—</w:t>
            </w:r>
          </w:p>
        </w:tc>
        <w:tc>
          <w:tcPr>
            <w:tcW w:w="188" w:type="pct"/>
            <w:shd w:val="clear" w:color="auto" w:fill="auto"/>
            <w:noWrap/>
            <w:vAlign w:val="center"/>
            <w:hideMark/>
          </w:tcPr>
          <w:p w14:paraId="51D17761" w14:textId="77777777" w:rsidR="004720C0" w:rsidRPr="00D14CD7" w:rsidRDefault="004720C0" w:rsidP="004720C0">
            <w:pPr>
              <w:spacing w:after="0" w:line="240" w:lineRule="auto"/>
              <w:jc w:val="right"/>
              <w:rPr>
                <w:rFonts w:eastAsia="Times New Roman"/>
                <w:color w:val="000000" w:themeColor="text1"/>
                <w:sz w:val="16"/>
                <w:szCs w:val="16"/>
              </w:rPr>
            </w:pPr>
            <w:r w:rsidRPr="00D14CD7">
              <w:rPr>
                <w:rFonts w:eastAsia="Times New Roman"/>
                <w:color w:val="000000" w:themeColor="text1"/>
                <w:sz w:val="16"/>
                <w:szCs w:val="16"/>
              </w:rPr>
              <w:t>—</w:t>
            </w:r>
          </w:p>
        </w:tc>
        <w:tc>
          <w:tcPr>
            <w:tcW w:w="188" w:type="pct"/>
            <w:shd w:val="clear" w:color="auto" w:fill="auto"/>
            <w:noWrap/>
            <w:vAlign w:val="center"/>
            <w:hideMark/>
          </w:tcPr>
          <w:p w14:paraId="6BDDA0C6" w14:textId="77777777" w:rsidR="004720C0" w:rsidRPr="00D14CD7" w:rsidRDefault="004720C0" w:rsidP="004720C0">
            <w:pPr>
              <w:spacing w:after="0" w:line="240" w:lineRule="auto"/>
              <w:jc w:val="right"/>
              <w:rPr>
                <w:rFonts w:eastAsia="Times New Roman"/>
                <w:color w:val="000000" w:themeColor="text1"/>
                <w:sz w:val="16"/>
                <w:szCs w:val="16"/>
              </w:rPr>
            </w:pPr>
            <w:r w:rsidRPr="00D14CD7">
              <w:rPr>
                <w:rFonts w:eastAsia="Times New Roman"/>
                <w:color w:val="000000" w:themeColor="text1"/>
                <w:sz w:val="16"/>
                <w:szCs w:val="16"/>
              </w:rPr>
              <w:t>—</w:t>
            </w:r>
          </w:p>
        </w:tc>
        <w:tc>
          <w:tcPr>
            <w:tcW w:w="188" w:type="pct"/>
            <w:shd w:val="clear" w:color="auto" w:fill="auto"/>
            <w:noWrap/>
            <w:vAlign w:val="center"/>
            <w:hideMark/>
          </w:tcPr>
          <w:p w14:paraId="306DB248" w14:textId="77777777" w:rsidR="004720C0" w:rsidRPr="00D14CD7" w:rsidRDefault="004720C0" w:rsidP="004720C0">
            <w:pPr>
              <w:spacing w:after="0" w:line="240" w:lineRule="auto"/>
              <w:jc w:val="right"/>
              <w:rPr>
                <w:rFonts w:eastAsia="Times New Roman"/>
                <w:color w:val="000000" w:themeColor="text1"/>
                <w:sz w:val="16"/>
                <w:szCs w:val="16"/>
              </w:rPr>
            </w:pPr>
            <w:r w:rsidRPr="00D14CD7">
              <w:rPr>
                <w:rFonts w:eastAsia="Times New Roman"/>
                <w:color w:val="000000" w:themeColor="text1"/>
                <w:sz w:val="16"/>
                <w:szCs w:val="16"/>
              </w:rPr>
              <w:t>—</w:t>
            </w:r>
          </w:p>
        </w:tc>
        <w:tc>
          <w:tcPr>
            <w:tcW w:w="188" w:type="pct"/>
            <w:shd w:val="clear" w:color="auto" w:fill="auto"/>
            <w:noWrap/>
            <w:vAlign w:val="center"/>
            <w:hideMark/>
          </w:tcPr>
          <w:p w14:paraId="7B5D52CA" w14:textId="77777777" w:rsidR="004720C0" w:rsidRPr="00D14CD7" w:rsidRDefault="004720C0" w:rsidP="004720C0">
            <w:pPr>
              <w:spacing w:after="0" w:line="240" w:lineRule="auto"/>
              <w:jc w:val="right"/>
              <w:rPr>
                <w:rFonts w:eastAsia="Times New Roman"/>
                <w:color w:val="000000" w:themeColor="text1"/>
                <w:sz w:val="16"/>
                <w:szCs w:val="16"/>
              </w:rPr>
            </w:pPr>
            <w:r w:rsidRPr="00D14CD7">
              <w:rPr>
                <w:rFonts w:eastAsia="Times New Roman"/>
                <w:color w:val="000000" w:themeColor="text1"/>
                <w:sz w:val="16"/>
                <w:szCs w:val="16"/>
              </w:rPr>
              <w:t>—</w:t>
            </w:r>
          </w:p>
        </w:tc>
        <w:tc>
          <w:tcPr>
            <w:tcW w:w="188" w:type="pct"/>
            <w:shd w:val="clear" w:color="auto" w:fill="auto"/>
            <w:noWrap/>
            <w:vAlign w:val="center"/>
            <w:hideMark/>
          </w:tcPr>
          <w:p w14:paraId="463DF908" w14:textId="77777777" w:rsidR="004720C0" w:rsidRPr="00D14CD7" w:rsidRDefault="004720C0" w:rsidP="004720C0">
            <w:pPr>
              <w:spacing w:after="0" w:line="240" w:lineRule="auto"/>
              <w:jc w:val="right"/>
              <w:rPr>
                <w:rFonts w:eastAsia="Times New Roman"/>
                <w:color w:val="000000" w:themeColor="text1"/>
                <w:sz w:val="16"/>
                <w:szCs w:val="16"/>
              </w:rPr>
            </w:pPr>
            <w:r w:rsidRPr="00D14CD7">
              <w:rPr>
                <w:rFonts w:eastAsia="Times New Roman"/>
                <w:color w:val="000000" w:themeColor="text1"/>
                <w:sz w:val="16"/>
                <w:szCs w:val="16"/>
              </w:rPr>
              <w:t>—</w:t>
            </w:r>
          </w:p>
        </w:tc>
        <w:tc>
          <w:tcPr>
            <w:tcW w:w="159" w:type="pct"/>
            <w:tcBorders>
              <w:right w:val="double" w:sz="4" w:space="0" w:color="auto"/>
            </w:tcBorders>
            <w:shd w:val="clear" w:color="auto" w:fill="auto"/>
            <w:noWrap/>
            <w:vAlign w:val="center"/>
            <w:hideMark/>
          </w:tcPr>
          <w:p w14:paraId="5287863D" w14:textId="77777777" w:rsidR="004720C0" w:rsidRPr="00D14CD7" w:rsidRDefault="004720C0" w:rsidP="004720C0">
            <w:pPr>
              <w:spacing w:after="0" w:line="240" w:lineRule="auto"/>
              <w:jc w:val="right"/>
              <w:rPr>
                <w:rFonts w:eastAsia="Times New Roman"/>
                <w:color w:val="000000" w:themeColor="text1"/>
                <w:sz w:val="16"/>
                <w:szCs w:val="16"/>
              </w:rPr>
            </w:pPr>
            <w:r w:rsidRPr="00D14CD7">
              <w:rPr>
                <w:rFonts w:eastAsia="Times New Roman"/>
                <w:color w:val="000000" w:themeColor="text1"/>
                <w:sz w:val="16"/>
                <w:szCs w:val="16"/>
              </w:rPr>
              <w:t>—</w:t>
            </w:r>
          </w:p>
        </w:tc>
        <w:tc>
          <w:tcPr>
            <w:tcW w:w="189" w:type="pct"/>
            <w:tcBorders>
              <w:top w:val="single" w:sz="4" w:space="0" w:color="auto"/>
              <w:left w:val="double" w:sz="4" w:space="0" w:color="auto"/>
              <w:bottom w:val="single" w:sz="4" w:space="0" w:color="auto"/>
            </w:tcBorders>
            <w:shd w:val="clear" w:color="auto" w:fill="auto"/>
            <w:noWrap/>
            <w:vAlign w:val="center"/>
            <w:hideMark/>
          </w:tcPr>
          <w:p w14:paraId="3435C64D" w14:textId="77777777" w:rsidR="004720C0" w:rsidRPr="00D14CD7" w:rsidRDefault="004720C0" w:rsidP="004720C0">
            <w:pPr>
              <w:spacing w:after="0" w:line="240" w:lineRule="auto"/>
              <w:jc w:val="right"/>
              <w:rPr>
                <w:rFonts w:eastAsia="Times New Roman"/>
                <w:color w:val="000000" w:themeColor="text1"/>
                <w:sz w:val="16"/>
                <w:szCs w:val="16"/>
              </w:rPr>
            </w:pPr>
            <w:r w:rsidRPr="00D14CD7">
              <w:rPr>
                <w:rFonts w:eastAsia="Times New Roman"/>
                <w:color w:val="000000" w:themeColor="text1"/>
                <w:sz w:val="16"/>
                <w:szCs w:val="16"/>
              </w:rPr>
              <w:t>—</w:t>
            </w:r>
          </w:p>
        </w:tc>
        <w:tc>
          <w:tcPr>
            <w:tcW w:w="159" w:type="pct"/>
            <w:tcBorders>
              <w:top w:val="single" w:sz="4" w:space="0" w:color="auto"/>
              <w:bottom w:val="single" w:sz="4" w:space="0" w:color="auto"/>
            </w:tcBorders>
            <w:shd w:val="clear" w:color="auto" w:fill="auto"/>
            <w:noWrap/>
            <w:vAlign w:val="center"/>
            <w:hideMark/>
          </w:tcPr>
          <w:p w14:paraId="0E054048" w14:textId="77777777" w:rsidR="004720C0" w:rsidRPr="00D14CD7" w:rsidRDefault="004720C0" w:rsidP="004720C0">
            <w:pPr>
              <w:spacing w:after="0" w:line="240" w:lineRule="auto"/>
              <w:jc w:val="right"/>
              <w:rPr>
                <w:rFonts w:eastAsia="Times New Roman"/>
                <w:color w:val="000000" w:themeColor="text1"/>
                <w:sz w:val="16"/>
                <w:szCs w:val="16"/>
              </w:rPr>
            </w:pPr>
            <w:r w:rsidRPr="00D14CD7">
              <w:rPr>
                <w:rFonts w:eastAsia="Times New Roman"/>
                <w:color w:val="000000" w:themeColor="text1"/>
                <w:sz w:val="16"/>
                <w:szCs w:val="16"/>
              </w:rPr>
              <w:t>—</w:t>
            </w:r>
          </w:p>
        </w:tc>
        <w:tc>
          <w:tcPr>
            <w:tcW w:w="187" w:type="pct"/>
            <w:tcBorders>
              <w:top w:val="single" w:sz="4" w:space="0" w:color="auto"/>
              <w:bottom w:val="single" w:sz="4" w:space="0" w:color="auto"/>
            </w:tcBorders>
            <w:shd w:val="clear" w:color="auto" w:fill="auto"/>
            <w:noWrap/>
            <w:vAlign w:val="center"/>
            <w:hideMark/>
          </w:tcPr>
          <w:p w14:paraId="7A7FC87E" w14:textId="77777777" w:rsidR="004720C0" w:rsidRPr="00D14CD7" w:rsidRDefault="004720C0" w:rsidP="004720C0">
            <w:pPr>
              <w:spacing w:after="0" w:line="240" w:lineRule="auto"/>
              <w:jc w:val="right"/>
              <w:rPr>
                <w:rFonts w:eastAsia="Times New Roman"/>
                <w:color w:val="000000" w:themeColor="text1"/>
                <w:sz w:val="16"/>
                <w:szCs w:val="16"/>
              </w:rPr>
            </w:pPr>
            <w:r w:rsidRPr="00D14CD7">
              <w:rPr>
                <w:rFonts w:eastAsia="Times New Roman"/>
                <w:color w:val="000000" w:themeColor="text1"/>
                <w:sz w:val="16"/>
                <w:szCs w:val="16"/>
              </w:rPr>
              <w:t>—</w:t>
            </w:r>
          </w:p>
        </w:tc>
        <w:tc>
          <w:tcPr>
            <w:tcW w:w="188" w:type="pct"/>
            <w:tcBorders>
              <w:top w:val="single" w:sz="4" w:space="0" w:color="auto"/>
              <w:bottom w:val="single" w:sz="4" w:space="0" w:color="auto"/>
            </w:tcBorders>
            <w:shd w:val="clear" w:color="auto" w:fill="auto"/>
            <w:noWrap/>
            <w:vAlign w:val="center"/>
            <w:hideMark/>
          </w:tcPr>
          <w:p w14:paraId="133B8EC6" w14:textId="77777777" w:rsidR="004720C0" w:rsidRPr="00D14CD7" w:rsidRDefault="004720C0" w:rsidP="004720C0">
            <w:pPr>
              <w:spacing w:after="0" w:line="240" w:lineRule="auto"/>
              <w:jc w:val="right"/>
              <w:rPr>
                <w:rFonts w:eastAsia="Times New Roman"/>
                <w:color w:val="000000" w:themeColor="text1"/>
                <w:sz w:val="16"/>
                <w:szCs w:val="16"/>
              </w:rPr>
            </w:pPr>
            <w:r w:rsidRPr="00D14CD7">
              <w:rPr>
                <w:rFonts w:eastAsia="Times New Roman"/>
                <w:color w:val="000000" w:themeColor="text1"/>
                <w:sz w:val="16"/>
                <w:szCs w:val="16"/>
              </w:rPr>
              <w:t>—</w:t>
            </w:r>
          </w:p>
        </w:tc>
        <w:tc>
          <w:tcPr>
            <w:tcW w:w="188" w:type="pct"/>
            <w:tcBorders>
              <w:top w:val="single" w:sz="4" w:space="0" w:color="auto"/>
              <w:bottom w:val="single" w:sz="4" w:space="0" w:color="auto"/>
            </w:tcBorders>
            <w:shd w:val="clear" w:color="auto" w:fill="auto"/>
            <w:noWrap/>
            <w:vAlign w:val="center"/>
            <w:hideMark/>
          </w:tcPr>
          <w:p w14:paraId="6EE1054A" w14:textId="77777777" w:rsidR="004720C0" w:rsidRPr="00D14CD7" w:rsidRDefault="004720C0" w:rsidP="004720C0">
            <w:pPr>
              <w:spacing w:after="0" w:line="240" w:lineRule="auto"/>
              <w:jc w:val="right"/>
              <w:rPr>
                <w:rFonts w:eastAsia="Times New Roman"/>
                <w:color w:val="000000" w:themeColor="text1"/>
                <w:sz w:val="16"/>
                <w:szCs w:val="16"/>
              </w:rPr>
            </w:pPr>
            <w:r w:rsidRPr="00D14CD7">
              <w:rPr>
                <w:rFonts w:eastAsia="Times New Roman"/>
                <w:color w:val="000000" w:themeColor="text1"/>
                <w:sz w:val="16"/>
                <w:szCs w:val="16"/>
              </w:rPr>
              <w:t>—</w:t>
            </w:r>
          </w:p>
        </w:tc>
        <w:tc>
          <w:tcPr>
            <w:tcW w:w="188" w:type="pct"/>
            <w:tcBorders>
              <w:top w:val="single" w:sz="4" w:space="0" w:color="auto"/>
              <w:bottom w:val="single" w:sz="4" w:space="0" w:color="auto"/>
            </w:tcBorders>
            <w:shd w:val="clear" w:color="auto" w:fill="auto"/>
            <w:noWrap/>
            <w:vAlign w:val="center"/>
            <w:hideMark/>
          </w:tcPr>
          <w:p w14:paraId="4994CD09" w14:textId="77777777" w:rsidR="004720C0" w:rsidRPr="00D14CD7" w:rsidRDefault="004720C0" w:rsidP="004720C0">
            <w:pPr>
              <w:spacing w:after="0" w:line="240" w:lineRule="auto"/>
              <w:jc w:val="right"/>
              <w:rPr>
                <w:rFonts w:eastAsia="Times New Roman"/>
                <w:color w:val="000000" w:themeColor="text1"/>
                <w:sz w:val="16"/>
                <w:szCs w:val="16"/>
              </w:rPr>
            </w:pPr>
            <w:r w:rsidRPr="00D14CD7">
              <w:rPr>
                <w:rFonts w:eastAsia="Times New Roman"/>
                <w:color w:val="000000" w:themeColor="text1"/>
                <w:sz w:val="16"/>
                <w:szCs w:val="16"/>
              </w:rPr>
              <w:t>—</w:t>
            </w:r>
          </w:p>
        </w:tc>
        <w:tc>
          <w:tcPr>
            <w:tcW w:w="155" w:type="pct"/>
            <w:tcBorders>
              <w:top w:val="single" w:sz="4" w:space="0" w:color="auto"/>
              <w:bottom w:val="single" w:sz="4" w:space="0" w:color="auto"/>
            </w:tcBorders>
            <w:shd w:val="clear" w:color="auto" w:fill="auto"/>
            <w:noWrap/>
            <w:vAlign w:val="center"/>
            <w:hideMark/>
          </w:tcPr>
          <w:p w14:paraId="6C8AB480" w14:textId="77777777" w:rsidR="004720C0" w:rsidRPr="00D14CD7" w:rsidRDefault="004720C0" w:rsidP="004720C0">
            <w:pPr>
              <w:spacing w:after="0" w:line="240" w:lineRule="auto"/>
              <w:jc w:val="right"/>
              <w:rPr>
                <w:rFonts w:eastAsia="Times New Roman"/>
                <w:color w:val="000000" w:themeColor="text1"/>
                <w:sz w:val="16"/>
                <w:szCs w:val="16"/>
              </w:rPr>
            </w:pPr>
            <w:r w:rsidRPr="00D14CD7">
              <w:rPr>
                <w:rFonts w:eastAsia="Times New Roman"/>
                <w:color w:val="000000" w:themeColor="text1"/>
                <w:sz w:val="16"/>
                <w:szCs w:val="16"/>
              </w:rPr>
              <w:t>—</w:t>
            </w:r>
          </w:p>
        </w:tc>
        <w:tc>
          <w:tcPr>
            <w:tcW w:w="158" w:type="pct"/>
            <w:tcBorders>
              <w:top w:val="single" w:sz="4" w:space="0" w:color="auto"/>
              <w:bottom w:val="single" w:sz="4" w:space="0" w:color="auto"/>
              <w:right w:val="double" w:sz="4" w:space="0" w:color="auto"/>
            </w:tcBorders>
            <w:shd w:val="clear" w:color="auto" w:fill="auto"/>
            <w:noWrap/>
            <w:vAlign w:val="center"/>
            <w:hideMark/>
          </w:tcPr>
          <w:p w14:paraId="203B715D" w14:textId="77777777" w:rsidR="004720C0" w:rsidRPr="00D14CD7" w:rsidRDefault="004720C0" w:rsidP="004720C0">
            <w:pPr>
              <w:spacing w:after="0" w:line="240" w:lineRule="auto"/>
              <w:jc w:val="right"/>
              <w:rPr>
                <w:rFonts w:eastAsia="Times New Roman"/>
                <w:color w:val="000000" w:themeColor="text1"/>
                <w:sz w:val="16"/>
                <w:szCs w:val="16"/>
              </w:rPr>
            </w:pPr>
            <w:r w:rsidRPr="00D14CD7">
              <w:rPr>
                <w:rFonts w:eastAsia="Times New Roman"/>
                <w:color w:val="000000" w:themeColor="text1"/>
                <w:sz w:val="16"/>
                <w:szCs w:val="16"/>
              </w:rPr>
              <w:t>—</w:t>
            </w:r>
          </w:p>
        </w:tc>
        <w:tc>
          <w:tcPr>
            <w:tcW w:w="188" w:type="pct"/>
            <w:tcBorders>
              <w:top w:val="single" w:sz="4" w:space="0" w:color="auto"/>
              <w:left w:val="double" w:sz="4" w:space="0" w:color="auto"/>
              <w:bottom w:val="single" w:sz="4" w:space="0" w:color="auto"/>
            </w:tcBorders>
            <w:shd w:val="clear" w:color="auto" w:fill="auto"/>
            <w:noWrap/>
            <w:vAlign w:val="center"/>
            <w:hideMark/>
          </w:tcPr>
          <w:p w14:paraId="2378AEC4" w14:textId="77777777" w:rsidR="004720C0" w:rsidRPr="00D14CD7" w:rsidRDefault="004720C0" w:rsidP="004720C0">
            <w:pPr>
              <w:spacing w:after="0" w:line="240" w:lineRule="auto"/>
              <w:jc w:val="right"/>
              <w:rPr>
                <w:rFonts w:eastAsia="Times New Roman"/>
                <w:color w:val="000000" w:themeColor="text1"/>
                <w:sz w:val="16"/>
                <w:szCs w:val="16"/>
              </w:rPr>
            </w:pPr>
            <w:r w:rsidRPr="00D14CD7">
              <w:rPr>
                <w:rFonts w:eastAsia="Times New Roman"/>
                <w:color w:val="000000" w:themeColor="text1"/>
                <w:sz w:val="16"/>
                <w:szCs w:val="16"/>
              </w:rPr>
              <w:t>0.022</w:t>
            </w:r>
          </w:p>
        </w:tc>
        <w:tc>
          <w:tcPr>
            <w:tcW w:w="171" w:type="pct"/>
            <w:tcBorders>
              <w:top w:val="single" w:sz="4" w:space="0" w:color="auto"/>
              <w:bottom w:val="single" w:sz="4" w:space="0" w:color="auto"/>
            </w:tcBorders>
            <w:shd w:val="clear" w:color="auto" w:fill="auto"/>
            <w:noWrap/>
            <w:vAlign w:val="center"/>
            <w:hideMark/>
          </w:tcPr>
          <w:p w14:paraId="67D54E99" w14:textId="77777777" w:rsidR="004720C0" w:rsidRPr="00D14CD7" w:rsidRDefault="004720C0" w:rsidP="004720C0">
            <w:pPr>
              <w:spacing w:after="0" w:line="240" w:lineRule="auto"/>
              <w:jc w:val="right"/>
              <w:rPr>
                <w:rFonts w:eastAsia="Times New Roman"/>
                <w:color w:val="000000" w:themeColor="text1"/>
                <w:sz w:val="16"/>
                <w:szCs w:val="16"/>
              </w:rPr>
            </w:pPr>
            <w:r w:rsidRPr="00D14CD7">
              <w:rPr>
                <w:rFonts w:eastAsia="Times New Roman"/>
                <w:color w:val="000000" w:themeColor="text1"/>
                <w:sz w:val="16"/>
                <w:szCs w:val="16"/>
              </w:rPr>
              <w:t>1.43</w:t>
            </w:r>
          </w:p>
        </w:tc>
      </w:tr>
      <w:tr w:rsidR="00D14CD7" w:rsidRPr="00D14CD7" w14:paraId="6439D78F" w14:textId="77777777" w:rsidTr="004720C0">
        <w:trPr>
          <w:trHeight w:val="72"/>
        </w:trPr>
        <w:tc>
          <w:tcPr>
            <w:tcW w:w="1719" w:type="pct"/>
            <w:tcBorders>
              <w:top w:val="single" w:sz="4" w:space="0" w:color="auto"/>
              <w:bottom w:val="single" w:sz="4" w:space="0" w:color="auto"/>
              <w:right w:val="double" w:sz="4" w:space="0" w:color="auto"/>
            </w:tcBorders>
            <w:shd w:val="clear" w:color="auto" w:fill="auto"/>
            <w:noWrap/>
            <w:vAlign w:val="center"/>
            <w:hideMark/>
          </w:tcPr>
          <w:p w14:paraId="7A7FC0DA" w14:textId="77777777" w:rsidR="004720C0" w:rsidRPr="00D14CD7" w:rsidRDefault="004720C0" w:rsidP="004720C0">
            <w:pPr>
              <w:spacing w:after="0" w:line="240" w:lineRule="auto"/>
              <w:ind w:firstLineChars="100" w:firstLine="160"/>
              <w:jc w:val="left"/>
              <w:rPr>
                <w:rFonts w:eastAsia="Times New Roman"/>
                <w:color w:val="000000" w:themeColor="text1"/>
                <w:sz w:val="16"/>
                <w:szCs w:val="16"/>
              </w:rPr>
            </w:pPr>
            <w:r w:rsidRPr="00D14CD7">
              <w:rPr>
                <w:rFonts w:eastAsia="Times New Roman"/>
                <w:color w:val="000000" w:themeColor="text1"/>
                <w:sz w:val="16"/>
                <w:szCs w:val="16"/>
              </w:rPr>
              <w:t>2 | 3</w:t>
            </w:r>
          </w:p>
        </w:tc>
        <w:tc>
          <w:tcPr>
            <w:tcW w:w="217" w:type="pct"/>
            <w:tcBorders>
              <w:left w:val="double" w:sz="4" w:space="0" w:color="auto"/>
            </w:tcBorders>
            <w:shd w:val="clear" w:color="auto" w:fill="auto"/>
            <w:noWrap/>
            <w:vAlign w:val="center"/>
            <w:hideMark/>
          </w:tcPr>
          <w:p w14:paraId="12165705" w14:textId="77777777" w:rsidR="004720C0" w:rsidRPr="00D14CD7" w:rsidRDefault="004720C0" w:rsidP="004720C0">
            <w:pPr>
              <w:spacing w:after="0" w:line="240" w:lineRule="auto"/>
              <w:jc w:val="right"/>
              <w:rPr>
                <w:rFonts w:eastAsia="Times New Roman"/>
                <w:color w:val="000000" w:themeColor="text1"/>
                <w:sz w:val="16"/>
                <w:szCs w:val="16"/>
              </w:rPr>
            </w:pPr>
            <w:r w:rsidRPr="00D14CD7">
              <w:rPr>
                <w:rFonts w:eastAsia="Times New Roman"/>
                <w:color w:val="000000" w:themeColor="text1"/>
                <w:sz w:val="16"/>
                <w:szCs w:val="16"/>
              </w:rPr>
              <w:t>—</w:t>
            </w:r>
          </w:p>
        </w:tc>
        <w:tc>
          <w:tcPr>
            <w:tcW w:w="195" w:type="pct"/>
            <w:shd w:val="clear" w:color="auto" w:fill="auto"/>
            <w:noWrap/>
            <w:vAlign w:val="center"/>
            <w:hideMark/>
          </w:tcPr>
          <w:p w14:paraId="7E151CFA" w14:textId="77777777" w:rsidR="004720C0" w:rsidRPr="00D14CD7" w:rsidRDefault="004720C0" w:rsidP="004720C0">
            <w:pPr>
              <w:spacing w:after="0" w:line="240" w:lineRule="auto"/>
              <w:jc w:val="right"/>
              <w:rPr>
                <w:rFonts w:eastAsia="Times New Roman"/>
                <w:color w:val="000000" w:themeColor="text1"/>
                <w:sz w:val="16"/>
                <w:szCs w:val="16"/>
              </w:rPr>
            </w:pPr>
            <w:r w:rsidRPr="00D14CD7">
              <w:rPr>
                <w:rFonts w:eastAsia="Times New Roman"/>
                <w:color w:val="000000" w:themeColor="text1"/>
                <w:sz w:val="16"/>
                <w:szCs w:val="16"/>
              </w:rPr>
              <w:t>—</w:t>
            </w:r>
          </w:p>
        </w:tc>
        <w:tc>
          <w:tcPr>
            <w:tcW w:w="188" w:type="pct"/>
            <w:shd w:val="clear" w:color="auto" w:fill="auto"/>
            <w:noWrap/>
            <w:vAlign w:val="center"/>
            <w:hideMark/>
          </w:tcPr>
          <w:p w14:paraId="0B058B93" w14:textId="77777777" w:rsidR="004720C0" w:rsidRPr="00D14CD7" w:rsidRDefault="004720C0" w:rsidP="004720C0">
            <w:pPr>
              <w:spacing w:after="0" w:line="240" w:lineRule="auto"/>
              <w:jc w:val="right"/>
              <w:rPr>
                <w:rFonts w:eastAsia="Times New Roman"/>
                <w:color w:val="000000" w:themeColor="text1"/>
                <w:sz w:val="16"/>
                <w:szCs w:val="16"/>
              </w:rPr>
            </w:pPr>
            <w:r w:rsidRPr="00D14CD7">
              <w:rPr>
                <w:rFonts w:eastAsia="Times New Roman"/>
                <w:color w:val="000000" w:themeColor="text1"/>
                <w:sz w:val="16"/>
                <w:szCs w:val="16"/>
              </w:rPr>
              <w:t>—</w:t>
            </w:r>
          </w:p>
        </w:tc>
        <w:tc>
          <w:tcPr>
            <w:tcW w:w="188" w:type="pct"/>
            <w:shd w:val="clear" w:color="auto" w:fill="auto"/>
            <w:noWrap/>
            <w:vAlign w:val="center"/>
            <w:hideMark/>
          </w:tcPr>
          <w:p w14:paraId="6EC8377A" w14:textId="77777777" w:rsidR="004720C0" w:rsidRPr="00D14CD7" w:rsidRDefault="004720C0" w:rsidP="004720C0">
            <w:pPr>
              <w:spacing w:after="0" w:line="240" w:lineRule="auto"/>
              <w:jc w:val="right"/>
              <w:rPr>
                <w:rFonts w:eastAsia="Times New Roman"/>
                <w:color w:val="000000" w:themeColor="text1"/>
                <w:sz w:val="16"/>
                <w:szCs w:val="16"/>
              </w:rPr>
            </w:pPr>
            <w:r w:rsidRPr="00D14CD7">
              <w:rPr>
                <w:rFonts w:eastAsia="Times New Roman"/>
                <w:color w:val="000000" w:themeColor="text1"/>
                <w:sz w:val="16"/>
                <w:szCs w:val="16"/>
              </w:rPr>
              <w:t>—</w:t>
            </w:r>
          </w:p>
        </w:tc>
        <w:tc>
          <w:tcPr>
            <w:tcW w:w="188" w:type="pct"/>
            <w:shd w:val="clear" w:color="auto" w:fill="auto"/>
            <w:noWrap/>
            <w:vAlign w:val="center"/>
            <w:hideMark/>
          </w:tcPr>
          <w:p w14:paraId="1205428D" w14:textId="77777777" w:rsidR="004720C0" w:rsidRPr="00D14CD7" w:rsidRDefault="004720C0" w:rsidP="004720C0">
            <w:pPr>
              <w:spacing w:after="0" w:line="240" w:lineRule="auto"/>
              <w:jc w:val="right"/>
              <w:rPr>
                <w:rFonts w:eastAsia="Times New Roman"/>
                <w:color w:val="000000" w:themeColor="text1"/>
                <w:sz w:val="16"/>
                <w:szCs w:val="16"/>
              </w:rPr>
            </w:pPr>
            <w:r w:rsidRPr="00D14CD7">
              <w:rPr>
                <w:rFonts w:eastAsia="Times New Roman"/>
                <w:color w:val="000000" w:themeColor="text1"/>
                <w:sz w:val="16"/>
                <w:szCs w:val="16"/>
              </w:rPr>
              <w:t>—</w:t>
            </w:r>
          </w:p>
        </w:tc>
        <w:tc>
          <w:tcPr>
            <w:tcW w:w="188" w:type="pct"/>
            <w:shd w:val="clear" w:color="auto" w:fill="auto"/>
            <w:noWrap/>
            <w:vAlign w:val="center"/>
            <w:hideMark/>
          </w:tcPr>
          <w:p w14:paraId="6ED6DF2E" w14:textId="77777777" w:rsidR="004720C0" w:rsidRPr="00D14CD7" w:rsidRDefault="004720C0" w:rsidP="004720C0">
            <w:pPr>
              <w:spacing w:after="0" w:line="240" w:lineRule="auto"/>
              <w:jc w:val="right"/>
              <w:rPr>
                <w:rFonts w:eastAsia="Times New Roman"/>
                <w:color w:val="000000" w:themeColor="text1"/>
                <w:sz w:val="16"/>
                <w:szCs w:val="16"/>
              </w:rPr>
            </w:pPr>
            <w:r w:rsidRPr="00D14CD7">
              <w:rPr>
                <w:rFonts w:eastAsia="Times New Roman"/>
                <w:color w:val="000000" w:themeColor="text1"/>
                <w:sz w:val="16"/>
                <w:szCs w:val="16"/>
              </w:rPr>
              <w:t>—</w:t>
            </w:r>
          </w:p>
        </w:tc>
        <w:tc>
          <w:tcPr>
            <w:tcW w:w="188" w:type="pct"/>
            <w:shd w:val="clear" w:color="auto" w:fill="auto"/>
            <w:noWrap/>
            <w:vAlign w:val="center"/>
            <w:hideMark/>
          </w:tcPr>
          <w:p w14:paraId="443CDE3F" w14:textId="77777777" w:rsidR="004720C0" w:rsidRPr="00D14CD7" w:rsidRDefault="004720C0" w:rsidP="004720C0">
            <w:pPr>
              <w:spacing w:after="0" w:line="240" w:lineRule="auto"/>
              <w:jc w:val="right"/>
              <w:rPr>
                <w:rFonts w:eastAsia="Times New Roman"/>
                <w:color w:val="000000" w:themeColor="text1"/>
                <w:sz w:val="16"/>
                <w:szCs w:val="16"/>
              </w:rPr>
            </w:pPr>
            <w:r w:rsidRPr="00D14CD7">
              <w:rPr>
                <w:rFonts w:eastAsia="Times New Roman"/>
                <w:color w:val="000000" w:themeColor="text1"/>
                <w:sz w:val="16"/>
                <w:szCs w:val="16"/>
              </w:rPr>
              <w:t>—</w:t>
            </w:r>
          </w:p>
        </w:tc>
        <w:tc>
          <w:tcPr>
            <w:tcW w:w="159" w:type="pct"/>
            <w:tcBorders>
              <w:right w:val="double" w:sz="4" w:space="0" w:color="auto"/>
            </w:tcBorders>
            <w:shd w:val="clear" w:color="auto" w:fill="auto"/>
            <w:noWrap/>
            <w:vAlign w:val="center"/>
            <w:hideMark/>
          </w:tcPr>
          <w:p w14:paraId="6E26FE83" w14:textId="77777777" w:rsidR="004720C0" w:rsidRPr="00D14CD7" w:rsidRDefault="004720C0" w:rsidP="004720C0">
            <w:pPr>
              <w:spacing w:after="0" w:line="240" w:lineRule="auto"/>
              <w:jc w:val="right"/>
              <w:rPr>
                <w:rFonts w:eastAsia="Times New Roman"/>
                <w:color w:val="000000" w:themeColor="text1"/>
                <w:sz w:val="16"/>
                <w:szCs w:val="16"/>
              </w:rPr>
            </w:pPr>
            <w:r w:rsidRPr="00D14CD7">
              <w:rPr>
                <w:rFonts w:eastAsia="Times New Roman"/>
                <w:color w:val="000000" w:themeColor="text1"/>
                <w:sz w:val="16"/>
                <w:szCs w:val="16"/>
              </w:rPr>
              <w:t>—</w:t>
            </w:r>
          </w:p>
        </w:tc>
        <w:tc>
          <w:tcPr>
            <w:tcW w:w="189" w:type="pct"/>
            <w:tcBorders>
              <w:top w:val="single" w:sz="4" w:space="0" w:color="auto"/>
              <w:left w:val="double" w:sz="4" w:space="0" w:color="auto"/>
              <w:bottom w:val="single" w:sz="4" w:space="0" w:color="auto"/>
            </w:tcBorders>
            <w:shd w:val="clear" w:color="auto" w:fill="auto"/>
            <w:noWrap/>
            <w:vAlign w:val="center"/>
            <w:hideMark/>
          </w:tcPr>
          <w:p w14:paraId="68FEC972" w14:textId="77777777" w:rsidR="004720C0" w:rsidRPr="00D14CD7" w:rsidRDefault="004720C0" w:rsidP="004720C0">
            <w:pPr>
              <w:spacing w:after="0" w:line="240" w:lineRule="auto"/>
              <w:jc w:val="right"/>
              <w:rPr>
                <w:rFonts w:eastAsia="Times New Roman"/>
                <w:color w:val="000000" w:themeColor="text1"/>
                <w:sz w:val="16"/>
                <w:szCs w:val="16"/>
              </w:rPr>
            </w:pPr>
            <w:r w:rsidRPr="00D14CD7">
              <w:rPr>
                <w:rFonts w:eastAsia="Times New Roman"/>
                <w:color w:val="000000" w:themeColor="text1"/>
                <w:sz w:val="16"/>
                <w:szCs w:val="16"/>
              </w:rPr>
              <w:t>—</w:t>
            </w:r>
          </w:p>
        </w:tc>
        <w:tc>
          <w:tcPr>
            <w:tcW w:w="159" w:type="pct"/>
            <w:tcBorders>
              <w:top w:val="single" w:sz="4" w:space="0" w:color="auto"/>
              <w:bottom w:val="single" w:sz="4" w:space="0" w:color="auto"/>
            </w:tcBorders>
            <w:shd w:val="clear" w:color="auto" w:fill="auto"/>
            <w:noWrap/>
            <w:vAlign w:val="center"/>
            <w:hideMark/>
          </w:tcPr>
          <w:p w14:paraId="1182FCF3" w14:textId="77777777" w:rsidR="004720C0" w:rsidRPr="00D14CD7" w:rsidRDefault="004720C0" w:rsidP="004720C0">
            <w:pPr>
              <w:spacing w:after="0" w:line="240" w:lineRule="auto"/>
              <w:jc w:val="right"/>
              <w:rPr>
                <w:rFonts w:eastAsia="Times New Roman"/>
                <w:color w:val="000000" w:themeColor="text1"/>
                <w:sz w:val="16"/>
                <w:szCs w:val="16"/>
              </w:rPr>
            </w:pPr>
            <w:r w:rsidRPr="00D14CD7">
              <w:rPr>
                <w:rFonts w:eastAsia="Times New Roman"/>
                <w:color w:val="000000" w:themeColor="text1"/>
                <w:sz w:val="16"/>
                <w:szCs w:val="16"/>
              </w:rPr>
              <w:t>—</w:t>
            </w:r>
          </w:p>
        </w:tc>
        <w:tc>
          <w:tcPr>
            <w:tcW w:w="187" w:type="pct"/>
            <w:tcBorders>
              <w:top w:val="single" w:sz="4" w:space="0" w:color="auto"/>
              <w:bottom w:val="single" w:sz="4" w:space="0" w:color="auto"/>
            </w:tcBorders>
            <w:shd w:val="clear" w:color="auto" w:fill="auto"/>
            <w:noWrap/>
            <w:vAlign w:val="center"/>
            <w:hideMark/>
          </w:tcPr>
          <w:p w14:paraId="692EA448" w14:textId="77777777" w:rsidR="004720C0" w:rsidRPr="00D14CD7" w:rsidRDefault="004720C0" w:rsidP="004720C0">
            <w:pPr>
              <w:spacing w:after="0" w:line="240" w:lineRule="auto"/>
              <w:jc w:val="right"/>
              <w:rPr>
                <w:rFonts w:eastAsia="Times New Roman"/>
                <w:color w:val="000000" w:themeColor="text1"/>
                <w:sz w:val="16"/>
                <w:szCs w:val="16"/>
              </w:rPr>
            </w:pPr>
            <w:r w:rsidRPr="00D14CD7">
              <w:rPr>
                <w:rFonts w:eastAsia="Times New Roman"/>
                <w:color w:val="000000" w:themeColor="text1"/>
                <w:sz w:val="16"/>
                <w:szCs w:val="16"/>
              </w:rPr>
              <w:t>—</w:t>
            </w:r>
          </w:p>
        </w:tc>
        <w:tc>
          <w:tcPr>
            <w:tcW w:w="188" w:type="pct"/>
            <w:tcBorders>
              <w:top w:val="single" w:sz="4" w:space="0" w:color="auto"/>
              <w:bottom w:val="single" w:sz="4" w:space="0" w:color="auto"/>
            </w:tcBorders>
            <w:shd w:val="clear" w:color="auto" w:fill="auto"/>
            <w:noWrap/>
            <w:vAlign w:val="center"/>
            <w:hideMark/>
          </w:tcPr>
          <w:p w14:paraId="3D614C3A" w14:textId="77777777" w:rsidR="004720C0" w:rsidRPr="00D14CD7" w:rsidRDefault="004720C0" w:rsidP="004720C0">
            <w:pPr>
              <w:spacing w:after="0" w:line="240" w:lineRule="auto"/>
              <w:jc w:val="right"/>
              <w:rPr>
                <w:rFonts w:eastAsia="Times New Roman"/>
                <w:color w:val="000000" w:themeColor="text1"/>
                <w:sz w:val="16"/>
                <w:szCs w:val="16"/>
              </w:rPr>
            </w:pPr>
            <w:r w:rsidRPr="00D14CD7">
              <w:rPr>
                <w:rFonts w:eastAsia="Times New Roman"/>
                <w:color w:val="000000" w:themeColor="text1"/>
                <w:sz w:val="16"/>
                <w:szCs w:val="16"/>
              </w:rPr>
              <w:t>—</w:t>
            </w:r>
          </w:p>
        </w:tc>
        <w:tc>
          <w:tcPr>
            <w:tcW w:w="188" w:type="pct"/>
            <w:tcBorders>
              <w:top w:val="single" w:sz="4" w:space="0" w:color="auto"/>
              <w:bottom w:val="single" w:sz="4" w:space="0" w:color="auto"/>
            </w:tcBorders>
            <w:shd w:val="clear" w:color="auto" w:fill="auto"/>
            <w:noWrap/>
            <w:vAlign w:val="center"/>
            <w:hideMark/>
          </w:tcPr>
          <w:p w14:paraId="58B62064" w14:textId="77777777" w:rsidR="004720C0" w:rsidRPr="00D14CD7" w:rsidRDefault="004720C0" w:rsidP="004720C0">
            <w:pPr>
              <w:spacing w:after="0" w:line="240" w:lineRule="auto"/>
              <w:jc w:val="right"/>
              <w:rPr>
                <w:rFonts w:eastAsia="Times New Roman"/>
                <w:color w:val="000000" w:themeColor="text1"/>
                <w:sz w:val="16"/>
                <w:szCs w:val="16"/>
              </w:rPr>
            </w:pPr>
            <w:r w:rsidRPr="00D14CD7">
              <w:rPr>
                <w:rFonts w:eastAsia="Times New Roman"/>
                <w:color w:val="000000" w:themeColor="text1"/>
                <w:sz w:val="16"/>
                <w:szCs w:val="16"/>
              </w:rPr>
              <w:t>—</w:t>
            </w:r>
          </w:p>
        </w:tc>
        <w:tc>
          <w:tcPr>
            <w:tcW w:w="188" w:type="pct"/>
            <w:tcBorders>
              <w:top w:val="single" w:sz="4" w:space="0" w:color="auto"/>
              <w:bottom w:val="single" w:sz="4" w:space="0" w:color="auto"/>
            </w:tcBorders>
            <w:shd w:val="clear" w:color="auto" w:fill="auto"/>
            <w:noWrap/>
            <w:vAlign w:val="center"/>
            <w:hideMark/>
          </w:tcPr>
          <w:p w14:paraId="5E057591" w14:textId="77777777" w:rsidR="004720C0" w:rsidRPr="00D14CD7" w:rsidRDefault="004720C0" w:rsidP="004720C0">
            <w:pPr>
              <w:spacing w:after="0" w:line="240" w:lineRule="auto"/>
              <w:jc w:val="right"/>
              <w:rPr>
                <w:rFonts w:eastAsia="Times New Roman"/>
                <w:color w:val="000000" w:themeColor="text1"/>
                <w:sz w:val="16"/>
                <w:szCs w:val="16"/>
              </w:rPr>
            </w:pPr>
            <w:r w:rsidRPr="00D14CD7">
              <w:rPr>
                <w:rFonts w:eastAsia="Times New Roman"/>
                <w:color w:val="000000" w:themeColor="text1"/>
                <w:sz w:val="16"/>
                <w:szCs w:val="16"/>
              </w:rPr>
              <w:t>—</w:t>
            </w:r>
          </w:p>
        </w:tc>
        <w:tc>
          <w:tcPr>
            <w:tcW w:w="155" w:type="pct"/>
            <w:tcBorders>
              <w:top w:val="single" w:sz="4" w:space="0" w:color="auto"/>
              <w:bottom w:val="single" w:sz="4" w:space="0" w:color="auto"/>
            </w:tcBorders>
            <w:shd w:val="clear" w:color="auto" w:fill="auto"/>
            <w:noWrap/>
            <w:vAlign w:val="center"/>
            <w:hideMark/>
          </w:tcPr>
          <w:p w14:paraId="127C2255" w14:textId="77777777" w:rsidR="004720C0" w:rsidRPr="00D14CD7" w:rsidRDefault="004720C0" w:rsidP="004720C0">
            <w:pPr>
              <w:spacing w:after="0" w:line="240" w:lineRule="auto"/>
              <w:jc w:val="right"/>
              <w:rPr>
                <w:rFonts w:eastAsia="Times New Roman"/>
                <w:color w:val="000000" w:themeColor="text1"/>
                <w:sz w:val="16"/>
                <w:szCs w:val="16"/>
              </w:rPr>
            </w:pPr>
            <w:r w:rsidRPr="00D14CD7">
              <w:rPr>
                <w:rFonts w:eastAsia="Times New Roman"/>
                <w:color w:val="000000" w:themeColor="text1"/>
                <w:sz w:val="16"/>
                <w:szCs w:val="16"/>
              </w:rPr>
              <w:t>—</w:t>
            </w:r>
          </w:p>
        </w:tc>
        <w:tc>
          <w:tcPr>
            <w:tcW w:w="158" w:type="pct"/>
            <w:tcBorders>
              <w:top w:val="single" w:sz="4" w:space="0" w:color="auto"/>
              <w:bottom w:val="single" w:sz="4" w:space="0" w:color="auto"/>
              <w:right w:val="double" w:sz="4" w:space="0" w:color="auto"/>
            </w:tcBorders>
            <w:shd w:val="clear" w:color="auto" w:fill="auto"/>
            <w:noWrap/>
            <w:vAlign w:val="center"/>
            <w:hideMark/>
          </w:tcPr>
          <w:p w14:paraId="3F3DC483" w14:textId="77777777" w:rsidR="004720C0" w:rsidRPr="00D14CD7" w:rsidRDefault="004720C0" w:rsidP="004720C0">
            <w:pPr>
              <w:spacing w:after="0" w:line="240" w:lineRule="auto"/>
              <w:jc w:val="right"/>
              <w:rPr>
                <w:rFonts w:eastAsia="Times New Roman"/>
                <w:color w:val="000000" w:themeColor="text1"/>
                <w:sz w:val="16"/>
                <w:szCs w:val="16"/>
              </w:rPr>
            </w:pPr>
            <w:r w:rsidRPr="00D14CD7">
              <w:rPr>
                <w:rFonts w:eastAsia="Times New Roman"/>
                <w:color w:val="000000" w:themeColor="text1"/>
                <w:sz w:val="16"/>
                <w:szCs w:val="16"/>
              </w:rPr>
              <w:t>—</w:t>
            </w:r>
          </w:p>
        </w:tc>
        <w:tc>
          <w:tcPr>
            <w:tcW w:w="188" w:type="pct"/>
            <w:tcBorders>
              <w:top w:val="single" w:sz="4" w:space="0" w:color="auto"/>
              <w:left w:val="double" w:sz="4" w:space="0" w:color="auto"/>
              <w:bottom w:val="single" w:sz="4" w:space="0" w:color="auto"/>
            </w:tcBorders>
            <w:shd w:val="clear" w:color="auto" w:fill="auto"/>
            <w:noWrap/>
            <w:vAlign w:val="center"/>
            <w:hideMark/>
          </w:tcPr>
          <w:p w14:paraId="3FA8A0D1" w14:textId="77777777" w:rsidR="004720C0" w:rsidRPr="00D14CD7" w:rsidRDefault="004720C0" w:rsidP="004720C0">
            <w:pPr>
              <w:spacing w:after="0" w:line="240" w:lineRule="auto"/>
              <w:jc w:val="right"/>
              <w:rPr>
                <w:rFonts w:eastAsia="Times New Roman"/>
                <w:color w:val="000000" w:themeColor="text1"/>
                <w:sz w:val="16"/>
                <w:szCs w:val="16"/>
              </w:rPr>
            </w:pPr>
            <w:r w:rsidRPr="00D14CD7">
              <w:rPr>
                <w:rFonts w:eastAsia="Times New Roman"/>
                <w:color w:val="000000" w:themeColor="text1"/>
                <w:sz w:val="16"/>
                <w:szCs w:val="16"/>
              </w:rPr>
              <w:t>0.050</w:t>
            </w:r>
          </w:p>
        </w:tc>
        <w:tc>
          <w:tcPr>
            <w:tcW w:w="171" w:type="pct"/>
            <w:tcBorders>
              <w:top w:val="single" w:sz="4" w:space="0" w:color="auto"/>
              <w:bottom w:val="single" w:sz="4" w:space="0" w:color="auto"/>
            </w:tcBorders>
            <w:shd w:val="clear" w:color="auto" w:fill="auto"/>
            <w:noWrap/>
            <w:vAlign w:val="center"/>
            <w:hideMark/>
          </w:tcPr>
          <w:p w14:paraId="432E59DA" w14:textId="77777777" w:rsidR="004720C0" w:rsidRPr="00D14CD7" w:rsidRDefault="004720C0" w:rsidP="004720C0">
            <w:pPr>
              <w:spacing w:after="0" w:line="240" w:lineRule="auto"/>
              <w:jc w:val="right"/>
              <w:rPr>
                <w:rFonts w:eastAsia="Times New Roman"/>
                <w:color w:val="000000" w:themeColor="text1"/>
                <w:sz w:val="16"/>
                <w:szCs w:val="16"/>
              </w:rPr>
            </w:pPr>
            <w:r w:rsidRPr="00D14CD7">
              <w:rPr>
                <w:rFonts w:eastAsia="Times New Roman"/>
                <w:color w:val="000000" w:themeColor="text1"/>
                <w:sz w:val="16"/>
                <w:szCs w:val="16"/>
              </w:rPr>
              <w:t>2.45</w:t>
            </w:r>
          </w:p>
        </w:tc>
      </w:tr>
      <w:tr w:rsidR="00D14CD7" w:rsidRPr="00D14CD7" w14:paraId="1C609EE0" w14:textId="77777777" w:rsidTr="004720C0">
        <w:trPr>
          <w:trHeight w:val="72"/>
        </w:trPr>
        <w:tc>
          <w:tcPr>
            <w:tcW w:w="1719" w:type="pct"/>
            <w:tcBorders>
              <w:top w:val="single" w:sz="4" w:space="0" w:color="auto"/>
              <w:bottom w:val="single" w:sz="4" w:space="0" w:color="auto"/>
              <w:right w:val="double" w:sz="4" w:space="0" w:color="auto"/>
            </w:tcBorders>
            <w:shd w:val="clear" w:color="auto" w:fill="auto"/>
            <w:noWrap/>
            <w:vAlign w:val="center"/>
            <w:hideMark/>
          </w:tcPr>
          <w:p w14:paraId="1A0F8136" w14:textId="77777777" w:rsidR="004720C0" w:rsidRPr="00D14CD7" w:rsidRDefault="004720C0" w:rsidP="004720C0">
            <w:pPr>
              <w:spacing w:after="0" w:line="240" w:lineRule="auto"/>
              <w:ind w:firstLineChars="100" w:firstLine="160"/>
              <w:jc w:val="left"/>
              <w:rPr>
                <w:rFonts w:eastAsia="Times New Roman"/>
                <w:color w:val="000000" w:themeColor="text1"/>
                <w:sz w:val="16"/>
                <w:szCs w:val="16"/>
              </w:rPr>
            </w:pPr>
            <w:r w:rsidRPr="00D14CD7">
              <w:rPr>
                <w:rFonts w:eastAsia="Times New Roman"/>
                <w:color w:val="000000" w:themeColor="text1"/>
                <w:sz w:val="16"/>
                <w:szCs w:val="16"/>
              </w:rPr>
              <w:t>4 | 5</w:t>
            </w:r>
          </w:p>
        </w:tc>
        <w:tc>
          <w:tcPr>
            <w:tcW w:w="217" w:type="pct"/>
            <w:tcBorders>
              <w:left w:val="double" w:sz="4" w:space="0" w:color="auto"/>
            </w:tcBorders>
            <w:shd w:val="clear" w:color="auto" w:fill="auto"/>
            <w:noWrap/>
            <w:vAlign w:val="center"/>
            <w:hideMark/>
          </w:tcPr>
          <w:p w14:paraId="5FDCBC8C" w14:textId="77777777" w:rsidR="004720C0" w:rsidRPr="00D14CD7" w:rsidRDefault="004720C0" w:rsidP="004720C0">
            <w:pPr>
              <w:spacing w:after="0" w:line="240" w:lineRule="auto"/>
              <w:jc w:val="right"/>
              <w:rPr>
                <w:rFonts w:eastAsia="Times New Roman"/>
                <w:color w:val="000000" w:themeColor="text1"/>
                <w:sz w:val="16"/>
                <w:szCs w:val="16"/>
              </w:rPr>
            </w:pPr>
            <w:r w:rsidRPr="00D14CD7">
              <w:rPr>
                <w:rFonts w:eastAsia="Times New Roman"/>
                <w:color w:val="000000" w:themeColor="text1"/>
                <w:sz w:val="16"/>
                <w:szCs w:val="16"/>
              </w:rPr>
              <w:t>—</w:t>
            </w:r>
          </w:p>
        </w:tc>
        <w:tc>
          <w:tcPr>
            <w:tcW w:w="195" w:type="pct"/>
            <w:shd w:val="clear" w:color="auto" w:fill="auto"/>
            <w:noWrap/>
            <w:vAlign w:val="center"/>
            <w:hideMark/>
          </w:tcPr>
          <w:p w14:paraId="323A2F16" w14:textId="77777777" w:rsidR="004720C0" w:rsidRPr="00D14CD7" w:rsidRDefault="004720C0" w:rsidP="004720C0">
            <w:pPr>
              <w:spacing w:after="0" w:line="240" w:lineRule="auto"/>
              <w:jc w:val="right"/>
              <w:rPr>
                <w:rFonts w:eastAsia="Times New Roman"/>
                <w:color w:val="000000" w:themeColor="text1"/>
                <w:sz w:val="16"/>
                <w:szCs w:val="16"/>
              </w:rPr>
            </w:pPr>
            <w:r w:rsidRPr="00D14CD7">
              <w:rPr>
                <w:rFonts w:eastAsia="Times New Roman"/>
                <w:color w:val="000000" w:themeColor="text1"/>
                <w:sz w:val="16"/>
                <w:szCs w:val="16"/>
              </w:rPr>
              <w:t>—</w:t>
            </w:r>
          </w:p>
        </w:tc>
        <w:tc>
          <w:tcPr>
            <w:tcW w:w="188" w:type="pct"/>
            <w:shd w:val="clear" w:color="auto" w:fill="auto"/>
            <w:noWrap/>
            <w:vAlign w:val="center"/>
            <w:hideMark/>
          </w:tcPr>
          <w:p w14:paraId="7D2D2BDD" w14:textId="77777777" w:rsidR="004720C0" w:rsidRPr="00D14CD7" w:rsidRDefault="004720C0" w:rsidP="004720C0">
            <w:pPr>
              <w:spacing w:after="0" w:line="240" w:lineRule="auto"/>
              <w:jc w:val="right"/>
              <w:rPr>
                <w:rFonts w:eastAsia="Times New Roman"/>
                <w:color w:val="000000" w:themeColor="text1"/>
                <w:sz w:val="16"/>
                <w:szCs w:val="16"/>
              </w:rPr>
            </w:pPr>
            <w:r w:rsidRPr="00D14CD7">
              <w:rPr>
                <w:rFonts w:eastAsia="Times New Roman"/>
                <w:color w:val="000000" w:themeColor="text1"/>
                <w:sz w:val="16"/>
                <w:szCs w:val="16"/>
              </w:rPr>
              <w:t>—</w:t>
            </w:r>
          </w:p>
        </w:tc>
        <w:tc>
          <w:tcPr>
            <w:tcW w:w="188" w:type="pct"/>
            <w:shd w:val="clear" w:color="auto" w:fill="auto"/>
            <w:noWrap/>
            <w:vAlign w:val="center"/>
            <w:hideMark/>
          </w:tcPr>
          <w:p w14:paraId="48F8CB6D" w14:textId="77777777" w:rsidR="004720C0" w:rsidRPr="00D14CD7" w:rsidRDefault="004720C0" w:rsidP="004720C0">
            <w:pPr>
              <w:spacing w:after="0" w:line="240" w:lineRule="auto"/>
              <w:jc w:val="right"/>
              <w:rPr>
                <w:rFonts w:eastAsia="Times New Roman"/>
                <w:color w:val="000000" w:themeColor="text1"/>
                <w:sz w:val="16"/>
                <w:szCs w:val="16"/>
              </w:rPr>
            </w:pPr>
            <w:r w:rsidRPr="00D14CD7">
              <w:rPr>
                <w:rFonts w:eastAsia="Times New Roman"/>
                <w:color w:val="000000" w:themeColor="text1"/>
                <w:sz w:val="16"/>
                <w:szCs w:val="16"/>
              </w:rPr>
              <w:t>—</w:t>
            </w:r>
          </w:p>
        </w:tc>
        <w:tc>
          <w:tcPr>
            <w:tcW w:w="188" w:type="pct"/>
            <w:shd w:val="clear" w:color="auto" w:fill="auto"/>
            <w:noWrap/>
            <w:vAlign w:val="center"/>
            <w:hideMark/>
          </w:tcPr>
          <w:p w14:paraId="0BA0DE1B" w14:textId="77777777" w:rsidR="004720C0" w:rsidRPr="00D14CD7" w:rsidRDefault="004720C0" w:rsidP="004720C0">
            <w:pPr>
              <w:spacing w:after="0" w:line="240" w:lineRule="auto"/>
              <w:jc w:val="right"/>
              <w:rPr>
                <w:rFonts w:eastAsia="Times New Roman"/>
                <w:color w:val="000000" w:themeColor="text1"/>
                <w:sz w:val="16"/>
                <w:szCs w:val="16"/>
              </w:rPr>
            </w:pPr>
            <w:r w:rsidRPr="00D14CD7">
              <w:rPr>
                <w:rFonts w:eastAsia="Times New Roman"/>
                <w:color w:val="000000" w:themeColor="text1"/>
                <w:sz w:val="16"/>
                <w:szCs w:val="16"/>
              </w:rPr>
              <w:t>—</w:t>
            </w:r>
          </w:p>
        </w:tc>
        <w:tc>
          <w:tcPr>
            <w:tcW w:w="188" w:type="pct"/>
            <w:shd w:val="clear" w:color="auto" w:fill="auto"/>
            <w:noWrap/>
            <w:vAlign w:val="center"/>
            <w:hideMark/>
          </w:tcPr>
          <w:p w14:paraId="35756C8E" w14:textId="77777777" w:rsidR="004720C0" w:rsidRPr="00D14CD7" w:rsidRDefault="004720C0" w:rsidP="004720C0">
            <w:pPr>
              <w:spacing w:after="0" w:line="240" w:lineRule="auto"/>
              <w:jc w:val="right"/>
              <w:rPr>
                <w:rFonts w:eastAsia="Times New Roman"/>
                <w:color w:val="000000" w:themeColor="text1"/>
                <w:sz w:val="16"/>
                <w:szCs w:val="16"/>
              </w:rPr>
            </w:pPr>
            <w:r w:rsidRPr="00D14CD7">
              <w:rPr>
                <w:rFonts w:eastAsia="Times New Roman"/>
                <w:color w:val="000000" w:themeColor="text1"/>
                <w:sz w:val="16"/>
                <w:szCs w:val="16"/>
              </w:rPr>
              <w:t>—</w:t>
            </w:r>
          </w:p>
        </w:tc>
        <w:tc>
          <w:tcPr>
            <w:tcW w:w="188" w:type="pct"/>
            <w:shd w:val="clear" w:color="auto" w:fill="auto"/>
            <w:noWrap/>
            <w:vAlign w:val="center"/>
            <w:hideMark/>
          </w:tcPr>
          <w:p w14:paraId="74D246A5" w14:textId="77777777" w:rsidR="004720C0" w:rsidRPr="00D14CD7" w:rsidRDefault="004720C0" w:rsidP="004720C0">
            <w:pPr>
              <w:spacing w:after="0" w:line="240" w:lineRule="auto"/>
              <w:jc w:val="right"/>
              <w:rPr>
                <w:rFonts w:eastAsia="Times New Roman"/>
                <w:color w:val="000000" w:themeColor="text1"/>
                <w:sz w:val="16"/>
                <w:szCs w:val="16"/>
              </w:rPr>
            </w:pPr>
            <w:r w:rsidRPr="00D14CD7">
              <w:rPr>
                <w:rFonts w:eastAsia="Times New Roman"/>
                <w:color w:val="000000" w:themeColor="text1"/>
                <w:sz w:val="16"/>
                <w:szCs w:val="16"/>
              </w:rPr>
              <w:t>—</w:t>
            </w:r>
          </w:p>
        </w:tc>
        <w:tc>
          <w:tcPr>
            <w:tcW w:w="159" w:type="pct"/>
            <w:tcBorders>
              <w:right w:val="double" w:sz="4" w:space="0" w:color="auto"/>
            </w:tcBorders>
            <w:shd w:val="clear" w:color="auto" w:fill="auto"/>
            <w:noWrap/>
            <w:vAlign w:val="center"/>
            <w:hideMark/>
          </w:tcPr>
          <w:p w14:paraId="41ED1796" w14:textId="77777777" w:rsidR="004720C0" w:rsidRPr="00D14CD7" w:rsidRDefault="004720C0" w:rsidP="004720C0">
            <w:pPr>
              <w:spacing w:after="0" w:line="240" w:lineRule="auto"/>
              <w:jc w:val="right"/>
              <w:rPr>
                <w:rFonts w:eastAsia="Times New Roman"/>
                <w:color w:val="000000" w:themeColor="text1"/>
                <w:sz w:val="16"/>
                <w:szCs w:val="16"/>
              </w:rPr>
            </w:pPr>
            <w:r w:rsidRPr="00D14CD7">
              <w:rPr>
                <w:rFonts w:eastAsia="Times New Roman"/>
                <w:color w:val="000000" w:themeColor="text1"/>
                <w:sz w:val="16"/>
                <w:szCs w:val="16"/>
              </w:rPr>
              <w:t>—</w:t>
            </w:r>
          </w:p>
        </w:tc>
        <w:tc>
          <w:tcPr>
            <w:tcW w:w="189" w:type="pct"/>
            <w:tcBorders>
              <w:top w:val="single" w:sz="4" w:space="0" w:color="auto"/>
              <w:left w:val="double" w:sz="4" w:space="0" w:color="auto"/>
              <w:bottom w:val="single" w:sz="4" w:space="0" w:color="auto"/>
            </w:tcBorders>
            <w:shd w:val="clear" w:color="auto" w:fill="auto"/>
            <w:noWrap/>
            <w:vAlign w:val="center"/>
            <w:hideMark/>
          </w:tcPr>
          <w:p w14:paraId="3FAEA1D8" w14:textId="77777777" w:rsidR="004720C0" w:rsidRPr="00D14CD7" w:rsidRDefault="004720C0" w:rsidP="004720C0">
            <w:pPr>
              <w:spacing w:after="0" w:line="240" w:lineRule="auto"/>
              <w:jc w:val="right"/>
              <w:rPr>
                <w:rFonts w:eastAsia="Times New Roman"/>
                <w:color w:val="000000" w:themeColor="text1"/>
                <w:sz w:val="16"/>
                <w:szCs w:val="16"/>
              </w:rPr>
            </w:pPr>
            <w:r w:rsidRPr="00D14CD7">
              <w:rPr>
                <w:rFonts w:eastAsia="Times New Roman"/>
                <w:color w:val="000000" w:themeColor="text1"/>
                <w:sz w:val="16"/>
                <w:szCs w:val="16"/>
              </w:rPr>
              <w:t>—</w:t>
            </w:r>
          </w:p>
        </w:tc>
        <w:tc>
          <w:tcPr>
            <w:tcW w:w="159" w:type="pct"/>
            <w:tcBorders>
              <w:top w:val="single" w:sz="4" w:space="0" w:color="auto"/>
              <w:bottom w:val="single" w:sz="4" w:space="0" w:color="auto"/>
            </w:tcBorders>
            <w:shd w:val="clear" w:color="auto" w:fill="auto"/>
            <w:noWrap/>
            <w:vAlign w:val="center"/>
            <w:hideMark/>
          </w:tcPr>
          <w:p w14:paraId="2983B8D5" w14:textId="77777777" w:rsidR="004720C0" w:rsidRPr="00D14CD7" w:rsidRDefault="004720C0" w:rsidP="004720C0">
            <w:pPr>
              <w:spacing w:after="0" w:line="240" w:lineRule="auto"/>
              <w:jc w:val="right"/>
              <w:rPr>
                <w:rFonts w:eastAsia="Times New Roman"/>
                <w:color w:val="000000" w:themeColor="text1"/>
                <w:sz w:val="16"/>
                <w:szCs w:val="16"/>
              </w:rPr>
            </w:pPr>
            <w:r w:rsidRPr="00D14CD7">
              <w:rPr>
                <w:rFonts w:eastAsia="Times New Roman"/>
                <w:color w:val="000000" w:themeColor="text1"/>
                <w:sz w:val="16"/>
                <w:szCs w:val="16"/>
              </w:rPr>
              <w:t>—</w:t>
            </w:r>
          </w:p>
        </w:tc>
        <w:tc>
          <w:tcPr>
            <w:tcW w:w="187" w:type="pct"/>
            <w:tcBorders>
              <w:top w:val="single" w:sz="4" w:space="0" w:color="auto"/>
              <w:bottom w:val="single" w:sz="4" w:space="0" w:color="auto"/>
            </w:tcBorders>
            <w:shd w:val="clear" w:color="auto" w:fill="auto"/>
            <w:noWrap/>
            <w:vAlign w:val="center"/>
            <w:hideMark/>
          </w:tcPr>
          <w:p w14:paraId="3D56834B" w14:textId="77777777" w:rsidR="004720C0" w:rsidRPr="00D14CD7" w:rsidRDefault="004720C0" w:rsidP="004720C0">
            <w:pPr>
              <w:spacing w:after="0" w:line="240" w:lineRule="auto"/>
              <w:jc w:val="right"/>
              <w:rPr>
                <w:rFonts w:eastAsia="Times New Roman"/>
                <w:color w:val="000000" w:themeColor="text1"/>
                <w:sz w:val="16"/>
                <w:szCs w:val="16"/>
              </w:rPr>
            </w:pPr>
            <w:r w:rsidRPr="00D14CD7">
              <w:rPr>
                <w:rFonts w:eastAsia="Times New Roman"/>
                <w:color w:val="000000" w:themeColor="text1"/>
                <w:sz w:val="16"/>
                <w:szCs w:val="16"/>
              </w:rPr>
              <w:t>—</w:t>
            </w:r>
          </w:p>
        </w:tc>
        <w:tc>
          <w:tcPr>
            <w:tcW w:w="188" w:type="pct"/>
            <w:tcBorders>
              <w:top w:val="single" w:sz="4" w:space="0" w:color="auto"/>
              <w:bottom w:val="single" w:sz="4" w:space="0" w:color="auto"/>
            </w:tcBorders>
            <w:shd w:val="clear" w:color="auto" w:fill="auto"/>
            <w:noWrap/>
            <w:vAlign w:val="center"/>
            <w:hideMark/>
          </w:tcPr>
          <w:p w14:paraId="3AF7ABC3" w14:textId="77777777" w:rsidR="004720C0" w:rsidRPr="00D14CD7" w:rsidRDefault="004720C0" w:rsidP="004720C0">
            <w:pPr>
              <w:spacing w:after="0" w:line="240" w:lineRule="auto"/>
              <w:jc w:val="right"/>
              <w:rPr>
                <w:rFonts w:eastAsia="Times New Roman"/>
                <w:color w:val="000000" w:themeColor="text1"/>
                <w:sz w:val="16"/>
                <w:szCs w:val="16"/>
              </w:rPr>
            </w:pPr>
            <w:r w:rsidRPr="00D14CD7">
              <w:rPr>
                <w:rFonts w:eastAsia="Times New Roman"/>
                <w:color w:val="000000" w:themeColor="text1"/>
                <w:sz w:val="16"/>
                <w:szCs w:val="16"/>
              </w:rPr>
              <w:t>—</w:t>
            </w:r>
          </w:p>
        </w:tc>
        <w:tc>
          <w:tcPr>
            <w:tcW w:w="188" w:type="pct"/>
            <w:tcBorders>
              <w:top w:val="single" w:sz="4" w:space="0" w:color="auto"/>
              <w:bottom w:val="single" w:sz="4" w:space="0" w:color="auto"/>
            </w:tcBorders>
            <w:shd w:val="clear" w:color="auto" w:fill="auto"/>
            <w:noWrap/>
            <w:vAlign w:val="center"/>
            <w:hideMark/>
          </w:tcPr>
          <w:p w14:paraId="4A8537AC" w14:textId="77777777" w:rsidR="004720C0" w:rsidRPr="00D14CD7" w:rsidRDefault="004720C0" w:rsidP="004720C0">
            <w:pPr>
              <w:spacing w:after="0" w:line="240" w:lineRule="auto"/>
              <w:jc w:val="right"/>
              <w:rPr>
                <w:rFonts w:eastAsia="Times New Roman"/>
                <w:color w:val="000000" w:themeColor="text1"/>
                <w:sz w:val="16"/>
                <w:szCs w:val="16"/>
              </w:rPr>
            </w:pPr>
            <w:r w:rsidRPr="00D14CD7">
              <w:rPr>
                <w:rFonts w:eastAsia="Times New Roman"/>
                <w:color w:val="000000" w:themeColor="text1"/>
                <w:sz w:val="16"/>
                <w:szCs w:val="16"/>
              </w:rPr>
              <w:t>—</w:t>
            </w:r>
          </w:p>
        </w:tc>
        <w:tc>
          <w:tcPr>
            <w:tcW w:w="188" w:type="pct"/>
            <w:tcBorders>
              <w:top w:val="single" w:sz="4" w:space="0" w:color="auto"/>
              <w:bottom w:val="single" w:sz="4" w:space="0" w:color="auto"/>
            </w:tcBorders>
            <w:shd w:val="clear" w:color="auto" w:fill="auto"/>
            <w:noWrap/>
            <w:vAlign w:val="center"/>
            <w:hideMark/>
          </w:tcPr>
          <w:p w14:paraId="73B5A789" w14:textId="77777777" w:rsidR="004720C0" w:rsidRPr="00D14CD7" w:rsidRDefault="004720C0" w:rsidP="004720C0">
            <w:pPr>
              <w:spacing w:after="0" w:line="240" w:lineRule="auto"/>
              <w:jc w:val="right"/>
              <w:rPr>
                <w:rFonts w:eastAsia="Times New Roman"/>
                <w:color w:val="000000" w:themeColor="text1"/>
                <w:sz w:val="16"/>
                <w:szCs w:val="16"/>
              </w:rPr>
            </w:pPr>
            <w:r w:rsidRPr="00D14CD7">
              <w:rPr>
                <w:rFonts w:eastAsia="Times New Roman"/>
                <w:color w:val="000000" w:themeColor="text1"/>
                <w:sz w:val="16"/>
                <w:szCs w:val="16"/>
              </w:rPr>
              <w:t>—</w:t>
            </w:r>
          </w:p>
        </w:tc>
        <w:tc>
          <w:tcPr>
            <w:tcW w:w="155" w:type="pct"/>
            <w:tcBorders>
              <w:top w:val="single" w:sz="4" w:space="0" w:color="auto"/>
              <w:bottom w:val="single" w:sz="4" w:space="0" w:color="auto"/>
            </w:tcBorders>
            <w:shd w:val="clear" w:color="auto" w:fill="auto"/>
            <w:noWrap/>
            <w:vAlign w:val="center"/>
            <w:hideMark/>
          </w:tcPr>
          <w:p w14:paraId="1AE91BBF" w14:textId="77777777" w:rsidR="004720C0" w:rsidRPr="00D14CD7" w:rsidRDefault="004720C0" w:rsidP="004720C0">
            <w:pPr>
              <w:spacing w:after="0" w:line="240" w:lineRule="auto"/>
              <w:jc w:val="right"/>
              <w:rPr>
                <w:rFonts w:eastAsia="Times New Roman"/>
                <w:color w:val="000000" w:themeColor="text1"/>
                <w:sz w:val="16"/>
                <w:szCs w:val="16"/>
              </w:rPr>
            </w:pPr>
            <w:r w:rsidRPr="00D14CD7">
              <w:rPr>
                <w:rFonts w:eastAsia="Times New Roman"/>
                <w:color w:val="000000" w:themeColor="text1"/>
                <w:sz w:val="16"/>
                <w:szCs w:val="16"/>
              </w:rPr>
              <w:t>—</w:t>
            </w:r>
          </w:p>
        </w:tc>
        <w:tc>
          <w:tcPr>
            <w:tcW w:w="158" w:type="pct"/>
            <w:tcBorders>
              <w:top w:val="single" w:sz="4" w:space="0" w:color="auto"/>
              <w:bottom w:val="single" w:sz="4" w:space="0" w:color="auto"/>
              <w:right w:val="double" w:sz="4" w:space="0" w:color="auto"/>
            </w:tcBorders>
            <w:shd w:val="clear" w:color="auto" w:fill="auto"/>
            <w:noWrap/>
            <w:vAlign w:val="center"/>
            <w:hideMark/>
          </w:tcPr>
          <w:p w14:paraId="7BDA344B" w14:textId="77777777" w:rsidR="004720C0" w:rsidRPr="00D14CD7" w:rsidRDefault="004720C0" w:rsidP="004720C0">
            <w:pPr>
              <w:spacing w:after="0" w:line="240" w:lineRule="auto"/>
              <w:jc w:val="right"/>
              <w:rPr>
                <w:rFonts w:eastAsia="Times New Roman"/>
                <w:color w:val="000000" w:themeColor="text1"/>
                <w:sz w:val="16"/>
                <w:szCs w:val="16"/>
              </w:rPr>
            </w:pPr>
            <w:r w:rsidRPr="00D14CD7">
              <w:rPr>
                <w:rFonts w:eastAsia="Times New Roman"/>
                <w:color w:val="000000" w:themeColor="text1"/>
                <w:sz w:val="16"/>
                <w:szCs w:val="16"/>
              </w:rPr>
              <w:t>—</w:t>
            </w:r>
          </w:p>
        </w:tc>
        <w:tc>
          <w:tcPr>
            <w:tcW w:w="188" w:type="pct"/>
            <w:tcBorders>
              <w:top w:val="single" w:sz="4" w:space="0" w:color="auto"/>
              <w:left w:val="double" w:sz="4" w:space="0" w:color="auto"/>
              <w:bottom w:val="single" w:sz="4" w:space="0" w:color="auto"/>
            </w:tcBorders>
            <w:shd w:val="clear" w:color="auto" w:fill="auto"/>
            <w:noWrap/>
            <w:vAlign w:val="center"/>
            <w:hideMark/>
          </w:tcPr>
          <w:p w14:paraId="7D150D24" w14:textId="77777777" w:rsidR="004720C0" w:rsidRPr="00D14CD7" w:rsidRDefault="004720C0" w:rsidP="004720C0">
            <w:pPr>
              <w:spacing w:after="0" w:line="240" w:lineRule="auto"/>
              <w:jc w:val="right"/>
              <w:rPr>
                <w:rFonts w:eastAsia="Times New Roman"/>
                <w:color w:val="000000" w:themeColor="text1"/>
                <w:sz w:val="16"/>
                <w:szCs w:val="16"/>
              </w:rPr>
            </w:pPr>
            <w:r w:rsidRPr="00D14CD7">
              <w:rPr>
                <w:rFonts w:eastAsia="Times New Roman"/>
                <w:color w:val="000000" w:themeColor="text1"/>
                <w:sz w:val="16"/>
                <w:szCs w:val="16"/>
              </w:rPr>
              <w:t>0.051</w:t>
            </w:r>
          </w:p>
        </w:tc>
        <w:tc>
          <w:tcPr>
            <w:tcW w:w="171" w:type="pct"/>
            <w:tcBorders>
              <w:top w:val="single" w:sz="4" w:space="0" w:color="auto"/>
              <w:bottom w:val="single" w:sz="4" w:space="0" w:color="auto"/>
            </w:tcBorders>
            <w:shd w:val="clear" w:color="auto" w:fill="auto"/>
            <w:noWrap/>
            <w:vAlign w:val="center"/>
            <w:hideMark/>
          </w:tcPr>
          <w:p w14:paraId="2BA60D80" w14:textId="77777777" w:rsidR="004720C0" w:rsidRPr="00D14CD7" w:rsidRDefault="004720C0" w:rsidP="004720C0">
            <w:pPr>
              <w:spacing w:after="0" w:line="240" w:lineRule="auto"/>
              <w:jc w:val="right"/>
              <w:rPr>
                <w:rFonts w:eastAsia="Times New Roman"/>
                <w:color w:val="000000" w:themeColor="text1"/>
                <w:sz w:val="16"/>
                <w:szCs w:val="16"/>
              </w:rPr>
            </w:pPr>
            <w:r w:rsidRPr="00D14CD7">
              <w:rPr>
                <w:rFonts w:eastAsia="Times New Roman"/>
                <w:color w:val="000000" w:themeColor="text1"/>
                <w:sz w:val="16"/>
                <w:szCs w:val="16"/>
              </w:rPr>
              <w:t>2.46</w:t>
            </w:r>
          </w:p>
        </w:tc>
      </w:tr>
      <w:tr w:rsidR="00D14CD7" w:rsidRPr="00D14CD7" w14:paraId="0C84752E" w14:textId="77777777" w:rsidTr="004720C0">
        <w:trPr>
          <w:trHeight w:val="72"/>
        </w:trPr>
        <w:tc>
          <w:tcPr>
            <w:tcW w:w="1719" w:type="pct"/>
            <w:tcBorders>
              <w:top w:val="single" w:sz="4" w:space="0" w:color="auto"/>
              <w:bottom w:val="single" w:sz="4" w:space="0" w:color="auto"/>
              <w:right w:val="double" w:sz="4" w:space="0" w:color="auto"/>
            </w:tcBorders>
            <w:shd w:val="clear" w:color="auto" w:fill="auto"/>
            <w:noWrap/>
            <w:vAlign w:val="center"/>
            <w:hideMark/>
          </w:tcPr>
          <w:p w14:paraId="41BBB3C4" w14:textId="77777777" w:rsidR="004720C0" w:rsidRPr="00D14CD7" w:rsidRDefault="004720C0" w:rsidP="004720C0">
            <w:pPr>
              <w:spacing w:after="0" w:line="240" w:lineRule="auto"/>
              <w:ind w:firstLineChars="100" w:firstLine="160"/>
              <w:jc w:val="left"/>
              <w:rPr>
                <w:rFonts w:eastAsia="Times New Roman"/>
                <w:color w:val="000000" w:themeColor="text1"/>
                <w:sz w:val="16"/>
                <w:szCs w:val="16"/>
              </w:rPr>
            </w:pPr>
            <w:r w:rsidRPr="00D14CD7">
              <w:rPr>
                <w:rFonts w:eastAsia="Times New Roman"/>
                <w:color w:val="000000" w:themeColor="text1"/>
                <w:sz w:val="16"/>
                <w:szCs w:val="16"/>
              </w:rPr>
              <w:t>10 | 11</w:t>
            </w:r>
          </w:p>
        </w:tc>
        <w:tc>
          <w:tcPr>
            <w:tcW w:w="217" w:type="pct"/>
            <w:tcBorders>
              <w:left w:val="double" w:sz="4" w:space="0" w:color="auto"/>
            </w:tcBorders>
            <w:shd w:val="clear" w:color="auto" w:fill="auto"/>
            <w:noWrap/>
            <w:vAlign w:val="center"/>
            <w:hideMark/>
          </w:tcPr>
          <w:p w14:paraId="58EC4F7A" w14:textId="77777777" w:rsidR="004720C0" w:rsidRPr="00D14CD7" w:rsidRDefault="004720C0" w:rsidP="004720C0">
            <w:pPr>
              <w:spacing w:after="0" w:line="240" w:lineRule="auto"/>
              <w:jc w:val="right"/>
              <w:rPr>
                <w:rFonts w:eastAsia="Times New Roman"/>
                <w:color w:val="000000" w:themeColor="text1"/>
                <w:sz w:val="16"/>
                <w:szCs w:val="16"/>
              </w:rPr>
            </w:pPr>
            <w:r w:rsidRPr="00D14CD7">
              <w:rPr>
                <w:rFonts w:eastAsia="Times New Roman"/>
                <w:color w:val="000000" w:themeColor="text1"/>
                <w:sz w:val="16"/>
                <w:szCs w:val="16"/>
              </w:rPr>
              <w:t>—</w:t>
            </w:r>
          </w:p>
        </w:tc>
        <w:tc>
          <w:tcPr>
            <w:tcW w:w="195" w:type="pct"/>
            <w:shd w:val="clear" w:color="auto" w:fill="auto"/>
            <w:noWrap/>
            <w:vAlign w:val="center"/>
            <w:hideMark/>
          </w:tcPr>
          <w:p w14:paraId="7CB1DD06" w14:textId="77777777" w:rsidR="004720C0" w:rsidRPr="00D14CD7" w:rsidRDefault="004720C0" w:rsidP="004720C0">
            <w:pPr>
              <w:spacing w:after="0" w:line="240" w:lineRule="auto"/>
              <w:jc w:val="right"/>
              <w:rPr>
                <w:rFonts w:eastAsia="Times New Roman"/>
                <w:color w:val="000000" w:themeColor="text1"/>
                <w:sz w:val="16"/>
                <w:szCs w:val="16"/>
              </w:rPr>
            </w:pPr>
            <w:r w:rsidRPr="00D14CD7">
              <w:rPr>
                <w:rFonts w:eastAsia="Times New Roman"/>
                <w:color w:val="000000" w:themeColor="text1"/>
                <w:sz w:val="16"/>
                <w:szCs w:val="16"/>
              </w:rPr>
              <w:t>—</w:t>
            </w:r>
          </w:p>
        </w:tc>
        <w:tc>
          <w:tcPr>
            <w:tcW w:w="188" w:type="pct"/>
            <w:shd w:val="clear" w:color="auto" w:fill="auto"/>
            <w:noWrap/>
            <w:vAlign w:val="center"/>
            <w:hideMark/>
          </w:tcPr>
          <w:p w14:paraId="4E7929FD" w14:textId="77777777" w:rsidR="004720C0" w:rsidRPr="00D14CD7" w:rsidRDefault="004720C0" w:rsidP="004720C0">
            <w:pPr>
              <w:spacing w:after="0" w:line="240" w:lineRule="auto"/>
              <w:jc w:val="right"/>
              <w:rPr>
                <w:rFonts w:eastAsia="Times New Roman"/>
                <w:color w:val="000000" w:themeColor="text1"/>
                <w:sz w:val="16"/>
                <w:szCs w:val="16"/>
              </w:rPr>
            </w:pPr>
            <w:r w:rsidRPr="00D14CD7">
              <w:rPr>
                <w:rFonts w:eastAsia="Times New Roman"/>
                <w:color w:val="000000" w:themeColor="text1"/>
                <w:sz w:val="16"/>
                <w:szCs w:val="16"/>
              </w:rPr>
              <w:t>—</w:t>
            </w:r>
          </w:p>
        </w:tc>
        <w:tc>
          <w:tcPr>
            <w:tcW w:w="188" w:type="pct"/>
            <w:shd w:val="clear" w:color="auto" w:fill="auto"/>
            <w:noWrap/>
            <w:vAlign w:val="center"/>
            <w:hideMark/>
          </w:tcPr>
          <w:p w14:paraId="194C9DAA" w14:textId="77777777" w:rsidR="004720C0" w:rsidRPr="00D14CD7" w:rsidRDefault="004720C0" w:rsidP="004720C0">
            <w:pPr>
              <w:spacing w:after="0" w:line="240" w:lineRule="auto"/>
              <w:jc w:val="right"/>
              <w:rPr>
                <w:rFonts w:eastAsia="Times New Roman"/>
                <w:color w:val="000000" w:themeColor="text1"/>
                <w:sz w:val="16"/>
                <w:szCs w:val="16"/>
              </w:rPr>
            </w:pPr>
            <w:r w:rsidRPr="00D14CD7">
              <w:rPr>
                <w:rFonts w:eastAsia="Times New Roman"/>
                <w:color w:val="000000" w:themeColor="text1"/>
                <w:sz w:val="16"/>
                <w:szCs w:val="16"/>
              </w:rPr>
              <w:t>—</w:t>
            </w:r>
          </w:p>
        </w:tc>
        <w:tc>
          <w:tcPr>
            <w:tcW w:w="188" w:type="pct"/>
            <w:shd w:val="clear" w:color="auto" w:fill="auto"/>
            <w:noWrap/>
            <w:vAlign w:val="center"/>
            <w:hideMark/>
          </w:tcPr>
          <w:p w14:paraId="2B493290" w14:textId="77777777" w:rsidR="004720C0" w:rsidRPr="00D14CD7" w:rsidRDefault="004720C0" w:rsidP="004720C0">
            <w:pPr>
              <w:spacing w:after="0" w:line="240" w:lineRule="auto"/>
              <w:jc w:val="right"/>
              <w:rPr>
                <w:rFonts w:eastAsia="Times New Roman"/>
                <w:color w:val="000000" w:themeColor="text1"/>
                <w:sz w:val="16"/>
                <w:szCs w:val="16"/>
              </w:rPr>
            </w:pPr>
            <w:r w:rsidRPr="00D14CD7">
              <w:rPr>
                <w:rFonts w:eastAsia="Times New Roman"/>
                <w:color w:val="000000" w:themeColor="text1"/>
                <w:sz w:val="16"/>
                <w:szCs w:val="16"/>
              </w:rPr>
              <w:t>—</w:t>
            </w:r>
          </w:p>
        </w:tc>
        <w:tc>
          <w:tcPr>
            <w:tcW w:w="188" w:type="pct"/>
            <w:shd w:val="clear" w:color="auto" w:fill="auto"/>
            <w:noWrap/>
            <w:vAlign w:val="center"/>
            <w:hideMark/>
          </w:tcPr>
          <w:p w14:paraId="322593CF" w14:textId="77777777" w:rsidR="004720C0" w:rsidRPr="00D14CD7" w:rsidRDefault="004720C0" w:rsidP="004720C0">
            <w:pPr>
              <w:spacing w:after="0" w:line="240" w:lineRule="auto"/>
              <w:jc w:val="right"/>
              <w:rPr>
                <w:rFonts w:eastAsia="Times New Roman"/>
                <w:color w:val="000000" w:themeColor="text1"/>
                <w:sz w:val="16"/>
                <w:szCs w:val="16"/>
              </w:rPr>
            </w:pPr>
            <w:r w:rsidRPr="00D14CD7">
              <w:rPr>
                <w:rFonts w:eastAsia="Times New Roman"/>
                <w:color w:val="000000" w:themeColor="text1"/>
                <w:sz w:val="16"/>
                <w:szCs w:val="16"/>
              </w:rPr>
              <w:t>—</w:t>
            </w:r>
          </w:p>
        </w:tc>
        <w:tc>
          <w:tcPr>
            <w:tcW w:w="188" w:type="pct"/>
            <w:shd w:val="clear" w:color="auto" w:fill="auto"/>
            <w:noWrap/>
            <w:vAlign w:val="center"/>
            <w:hideMark/>
          </w:tcPr>
          <w:p w14:paraId="66A42957" w14:textId="77777777" w:rsidR="004720C0" w:rsidRPr="00D14CD7" w:rsidRDefault="004720C0" w:rsidP="004720C0">
            <w:pPr>
              <w:spacing w:after="0" w:line="240" w:lineRule="auto"/>
              <w:jc w:val="right"/>
              <w:rPr>
                <w:rFonts w:eastAsia="Times New Roman"/>
                <w:color w:val="000000" w:themeColor="text1"/>
                <w:sz w:val="16"/>
                <w:szCs w:val="16"/>
              </w:rPr>
            </w:pPr>
            <w:r w:rsidRPr="00D14CD7">
              <w:rPr>
                <w:rFonts w:eastAsia="Times New Roman"/>
                <w:color w:val="000000" w:themeColor="text1"/>
                <w:sz w:val="16"/>
                <w:szCs w:val="16"/>
              </w:rPr>
              <w:t>—</w:t>
            </w:r>
          </w:p>
        </w:tc>
        <w:tc>
          <w:tcPr>
            <w:tcW w:w="159" w:type="pct"/>
            <w:tcBorders>
              <w:right w:val="double" w:sz="4" w:space="0" w:color="auto"/>
            </w:tcBorders>
            <w:shd w:val="clear" w:color="auto" w:fill="auto"/>
            <w:noWrap/>
            <w:vAlign w:val="center"/>
            <w:hideMark/>
          </w:tcPr>
          <w:p w14:paraId="42D2D0D6" w14:textId="77777777" w:rsidR="004720C0" w:rsidRPr="00D14CD7" w:rsidRDefault="004720C0" w:rsidP="004720C0">
            <w:pPr>
              <w:spacing w:after="0" w:line="240" w:lineRule="auto"/>
              <w:jc w:val="right"/>
              <w:rPr>
                <w:rFonts w:eastAsia="Times New Roman"/>
                <w:color w:val="000000" w:themeColor="text1"/>
                <w:sz w:val="16"/>
                <w:szCs w:val="16"/>
              </w:rPr>
            </w:pPr>
            <w:r w:rsidRPr="00D14CD7">
              <w:rPr>
                <w:rFonts w:eastAsia="Times New Roman"/>
                <w:color w:val="000000" w:themeColor="text1"/>
                <w:sz w:val="16"/>
                <w:szCs w:val="16"/>
              </w:rPr>
              <w:t>—</w:t>
            </w:r>
          </w:p>
        </w:tc>
        <w:tc>
          <w:tcPr>
            <w:tcW w:w="189" w:type="pct"/>
            <w:tcBorders>
              <w:top w:val="single" w:sz="4" w:space="0" w:color="auto"/>
              <w:left w:val="double" w:sz="4" w:space="0" w:color="auto"/>
              <w:bottom w:val="single" w:sz="4" w:space="0" w:color="auto"/>
            </w:tcBorders>
            <w:shd w:val="clear" w:color="auto" w:fill="auto"/>
            <w:noWrap/>
            <w:vAlign w:val="center"/>
            <w:hideMark/>
          </w:tcPr>
          <w:p w14:paraId="2CA2809A" w14:textId="77777777" w:rsidR="004720C0" w:rsidRPr="00D14CD7" w:rsidRDefault="004720C0" w:rsidP="004720C0">
            <w:pPr>
              <w:spacing w:after="0" w:line="240" w:lineRule="auto"/>
              <w:jc w:val="right"/>
              <w:rPr>
                <w:rFonts w:eastAsia="Times New Roman"/>
                <w:color w:val="000000" w:themeColor="text1"/>
                <w:sz w:val="16"/>
                <w:szCs w:val="16"/>
              </w:rPr>
            </w:pPr>
            <w:r w:rsidRPr="00D14CD7">
              <w:rPr>
                <w:rFonts w:eastAsia="Times New Roman"/>
                <w:color w:val="000000" w:themeColor="text1"/>
                <w:sz w:val="16"/>
                <w:szCs w:val="16"/>
              </w:rPr>
              <w:t>—</w:t>
            </w:r>
          </w:p>
        </w:tc>
        <w:tc>
          <w:tcPr>
            <w:tcW w:w="159" w:type="pct"/>
            <w:tcBorders>
              <w:top w:val="single" w:sz="4" w:space="0" w:color="auto"/>
              <w:bottom w:val="single" w:sz="4" w:space="0" w:color="auto"/>
            </w:tcBorders>
            <w:shd w:val="clear" w:color="auto" w:fill="auto"/>
            <w:noWrap/>
            <w:vAlign w:val="center"/>
            <w:hideMark/>
          </w:tcPr>
          <w:p w14:paraId="712C6C22" w14:textId="77777777" w:rsidR="004720C0" w:rsidRPr="00D14CD7" w:rsidRDefault="004720C0" w:rsidP="004720C0">
            <w:pPr>
              <w:spacing w:after="0" w:line="240" w:lineRule="auto"/>
              <w:jc w:val="right"/>
              <w:rPr>
                <w:rFonts w:eastAsia="Times New Roman"/>
                <w:color w:val="000000" w:themeColor="text1"/>
                <w:sz w:val="16"/>
                <w:szCs w:val="16"/>
              </w:rPr>
            </w:pPr>
            <w:r w:rsidRPr="00D14CD7">
              <w:rPr>
                <w:rFonts w:eastAsia="Times New Roman"/>
                <w:color w:val="000000" w:themeColor="text1"/>
                <w:sz w:val="16"/>
                <w:szCs w:val="16"/>
              </w:rPr>
              <w:t>—</w:t>
            </w:r>
          </w:p>
        </w:tc>
        <w:tc>
          <w:tcPr>
            <w:tcW w:w="187" w:type="pct"/>
            <w:tcBorders>
              <w:top w:val="single" w:sz="4" w:space="0" w:color="auto"/>
              <w:bottom w:val="single" w:sz="4" w:space="0" w:color="auto"/>
            </w:tcBorders>
            <w:shd w:val="clear" w:color="auto" w:fill="auto"/>
            <w:noWrap/>
            <w:vAlign w:val="center"/>
            <w:hideMark/>
          </w:tcPr>
          <w:p w14:paraId="503D4C89" w14:textId="77777777" w:rsidR="004720C0" w:rsidRPr="00D14CD7" w:rsidRDefault="004720C0" w:rsidP="004720C0">
            <w:pPr>
              <w:spacing w:after="0" w:line="240" w:lineRule="auto"/>
              <w:jc w:val="right"/>
              <w:rPr>
                <w:rFonts w:eastAsia="Times New Roman"/>
                <w:color w:val="000000" w:themeColor="text1"/>
                <w:sz w:val="16"/>
                <w:szCs w:val="16"/>
              </w:rPr>
            </w:pPr>
            <w:r w:rsidRPr="00D14CD7">
              <w:rPr>
                <w:rFonts w:eastAsia="Times New Roman"/>
                <w:color w:val="000000" w:themeColor="text1"/>
                <w:sz w:val="16"/>
                <w:szCs w:val="16"/>
              </w:rPr>
              <w:t>—</w:t>
            </w:r>
          </w:p>
        </w:tc>
        <w:tc>
          <w:tcPr>
            <w:tcW w:w="188" w:type="pct"/>
            <w:tcBorders>
              <w:top w:val="single" w:sz="4" w:space="0" w:color="auto"/>
              <w:bottom w:val="single" w:sz="4" w:space="0" w:color="auto"/>
            </w:tcBorders>
            <w:shd w:val="clear" w:color="auto" w:fill="auto"/>
            <w:noWrap/>
            <w:vAlign w:val="center"/>
            <w:hideMark/>
          </w:tcPr>
          <w:p w14:paraId="5AAE0B18" w14:textId="77777777" w:rsidR="004720C0" w:rsidRPr="00D14CD7" w:rsidRDefault="004720C0" w:rsidP="004720C0">
            <w:pPr>
              <w:spacing w:after="0" w:line="240" w:lineRule="auto"/>
              <w:jc w:val="right"/>
              <w:rPr>
                <w:rFonts w:eastAsia="Times New Roman"/>
                <w:color w:val="000000" w:themeColor="text1"/>
                <w:sz w:val="16"/>
                <w:szCs w:val="16"/>
              </w:rPr>
            </w:pPr>
            <w:r w:rsidRPr="00D14CD7">
              <w:rPr>
                <w:rFonts w:eastAsia="Times New Roman"/>
                <w:color w:val="000000" w:themeColor="text1"/>
                <w:sz w:val="16"/>
                <w:szCs w:val="16"/>
              </w:rPr>
              <w:t>—</w:t>
            </w:r>
          </w:p>
        </w:tc>
        <w:tc>
          <w:tcPr>
            <w:tcW w:w="188" w:type="pct"/>
            <w:tcBorders>
              <w:top w:val="single" w:sz="4" w:space="0" w:color="auto"/>
              <w:bottom w:val="single" w:sz="4" w:space="0" w:color="auto"/>
            </w:tcBorders>
            <w:shd w:val="clear" w:color="auto" w:fill="auto"/>
            <w:noWrap/>
            <w:vAlign w:val="center"/>
            <w:hideMark/>
          </w:tcPr>
          <w:p w14:paraId="61EC8410" w14:textId="77777777" w:rsidR="004720C0" w:rsidRPr="00D14CD7" w:rsidRDefault="004720C0" w:rsidP="004720C0">
            <w:pPr>
              <w:spacing w:after="0" w:line="240" w:lineRule="auto"/>
              <w:jc w:val="right"/>
              <w:rPr>
                <w:rFonts w:eastAsia="Times New Roman"/>
                <w:color w:val="000000" w:themeColor="text1"/>
                <w:sz w:val="16"/>
                <w:szCs w:val="16"/>
              </w:rPr>
            </w:pPr>
            <w:r w:rsidRPr="00D14CD7">
              <w:rPr>
                <w:rFonts w:eastAsia="Times New Roman"/>
                <w:color w:val="000000" w:themeColor="text1"/>
                <w:sz w:val="16"/>
                <w:szCs w:val="16"/>
              </w:rPr>
              <w:t>—</w:t>
            </w:r>
          </w:p>
        </w:tc>
        <w:tc>
          <w:tcPr>
            <w:tcW w:w="188" w:type="pct"/>
            <w:tcBorders>
              <w:top w:val="single" w:sz="4" w:space="0" w:color="auto"/>
              <w:bottom w:val="single" w:sz="4" w:space="0" w:color="auto"/>
            </w:tcBorders>
            <w:shd w:val="clear" w:color="auto" w:fill="auto"/>
            <w:noWrap/>
            <w:vAlign w:val="center"/>
            <w:hideMark/>
          </w:tcPr>
          <w:p w14:paraId="49934CAD" w14:textId="77777777" w:rsidR="004720C0" w:rsidRPr="00D14CD7" w:rsidRDefault="004720C0" w:rsidP="004720C0">
            <w:pPr>
              <w:spacing w:after="0" w:line="240" w:lineRule="auto"/>
              <w:jc w:val="right"/>
              <w:rPr>
                <w:rFonts w:eastAsia="Times New Roman"/>
                <w:color w:val="000000" w:themeColor="text1"/>
                <w:sz w:val="16"/>
                <w:szCs w:val="16"/>
              </w:rPr>
            </w:pPr>
            <w:r w:rsidRPr="00D14CD7">
              <w:rPr>
                <w:rFonts w:eastAsia="Times New Roman"/>
                <w:color w:val="000000" w:themeColor="text1"/>
                <w:sz w:val="16"/>
                <w:szCs w:val="16"/>
              </w:rPr>
              <w:t>—</w:t>
            </w:r>
          </w:p>
        </w:tc>
        <w:tc>
          <w:tcPr>
            <w:tcW w:w="155" w:type="pct"/>
            <w:tcBorders>
              <w:top w:val="single" w:sz="4" w:space="0" w:color="auto"/>
              <w:bottom w:val="single" w:sz="4" w:space="0" w:color="auto"/>
            </w:tcBorders>
            <w:shd w:val="clear" w:color="auto" w:fill="auto"/>
            <w:noWrap/>
            <w:vAlign w:val="center"/>
            <w:hideMark/>
          </w:tcPr>
          <w:p w14:paraId="32F17425" w14:textId="77777777" w:rsidR="004720C0" w:rsidRPr="00D14CD7" w:rsidRDefault="004720C0" w:rsidP="004720C0">
            <w:pPr>
              <w:spacing w:after="0" w:line="240" w:lineRule="auto"/>
              <w:jc w:val="right"/>
              <w:rPr>
                <w:rFonts w:eastAsia="Times New Roman"/>
                <w:color w:val="000000" w:themeColor="text1"/>
                <w:sz w:val="16"/>
                <w:szCs w:val="16"/>
              </w:rPr>
            </w:pPr>
            <w:r w:rsidRPr="00D14CD7">
              <w:rPr>
                <w:rFonts w:eastAsia="Times New Roman"/>
                <w:color w:val="000000" w:themeColor="text1"/>
                <w:sz w:val="16"/>
                <w:szCs w:val="16"/>
              </w:rPr>
              <w:t>—</w:t>
            </w:r>
          </w:p>
        </w:tc>
        <w:tc>
          <w:tcPr>
            <w:tcW w:w="158" w:type="pct"/>
            <w:tcBorders>
              <w:top w:val="single" w:sz="4" w:space="0" w:color="auto"/>
              <w:bottom w:val="single" w:sz="4" w:space="0" w:color="auto"/>
              <w:right w:val="double" w:sz="4" w:space="0" w:color="auto"/>
            </w:tcBorders>
            <w:shd w:val="clear" w:color="auto" w:fill="auto"/>
            <w:noWrap/>
            <w:vAlign w:val="center"/>
            <w:hideMark/>
          </w:tcPr>
          <w:p w14:paraId="74018D79" w14:textId="77777777" w:rsidR="004720C0" w:rsidRPr="00D14CD7" w:rsidRDefault="004720C0" w:rsidP="004720C0">
            <w:pPr>
              <w:spacing w:after="0" w:line="240" w:lineRule="auto"/>
              <w:jc w:val="right"/>
              <w:rPr>
                <w:rFonts w:eastAsia="Times New Roman"/>
                <w:color w:val="000000" w:themeColor="text1"/>
                <w:sz w:val="16"/>
                <w:szCs w:val="16"/>
              </w:rPr>
            </w:pPr>
            <w:r w:rsidRPr="00D14CD7">
              <w:rPr>
                <w:rFonts w:eastAsia="Times New Roman"/>
                <w:color w:val="000000" w:themeColor="text1"/>
                <w:sz w:val="16"/>
                <w:szCs w:val="16"/>
              </w:rPr>
              <w:t>—</w:t>
            </w:r>
          </w:p>
        </w:tc>
        <w:tc>
          <w:tcPr>
            <w:tcW w:w="188" w:type="pct"/>
            <w:tcBorders>
              <w:top w:val="single" w:sz="4" w:space="0" w:color="auto"/>
              <w:left w:val="double" w:sz="4" w:space="0" w:color="auto"/>
              <w:bottom w:val="single" w:sz="4" w:space="0" w:color="auto"/>
            </w:tcBorders>
            <w:shd w:val="clear" w:color="auto" w:fill="auto"/>
            <w:noWrap/>
            <w:vAlign w:val="center"/>
            <w:hideMark/>
          </w:tcPr>
          <w:p w14:paraId="7A9D5995" w14:textId="77777777" w:rsidR="004720C0" w:rsidRPr="00D14CD7" w:rsidRDefault="004720C0" w:rsidP="004720C0">
            <w:pPr>
              <w:spacing w:after="0" w:line="240" w:lineRule="auto"/>
              <w:jc w:val="right"/>
              <w:rPr>
                <w:rFonts w:eastAsia="Times New Roman"/>
                <w:color w:val="000000" w:themeColor="text1"/>
                <w:sz w:val="16"/>
                <w:szCs w:val="16"/>
              </w:rPr>
            </w:pPr>
            <w:r w:rsidRPr="00D14CD7">
              <w:rPr>
                <w:rFonts w:eastAsia="Times New Roman"/>
                <w:color w:val="000000" w:themeColor="text1"/>
                <w:sz w:val="16"/>
                <w:szCs w:val="16"/>
              </w:rPr>
              <w:t>0.370</w:t>
            </w:r>
          </w:p>
        </w:tc>
        <w:tc>
          <w:tcPr>
            <w:tcW w:w="171" w:type="pct"/>
            <w:tcBorders>
              <w:top w:val="single" w:sz="4" w:space="0" w:color="auto"/>
              <w:bottom w:val="single" w:sz="4" w:space="0" w:color="auto"/>
            </w:tcBorders>
            <w:shd w:val="clear" w:color="auto" w:fill="auto"/>
            <w:noWrap/>
            <w:vAlign w:val="center"/>
            <w:hideMark/>
          </w:tcPr>
          <w:p w14:paraId="0182A870" w14:textId="77777777" w:rsidR="004720C0" w:rsidRPr="00D14CD7" w:rsidRDefault="004720C0" w:rsidP="004720C0">
            <w:pPr>
              <w:spacing w:after="0" w:line="240" w:lineRule="auto"/>
              <w:jc w:val="right"/>
              <w:rPr>
                <w:rFonts w:eastAsia="Times New Roman"/>
                <w:color w:val="000000" w:themeColor="text1"/>
                <w:sz w:val="16"/>
                <w:szCs w:val="16"/>
              </w:rPr>
            </w:pPr>
            <w:r w:rsidRPr="00D14CD7">
              <w:rPr>
                <w:rFonts w:eastAsia="Times New Roman"/>
                <w:color w:val="000000" w:themeColor="text1"/>
                <w:sz w:val="16"/>
                <w:szCs w:val="16"/>
              </w:rPr>
              <w:t>3.22</w:t>
            </w:r>
          </w:p>
        </w:tc>
      </w:tr>
      <w:tr w:rsidR="00D14CD7" w:rsidRPr="00D14CD7" w14:paraId="5C2B079E" w14:textId="77777777" w:rsidTr="004720C0">
        <w:trPr>
          <w:trHeight w:val="72"/>
        </w:trPr>
        <w:tc>
          <w:tcPr>
            <w:tcW w:w="1719" w:type="pct"/>
            <w:tcBorders>
              <w:top w:val="single" w:sz="4" w:space="0" w:color="auto"/>
              <w:bottom w:val="single" w:sz="4" w:space="0" w:color="auto"/>
              <w:right w:val="double" w:sz="4" w:space="0" w:color="auto"/>
            </w:tcBorders>
            <w:shd w:val="clear" w:color="auto" w:fill="auto"/>
            <w:noWrap/>
            <w:vAlign w:val="center"/>
            <w:hideMark/>
          </w:tcPr>
          <w:p w14:paraId="50902ACC" w14:textId="77777777" w:rsidR="004720C0" w:rsidRPr="00D14CD7" w:rsidRDefault="004720C0" w:rsidP="004720C0">
            <w:pPr>
              <w:spacing w:after="0" w:line="240" w:lineRule="auto"/>
              <w:ind w:firstLineChars="100" w:firstLine="160"/>
              <w:jc w:val="left"/>
              <w:rPr>
                <w:rFonts w:eastAsia="Times New Roman"/>
                <w:color w:val="000000" w:themeColor="text1"/>
                <w:sz w:val="16"/>
                <w:szCs w:val="16"/>
              </w:rPr>
            </w:pPr>
            <w:r w:rsidRPr="00D14CD7">
              <w:rPr>
                <w:rFonts w:eastAsia="Times New Roman"/>
                <w:color w:val="000000" w:themeColor="text1"/>
                <w:sz w:val="16"/>
                <w:szCs w:val="16"/>
              </w:rPr>
              <w:t>12 | 13</w:t>
            </w:r>
          </w:p>
        </w:tc>
        <w:tc>
          <w:tcPr>
            <w:tcW w:w="217" w:type="pct"/>
            <w:tcBorders>
              <w:left w:val="double" w:sz="4" w:space="0" w:color="auto"/>
            </w:tcBorders>
            <w:shd w:val="clear" w:color="auto" w:fill="auto"/>
            <w:noWrap/>
            <w:vAlign w:val="center"/>
            <w:hideMark/>
          </w:tcPr>
          <w:p w14:paraId="45C6A538" w14:textId="77777777" w:rsidR="004720C0" w:rsidRPr="00D14CD7" w:rsidRDefault="004720C0" w:rsidP="004720C0">
            <w:pPr>
              <w:spacing w:after="0" w:line="240" w:lineRule="auto"/>
              <w:jc w:val="right"/>
              <w:rPr>
                <w:rFonts w:eastAsia="Times New Roman"/>
                <w:color w:val="000000" w:themeColor="text1"/>
                <w:sz w:val="16"/>
                <w:szCs w:val="16"/>
              </w:rPr>
            </w:pPr>
            <w:r w:rsidRPr="00D14CD7">
              <w:rPr>
                <w:rFonts w:eastAsia="Times New Roman"/>
                <w:color w:val="000000" w:themeColor="text1"/>
                <w:sz w:val="16"/>
                <w:szCs w:val="16"/>
              </w:rPr>
              <w:t>—</w:t>
            </w:r>
          </w:p>
        </w:tc>
        <w:tc>
          <w:tcPr>
            <w:tcW w:w="195" w:type="pct"/>
            <w:shd w:val="clear" w:color="auto" w:fill="auto"/>
            <w:noWrap/>
            <w:vAlign w:val="center"/>
            <w:hideMark/>
          </w:tcPr>
          <w:p w14:paraId="70BD340D" w14:textId="77777777" w:rsidR="004720C0" w:rsidRPr="00D14CD7" w:rsidRDefault="004720C0" w:rsidP="004720C0">
            <w:pPr>
              <w:spacing w:after="0" w:line="240" w:lineRule="auto"/>
              <w:jc w:val="right"/>
              <w:rPr>
                <w:rFonts w:eastAsia="Times New Roman"/>
                <w:color w:val="000000" w:themeColor="text1"/>
                <w:sz w:val="16"/>
                <w:szCs w:val="16"/>
              </w:rPr>
            </w:pPr>
            <w:r w:rsidRPr="00D14CD7">
              <w:rPr>
                <w:rFonts w:eastAsia="Times New Roman"/>
                <w:color w:val="000000" w:themeColor="text1"/>
                <w:sz w:val="16"/>
                <w:szCs w:val="16"/>
              </w:rPr>
              <w:t>—</w:t>
            </w:r>
          </w:p>
        </w:tc>
        <w:tc>
          <w:tcPr>
            <w:tcW w:w="188" w:type="pct"/>
            <w:shd w:val="clear" w:color="auto" w:fill="auto"/>
            <w:noWrap/>
            <w:vAlign w:val="center"/>
            <w:hideMark/>
          </w:tcPr>
          <w:p w14:paraId="2582C758" w14:textId="77777777" w:rsidR="004720C0" w:rsidRPr="00D14CD7" w:rsidRDefault="004720C0" w:rsidP="004720C0">
            <w:pPr>
              <w:spacing w:after="0" w:line="240" w:lineRule="auto"/>
              <w:jc w:val="right"/>
              <w:rPr>
                <w:rFonts w:eastAsia="Times New Roman"/>
                <w:color w:val="000000" w:themeColor="text1"/>
                <w:sz w:val="16"/>
                <w:szCs w:val="16"/>
              </w:rPr>
            </w:pPr>
            <w:r w:rsidRPr="00D14CD7">
              <w:rPr>
                <w:rFonts w:eastAsia="Times New Roman"/>
                <w:color w:val="000000" w:themeColor="text1"/>
                <w:sz w:val="16"/>
                <w:szCs w:val="16"/>
              </w:rPr>
              <w:t>—</w:t>
            </w:r>
          </w:p>
        </w:tc>
        <w:tc>
          <w:tcPr>
            <w:tcW w:w="188" w:type="pct"/>
            <w:shd w:val="clear" w:color="auto" w:fill="auto"/>
            <w:noWrap/>
            <w:vAlign w:val="center"/>
            <w:hideMark/>
          </w:tcPr>
          <w:p w14:paraId="25262EBF" w14:textId="77777777" w:rsidR="004720C0" w:rsidRPr="00D14CD7" w:rsidRDefault="004720C0" w:rsidP="004720C0">
            <w:pPr>
              <w:spacing w:after="0" w:line="240" w:lineRule="auto"/>
              <w:jc w:val="right"/>
              <w:rPr>
                <w:rFonts w:eastAsia="Times New Roman"/>
                <w:color w:val="000000" w:themeColor="text1"/>
                <w:sz w:val="16"/>
                <w:szCs w:val="16"/>
              </w:rPr>
            </w:pPr>
            <w:r w:rsidRPr="00D14CD7">
              <w:rPr>
                <w:rFonts w:eastAsia="Times New Roman"/>
                <w:color w:val="000000" w:themeColor="text1"/>
                <w:sz w:val="16"/>
                <w:szCs w:val="16"/>
              </w:rPr>
              <w:t>—</w:t>
            </w:r>
          </w:p>
        </w:tc>
        <w:tc>
          <w:tcPr>
            <w:tcW w:w="188" w:type="pct"/>
            <w:shd w:val="clear" w:color="auto" w:fill="auto"/>
            <w:noWrap/>
            <w:vAlign w:val="center"/>
            <w:hideMark/>
          </w:tcPr>
          <w:p w14:paraId="44DC1C92" w14:textId="77777777" w:rsidR="004720C0" w:rsidRPr="00D14CD7" w:rsidRDefault="004720C0" w:rsidP="004720C0">
            <w:pPr>
              <w:spacing w:after="0" w:line="240" w:lineRule="auto"/>
              <w:jc w:val="right"/>
              <w:rPr>
                <w:rFonts w:eastAsia="Times New Roman"/>
                <w:color w:val="000000" w:themeColor="text1"/>
                <w:sz w:val="16"/>
                <w:szCs w:val="16"/>
              </w:rPr>
            </w:pPr>
            <w:r w:rsidRPr="00D14CD7">
              <w:rPr>
                <w:rFonts w:eastAsia="Times New Roman"/>
                <w:color w:val="000000" w:themeColor="text1"/>
                <w:sz w:val="16"/>
                <w:szCs w:val="16"/>
              </w:rPr>
              <w:t>—</w:t>
            </w:r>
          </w:p>
        </w:tc>
        <w:tc>
          <w:tcPr>
            <w:tcW w:w="188" w:type="pct"/>
            <w:shd w:val="clear" w:color="auto" w:fill="auto"/>
            <w:noWrap/>
            <w:vAlign w:val="center"/>
            <w:hideMark/>
          </w:tcPr>
          <w:p w14:paraId="4B40D5F2" w14:textId="77777777" w:rsidR="004720C0" w:rsidRPr="00D14CD7" w:rsidRDefault="004720C0" w:rsidP="004720C0">
            <w:pPr>
              <w:spacing w:after="0" w:line="240" w:lineRule="auto"/>
              <w:jc w:val="right"/>
              <w:rPr>
                <w:rFonts w:eastAsia="Times New Roman"/>
                <w:color w:val="000000" w:themeColor="text1"/>
                <w:sz w:val="16"/>
                <w:szCs w:val="16"/>
              </w:rPr>
            </w:pPr>
            <w:r w:rsidRPr="00D14CD7">
              <w:rPr>
                <w:rFonts w:eastAsia="Times New Roman"/>
                <w:color w:val="000000" w:themeColor="text1"/>
                <w:sz w:val="16"/>
                <w:szCs w:val="16"/>
              </w:rPr>
              <w:t>—</w:t>
            </w:r>
          </w:p>
        </w:tc>
        <w:tc>
          <w:tcPr>
            <w:tcW w:w="188" w:type="pct"/>
            <w:shd w:val="clear" w:color="auto" w:fill="auto"/>
            <w:noWrap/>
            <w:vAlign w:val="center"/>
            <w:hideMark/>
          </w:tcPr>
          <w:p w14:paraId="115C74A4" w14:textId="77777777" w:rsidR="004720C0" w:rsidRPr="00D14CD7" w:rsidRDefault="004720C0" w:rsidP="004720C0">
            <w:pPr>
              <w:spacing w:after="0" w:line="240" w:lineRule="auto"/>
              <w:jc w:val="right"/>
              <w:rPr>
                <w:rFonts w:eastAsia="Times New Roman"/>
                <w:color w:val="000000" w:themeColor="text1"/>
                <w:sz w:val="16"/>
                <w:szCs w:val="16"/>
              </w:rPr>
            </w:pPr>
            <w:r w:rsidRPr="00D14CD7">
              <w:rPr>
                <w:rFonts w:eastAsia="Times New Roman"/>
                <w:color w:val="000000" w:themeColor="text1"/>
                <w:sz w:val="16"/>
                <w:szCs w:val="16"/>
              </w:rPr>
              <w:t>—</w:t>
            </w:r>
          </w:p>
        </w:tc>
        <w:tc>
          <w:tcPr>
            <w:tcW w:w="159" w:type="pct"/>
            <w:tcBorders>
              <w:right w:val="double" w:sz="4" w:space="0" w:color="auto"/>
            </w:tcBorders>
            <w:shd w:val="clear" w:color="auto" w:fill="auto"/>
            <w:noWrap/>
            <w:vAlign w:val="center"/>
            <w:hideMark/>
          </w:tcPr>
          <w:p w14:paraId="22F3753F" w14:textId="77777777" w:rsidR="004720C0" w:rsidRPr="00D14CD7" w:rsidRDefault="004720C0" w:rsidP="004720C0">
            <w:pPr>
              <w:spacing w:after="0" w:line="240" w:lineRule="auto"/>
              <w:jc w:val="right"/>
              <w:rPr>
                <w:rFonts w:eastAsia="Times New Roman"/>
                <w:color w:val="000000" w:themeColor="text1"/>
                <w:sz w:val="16"/>
                <w:szCs w:val="16"/>
              </w:rPr>
            </w:pPr>
            <w:r w:rsidRPr="00D14CD7">
              <w:rPr>
                <w:rFonts w:eastAsia="Times New Roman"/>
                <w:color w:val="000000" w:themeColor="text1"/>
                <w:sz w:val="16"/>
                <w:szCs w:val="16"/>
              </w:rPr>
              <w:t>—</w:t>
            </w:r>
          </w:p>
        </w:tc>
        <w:tc>
          <w:tcPr>
            <w:tcW w:w="189" w:type="pct"/>
            <w:tcBorders>
              <w:top w:val="single" w:sz="4" w:space="0" w:color="auto"/>
              <w:left w:val="double" w:sz="4" w:space="0" w:color="auto"/>
              <w:bottom w:val="single" w:sz="4" w:space="0" w:color="auto"/>
            </w:tcBorders>
            <w:shd w:val="clear" w:color="auto" w:fill="auto"/>
            <w:noWrap/>
            <w:vAlign w:val="center"/>
            <w:hideMark/>
          </w:tcPr>
          <w:p w14:paraId="70E5B82B" w14:textId="77777777" w:rsidR="004720C0" w:rsidRPr="00D14CD7" w:rsidRDefault="004720C0" w:rsidP="004720C0">
            <w:pPr>
              <w:spacing w:after="0" w:line="240" w:lineRule="auto"/>
              <w:jc w:val="right"/>
              <w:rPr>
                <w:rFonts w:eastAsia="Times New Roman"/>
                <w:color w:val="000000" w:themeColor="text1"/>
                <w:sz w:val="16"/>
                <w:szCs w:val="16"/>
              </w:rPr>
            </w:pPr>
            <w:r w:rsidRPr="00D14CD7">
              <w:rPr>
                <w:rFonts w:eastAsia="Times New Roman"/>
                <w:color w:val="000000" w:themeColor="text1"/>
                <w:sz w:val="16"/>
                <w:szCs w:val="16"/>
              </w:rPr>
              <w:t>—</w:t>
            </w:r>
          </w:p>
        </w:tc>
        <w:tc>
          <w:tcPr>
            <w:tcW w:w="159" w:type="pct"/>
            <w:tcBorders>
              <w:top w:val="single" w:sz="4" w:space="0" w:color="auto"/>
              <w:bottom w:val="single" w:sz="4" w:space="0" w:color="auto"/>
            </w:tcBorders>
            <w:shd w:val="clear" w:color="auto" w:fill="auto"/>
            <w:noWrap/>
            <w:vAlign w:val="center"/>
            <w:hideMark/>
          </w:tcPr>
          <w:p w14:paraId="37D731FF" w14:textId="77777777" w:rsidR="004720C0" w:rsidRPr="00D14CD7" w:rsidRDefault="004720C0" w:rsidP="004720C0">
            <w:pPr>
              <w:spacing w:after="0" w:line="240" w:lineRule="auto"/>
              <w:jc w:val="right"/>
              <w:rPr>
                <w:rFonts w:eastAsia="Times New Roman"/>
                <w:color w:val="000000" w:themeColor="text1"/>
                <w:sz w:val="16"/>
                <w:szCs w:val="16"/>
              </w:rPr>
            </w:pPr>
            <w:r w:rsidRPr="00D14CD7">
              <w:rPr>
                <w:rFonts w:eastAsia="Times New Roman"/>
                <w:color w:val="000000" w:themeColor="text1"/>
                <w:sz w:val="16"/>
                <w:szCs w:val="16"/>
              </w:rPr>
              <w:t>—</w:t>
            </w:r>
          </w:p>
        </w:tc>
        <w:tc>
          <w:tcPr>
            <w:tcW w:w="187" w:type="pct"/>
            <w:tcBorders>
              <w:top w:val="single" w:sz="4" w:space="0" w:color="auto"/>
              <w:bottom w:val="single" w:sz="4" w:space="0" w:color="auto"/>
            </w:tcBorders>
            <w:shd w:val="clear" w:color="auto" w:fill="auto"/>
            <w:noWrap/>
            <w:vAlign w:val="center"/>
            <w:hideMark/>
          </w:tcPr>
          <w:p w14:paraId="55A5DE86" w14:textId="77777777" w:rsidR="004720C0" w:rsidRPr="00D14CD7" w:rsidRDefault="004720C0" w:rsidP="004720C0">
            <w:pPr>
              <w:spacing w:after="0" w:line="240" w:lineRule="auto"/>
              <w:jc w:val="right"/>
              <w:rPr>
                <w:rFonts w:eastAsia="Times New Roman"/>
                <w:color w:val="000000" w:themeColor="text1"/>
                <w:sz w:val="16"/>
                <w:szCs w:val="16"/>
              </w:rPr>
            </w:pPr>
            <w:r w:rsidRPr="00D14CD7">
              <w:rPr>
                <w:rFonts w:eastAsia="Times New Roman"/>
                <w:color w:val="000000" w:themeColor="text1"/>
                <w:sz w:val="16"/>
                <w:szCs w:val="16"/>
              </w:rPr>
              <w:t>—</w:t>
            </w:r>
          </w:p>
        </w:tc>
        <w:tc>
          <w:tcPr>
            <w:tcW w:w="188" w:type="pct"/>
            <w:tcBorders>
              <w:top w:val="single" w:sz="4" w:space="0" w:color="auto"/>
              <w:bottom w:val="single" w:sz="4" w:space="0" w:color="auto"/>
            </w:tcBorders>
            <w:shd w:val="clear" w:color="auto" w:fill="auto"/>
            <w:noWrap/>
            <w:vAlign w:val="center"/>
            <w:hideMark/>
          </w:tcPr>
          <w:p w14:paraId="5756A12E" w14:textId="77777777" w:rsidR="004720C0" w:rsidRPr="00D14CD7" w:rsidRDefault="004720C0" w:rsidP="004720C0">
            <w:pPr>
              <w:spacing w:after="0" w:line="240" w:lineRule="auto"/>
              <w:jc w:val="right"/>
              <w:rPr>
                <w:rFonts w:eastAsia="Times New Roman"/>
                <w:color w:val="000000" w:themeColor="text1"/>
                <w:sz w:val="16"/>
                <w:szCs w:val="16"/>
              </w:rPr>
            </w:pPr>
            <w:r w:rsidRPr="00D14CD7">
              <w:rPr>
                <w:rFonts w:eastAsia="Times New Roman"/>
                <w:color w:val="000000" w:themeColor="text1"/>
                <w:sz w:val="16"/>
                <w:szCs w:val="16"/>
              </w:rPr>
              <w:t>—</w:t>
            </w:r>
          </w:p>
        </w:tc>
        <w:tc>
          <w:tcPr>
            <w:tcW w:w="188" w:type="pct"/>
            <w:tcBorders>
              <w:top w:val="single" w:sz="4" w:space="0" w:color="auto"/>
              <w:bottom w:val="single" w:sz="4" w:space="0" w:color="auto"/>
            </w:tcBorders>
            <w:shd w:val="clear" w:color="auto" w:fill="auto"/>
            <w:noWrap/>
            <w:vAlign w:val="center"/>
            <w:hideMark/>
          </w:tcPr>
          <w:p w14:paraId="31724E22" w14:textId="77777777" w:rsidR="004720C0" w:rsidRPr="00D14CD7" w:rsidRDefault="004720C0" w:rsidP="004720C0">
            <w:pPr>
              <w:spacing w:after="0" w:line="240" w:lineRule="auto"/>
              <w:jc w:val="right"/>
              <w:rPr>
                <w:rFonts w:eastAsia="Times New Roman"/>
                <w:color w:val="000000" w:themeColor="text1"/>
                <w:sz w:val="16"/>
                <w:szCs w:val="16"/>
              </w:rPr>
            </w:pPr>
            <w:r w:rsidRPr="00D14CD7">
              <w:rPr>
                <w:rFonts w:eastAsia="Times New Roman"/>
                <w:color w:val="000000" w:themeColor="text1"/>
                <w:sz w:val="16"/>
                <w:szCs w:val="16"/>
              </w:rPr>
              <w:t>—</w:t>
            </w:r>
          </w:p>
        </w:tc>
        <w:tc>
          <w:tcPr>
            <w:tcW w:w="188" w:type="pct"/>
            <w:tcBorders>
              <w:top w:val="single" w:sz="4" w:space="0" w:color="auto"/>
              <w:bottom w:val="single" w:sz="4" w:space="0" w:color="auto"/>
            </w:tcBorders>
            <w:shd w:val="clear" w:color="auto" w:fill="auto"/>
            <w:noWrap/>
            <w:vAlign w:val="center"/>
            <w:hideMark/>
          </w:tcPr>
          <w:p w14:paraId="092C41D3" w14:textId="77777777" w:rsidR="004720C0" w:rsidRPr="00D14CD7" w:rsidRDefault="004720C0" w:rsidP="004720C0">
            <w:pPr>
              <w:spacing w:after="0" w:line="240" w:lineRule="auto"/>
              <w:jc w:val="right"/>
              <w:rPr>
                <w:rFonts w:eastAsia="Times New Roman"/>
                <w:color w:val="000000" w:themeColor="text1"/>
                <w:sz w:val="16"/>
                <w:szCs w:val="16"/>
              </w:rPr>
            </w:pPr>
            <w:r w:rsidRPr="00D14CD7">
              <w:rPr>
                <w:rFonts w:eastAsia="Times New Roman"/>
                <w:color w:val="000000" w:themeColor="text1"/>
                <w:sz w:val="16"/>
                <w:szCs w:val="16"/>
              </w:rPr>
              <w:t>—</w:t>
            </w:r>
          </w:p>
        </w:tc>
        <w:tc>
          <w:tcPr>
            <w:tcW w:w="155" w:type="pct"/>
            <w:tcBorders>
              <w:top w:val="single" w:sz="4" w:space="0" w:color="auto"/>
              <w:bottom w:val="single" w:sz="4" w:space="0" w:color="auto"/>
            </w:tcBorders>
            <w:shd w:val="clear" w:color="auto" w:fill="auto"/>
            <w:noWrap/>
            <w:vAlign w:val="center"/>
            <w:hideMark/>
          </w:tcPr>
          <w:p w14:paraId="01E5FC78" w14:textId="77777777" w:rsidR="004720C0" w:rsidRPr="00D14CD7" w:rsidRDefault="004720C0" w:rsidP="004720C0">
            <w:pPr>
              <w:spacing w:after="0" w:line="240" w:lineRule="auto"/>
              <w:jc w:val="right"/>
              <w:rPr>
                <w:rFonts w:eastAsia="Times New Roman"/>
                <w:color w:val="000000" w:themeColor="text1"/>
                <w:sz w:val="16"/>
                <w:szCs w:val="16"/>
              </w:rPr>
            </w:pPr>
            <w:r w:rsidRPr="00D14CD7">
              <w:rPr>
                <w:rFonts w:eastAsia="Times New Roman"/>
                <w:color w:val="000000" w:themeColor="text1"/>
                <w:sz w:val="16"/>
                <w:szCs w:val="16"/>
              </w:rPr>
              <w:t>—</w:t>
            </w:r>
          </w:p>
        </w:tc>
        <w:tc>
          <w:tcPr>
            <w:tcW w:w="158" w:type="pct"/>
            <w:tcBorders>
              <w:top w:val="single" w:sz="4" w:space="0" w:color="auto"/>
              <w:bottom w:val="single" w:sz="4" w:space="0" w:color="auto"/>
              <w:right w:val="double" w:sz="4" w:space="0" w:color="auto"/>
            </w:tcBorders>
            <w:shd w:val="clear" w:color="auto" w:fill="auto"/>
            <w:noWrap/>
            <w:vAlign w:val="center"/>
            <w:hideMark/>
          </w:tcPr>
          <w:p w14:paraId="6F133FA3" w14:textId="77777777" w:rsidR="004720C0" w:rsidRPr="00D14CD7" w:rsidRDefault="004720C0" w:rsidP="004720C0">
            <w:pPr>
              <w:spacing w:after="0" w:line="240" w:lineRule="auto"/>
              <w:jc w:val="right"/>
              <w:rPr>
                <w:rFonts w:eastAsia="Times New Roman"/>
                <w:color w:val="000000" w:themeColor="text1"/>
                <w:sz w:val="16"/>
                <w:szCs w:val="16"/>
              </w:rPr>
            </w:pPr>
            <w:r w:rsidRPr="00D14CD7">
              <w:rPr>
                <w:rFonts w:eastAsia="Times New Roman"/>
                <w:color w:val="000000" w:themeColor="text1"/>
                <w:sz w:val="16"/>
                <w:szCs w:val="16"/>
              </w:rPr>
              <w:t>—</w:t>
            </w:r>
          </w:p>
        </w:tc>
        <w:tc>
          <w:tcPr>
            <w:tcW w:w="188" w:type="pct"/>
            <w:tcBorders>
              <w:top w:val="single" w:sz="4" w:space="0" w:color="auto"/>
              <w:left w:val="double" w:sz="4" w:space="0" w:color="auto"/>
              <w:bottom w:val="single" w:sz="4" w:space="0" w:color="auto"/>
            </w:tcBorders>
            <w:shd w:val="clear" w:color="auto" w:fill="auto"/>
            <w:noWrap/>
            <w:vAlign w:val="center"/>
            <w:hideMark/>
          </w:tcPr>
          <w:p w14:paraId="507D4B53" w14:textId="77777777" w:rsidR="004720C0" w:rsidRPr="00D14CD7" w:rsidRDefault="004720C0" w:rsidP="004720C0">
            <w:pPr>
              <w:spacing w:after="0" w:line="240" w:lineRule="auto"/>
              <w:jc w:val="right"/>
              <w:rPr>
                <w:rFonts w:eastAsia="Times New Roman"/>
                <w:color w:val="000000" w:themeColor="text1"/>
                <w:sz w:val="16"/>
                <w:szCs w:val="16"/>
              </w:rPr>
            </w:pPr>
            <w:r w:rsidRPr="00D14CD7">
              <w:rPr>
                <w:rFonts w:eastAsia="Times New Roman"/>
                <w:color w:val="000000" w:themeColor="text1"/>
                <w:sz w:val="16"/>
                <w:szCs w:val="16"/>
              </w:rPr>
              <w:t>0.685</w:t>
            </w:r>
          </w:p>
        </w:tc>
        <w:tc>
          <w:tcPr>
            <w:tcW w:w="171" w:type="pct"/>
            <w:tcBorders>
              <w:top w:val="single" w:sz="4" w:space="0" w:color="auto"/>
              <w:bottom w:val="single" w:sz="4" w:space="0" w:color="auto"/>
            </w:tcBorders>
            <w:shd w:val="clear" w:color="auto" w:fill="auto"/>
            <w:noWrap/>
            <w:vAlign w:val="center"/>
            <w:hideMark/>
          </w:tcPr>
          <w:p w14:paraId="71BF8A56" w14:textId="77777777" w:rsidR="004720C0" w:rsidRPr="00D14CD7" w:rsidRDefault="004720C0" w:rsidP="004720C0">
            <w:pPr>
              <w:spacing w:after="0" w:line="240" w:lineRule="auto"/>
              <w:jc w:val="right"/>
              <w:rPr>
                <w:rFonts w:eastAsia="Times New Roman"/>
                <w:color w:val="000000" w:themeColor="text1"/>
                <w:sz w:val="16"/>
                <w:szCs w:val="16"/>
              </w:rPr>
            </w:pPr>
            <w:r w:rsidRPr="00D14CD7">
              <w:rPr>
                <w:rFonts w:eastAsia="Times New Roman"/>
                <w:color w:val="000000" w:themeColor="text1"/>
                <w:sz w:val="16"/>
                <w:szCs w:val="16"/>
              </w:rPr>
              <w:t>2.07</w:t>
            </w:r>
          </w:p>
        </w:tc>
      </w:tr>
      <w:tr w:rsidR="00D14CD7" w:rsidRPr="00D14CD7" w14:paraId="6664E432" w14:textId="77777777" w:rsidTr="004720C0">
        <w:trPr>
          <w:trHeight w:val="72"/>
        </w:trPr>
        <w:tc>
          <w:tcPr>
            <w:tcW w:w="1719" w:type="pct"/>
            <w:tcBorders>
              <w:top w:val="single" w:sz="4" w:space="0" w:color="auto"/>
              <w:bottom w:val="single" w:sz="4" w:space="0" w:color="auto"/>
              <w:right w:val="double" w:sz="4" w:space="0" w:color="auto"/>
            </w:tcBorders>
            <w:shd w:val="clear" w:color="auto" w:fill="auto"/>
            <w:noWrap/>
            <w:vAlign w:val="center"/>
            <w:hideMark/>
          </w:tcPr>
          <w:p w14:paraId="79D01455" w14:textId="77777777" w:rsidR="004720C0" w:rsidRPr="00D14CD7" w:rsidRDefault="004720C0" w:rsidP="004720C0">
            <w:pPr>
              <w:spacing w:after="0" w:line="240" w:lineRule="auto"/>
              <w:ind w:firstLineChars="100" w:firstLine="160"/>
              <w:jc w:val="left"/>
              <w:rPr>
                <w:rFonts w:eastAsia="Times New Roman"/>
                <w:color w:val="000000" w:themeColor="text1"/>
                <w:sz w:val="16"/>
                <w:szCs w:val="16"/>
              </w:rPr>
            </w:pPr>
            <w:r w:rsidRPr="00D14CD7">
              <w:rPr>
                <w:rFonts w:eastAsia="Times New Roman"/>
                <w:color w:val="000000" w:themeColor="text1"/>
                <w:sz w:val="16"/>
                <w:szCs w:val="16"/>
              </w:rPr>
              <w:t>14 | 15</w:t>
            </w:r>
          </w:p>
        </w:tc>
        <w:tc>
          <w:tcPr>
            <w:tcW w:w="217" w:type="pct"/>
            <w:tcBorders>
              <w:left w:val="double" w:sz="4" w:space="0" w:color="auto"/>
            </w:tcBorders>
            <w:shd w:val="clear" w:color="auto" w:fill="auto"/>
            <w:noWrap/>
            <w:vAlign w:val="center"/>
            <w:hideMark/>
          </w:tcPr>
          <w:p w14:paraId="3EA8FC36" w14:textId="77777777" w:rsidR="004720C0" w:rsidRPr="00D14CD7" w:rsidRDefault="004720C0" w:rsidP="004720C0">
            <w:pPr>
              <w:spacing w:after="0" w:line="240" w:lineRule="auto"/>
              <w:jc w:val="right"/>
              <w:rPr>
                <w:rFonts w:eastAsia="Times New Roman"/>
                <w:color w:val="000000" w:themeColor="text1"/>
                <w:sz w:val="16"/>
                <w:szCs w:val="16"/>
              </w:rPr>
            </w:pPr>
            <w:r w:rsidRPr="00D14CD7">
              <w:rPr>
                <w:rFonts w:eastAsia="Times New Roman"/>
                <w:color w:val="000000" w:themeColor="text1"/>
                <w:sz w:val="16"/>
                <w:szCs w:val="16"/>
              </w:rPr>
              <w:t>—</w:t>
            </w:r>
          </w:p>
        </w:tc>
        <w:tc>
          <w:tcPr>
            <w:tcW w:w="195" w:type="pct"/>
            <w:shd w:val="clear" w:color="auto" w:fill="auto"/>
            <w:noWrap/>
            <w:vAlign w:val="center"/>
            <w:hideMark/>
          </w:tcPr>
          <w:p w14:paraId="73E07CDB" w14:textId="77777777" w:rsidR="004720C0" w:rsidRPr="00D14CD7" w:rsidRDefault="004720C0" w:rsidP="004720C0">
            <w:pPr>
              <w:spacing w:after="0" w:line="240" w:lineRule="auto"/>
              <w:jc w:val="right"/>
              <w:rPr>
                <w:rFonts w:eastAsia="Times New Roman"/>
                <w:color w:val="000000" w:themeColor="text1"/>
                <w:sz w:val="16"/>
                <w:szCs w:val="16"/>
              </w:rPr>
            </w:pPr>
            <w:r w:rsidRPr="00D14CD7">
              <w:rPr>
                <w:rFonts w:eastAsia="Times New Roman"/>
                <w:color w:val="000000" w:themeColor="text1"/>
                <w:sz w:val="16"/>
                <w:szCs w:val="16"/>
              </w:rPr>
              <w:t>—</w:t>
            </w:r>
          </w:p>
        </w:tc>
        <w:tc>
          <w:tcPr>
            <w:tcW w:w="188" w:type="pct"/>
            <w:shd w:val="clear" w:color="auto" w:fill="auto"/>
            <w:noWrap/>
            <w:vAlign w:val="center"/>
            <w:hideMark/>
          </w:tcPr>
          <w:p w14:paraId="0622C437" w14:textId="77777777" w:rsidR="004720C0" w:rsidRPr="00D14CD7" w:rsidRDefault="004720C0" w:rsidP="004720C0">
            <w:pPr>
              <w:spacing w:after="0" w:line="240" w:lineRule="auto"/>
              <w:jc w:val="right"/>
              <w:rPr>
                <w:rFonts w:eastAsia="Times New Roman"/>
                <w:color w:val="000000" w:themeColor="text1"/>
                <w:sz w:val="16"/>
                <w:szCs w:val="16"/>
              </w:rPr>
            </w:pPr>
            <w:r w:rsidRPr="00D14CD7">
              <w:rPr>
                <w:rFonts w:eastAsia="Times New Roman"/>
                <w:color w:val="000000" w:themeColor="text1"/>
                <w:sz w:val="16"/>
                <w:szCs w:val="16"/>
              </w:rPr>
              <w:t>—</w:t>
            </w:r>
          </w:p>
        </w:tc>
        <w:tc>
          <w:tcPr>
            <w:tcW w:w="188" w:type="pct"/>
            <w:shd w:val="clear" w:color="auto" w:fill="auto"/>
            <w:noWrap/>
            <w:vAlign w:val="center"/>
            <w:hideMark/>
          </w:tcPr>
          <w:p w14:paraId="7ECE1FC2" w14:textId="77777777" w:rsidR="004720C0" w:rsidRPr="00D14CD7" w:rsidRDefault="004720C0" w:rsidP="004720C0">
            <w:pPr>
              <w:spacing w:after="0" w:line="240" w:lineRule="auto"/>
              <w:jc w:val="right"/>
              <w:rPr>
                <w:rFonts w:eastAsia="Times New Roman"/>
                <w:color w:val="000000" w:themeColor="text1"/>
                <w:sz w:val="16"/>
                <w:szCs w:val="16"/>
              </w:rPr>
            </w:pPr>
            <w:r w:rsidRPr="00D14CD7">
              <w:rPr>
                <w:rFonts w:eastAsia="Times New Roman"/>
                <w:color w:val="000000" w:themeColor="text1"/>
                <w:sz w:val="16"/>
                <w:szCs w:val="16"/>
              </w:rPr>
              <w:t>—</w:t>
            </w:r>
          </w:p>
        </w:tc>
        <w:tc>
          <w:tcPr>
            <w:tcW w:w="188" w:type="pct"/>
            <w:shd w:val="clear" w:color="auto" w:fill="auto"/>
            <w:noWrap/>
            <w:vAlign w:val="center"/>
            <w:hideMark/>
          </w:tcPr>
          <w:p w14:paraId="44A55501" w14:textId="77777777" w:rsidR="004720C0" w:rsidRPr="00D14CD7" w:rsidRDefault="004720C0" w:rsidP="004720C0">
            <w:pPr>
              <w:spacing w:after="0" w:line="240" w:lineRule="auto"/>
              <w:jc w:val="right"/>
              <w:rPr>
                <w:rFonts w:eastAsia="Times New Roman"/>
                <w:color w:val="000000" w:themeColor="text1"/>
                <w:sz w:val="16"/>
                <w:szCs w:val="16"/>
              </w:rPr>
            </w:pPr>
            <w:r w:rsidRPr="00D14CD7">
              <w:rPr>
                <w:rFonts w:eastAsia="Times New Roman"/>
                <w:color w:val="000000" w:themeColor="text1"/>
                <w:sz w:val="16"/>
                <w:szCs w:val="16"/>
              </w:rPr>
              <w:t>—</w:t>
            </w:r>
          </w:p>
        </w:tc>
        <w:tc>
          <w:tcPr>
            <w:tcW w:w="188" w:type="pct"/>
            <w:shd w:val="clear" w:color="auto" w:fill="auto"/>
            <w:noWrap/>
            <w:vAlign w:val="center"/>
            <w:hideMark/>
          </w:tcPr>
          <w:p w14:paraId="15BAE733" w14:textId="77777777" w:rsidR="004720C0" w:rsidRPr="00D14CD7" w:rsidRDefault="004720C0" w:rsidP="004720C0">
            <w:pPr>
              <w:spacing w:after="0" w:line="240" w:lineRule="auto"/>
              <w:jc w:val="right"/>
              <w:rPr>
                <w:rFonts w:eastAsia="Times New Roman"/>
                <w:color w:val="000000" w:themeColor="text1"/>
                <w:sz w:val="16"/>
                <w:szCs w:val="16"/>
              </w:rPr>
            </w:pPr>
            <w:r w:rsidRPr="00D14CD7">
              <w:rPr>
                <w:rFonts w:eastAsia="Times New Roman"/>
                <w:color w:val="000000" w:themeColor="text1"/>
                <w:sz w:val="16"/>
                <w:szCs w:val="16"/>
              </w:rPr>
              <w:t>—</w:t>
            </w:r>
          </w:p>
        </w:tc>
        <w:tc>
          <w:tcPr>
            <w:tcW w:w="188" w:type="pct"/>
            <w:shd w:val="clear" w:color="auto" w:fill="auto"/>
            <w:noWrap/>
            <w:vAlign w:val="center"/>
            <w:hideMark/>
          </w:tcPr>
          <w:p w14:paraId="3E444F38" w14:textId="77777777" w:rsidR="004720C0" w:rsidRPr="00D14CD7" w:rsidRDefault="004720C0" w:rsidP="004720C0">
            <w:pPr>
              <w:spacing w:after="0" w:line="240" w:lineRule="auto"/>
              <w:jc w:val="right"/>
              <w:rPr>
                <w:rFonts w:eastAsia="Times New Roman"/>
                <w:color w:val="000000" w:themeColor="text1"/>
                <w:sz w:val="16"/>
                <w:szCs w:val="16"/>
              </w:rPr>
            </w:pPr>
            <w:r w:rsidRPr="00D14CD7">
              <w:rPr>
                <w:rFonts w:eastAsia="Times New Roman"/>
                <w:color w:val="000000" w:themeColor="text1"/>
                <w:sz w:val="16"/>
                <w:szCs w:val="16"/>
              </w:rPr>
              <w:t>—</w:t>
            </w:r>
          </w:p>
        </w:tc>
        <w:tc>
          <w:tcPr>
            <w:tcW w:w="159" w:type="pct"/>
            <w:tcBorders>
              <w:right w:val="double" w:sz="4" w:space="0" w:color="auto"/>
            </w:tcBorders>
            <w:shd w:val="clear" w:color="auto" w:fill="auto"/>
            <w:noWrap/>
            <w:vAlign w:val="center"/>
            <w:hideMark/>
          </w:tcPr>
          <w:p w14:paraId="5D9FD9F4" w14:textId="77777777" w:rsidR="004720C0" w:rsidRPr="00D14CD7" w:rsidRDefault="004720C0" w:rsidP="004720C0">
            <w:pPr>
              <w:spacing w:after="0" w:line="240" w:lineRule="auto"/>
              <w:jc w:val="right"/>
              <w:rPr>
                <w:rFonts w:eastAsia="Times New Roman"/>
                <w:color w:val="000000" w:themeColor="text1"/>
                <w:sz w:val="16"/>
                <w:szCs w:val="16"/>
              </w:rPr>
            </w:pPr>
            <w:r w:rsidRPr="00D14CD7">
              <w:rPr>
                <w:rFonts w:eastAsia="Times New Roman"/>
                <w:color w:val="000000" w:themeColor="text1"/>
                <w:sz w:val="16"/>
                <w:szCs w:val="16"/>
              </w:rPr>
              <w:t>—</w:t>
            </w:r>
          </w:p>
        </w:tc>
        <w:tc>
          <w:tcPr>
            <w:tcW w:w="189" w:type="pct"/>
            <w:tcBorders>
              <w:top w:val="single" w:sz="4" w:space="0" w:color="auto"/>
              <w:left w:val="double" w:sz="4" w:space="0" w:color="auto"/>
              <w:bottom w:val="single" w:sz="4" w:space="0" w:color="auto"/>
            </w:tcBorders>
            <w:shd w:val="clear" w:color="auto" w:fill="auto"/>
            <w:noWrap/>
            <w:vAlign w:val="center"/>
            <w:hideMark/>
          </w:tcPr>
          <w:p w14:paraId="587951D6" w14:textId="77777777" w:rsidR="004720C0" w:rsidRPr="00D14CD7" w:rsidRDefault="004720C0" w:rsidP="004720C0">
            <w:pPr>
              <w:spacing w:after="0" w:line="240" w:lineRule="auto"/>
              <w:jc w:val="right"/>
              <w:rPr>
                <w:rFonts w:eastAsia="Times New Roman"/>
                <w:color w:val="000000" w:themeColor="text1"/>
                <w:sz w:val="16"/>
                <w:szCs w:val="16"/>
              </w:rPr>
            </w:pPr>
            <w:r w:rsidRPr="00D14CD7">
              <w:rPr>
                <w:rFonts w:eastAsia="Times New Roman"/>
                <w:color w:val="000000" w:themeColor="text1"/>
                <w:sz w:val="16"/>
                <w:szCs w:val="16"/>
              </w:rPr>
              <w:t>—</w:t>
            </w:r>
          </w:p>
        </w:tc>
        <w:tc>
          <w:tcPr>
            <w:tcW w:w="159" w:type="pct"/>
            <w:tcBorders>
              <w:top w:val="single" w:sz="4" w:space="0" w:color="auto"/>
              <w:bottom w:val="single" w:sz="4" w:space="0" w:color="auto"/>
            </w:tcBorders>
            <w:shd w:val="clear" w:color="auto" w:fill="auto"/>
            <w:noWrap/>
            <w:vAlign w:val="center"/>
            <w:hideMark/>
          </w:tcPr>
          <w:p w14:paraId="414563AC" w14:textId="77777777" w:rsidR="004720C0" w:rsidRPr="00D14CD7" w:rsidRDefault="004720C0" w:rsidP="004720C0">
            <w:pPr>
              <w:spacing w:after="0" w:line="240" w:lineRule="auto"/>
              <w:jc w:val="right"/>
              <w:rPr>
                <w:rFonts w:eastAsia="Times New Roman"/>
                <w:color w:val="000000" w:themeColor="text1"/>
                <w:sz w:val="16"/>
                <w:szCs w:val="16"/>
              </w:rPr>
            </w:pPr>
            <w:r w:rsidRPr="00D14CD7">
              <w:rPr>
                <w:rFonts w:eastAsia="Times New Roman"/>
                <w:color w:val="000000" w:themeColor="text1"/>
                <w:sz w:val="16"/>
                <w:szCs w:val="16"/>
              </w:rPr>
              <w:t>—</w:t>
            </w:r>
          </w:p>
        </w:tc>
        <w:tc>
          <w:tcPr>
            <w:tcW w:w="187" w:type="pct"/>
            <w:tcBorders>
              <w:top w:val="single" w:sz="4" w:space="0" w:color="auto"/>
              <w:bottom w:val="single" w:sz="4" w:space="0" w:color="auto"/>
            </w:tcBorders>
            <w:shd w:val="clear" w:color="auto" w:fill="auto"/>
            <w:noWrap/>
            <w:vAlign w:val="center"/>
            <w:hideMark/>
          </w:tcPr>
          <w:p w14:paraId="1E0D8AAA" w14:textId="77777777" w:rsidR="004720C0" w:rsidRPr="00D14CD7" w:rsidRDefault="004720C0" w:rsidP="004720C0">
            <w:pPr>
              <w:spacing w:after="0" w:line="240" w:lineRule="auto"/>
              <w:jc w:val="right"/>
              <w:rPr>
                <w:rFonts w:eastAsia="Times New Roman"/>
                <w:color w:val="000000" w:themeColor="text1"/>
                <w:sz w:val="16"/>
                <w:szCs w:val="16"/>
              </w:rPr>
            </w:pPr>
            <w:r w:rsidRPr="00D14CD7">
              <w:rPr>
                <w:rFonts w:eastAsia="Times New Roman"/>
                <w:color w:val="000000" w:themeColor="text1"/>
                <w:sz w:val="16"/>
                <w:szCs w:val="16"/>
              </w:rPr>
              <w:t>—</w:t>
            </w:r>
          </w:p>
        </w:tc>
        <w:tc>
          <w:tcPr>
            <w:tcW w:w="188" w:type="pct"/>
            <w:tcBorders>
              <w:top w:val="single" w:sz="4" w:space="0" w:color="auto"/>
              <w:bottom w:val="single" w:sz="4" w:space="0" w:color="auto"/>
            </w:tcBorders>
            <w:shd w:val="clear" w:color="auto" w:fill="auto"/>
            <w:noWrap/>
            <w:vAlign w:val="center"/>
            <w:hideMark/>
          </w:tcPr>
          <w:p w14:paraId="088D52AF" w14:textId="77777777" w:rsidR="004720C0" w:rsidRPr="00D14CD7" w:rsidRDefault="004720C0" w:rsidP="004720C0">
            <w:pPr>
              <w:spacing w:after="0" w:line="240" w:lineRule="auto"/>
              <w:jc w:val="right"/>
              <w:rPr>
                <w:rFonts w:eastAsia="Times New Roman"/>
                <w:color w:val="000000" w:themeColor="text1"/>
                <w:sz w:val="16"/>
                <w:szCs w:val="16"/>
              </w:rPr>
            </w:pPr>
            <w:r w:rsidRPr="00D14CD7">
              <w:rPr>
                <w:rFonts w:eastAsia="Times New Roman"/>
                <w:color w:val="000000" w:themeColor="text1"/>
                <w:sz w:val="16"/>
                <w:szCs w:val="16"/>
              </w:rPr>
              <w:t>—</w:t>
            </w:r>
          </w:p>
        </w:tc>
        <w:tc>
          <w:tcPr>
            <w:tcW w:w="188" w:type="pct"/>
            <w:tcBorders>
              <w:top w:val="single" w:sz="4" w:space="0" w:color="auto"/>
              <w:bottom w:val="single" w:sz="4" w:space="0" w:color="auto"/>
            </w:tcBorders>
            <w:shd w:val="clear" w:color="auto" w:fill="auto"/>
            <w:noWrap/>
            <w:vAlign w:val="center"/>
            <w:hideMark/>
          </w:tcPr>
          <w:p w14:paraId="30A9BC85" w14:textId="77777777" w:rsidR="004720C0" w:rsidRPr="00D14CD7" w:rsidRDefault="004720C0" w:rsidP="004720C0">
            <w:pPr>
              <w:spacing w:after="0" w:line="240" w:lineRule="auto"/>
              <w:jc w:val="right"/>
              <w:rPr>
                <w:rFonts w:eastAsia="Times New Roman"/>
                <w:color w:val="000000" w:themeColor="text1"/>
                <w:sz w:val="16"/>
                <w:szCs w:val="16"/>
              </w:rPr>
            </w:pPr>
            <w:r w:rsidRPr="00D14CD7">
              <w:rPr>
                <w:rFonts w:eastAsia="Times New Roman"/>
                <w:color w:val="000000" w:themeColor="text1"/>
                <w:sz w:val="16"/>
                <w:szCs w:val="16"/>
              </w:rPr>
              <w:t>—</w:t>
            </w:r>
          </w:p>
        </w:tc>
        <w:tc>
          <w:tcPr>
            <w:tcW w:w="188" w:type="pct"/>
            <w:tcBorders>
              <w:top w:val="single" w:sz="4" w:space="0" w:color="auto"/>
              <w:bottom w:val="single" w:sz="4" w:space="0" w:color="auto"/>
            </w:tcBorders>
            <w:shd w:val="clear" w:color="auto" w:fill="auto"/>
            <w:noWrap/>
            <w:vAlign w:val="center"/>
            <w:hideMark/>
          </w:tcPr>
          <w:p w14:paraId="7AB215F3" w14:textId="77777777" w:rsidR="004720C0" w:rsidRPr="00D14CD7" w:rsidRDefault="004720C0" w:rsidP="004720C0">
            <w:pPr>
              <w:spacing w:after="0" w:line="240" w:lineRule="auto"/>
              <w:jc w:val="right"/>
              <w:rPr>
                <w:rFonts w:eastAsia="Times New Roman"/>
                <w:color w:val="000000" w:themeColor="text1"/>
                <w:sz w:val="16"/>
                <w:szCs w:val="16"/>
              </w:rPr>
            </w:pPr>
            <w:r w:rsidRPr="00D14CD7">
              <w:rPr>
                <w:rFonts w:eastAsia="Times New Roman"/>
                <w:color w:val="000000" w:themeColor="text1"/>
                <w:sz w:val="16"/>
                <w:szCs w:val="16"/>
              </w:rPr>
              <w:t>—</w:t>
            </w:r>
          </w:p>
        </w:tc>
        <w:tc>
          <w:tcPr>
            <w:tcW w:w="155" w:type="pct"/>
            <w:tcBorders>
              <w:top w:val="single" w:sz="4" w:space="0" w:color="auto"/>
              <w:bottom w:val="single" w:sz="4" w:space="0" w:color="auto"/>
            </w:tcBorders>
            <w:shd w:val="clear" w:color="auto" w:fill="auto"/>
            <w:noWrap/>
            <w:vAlign w:val="center"/>
            <w:hideMark/>
          </w:tcPr>
          <w:p w14:paraId="1D01111A" w14:textId="77777777" w:rsidR="004720C0" w:rsidRPr="00D14CD7" w:rsidRDefault="004720C0" w:rsidP="004720C0">
            <w:pPr>
              <w:spacing w:after="0" w:line="240" w:lineRule="auto"/>
              <w:jc w:val="right"/>
              <w:rPr>
                <w:rFonts w:eastAsia="Times New Roman"/>
                <w:color w:val="000000" w:themeColor="text1"/>
                <w:sz w:val="16"/>
                <w:szCs w:val="16"/>
              </w:rPr>
            </w:pPr>
            <w:r w:rsidRPr="00D14CD7">
              <w:rPr>
                <w:rFonts w:eastAsia="Times New Roman"/>
                <w:color w:val="000000" w:themeColor="text1"/>
                <w:sz w:val="16"/>
                <w:szCs w:val="16"/>
              </w:rPr>
              <w:t>—</w:t>
            </w:r>
          </w:p>
        </w:tc>
        <w:tc>
          <w:tcPr>
            <w:tcW w:w="158" w:type="pct"/>
            <w:tcBorders>
              <w:top w:val="single" w:sz="4" w:space="0" w:color="auto"/>
              <w:bottom w:val="single" w:sz="4" w:space="0" w:color="auto"/>
              <w:right w:val="double" w:sz="4" w:space="0" w:color="auto"/>
            </w:tcBorders>
            <w:shd w:val="clear" w:color="auto" w:fill="auto"/>
            <w:noWrap/>
            <w:vAlign w:val="center"/>
            <w:hideMark/>
          </w:tcPr>
          <w:p w14:paraId="4CF9D5CE" w14:textId="77777777" w:rsidR="004720C0" w:rsidRPr="00D14CD7" w:rsidRDefault="004720C0" w:rsidP="004720C0">
            <w:pPr>
              <w:spacing w:after="0" w:line="240" w:lineRule="auto"/>
              <w:jc w:val="right"/>
              <w:rPr>
                <w:rFonts w:eastAsia="Times New Roman"/>
                <w:color w:val="000000" w:themeColor="text1"/>
                <w:sz w:val="16"/>
                <w:szCs w:val="16"/>
              </w:rPr>
            </w:pPr>
            <w:r w:rsidRPr="00D14CD7">
              <w:rPr>
                <w:rFonts w:eastAsia="Times New Roman"/>
                <w:color w:val="000000" w:themeColor="text1"/>
                <w:sz w:val="16"/>
                <w:szCs w:val="16"/>
              </w:rPr>
              <w:t>—</w:t>
            </w:r>
          </w:p>
        </w:tc>
        <w:tc>
          <w:tcPr>
            <w:tcW w:w="188" w:type="pct"/>
            <w:tcBorders>
              <w:top w:val="single" w:sz="4" w:space="0" w:color="auto"/>
              <w:left w:val="double" w:sz="4" w:space="0" w:color="auto"/>
              <w:bottom w:val="single" w:sz="4" w:space="0" w:color="auto"/>
            </w:tcBorders>
            <w:shd w:val="clear" w:color="auto" w:fill="auto"/>
            <w:noWrap/>
            <w:vAlign w:val="center"/>
            <w:hideMark/>
          </w:tcPr>
          <w:p w14:paraId="278C24FE" w14:textId="77777777" w:rsidR="004720C0" w:rsidRPr="00D14CD7" w:rsidRDefault="004720C0" w:rsidP="004720C0">
            <w:pPr>
              <w:spacing w:after="0" w:line="240" w:lineRule="auto"/>
              <w:jc w:val="right"/>
              <w:rPr>
                <w:rFonts w:eastAsia="Times New Roman"/>
                <w:color w:val="000000" w:themeColor="text1"/>
                <w:sz w:val="16"/>
                <w:szCs w:val="16"/>
              </w:rPr>
            </w:pPr>
            <w:r w:rsidRPr="00D14CD7">
              <w:rPr>
                <w:rFonts w:eastAsia="Times New Roman"/>
                <w:color w:val="000000" w:themeColor="text1"/>
                <w:sz w:val="16"/>
                <w:szCs w:val="16"/>
              </w:rPr>
              <w:t>-2.351</w:t>
            </w:r>
          </w:p>
        </w:tc>
        <w:tc>
          <w:tcPr>
            <w:tcW w:w="171" w:type="pct"/>
            <w:tcBorders>
              <w:top w:val="single" w:sz="4" w:space="0" w:color="auto"/>
              <w:bottom w:val="single" w:sz="4" w:space="0" w:color="auto"/>
            </w:tcBorders>
            <w:shd w:val="clear" w:color="auto" w:fill="auto"/>
            <w:noWrap/>
            <w:vAlign w:val="center"/>
            <w:hideMark/>
          </w:tcPr>
          <w:p w14:paraId="4673DFFE" w14:textId="77777777" w:rsidR="004720C0" w:rsidRPr="00D14CD7" w:rsidRDefault="004720C0" w:rsidP="004720C0">
            <w:pPr>
              <w:spacing w:after="0" w:line="240" w:lineRule="auto"/>
              <w:jc w:val="right"/>
              <w:rPr>
                <w:rFonts w:eastAsia="Times New Roman"/>
                <w:color w:val="000000" w:themeColor="text1"/>
                <w:sz w:val="16"/>
                <w:szCs w:val="16"/>
              </w:rPr>
            </w:pPr>
            <w:r w:rsidRPr="00D14CD7">
              <w:rPr>
                <w:rFonts w:eastAsia="Times New Roman"/>
                <w:color w:val="000000" w:themeColor="text1"/>
                <w:sz w:val="16"/>
                <w:szCs w:val="16"/>
              </w:rPr>
              <w:t>-3.34</w:t>
            </w:r>
          </w:p>
        </w:tc>
      </w:tr>
      <w:tr w:rsidR="00D14CD7" w:rsidRPr="00D14CD7" w14:paraId="79C3AF29" w14:textId="77777777" w:rsidTr="004720C0">
        <w:trPr>
          <w:trHeight w:val="72"/>
        </w:trPr>
        <w:tc>
          <w:tcPr>
            <w:tcW w:w="1719" w:type="pct"/>
            <w:tcBorders>
              <w:top w:val="single" w:sz="4" w:space="0" w:color="auto"/>
              <w:bottom w:val="single" w:sz="8" w:space="0" w:color="auto"/>
              <w:right w:val="double" w:sz="4" w:space="0" w:color="auto"/>
            </w:tcBorders>
            <w:shd w:val="clear" w:color="auto" w:fill="auto"/>
            <w:noWrap/>
            <w:vAlign w:val="center"/>
            <w:hideMark/>
          </w:tcPr>
          <w:p w14:paraId="47933299" w14:textId="77777777" w:rsidR="004720C0" w:rsidRPr="00D14CD7" w:rsidRDefault="004720C0" w:rsidP="004720C0">
            <w:pPr>
              <w:spacing w:after="0" w:line="240" w:lineRule="auto"/>
              <w:ind w:firstLineChars="100" w:firstLine="160"/>
              <w:jc w:val="left"/>
              <w:rPr>
                <w:rFonts w:eastAsia="Times New Roman"/>
                <w:color w:val="000000" w:themeColor="text1"/>
                <w:sz w:val="16"/>
                <w:szCs w:val="16"/>
              </w:rPr>
            </w:pPr>
            <w:r w:rsidRPr="00D14CD7">
              <w:rPr>
                <w:rFonts w:eastAsia="Times New Roman"/>
                <w:color w:val="000000" w:themeColor="text1"/>
                <w:sz w:val="16"/>
                <w:szCs w:val="16"/>
              </w:rPr>
              <w:t>20 | 21</w:t>
            </w:r>
          </w:p>
        </w:tc>
        <w:tc>
          <w:tcPr>
            <w:tcW w:w="217" w:type="pct"/>
            <w:tcBorders>
              <w:left w:val="double" w:sz="4" w:space="0" w:color="auto"/>
              <w:bottom w:val="single" w:sz="8" w:space="0" w:color="auto"/>
            </w:tcBorders>
            <w:shd w:val="clear" w:color="auto" w:fill="auto"/>
            <w:noWrap/>
            <w:vAlign w:val="center"/>
            <w:hideMark/>
          </w:tcPr>
          <w:p w14:paraId="7508E8A7" w14:textId="77777777" w:rsidR="004720C0" w:rsidRPr="00D14CD7" w:rsidRDefault="004720C0" w:rsidP="004720C0">
            <w:pPr>
              <w:spacing w:after="0" w:line="240" w:lineRule="auto"/>
              <w:jc w:val="right"/>
              <w:rPr>
                <w:rFonts w:eastAsia="Times New Roman"/>
                <w:color w:val="000000" w:themeColor="text1"/>
                <w:sz w:val="16"/>
                <w:szCs w:val="16"/>
              </w:rPr>
            </w:pPr>
            <w:r w:rsidRPr="00D14CD7">
              <w:rPr>
                <w:rFonts w:eastAsia="Times New Roman"/>
                <w:color w:val="000000" w:themeColor="text1"/>
                <w:sz w:val="16"/>
                <w:szCs w:val="16"/>
              </w:rPr>
              <w:t>—</w:t>
            </w:r>
          </w:p>
        </w:tc>
        <w:tc>
          <w:tcPr>
            <w:tcW w:w="195" w:type="pct"/>
            <w:tcBorders>
              <w:bottom w:val="single" w:sz="8" w:space="0" w:color="auto"/>
            </w:tcBorders>
            <w:shd w:val="clear" w:color="auto" w:fill="auto"/>
            <w:noWrap/>
            <w:vAlign w:val="center"/>
            <w:hideMark/>
          </w:tcPr>
          <w:p w14:paraId="71D23D09" w14:textId="77777777" w:rsidR="004720C0" w:rsidRPr="00D14CD7" w:rsidRDefault="004720C0" w:rsidP="004720C0">
            <w:pPr>
              <w:spacing w:after="0" w:line="240" w:lineRule="auto"/>
              <w:jc w:val="right"/>
              <w:rPr>
                <w:rFonts w:eastAsia="Times New Roman"/>
                <w:color w:val="000000" w:themeColor="text1"/>
                <w:sz w:val="16"/>
                <w:szCs w:val="16"/>
              </w:rPr>
            </w:pPr>
            <w:r w:rsidRPr="00D14CD7">
              <w:rPr>
                <w:rFonts w:eastAsia="Times New Roman"/>
                <w:color w:val="000000" w:themeColor="text1"/>
                <w:sz w:val="16"/>
                <w:szCs w:val="16"/>
              </w:rPr>
              <w:t>—</w:t>
            </w:r>
          </w:p>
        </w:tc>
        <w:tc>
          <w:tcPr>
            <w:tcW w:w="188" w:type="pct"/>
            <w:tcBorders>
              <w:bottom w:val="single" w:sz="8" w:space="0" w:color="auto"/>
            </w:tcBorders>
            <w:shd w:val="clear" w:color="auto" w:fill="auto"/>
            <w:noWrap/>
            <w:vAlign w:val="center"/>
            <w:hideMark/>
          </w:tcPr>
          <w:p w14:paraId="297C718A" w14:textId="77777777" w:rsidR="004720C0" w:rsidRPr="00D14CD7" w:rsidRDefault="004720C0" w:rsidP="004720C0">
            <w:pPr>
              <w:spacing w:after="0" w:line="240" w:lineRule="auto"/>
              <w:jc w:val="right"/>
              <w:rPr>
                <w:rFonts w:eastAsia="Times New Roman"/>
                <w:color w:val="000000" w:themeColor="text1"/>
                <w:sz w:val="16"/>
                <w:szCs w:val="16"/>
              </w:rPr>
            </w:pPr>
            <w:r w:rsidRPr="00D14CD7">
              <w:rPr>
                <w:rFonts w:eastAsia="Times New Roman"/>
                <w:color w:val="000000" w:themeColor="text1"/>
                <w:sz w:val="16"/>
                <w:szCs w:val="16"/>
              </w:rPr>
              <w:t>—</w:t>
            </w:r>
          </w:p>
        </w:tc>
        <w:tc>
          <w:tcPr>
            <w:tcW w:w="188" w:type="pct"/>
            <w:tcBorders>
              <w:bottom w:val="single" w:sz="8" w:space="0" w:color="auto"/>
            </w:tcBorders>
            <w:shd w:val="clear" w:color="auto" w:fill="auto"/>
            <w:noWrap/>
            <w:vAlign w:val="center"/>
            <w:hideMark/>
          </w:tcPr>
          <w:p w14:paraId="261C8AEF" w14:textId="77777777" w:rsidR="004720C0" w:rsidRPr="00D14CD7" w:rsidRDefault="004720C0" w:rsidP="004720C0">
            <w:pPr>
              <w:spacing w:after="0" w:line="240" w:lineRule="auto"/>
              <w:jc w:val="right"/>
              <w:rPr>
                <w:rFonts w:eastAsia="Times New Roman"/>
                <w:color w:val="000000" w:themeColor="text1"/>
                <w:sz w:val="16"/>
                <w:szCs w:val="16"/>
              </w:rPr>
            </w:pPr>
            <w:r w:rsidRPr="00D14CD7">
              <w:rPr>
                <w:rFonts w:eastAsia="Times New Roman"/>
                <w:color w:val="000000" w:themeColor="text1"/>
                <w:sz w:val="16"/>
                <w:szCs w:val="16"/>
              </w:rPr>
              <w:t>—</w:t>
            </w:r>
          </w:p>
        </w:tc>
        <w:tc>
          <w:tcPr>
            <w:tcW w:w="188" w:type="pct"/>
            <w:tcBorders>
              <w:bottom w:val="single" w:sz="8" w:space="0" w:color="auto"/>
            </w:tcBorders>
            <w:shd w:val="clear" w:color="auto" w:fill="auto"/>
            <w:noWrap/>
            <w:vAlign w:val="center"/>
            <w:hideMark/>
          </w:tcPr>
          <w:p w14:paraId="300AB776" w14:textId="77777777" w:rsidR="004720C0" w:rsidRPr="00D14CD7" w:rsidRDefault="004720C0" w:rsidP="004720C0">
            <w:pPr>
              <w:spacing w:after="0" w:line="240" w:lineRule="auto"/>
              <w:jc w:val="right"/>
              <w:rPr>
                <w:rFonts w:eastAsia="Times New Roman"/>
                <w:color w:val="000000" w:themeColor="text1"/>
                <w:sz w:val="16"/>
                <w:szCs w:val="16"/>
              </w:rPr>
            </w:pPr>
            <w:r w:rsidRPr="00D14CD7">
              <w:rPr>
                <w:rFonts w:eastAsia="Times New Roman"/>
                <w:color w:val="000000" w:themeColor="text1"/>
                <w:sz w:val="16"/>
                <w:szCs w:val="16"/>
              </w:rPr>
              <w:t>—</w:t>
            </w:r>
          </w:p>
        </w:tc>
        <w:tc>
          <w:tcPr>
            <w:tcW w:w="188" w:type="pct"/>
            <w:tcBorders>
              <w:bottom w:val="single" w:sz="8" w:space="0" w:color="auto"/>
            </w:tcBorders>
            <w:shd w:val="clear" w:color="auto" w:fill="auto"/>
            <w:noWrap/>
            <w:vAlign w:val="center"/>
            <w:hideMark/>
          </w:tcPr>
          <w:p w14:paraId="262CEC08" w14:textId="77777777" w:rsidR="004720C0" w:rsidRPr="00D14CD7" w:rsidRDefault="004720C0" w:rsidP="004720C0">
            <w:pPr>
              <w:spacing w:after="0" w:line="240" w:lineRule="auto"/>
              <w:jc w:val="right"/>
              <w:rPr>
                <w:rFonts w:eastAsia="Times New Roman"/>
                <w:color w:val="000000" w:themeColor="text1"/>
                <w:sz w:val="16"/>
                <w:szCs w:val="16"/>
              </w:rPr>
            </w:pPr>
            <w:r w:rsidRPr="00D14CD7">
              <w:rPr>
                <w:rFonts w:eastAsia="Times New Roman"/>
                <w:color w:val="000000" w:themeColor="text1"/>
                <w:sz w:val="16"/>
                <w:szCs w:val="16"/>
              </w:rPr>
              <w:t>—</w:t>
            </w:r>
          </w:p>
        </w:tc>
        <w:tc>
          <w:tcPr>
            <w:tcW w:w="188" w:type="pct"/>
            <w:tcBorders>
              <w:bottom w:val="single" w:sz="8" w:space="0" w:color="auto"/>
            </w:tcBorders>
            <w:shd w:val="clear" w:color="auto" w:fill="auto"/>
            <w:noWrap/>
            <w:vAlign w:val="center"/>
            <w:hideMark/>
          </w:tcPr>
          <w:p w14:paraId="2467B14B" w14:textId="77777777" w:rsidR="004720C0" w:rsidRPr="00D14CD7" w:rsidRDefault="004720C0" w:rsidP="004720C0">
            <w:pPr>
              <w:spacing w:after="0" w:line="240" w:lineRule="auto"/>
              <w:jc w:val="right"/>
              <w:rPr>
                <w:rFonts w:eastAsia="Times New Roman"/>
                <w:color w:val="000000" w:themeColor="text1"/>
                <w:sz w:val="16"/>
                <w:szCs w:val="16"/>
              </w:rPr>
            </w:pPr>
            <w:r w:rsidRPr="00D14CD7">
              <w:rPr>
                <w:rFonts w:eastAsia="Times New Roman"/>
                <w:color w:val="000000" w:themeColor="text1"/>
                <w:sz w:val="16"/>
                <w:szCs w:val="16"/>
              </w:rPr>
              <w:t>—</w:t>
            </w:r>
          </w:p>
        </w:tc>
        <w:tc>
          <w:tcPr>
            <w:tcW w:w="159" w:type="pct"/>
            <w:tcBorders>
              <w:bottom w:val="single" w:sz="8" w:space="0" w:color="auto"/>
              <w:right w:val="double" w:sz="4" w:space="0" w:color="auto"/>
            </w:tcBorders>
            <w:shd w:val="clear" w:color="auto" w:fill="auto"/>
            <w:noWrap/>
            <w:vAlign w:val="center"/>
            <w:hideMark/>
          </w:tcPr>
          <w:p w14:paraId="3909618A" w14:textId="77777777" w:rsidR="004720C0" w:rsidRPr="00D14CD7" w:rsidRDefault="004720C0" w:rsidP="004720C0">
            <w:pPr>
              <w:spacing w:after="0" w:line="240" w:lineRule="auto"/>
              <w:jc w:val="right"/>
              <w:rPr>
                <w:rFonts w:eastAsia="Times New Roman"/>
                <w:color w:val="000000" w:themeColor="text1"/>
                <w:sz w:val="16"/>
                <w:szCs w:val="16"/>
              </w:rPr>
            </w:pPr>
            <w:r w:rsidRPr="00D14CD7">
              <w:rPr>
                <w:rFonts w:eastAsia="Times New Roman"/>
                <w:color w:val="000000" w:themeColor="text1"/>
                <w:sz w:val="16"/>
                <w:szCs w:val="16"/>
              </w:rPr>
              <w:t>—</w:t>
            </w:r>
          </w:p>
        </w:tc>
        <w:tc>
          <w:tcPr>
            <w:tcW w:w="189" w:type="pct"/>
            <w:tcBorders>
              <w:top w:val="single" w:sz="4" w:space="0" w:color="auto"/>
              <w:left w:val="double" w:sz="4" w:space="0" w:color="auto"/>
              <w:bottom w:val="single" w:sz="8" w:space="0" w:color="auto"/>
            </w:tcBorders>
            <w:shd w:val="clear" w:color="auto" w:fill="auto"/>
            <w:noWrap/>
            <w:vAlign w:val="center"/>
            <w:hideMark/>
          </w:tcPr>
          <w:p w14:paraId="37EFB610" w14:textId="77777777" w:rsidR="004720C0" w:rsidRPr="00D14CD7" w:rsidRDefault="004720C0" w:rsidP="004720C0">
            <w:pPr>
              <w:spacing w:after="0" w:line="240" w:lineRule="auto"/>
              <w:jc w:val="right"/>
              <w:rPr>
                <w:rFonts w:eastAsia="Times New Roman"/>
                <w:color w:val="000000" w:themeColor="text1"/>
                <w:sz w:val="16"/>
                <w:szCs w:val="16"/>
              </w:rPr>
            </w:pPr>
            <w:r w:rsidRPr="00D14CD7">
              <w:rPr>
                <w:rFonts w:eastAsia="Times New Roman"/>
                <w:color w:val="000000" w:themeColor="text1"/>
                <w:sz w:val="16"/>
                <w:szCs w:val="16"/>
              </w:rPr>
              <w:t>—</w:t>
            </w:r>
          </w:p>
        </w:tc>
        <w:tc>
          <w:tcPr>
            <w:tcW w:w="159" w:type="pct"/>
            <w:tcBorders>
              <w:top w:val="single" w:sz="4" w:space="0" w:color="auto"/>
              <w:bottom w:val="single" w:sz="8" w:space="0" w:color="auto"/>
            </w:tcBorders>
            <w:shd w:val="clear" w:color="auto" w:fill="auto"/>
            <w:noWrap/>
            <w:vAlign w:val="center"/>
            <w:hideMark/>
          </w:tcPr>
          <w:p w14:paraId="02284FDE" w14:textId="77777777" w:rsidR="004720C0" w:rsidRPr="00D14CD7" w:rsidRDefault="004720C0" w:rsidP="004720C0">
            <w:pPr>
              <w:spacing w:after="0" w:line="240" w:lineRule="auto"/>
              <w:jc w:val="right"/>
              <w:rPr>
                <w:rFonts w:eastAsia="Times New Roman"/>
                <w:color w:val="000000" w:themeColor="text1"/>
                <w:sz w:val="16"/>
                <w:szCs w:val="16"/>
              </w:rPr>
            </w:pPr>
            <w:r w:rsidRPr="00D14CD7">
              <w:rPr>
                <w:rFonts w:eastAsia="Times New Roman"/>
                <w:color w:val="000000" w:themeColor="text1"/>
                <w:sz w:val="16"/>
                <w:szCs w:val="16"/>
              </w:rPr>
              <w:t>—</w:t>
            </w:r>
          </w:p>
        </w:tc>
        <w:tc>
          <w:tcPr>
            <w:tcW w:w="187" w:type="pct"/>
            <w:tcBorders>
              <w:top w:val="single" w:sz="4" w:space="0" w:color="auto"/>
              <w:bottom w:val="single" w:sz="8" w:space="0" w:color="auto"/>
            </w:tcBorders>
            <w:shd w:val="clear" w:color="auto" w:fill="auto"/>
            <w:noWrap/>
            <w:vAlign w:val="center"/>
            <w:hideMark/>
          </w:tcPr>
          <w:p w14:paraId="5F8CB922" w14:textId="77777777" w:rsidR="004720C0" w:rsidRPr="00D14CD7" w:rsidRDefault="004720C0" w:rsidP="004720C0">
            <w:pPr>
              <w:spacing w:after="0" w:line="240" w:lineRule="auto"/>
              <w:jc w:val="right"/>
              <w:rPr>
                <w:rFonts w:eastAsia="Times New Roman"/>
                <w:color w:val="000000" w:themeColor="text1"/>
                <w:sz w:val="16"/>
                <w:szCs w:val="16"/>
              </w:rPr>
            </w:pPr>
            <w:r w:rsidRPr="00D14CD7">
              <w:rPr>
                <w:rFonts w:eastAsia="Times New Roman"/>
                <w:color w:val="000000" w:themeColor="text1"/>
                <w:sz w:val="16"/>
                <w:szCs w:val="16"/>
              </w:rPr>
              <w:t>—</w:t>
            </w:r>
          </w:p>
        </w:tc>
        <w:tc>
          <w:tcPr>
            <w:tcW w:w="188" w:type="pct"/>
            <w:tcBorders>
              <w:top w:val="single" w:sz="4" w:space="0" w:color="auto"/>
              <w:bottom w:val="single" w:sz="8" w:space="0" w:color="auto"/>
            </w:tcBorders>
            <w:shd w:val="clear" w:color="auto" w:fill="auto"/>
            <w:noWrap/>
            <w:vAlign w:val="center"/>
            <w:hideMark/>
          </w:tcPr>
          <w:p w14:paraId="34A7441E" w14:textId="77777777" w:rsidR="004720C0" w:rsidRPr="00D14CD7" w:rsidRDefault="004720C0" w:rsidP="004720C0">
            <w:pPr>
              <w:spacing w:after="0" w:line="240" w:lineRule="auto"/>
              <w:jc w:val="right"/>
              <w:rPr>
                <w:rFonts w:eastAsia="Times New Roman"/>
                <w:color w:val="000000" w:themeColor="text1"/>
                <w:sz w:val="16"/>
                <w:szCs w:val="16"/>
              </w:rPr>
            </w:pPr>
            <w:r w:rsidRPr="00D14CD7">
              <w:rPr>
                <w:rFonts w:eastAsia="Times New Roman"/>
                <w:color w:val="000000" w:themeColor="text1"/>
                <w:sz w:val="16"/>
                <w:szCs w:val="16"/>
              </w:rPr>
              <w:t>—</w:t>
            </w:r>
          </w:p>
        </w:tc>
        <w:tc>
          <w:tcPr>
            <w:tcW w:w="188" w:type="pct"/>
            <w:tcBorders>
              <w:top w:val="single" w:sz="4" w:space="0" w:color="auto"/>
              <w:bottom w:val="single" w:sz="8" w:space="0" w:color="auto"/>
            </w:tcBorders>
            <w:shd w:val="clear" w:color="auto" w:fill="auto"/>
            <w:noWrap/>
            <w:vAlign w:val="center"/>
            <w:hideMark/>
          </w:tcPr>
          <w:p w14:paraId="0FECF98F" w14:textId="77777777" w:rsidR="004720C0" w:rsidRPr="00D14CD7" w:rsidRDefault="004720C0" w:rsidP="004720C0">
            <w:pPr>
              <w:spacing w:after="0" w:line="240" w:lineRule="auto"/>
              <w:jc w:val="right"/>
              <w:rPr>
                <w:rFonts w:eastAsia="Times New Roman"/>
                <w:color w:val="000000" w:themeColor="text1"/>
                <w:sz w:val="16"/>
                <w:szCs w:val="16"/>
              </w:rPr>
            </w:pPr>
            <w:r w:rsidRPr="00D14CD7">
              <w:rPr>
                <w:rFonts w:eastAsia="Times New Roman"/>
                <w:color w:val="000000" w:themeColor="text1"/>
                <w:sz w:val="16"/>
                <w:szCs w:val="16"/>
              </w:rPr>
              <w:t>—</w:t>
            </w:r>
          </w:p>
        </w:tc>
        <w:tc>
          <w:tcPr>
            <w:tcW w:w="188" w:type="pct"/>
            <w:tcBorders>
              <w:top w:val="single" w:sz="4" w:space="0" w:color="auto"/>
              <w:bottom w:val="single" w:sz="8" w:space="0" w:color="auto"/>
            </w:tcBorders>
            <w:shd w:val="clear" w:color="auto" w:fill="auto"/>
            <w:noWrap/>
            <w:vAlign w:val="center"/>
            <w:hideMark/>
          </w:tcPr>
          <w:p w14:paraId="112EA171" w14:textId="77777777" w:rsidR="004720C0" w:rsidRPr="00D14CD7" w:rsidRDefault="004720C0" w:rsidP="004720C0">
            <w:pPr>
              <w:spacing w:after="0" w:line="240" w:lineRule="auto"/>
              <w:jc w:val="right"/>
              <w:rPr>
                <w:rFonts w:eastAsia="Times New Roman"/>
                <w:color w:val="000000" w:themeColor="text1"/>
                <w:sz w:val="16"/>
                <w:szCs w:val="16"/>
              </w:rPr>
            </w:pPr>
            <w:r w:rsidRPr="00D14CD7">
              <w:rPr>
                <w:rFonts w:eastAsia="Times New Roman"/>
                <w:color w:val="000000" w:themeColor="text1"/>
                <w:sz w:val="16"/>
                <w:szCs w:val="16"/>
              </w:rPr>
              <w:t>—</w:t>
            </w:r>
          </w:p>
        </w:tc>
        <w:tc>
          <w:tcPr>
            <w:tcW w:w="155" w:type="pct"/>
            <w:tcBorders>
              <w:top w:val="single" w:sz="4" w:space="0" w:color="auto"/>
              <w:bottom w:val="single" w:sz="8" w:space="0" w:color="auto"/>
            </w:tcBorders>
            <w:shd w:val="clear" w:color="auto" w:fill="auto"/>
            <w:noWrap/>
            <w:vAlign w:val="center"/>
            <w:hideMark/>
          </w:tcPr>
          <w:p w14:paraId="44F43242" w14:textId="77777777" w:rsidR="004720C0" w:rsidRPr="00D14CD7" w:rsidRDefault="004720C0" w:rsidP="004720C0">
            <w:pPr>
              <w:spacing w:after="0" w:line="240" w:lineRule="auto"/>
              <w:jc w:val="right"/>
              <w:rPr>
                <w:rFonts w:eastAsia="Times New Roman"/>
                <w:color w:val="000000" w:themeColor="text1"/>
                <w:sz w:val="16"/>
                <w:szCs w:val="16"/>
              </w:rPr>
            </w:pPr>
            <w:r w:rsidRPr="00D14CD7">
              <w:rPr>
                <w:rFonts w:eastAsia="Times New Roman"/>
                <w:color w:val="000000" w:themeColor="text1"/>
                <w:sz w:val="16"/>
                <w:szCs w:val="16"/>
              </w:rPr>
              <w:t>—</w:t>
            </w:r>
          </w:p>
        </w:tc>
        <w:tc>
          <w:tcPr>
            <w:tcW w:w="158" w:type="pct"/>
            <w:tcBorders>
              <w:top w:val="single" w:sz="4" w:space="0" w:color="auto"/>
              <w:bottom w:val="single" w:sz="8" w:space="0" w:color="auto"/>
              <w:right w:val="double" w:sz="4" w:space="0" w:color="auto"/>
            </w:tcBorders>
            <w:shd w:val="clear" w:color="auto" w:fill="auto"/>
            <w:noWrap/>
            <w:vAlign w:val="center"/>
            <w:hideMark/>
          </w:tcPr>
          <w:p w14:paraId="6738EF62" w14:textId="77777777" w:rsidR="004720C0" w:rsidRPr="00D14CD7" w:rsidRDefault="004720C0" w:rsidP="004720C0">
            <w:pPr>
              <w:spacing w:after="0" w:line="240" w:lineRule="auto"/>
              <w:jc w:val="right"/>
              <w:rPr>
                <w:rFonts w:eastAsia="Times New Roman"/>
                <w:color w:val="000000" w:themeColor="text1"/>
                <w:sz w:val="16"/>
                <w:szCs w:val="16"/>
              </w:rPr>
            </w:pPr>
            <w:r w:rsidRPr="00D14CD7">
              <w:rPr>
                <w:rFonts w:eastAsia="Times New Roman"/>
                <w:color w:val="000000" w:themeColor="text1"/>
                <w:sz w:val="16"/>
                <w:szCs w:val="16"/>
              </w:rPr>
              <w:t>—</w:t>
            </w:r>
          </w:p>
        </w:tc>
        <w:tc>
          <w:tcPr>
            <w:tcW w:w="188" w:type="pct"/>
            <w:tcBorders>
              <w:top w:val="single" w:sz="4" w:space="0" w:color="auto"/>
              <w:left w:val="double" w:sz="4" w:space="0" w:color="auto"/>
              <w:bottom w:val="single" w:sz="8" w:space="0" w:color="auto"/>
            </w:tcBorders>
            <w:shd w:val="clear" w:color="auto" w:fill="auto"/>
            <w:noWrap/>
            <w:vAlign w:val="center"/>
            <w:hideMark/>
          </w:tcPr>
          <w:p w14:paraId="0E44618A" w14:textId="77777777" w:rsidR="004720C0" w:rsidRPr="00D14CD7" w:rsidRDefault="004720C0" w:rsidP="004720C0">
            <w:pPr>
              <w:spacing w:after="0" w:line="240" w:lineRule="auto"/>
              <w:jc w:val="right"/>
              <w:rPr>
                <w:rFonts w:eastAsia="Times New Roman"/>
                <w:color w:val="000000" w:themeColor="text1"/>
                <w:sz w:val="16"/>
                <w:szCs w:val="16"/>
              </w:rPr>
            </w:pPr>
            <w:r w:rsidRPr="00D14CD7">
              <w:rPr>
                <w:rFonts w:eastAsia="Times New Roman"/>
                <w:color w:val="000000" w:themeColor="text1"/>
                <w:sz w:val="16"/>
                <w:szCs w:val="16"/>
              </w:rPr>
              <w:t>0.299</w:t>
            </w:r>
          </w:p>
        </w:tc>
        <w:tc>
          <w:tcPr>
            <w:tcW w:w="171" w:type="pct"/>
            <w:tcBorders>
              <w:top w:val="single" w:sz="4" w:space="0" w:color="auto"/>
              <w:bottom w:val="single" w:sz="8" w:space="0" w:color="auto"/>
            </w:tcBorders>
            <w:shd w:val="clear" w:color="auto" w:fill="auto"/>
            <w:noWrap/>
            <w:vAlign w:val="center"/>
            <w:hideMark/>
          </w:tcPr>
          <w:p w14:paraId="705EA3ED" w14:textId="77777777" w:rsidR="004720C0" w:rsidRPr="00D14CD7" w:rsidRDefault="004720C0" w:rsidP="004720C0">
            <w:pPr>
              <w:spacing w:after="0" w:line="240" w:lineRule="auto"/>
              <w:jc w:val="right"/>
              <w:rPr>
                <w:rFonts w:eastAsia="Times New Roman"/>
                <w:color w:val="000000" w:themeColor="text1"/>
                <w:sz w:val="16"/>
                <w:szCs w:val="16"/>
              </w:rPr>
            </w:pPr>
            <w:r w:rsidRPr="00D14CD7">
              <w:rPr>
                <w:rFonts w:eastAsia="Times New Roman"/>
                <w:color w:val="000000" w:themeColor="text1"/>
                <w:sz w:val="16"/>
                <w:szCs w:val="16"/>
              </w:rPr>
              <w:t>2.29</w:t>
            </w:r>
          </w:p>
        </w:tc>
      </w:tr>
      <w:tr w:rsidR="00D14CD7" w:rsidRPr="00D14CD7" w14:paraId="75C86A6B" w14:textId="77777777" w:rsidTr="004720C0">
        <w:trPr>
          <w:trHeight w:val="72"/>
        </w:trPr>
        <w:tc>
          <w:tcPr>
            <w:tcW w:w="1719" w:type="pct"/>
            <w:tcBorders>
              <w:top w:val="single" w:sz="8" w:space="0" w:color="auto"/>
              <w:bottom w:val="single" w:sz="8" w:space="0" w:color="auto"/>
              <w:right w:val="double" w:sz="4" w:space="0" w:color="auto"/>
            </w:tcBorders>
            <w:shd w:val="clear" w:color="auto" w:fill="auto"/>
            <w:noWrap/>
            <w:vAlign w:val="center"/>
            <w:hideMark/>
          </w:tcPr>
          <w:p w14:paraId="63239FAB" w14:textId="77777777" w:rsidR="004720C0" w:rsidRPr="00D14CD7" w:rsidRDefault="004720C0" w:rsidP="004720C0">
            <w:pPr>
              <w:spacing w:after="0" w:line="240" w:lineRule="auto"/>
              <w:jc w:val="left"/>
              <w:rPr>
                <w:rFonts w:eastAsia="Times New Roman"/>
                <w:b/>
                <w:bCs/>
                <w:color w:val="000000" w:themeColor="text1"/>
                <w:sz w:val="16"/>
                <w:szCs w:val="16"/>
              </w:rPr>
            </w:pPr>
            <w:r w:rsidRPr="00D14CD7">
              <w:rPr>
                <w:rFonts w:eastAsia="Times New Roman"/>
                <w:b/>
                <w:bCs/>
                <w:color w:val="000000" w:themeColor="text1"/>
                <w:sz w:val="16"/>
                <w:szCs w:val="16"/>
              </w:rPr>
              <w:t>Linking</w:t>
            </w:r>
          </w:p>
        </w:tc>
        <w:tc>
          <w:tcPr>
            <w:tcW w:w="217" w:type="pct"/>
            <w:tcBorders>
              <w:top w:val="single" w:sz="8" w:space="0" w:color="auto"/>
              <w:left w:val="double" w:sz="4" w:space="0" w:color="auto"/>
              <w:bottom w:val="single" w:sz="8" w:space="0" w:color="auto"/>
            </w:tcBorders>
            <w:shd w:val="clear" w:color="auto" w:fill="auto"/>
            <w:noWrap/>
            <w:vAlign w:val="center"/>
            <w:hideMark/>
          </w:tcPr>
          <w:p w14:paraId="68B152FD" w14:textId="77777777" w:rsidR="004720C0" w:rsidRPr="00D14CD7" w:rsidRDefault="004720C0" w:rsidP="004720C0">
            <w:pPr>
              <w:spacing w:after="0" w:line="240" w:lineRule="auto"/>
              <w:jc w:val="right"/>
              <w:rPr>
                <w:rFonts w:eastAsia="Times New Roman"/>
                <w:color w:val="000000" w:themeColor="text1"/>
                <w:sz w:val="16"/>
                <w:szCs w:val="16"/>
              </w:rPr>
            </w:pPr>
            <w:r w:rsidRPr="00D14CD7">
              <w:rPr>
                <w:rFonts w:eastAsia="Times New Roman"/>
                <w:color w:val="000000" w:themeColor="text1"/>
                <w:sz w:val="16"/>
                <w:szCs w:val="16"/>
              </w:rPr>
              <w:t>—</w:t>
            </w:r>
          </w:p>
        </w:tc>
        <w:tc>
          <w:tcPr>
            <w:tcW w:w="195" w:type="pct"/>
            <w:tcBorders>
              <w:top w:val="single" w:sz="8" w:space="0" w:color="auto"/>
              <w:bottom w:val="single" w:sz="8" w:space="0" w:color="auto"/>
            </w:tcBorders>
            <w:shd w:val="clear" w:color="auto" w:fill="auto"/>
            <w:noWrap/>
            <w:vAlign w:val="center"/>
            <w:hideMark/>
          </w:tcPr>
          <w:p w14:paraId="75C99504" w14:textId="77777777" w:rsidR="004720C0" w:rsidRPr="00D14CD7" w:rsidRDefault="004720C0" w:rsidP="004720C0">
            <w:pPr>
              <w:spacing w:after="0" w:line="240" w:lineRule="auto"/>
              <w:jc w:val="right"/>
              <w:rPr>
                <w:rFonts w:eastAsia="Times New Roman"/>
                <w:color w:val="000000" w:themeColor="text1"/>
                <w:sz w:val="16"/>
                <w:szCs w:val="16"/>
              </w:rPr>
            </w:pPr>
            <w:r w:rsidRPr="00D14CD7">
              <w:rPr>
                <w:rFonts w:eastAsia="Times New Roman"/>
                <w:color w:val="000000" w:themeColor="text1"/>
                <w:sz w:val="16"/>
                <w:szCs w:val="16"/>
              </w:rPr>
              <w:t>—</w:t>
            </w:r>
          </w:p>
        </w:tc>
        <w:tc>
          <w:tcPr>
            <w:tcW w:w="188" w:type="pct"/>
            <w:tcBorders>
              <w:top w:val="single" w:sz="8" w:space="0" w:color="auto"/>
              <w:bottom w:val="single" w:sz="8" w:space="0" w:color="auto"/>
            </w:tcBorders>
            <w:shd w:val="clear" w:color="auto" w:fill="auto"/>
            <w:noWrap/>
            <w:vAlign w:val="center"/>
            <w:hideMark/>
          </w:tcPr>
          <w:p w14:paraId="5166A3E0" w14:textId="77777777" w:rsidR="004720C0" w:rsidRPr="00D14CD7" w:rsidRDefault="004720C0" w:rsidP="004720C0">
            <w:pPr>
              <w:spacing w:after="0" w:line="240" w:lineRule="auto"/>
              <w:jc w:val="right"/>
              <w:rPr>
                <w:rFonts w:eastAsia="Times New Roman"/>
                <w:color w:val="000000" w:themeColor="text1"/>
                <w:sz w:val="16"/>
                <w:szCs w:val="16"/>
              </w:rPr>
            </w:pPr>
            <w:r w:rsidRPr="00D14CD7">
              <w:rPr>
                <w:rFonts w:eastAsia="Times New Roman"/>
                <w:color w:val="000000" w:themeColor="text1"/>
                <w:sz w:val="16"/>
                <w:szCs w:val="16"/>
              </w:rPr>
              <w:t>—</w:t>
            </w:r>
          </w:p>
        </w:tc>
        <w:tc>
          <w:tcPr>
            <w:tcW w:w="188" w:type="pct"/>
            <w:tcBorders>
              <w:top w:val="single" w:sz="8" w:space="0" w:color="auto"/>
              <w:bottom w:val="single" w:sz="8" w:space="0" w:color="auto"/>
            </w:tcBorders>
            <w:shd w:val="clear" w:color="auto" w:fill="auto"/>
            <w:noWrap/>
            <w:vAlign w:val="center"/>
            <w:hideMark/>
          </w:tcPr>
          <w:p w14:paraId="69A9B817" w14:textId="77777777" w:rsidR="004720C0" w:rsidRPr="00D14CD7" w:rsidRDefault="004720C0" w:rsidP="004720C0">
            <w:pPr>
              <w:spacing w:after="0" w:line="240" w:lineRule="auto"/>
              <w:jc w:val="right"/>
              <w:rPr>
                <w:rFonts w:eastAsia="Times New Roman"/>
                <w:color w:val="000000" w:themeColor="text1"/>
                <w:sz w:val="16"/>
                <w:szCs w:val="16"/>
              </w:rPr>
            </w:pPr>
            <w:r w:rsidRPr="00D14CD7">
              <w:rPr>
                <w:rFonts w:eastAsia="Times New Roman"/>
                <w:color w:val="000000" w:themeColor="text1"/>
                <w:sz w:val="16"/>
                <w:szCs w:val="16"/>
              </w:rPr>
              <w:t>—</w:t>
            </w:r>
          </w:p>
        </w:tc>
        <w:tc>
          <w:tcPr>
            <w:tcW w:w="188" w:type="pct"/>
            <w:tcBorders>
              <w:top w:val="single" w:sz="8" w:space="0" w:color="auto"/>
              <w:bottom w:val="single" w:sz="8" w:space="0" w:color="auto"/>
            </w:tcBorders>
            <w:shd w:val="clear" w:color="auto" w:fill="auto"/>
            <w:noWrap/>
            <w:vAlign w:val="center"/>
            <w:hideMark/>
          </w:tcPr>
          <w:p w14:paraId="2F0843E4" w14:textId="77777777" w:rsidR="004720C0" w:rsidRPr="00D14CD7" w:rsidRDefault="004720C0" w:rsidP="004720C0">
            <w:pPr>
              <w:spacing w:after="0" w:line="240" w:lineRule="auto"/>
              <w:jc w:val="right"/>
              <w:rPr>
                <w:rFonts w:eastAsia="Times New Roman"/>
                <w:color w:val="000000" w:themeColor="text1"/>
                <w:sz w:val="16"/>
                <w:szCs w:val="16"/>
              </w:rPr>
            </w:pPr>
            <w:r w:rsidRPr="00D14CD7">
              <w:rPr>
                <w:rFonts w:eastAsia="Times New Roman"/>
                <w:color w:val="000000" w:themeColor="text1"/>
                <w:sz w:val="16"/>
                <w:szCs w:val="16"/>
              </w:rPr>
              <w:t>—</w:t>
            </w:r>
          </w:p>
        </w:tc>
        <w:tc>
          <w:tcPr>
            <w:tcW w:w="188" w:type="pct"/>
            <w:tcBorders>
              <w:top w:val="single" w:sz="8" w:space="0" w:color="auto"/>
              <w:bottom w:val="single" w:sz="8" w:space="0" w:color="auto"/>
            </w:tcBorders>
            <w:shd w:val="clear" w:color="auto" w:fill="auto"/>
            <w:noWrap/>
            <w:vAlign w:val="center"/>
            <w:hideMark/>
          </w:tcPr>
          <w:p w14:paraId="6B214D21" w14:textId="77777777" w:rsidR="004720C0" w:rsidRPr="00D14CD7" w:rsidRDefault="004720C0" w:rsidP="004720C0">
            <w:pPr>
              <w:spacing w:after="0" w:line="240" w:lineRule="auto"/>
              <w:jc w:val="right"/>
              <w:rPr>
                <w:rFonts w:eastAsia="Times New Roman"/>
                <w:color w:val="000000" w:themeColor="text1"/>
                <w:sz w:val="16"/>
                <w:szCs w:val="16"/>
              </w:rPr>
            </w:pPr>
            <w:r w:rsidRPr="00D14CD7">
              <w:rPr>
                <w:rFonts w:eastAsia="Times New Roman"/>
                <w:color w:val="000000" w:themeColor="text1"/>
                <w:sz w:val="16"/>
                <w:szCs w:val="16"/>
              </w:rPr>
              <w:t>—</w:t>
            </w:r>
          </w:p>
        </w:tc>
        <w:tc>
          <w:tcPr>
            <w:tcW w:w="188" w:type="pct"/>
            <w:tcBorders>
              <w:top w:val="single" w:sz="8" w:space="0" w:color="auto"/>
              <w:bottom w:val="single" w:sz="8" w:space="0" w:color="auto"/>
            </w:tcBorders>
            <w:shd w:val="clear" w:color="auto" w:fill="auto"/>
            <w:noWrap/>
            <w:vAlign w:val="center"/>
            <w:hideMark/>
          </w:tcPr>
          <w:p w14:paraId="7798D9E1" w14:textId="77777777" w:rsidR="004720C0" w:rsidRPr="00D14CD7" w:rsidRDefault="004720C0" w:rsidP="004720C0">
            <w:pPr>
              <w:spacing w:after="0" w:line="240" w:lineRule="auto"/>
              <w:jc w:val="right"/>
              <w:rPr>
                <w:rFonts w:eastAsia="Times New Roman"/>
                <w:color w:val="000000" w:themeColor="text1"/>
                <w:sz w:val="16"/>
                <w:szCs w:val="16"/>
              </w:rPr>
            </w:pPr>
            <w:r w:rsidRPr="00D14CD7">
              <w:rPr>
                <w:rFonts w:eastAsia="Times New Roman"/>
                <w:color w:val="000000" w:themeColor="text1"/>
                <w:sz w:val="16"/>
                <w:szCs w:val="16"/>
              </w:rPr>
              <w:t>—</w:t>
            </w:r>
          </w:p>
        </w:tc>
        <w:tc>
          <w:tcPr>
            <w:tcW w:w="159" w:type="pct"/>
            <w:tcBorders>
              <w:top w:val="single" w:sz="8" w:space="0" w:color="auto"/>
              <w:bottom w:val="single" w:sz="8" w:space="0" w:color="auto"/>
              <w:right w:val="double" w:sz="4" w:space="0" w:color="auto"/>
            </w:tcBorders>
            <w:shd w:val="clear" w:color="auto" w:fill="auto"/>
            <w:noWrap/>
            <w:vAlign w:val="center"/>
            <w:hideMark/>
          </w:tcPr>
          <w:p w14:paraId="3DEB8659" w14:textId="77777777" w:rsidR="004720C0" w:rsidRPr="00D14CD7" w:rsidRDefault="004720C0" w:rsidP="004720C0">
            <w:pPr>
              <w:spacing w:after="0" w:line="240" w:lineRule="auto"/>
              <w:jc w:val="right"/>
              <w:rPr>
                <w:rFonts w:eastAsia="Times New Roman"/>
                <w:color w:val="000000" w:themeColor="text1"/>
                <w:sz w:val="16"/>
                <w:szCs w:val="16"/>
              </w:rPr>
            </w:pPr>
            <w:r w:rsidRPr="00D14CD7">
              <w:rPr>
                <w:rFonts w:eastAsia="Times New Roman"/>
                <w:color w:val="000000" w:themeColor="text1"/>
                <w:sz w:val="16"/>
                <w:szCs w:val="16"/>
              </w:rPr>
              <w:t>—</w:t>
            </w:r>
          </w:p>
        </w:tc>
        <w:tc>
          <w:tcPr>
            <w:tcW w:w="189" w:type="pct"/>
            <w:tcBorders>
              <w:top w:val="single" w:sz="8" w:space="0" w:color="auto"/>
              <w:left w:val="double" w:sz="4" w:space="0" w:color="auto"/>
              <w:bottom w:val="single" w:sz="8" w:space="0" w:color="auto"/>
            </w:tcBorders>
            <w:shd w:val="clear" w:color="auto" w:fill="auto"/>
            <w:noWrap/>
            <w:vAlign w:val="center"/>
            <w:hideMark/>
          </w:tcPr>
          <w:p w14:paraId="0F8DD6AE" w14:textId="77777777" w:rsidR="004720C0" w:rsidRPr="00D14CD7" w:rsidRDefault="004720C0" w:rsidP="004720C0">
            <w:pPr>
              <w:spacing w:after="0" w:line="240" w:lineRule="auto"/>
              <w:jc w:val="right"/>
              <w:rPr>
                <w:rFonts w:eastAsia="Times New Roman"/>
                <w:color w:val="000000" w:themeColor="text1"/>
                <w:sz w:val="16"/>
                <w:szCs w:val="16"/>
              </w:rPr>
            </w:pPr>
            <w:r w:rsidRPr="00D14CD7">
              <w:rPr>
                <w:rFonts w:eastAsia="Times New Roman"/>
                <w:color w:val="000000" w:themeColor="text1"/>
                <w:sz w:val="16"/>
                <w:szCs w:val="16"/>
              </w:rPr>
              <w:t>—</w:t>
            </w:r>
          </w:p>
        </w:tc>
        <w:tc>
          <w:tcPr>
            <w:tcW w:w="159" w:type="pct"/>
            <w:tcBorders>
              <w:top w:val="single" w:sz="8" w:space="0" w:color="auto"/>
              <w:bottom w:val="single" w:sz="8" w:space="0" w:color="auto"/>
            </w:tcBorders>
            <w:shd w:val="clear" w:color="auto" w:fill="auto"/>
            <w:noWrap/>
            <w:vAlign w:val="center"/>
            <w:hideMark/>
          </w:tcPr>
          <w:p w14:paraId="4F719C97" w14:textId="77777777" w:rsidR="004720C0" w:rsidRPr="00D14CD7" w:rsidRDefault="004720C0" w:rsidP="004720C0">
            <w:pPr>
              <w:spacing w:after="0" w:line="240" w:lineRule="auto"/>
              <w:jc w:val="right"/>
              <w:rPr>
                <w:rFonts w:eastAsia="Times New Roman"/>
                <w:color w:val="000000" w:themeColor="text1"/>
                <w:sz w:val="16"/>
                <w:szCs w:val="16"/>
              </w:rPr>
            </w:pPr>
            <w:r w:rsidRPr="00D14CD7">
              <w:rPr>
                <w:rFonts w:eastAsia="Times New Roman"/>
                <w:color w:val="000000" w:themeColor="text1"/>
                <w:sz w:val="16"/>
                <w:szCs w:val="16"/>
              </w:rPr>
              <w:t>—</w:t>
            </w:r>
          </w:p>
        </w:tc>
        <w:tc>
          <w:tcPr>
            <w:tcW w:w="187" w:type="pct"/>
            <w:tcBorders>
              <w:top w:val="single" w:sz="8" w:space="0" w:color="auto"/>
              <w:bottom w:val="single" w:sz="8" w:space="0" w:color="auto"/>
            </w:tcBorders>
            <w:shd w:val="clear" w:color="auto" w:fill="auto"/>
            <w:noWrap/>
            <w:vAlign w:val="center"/>
            <w:hideMark/>
          </w:tcPr>
          <w:p w14:paraId="54911C5A" w14:textId="77777777" w:rsidR="004720C0" w:rsidRPr="00D14CD7" w:rsidRDefault="004720C0" w:rsidP="004720C0">
            <w:pPr>
              <w:spacing w:after="0" w:line="240" w:lineRule="auto"/>
              <w:jc w:val="right"/>
              <w:rPr>
                <w:rFonts w:eastAsia="Times New Roman"/>
                <w:color w:val="000000" w:themeColor="text1"/>
                <w:sz w:val="16"/>
                <w:szCs w:val="16"/>
              </w:rPr>
            </w:pPr>
            <w:r w:rsidRPr="00D14CD7">
              <w:rPr>
                <w:rFonts w:eastAsia="Times New Roman"/>
                <w:color w:val="000000" w:themeColor="text1"/>
                <w:sz w:val="16"/>
                <w:szCs w:val="16"/>
              </w:rPr>
              <w:t>—</w:t>
            </w:r>
          </w:p>
        </w:tc>
        <w:tc>
          <w:tcPr>
            <w:tcW w:w="188" w:type="pct"/>
            <w:tcBorders>
              <w:top w:val="single" w:sz="8" w:space="0" w:color="auto"/>
              <w:bottom w:val="single" w:sz="8" w:space="0" w:color="auto"/>
            </w:tcBorders>
            <w:shd w:val="clear" w:color="auto" w:fill="auto"/>
            <w:noWrap/>
            <w:vAlign w:val="center"/>
            <w:hideMark/>
          </w:tcPr>
          <w:p w14:paraId="5DF99E2E" w14:textId="77777777" w:rsidR="004720C0" w:rsidRPr="00D14CD7" w:rsidRDefault="004720C0" w:rsidP="004720C0">
            <w:pPr>
              <w:spacing w:after="0" w:line="240" w:lineRule="auto"/>
              <w:jc w:val="right"/>
              <w:rPr>
                <w:rFonts w:eastAsia="Times New Roman"/>
                <w:color w:val="000000" w:themeColor="text1"/>
                <w:sz w:val="16"/>
                <w:szCs w:val="16"/>
              </w:rPr>
            </w:pPr>
            <w:r w:rsidRPr="00D14CD7">
              <w:rPr>
                <w:rFonts w:eastAsia="Times New Roman"/>
                <w:color w:val="000000" w:themeColor="text1"/>
                <w:sz w:val="16"/>
                <w:szCs w:val="16"/>
              </w:rPr>
              <w:t>—</w:t>
            </w:r>
          </w:p>
        </w:tc>
        <w:tc>
          <w:tcPr>
            <w:tcW w:w="188" w:type="pct"/>
            <w:tcBorders>
              <w:top w:val="single" w:sz="8" w:space="0" w:color="auto"/>
              <w:bottom w:val="single" w:sz="8" w:space="0" w:color="auto"/>
            </w:tcBorders>
            <w:shd w:val="clear" w:color="auto" w:fill="auto"/>
            <w:noWrap/>
            <w:vAlign w:val="center"/>
            <w:hideMark/>
          </w:tcPr>
          <w:p w14:paraId="4C3643B8" w14:textId="77777777" w:rsidR="004720C0" w:rsidRPr="00D14CD7" w:rsidRDefault="004720C0" w:rsidP="004720C0">
            <w:pPr>
              <w:spacing w:after="0" w:line="240" w:lineRule="auto"/>
              <w:jc w:val="right"/>
              <w:rPr>
                <w:rFonts w:eastAsia="Times New Roman"/>
                <w:color w:val="000000" w:themeColor="text1"/>
                <w:sz w:val="16"/>
                <w:szCs w:val="16"/>
              </w:rPr>
            </w:pPr>
            <w:r w:rsidRPr="00D14CD7">
              <w:rPr>
                <w:rFonts w:eastAsia="Times New Roman"/>
                <w:color w:val="000000" w:themeColor="text1"/>
                <w:sz w:val="16"/>
                <w:szCs w:val="16"/>
              </w:rPr>
              <w:t>—</w:t>
            </w:r>
          </w:p>
        </w:tc>
        <w:tc>
          <w:tcPr>
            <w:tcW w:w="188" w:type="pct"/>
            <w:tcBorders>
              <w:top w:val="single" w:sz="8" w:space="0" w:color="auto"/>
              <w:bottom w:val="single" w:sz="8" w:space="0" w:color="auto"/>
            </w:tcBorders>
            <w:shd w:val="clear" w:color="auto" w:fill="auto"/>
            <w:noWrap/>
            <w:vAlign w:val="center"/>
            <w:hideMark/>
          </w:tcPr>
          <w:p w14:paraId="58D0D118" w14:textId="77777777" w:rsidR="004720C0" w:rsidRPr="00D14CD7" w:rsidRDefault="004720C0" w:rsidP="004720C0">
            <w:pPr>
              <w:spacing w:after="0" w:line="240" w:lineRule="auto"/>
              <w:jc w:val="right"/>
              <w:rPr>
                <w:rFonts w:eastAsia="Times New Roman"/>
                <w:color w:val="000000" w:themeColor="text1"/>
                <w:sz w:val="16"/>
                <w:szCs w:val="16"/>
              </w:rPr>
            </w:pPr>
            <w:r w:rsidRPr="00D14CD7">
              <w:rPr>
                <w:rFonts w:eastAsia="Times New Roman"/>
                <w:color w:val="000000" w:themeColor="text1"/>
                <w:sz w:val="16"/>
                <w:szCs w:val="16"/>
              </w:rPr>
              <w:t>—</w:t>
            </w:r>
          </w:p>
        </w:tc>
        <w:tc>
          <w:tcPr>
            <w:tcW w:w="155" w:type="pct"/>
            <w:tcBorders>
              <w:top w:val="single" w:sz="8" w:space="0" w:color="auto"/>
              <w:bottom w:val="single" w:sz="8" w:space="0" w:color="auto"/>
            </w:tcBorders>
            <w:shd w:val="clear" w:color="auto" w:fill="auto"/>
            <w:noWrap/>
            <w:vAlign w:val="center"/>
            <w:hideMark/>
          </w:tcPr>
          <w:p w14:paraId="5DF26B18" w14:textId="77777777" w:rsidR="004720C0" w:rsidRPr="00D14CD7" w:rsidRDefault="004720C0" w:rsidP="004720C0">
            <w:pPr>
              <w:spacing w:after="0" w:line="240" w:lineRule="auto"/>
              <w:jc w:val="right"/>
              <w:rPr>
                <w:rFonts w:eastAsia="Times New Roman"/>
                <w:color w:val="000000" w:themeColor="text1"/>
                <w:sz w:val="16"/>
                <w:szCs w:val="16"/>
              </w:rPr>
            </w:pPr>
            <w:r w:rsidRPr="00D14CD7">
              <w:rPr>
                <w:rFonts w:eastAsia="Times New Roman"/>
                <w:color w:val="000000" w:themeColor="text1"/>
                <w:sz w:val="16"/>
                <w:szCs w:val="16"/>
              </w:rPr>
              <w:t>—</w:t>
            </w:r>
          </w:p>
        </w:tc>
        <w:tc>
          <w:tcPr>
            <w:tcW w:w="158" w:type="pct"/>
            <w:tcBorders>
              <w:top w:val="single" w:sz="8" w:space="0" w:color="auto"/>
              <w:bottom w:val="single" w:sz="8" w:space="0" w:color="auto"/>
              <w:right w:val="double" w:sz="4" w:space="0" w:color="auto"/>
            </w:tcBorders>
            <w:shd w:val="clear" w:color="auto" w:fill="auto"/>
            <w:noWrap/>
            <w:vAlign w:val="center"/>
            <w:hideMark/>
          </w:tcPr>
          <w:p w14:paraId="38036EB5" w14:textId="77777777" w:rsidR="004720C0" w:rsidRPr="00D14CD7" w:rsidRDefault="004720C0" w:rsidP="004720C0">
            <w:pPr>
              <w:spacing w:after="0" w:line="240" w:lineRule="auto"/>
              <w:jc w:val="right"/>
              <w:rPr>
                <w:rFonts w:eastAsia="Times New Roman"/>
                <w:color w:val="000000" w:themeColor="text1"/>
                <w:sz w:val="16"/>
                <w:szCs w:val="16"/>
              </w:rPr>
            </w:pPr>
            <w:r w:rsidRPr="00D14CD7">
              <w:rPr>
                <w:rFonts w:eastAsia="Times New Roman"/>
                <w:color w:val="000000" w:themeColor="text1"/>
                <w:sz w:val="16"/>
                <w:szCs w:val="16"/>
              </w:rPr>
              <w:t>—</w:t>
            </w:r>
          </w:p>
        </w:tc>
        <w:tc>
          <w:tcPr>
            <w:tcW w:w="188" w:type="pct"/>
            <w:tcBorders>
              <w:top w:val="single" w:sz="8" w:space="0" w:color="auto"/>
              <w:left w:val="double" w:sz="4" w:space="0" w:color="auto"/>
              <w:bottom w:val="single" w:sz="8" w:space="0" w:color="auto"/>
            </w:tcBorders>
            <w:shd w:val="clear" w:color="auto" w:fill="auto"/>
            <w:noWrap/>
            <w:vAlign w:val="center"/>
            <w:hideMark/>
          </w:tcPr>
          <w:p w14:paraId="76BADA4F" w14:textId="77777777" w:rsidR="004720C0" w:rsidRPr="00D14CD7" w:rsidRDefault="004720C0" w:rsidP="004720C0">
            <w:pPr>
              <w:spacing w:after="0" w:line="240" w:lineRule="auto"/>
              <w:jc w:val="right"/>
              <w:rPr>
                <w:rFonts w:eastAsia="Times New Roman"/>
                <w:color w:val="000000" w:themeColor="text1"/>
                <w:sz w:val="16"/>
                <w:szCs w:val="16"/>
              </w:rPr>
            </w:pPr>
            <w:r w:rsidRPr="00D14CD7">
              <w:rPr>
                <w:rFonts w:eastAsia="Times New Roman"/>
                <w:color w:val="000000" w:themeColor="text1"/>
                <w:sz w:val="16"/>
                <w:szCs w:val="16"/>
              </w:rPr>
              <w:t>2.718</w:t>
            </w:r>
          </w:p>
        </w:tc>
        <w:tc>
          <w:tcPr>
            <w:tcW w:w="171" w:type="pct"/>
            <w:tcBorders>
              <w:top w:val="single" w:sz="8" w:space="0" w:color="auto"/>
              <w:bottom w:val="single" w:sz="8" w:space="0" w:color="auto"/>
            </w:tcBorders>
            <w:shd w:val="clear" w:color="auto" w:fill="auto"/>
            <w:noWrap/>
            <w:vAlign w:val="center"/>
            <w:hideMark/>
          </w:tcPr>
          <w:p w14:paraId="7956109E" w14:textId="77777777" w:rsidR="004720C0" w:rsidRPr="00D14CD7" w:rsidRDefault="004720C0" w:rsidP="004720C0">
            <w:pPr>
              <w:spacing w:after="0" w:line="240" w:lineRule="auto"/>
              <w:jc w:val="right"/>
              <w:rPr>
                <w:rFonts w:eastAsia="Times New Roman"/>
                <w:color w:val="000000" w:themeColor="text1"/>
                <w:sz w:val="16"/>
                <w:szCs w:val="16"/>
              </w:rPr>
            </w:pPr>
            <w:r w:rsidRPr="00D14CD7">
              <w:rPr>
                <w:rFonts w:eastAsia="Times New Roman"/>
                <w:color w:val="000000" w:themeColor="text1"/>
                <w:sz w:val="16"/>
                <w:szCs w:val="16"/>
              </w:rPr>
              <w:t>—</w:t>
            </w:r>
          </w:p>
        </w:tc>
      </w:tr>
      <w:tr w:rsidR="00144794" w:rsidRPr="00D14CD7" w14:paraId="10DF4F5E" w14:textId="77777777" w:rsidTr="00170887">
        <w:trPr>
          <w:trHeight w:val="32"/>
        </w:trPr>
        <w:tc>
          <w:tcPr>
            <w:tcW w:w="1719" w:type="pct"/>
            <w:tcBorders>
              <w:top w:val="single" w:sz="8" w:space="0" w:color="auto"/>
              <w:bottom w:val="double" w:sz="4" w:space="0" w:color="auto"/>
              <w:right w:val="double" w:sz="4" w:space="0" w:color="auto"/>
            </w:tcBorders>
            <w:shd w:val="clear" w:color="auto" w:fill="auto"/>
            <w:noWrap/>
            <w:vAlign w:val="center"/>
          </w:tcPr>
          <w:p w14:paraId="5BD62560" w14:textId="77777777" w:rsidR="00144794" w:rsidRPr="00D14CD7" w:rsidRDefault="00144794" w:rsidP="004720C0">
            <w:pPr>
              <w:spacing w:after="0" w:line="240" w:lineRule="auto"/>
              <w:jc w:val="left"/>
              <w:rPr>
                <w:rFonts w:eastAsia="Times New Roman"/>
                <w:b/>
                <w:bCs/>
                <w:color w:val="000000" w:themeColor="text1"/>
                <w:sz w:val="16"/>
                <w:szCs w:val="16"/>
              </w:rPr>
            </w:pPr>
            <w:r w:rsidRPr="00D14CD7">
              <w:rPr>
                <w:rFonts w:eastAsia="Times New Roman"/>
                <w:b/>
                <w:bCs/>
                <w:color w:val="000000" w:themeColor="text1"/>
                <w:sz w:val="16"/>
                <w:szCs w:val="16"/>
              </w:rPr>
              <w:t>Scale (</w:t>
            </w:r>
            <m:oMath>
              <m:r>
                <w:rPr>
                  <w:rFonts w:ascii="Cambria Math" w:eastAsia="Times New Roman" w:hAnsi="Cambria Math"/>
                  <w:color w:val="000000" w:themeColor="text1"/>
                  <w:sz w:val="18"/>
                  <w:szCs w:val="16"/>
                </w:rPr>
                <m:t>κ</m:t>
              </m:r>
            </m:oMath>
            <w:r w:rsidRPr="00D14CD7">
              <w:rPr>
                <w:rFonts w:eastAsia="Times New Roman"/>
                <w:b/>
                <w:bCs/>
                <w:color w:val="000000" w:themeColor="text1"/>
                <w:sz w:val="16"/>
                <w:szCs w:val="16"/>
              </w:rPr>
              <w:t xml:space="preserve">) </w:t>
            </w:r>
          </w:p>
        </w:tc>
        <w:tc>
          <w:tcPr>
            <w:tcW w:w="2922" w:type="pct"/>
            <w:gridSpan w:val="16"/>
            <w:tcBorders>
              <w:top w:val="single" w:sz="8" w:space="0" w:color="auto"/>
              <w:left w:val="double" w:sz="4" w:space="0" w:color="auto"/>
              <w:bottom w:val="double" w:sz="4" w:space="0" w:color="auto"/>
              <w:right w:val="double" w:sz="4" w:space="0" w:color="auto"/>
            </w:tcBorders>
            <w:shd w:val="clear" w:color="auto" w:fill="auto"/>
            <w:noWrap/>
            <w:vAlign w:val="center"/>
          </w:tcPr>
          <w:p w14:paraId="4164CDEF" w14:textId="77777777" w:rsidR="00144794" w:rsidRPr="00D14CD7" w:rsidRDefault="00144794" w:rsidP="00144794">
            <w:pPr>
              <w:spacing w:after="0" w:line="240" w:lineRule="auto"/>
              <w:jc w:val="center"/>
              <w:rPr>
                <w:rFonts w:eastAsia="Times New Roman"/>
                <w:color w:val="000000" w:themeColor="text1"/>
                <w:sz w:val="16"/>
                <w:szCs w:val="16"/>
              </w:rPr>
            </w:pPr>
            <w:r w:rsidRPr="00D14CD7">
              <w:rPr>
                <w:rFonts w:eastAsia="Times New Roman"/>
                <w:color w:val="000000" w:themeColor="text1"/>
                <w:sz w:val="16"/>
                <w:szCs w:val="16"/>
              </w:rPr>
              <w:t>0.270 (t-statistic of 3.680)</w:t>
            </w:r>
          </w:p>
        </w:tc>
        <w:tc>
          <w:tcPr>
            <w:tcW w:w="188" w:type="pct"/>
            <w:tcBorders>
              <w:top w:val="single" w:sz="8" w:space="0" w:color="auto"/>
              <w:left w:val="double" w:sz="4" w:space="0" w:color="auto"/>
              <w:bottom w:val="double" w:sz="4" w:space="0" w:color="auto"/>
            </w:tcBorders>
            <w:shd w:val="clear" w:color="auto" w:fill="auto"/>
            <w:noWrap/>
            <w:vAlign w:val="center"/>
          </w:tcPr>
          <w:p w14:paraId="533D1F8B" w14:textId="77777777" w:rsidR="00144794" w:rsidRPr="00D14CD7" w:rsidRDefault="00144794" w:rsidP="004720C0">
            <w:pPr>
              <w:spacing w:after="0" w:line="240" w:lineRule="auto"/>
              <w:jc w:val="right"/>
              <w:rPr>
                <w:rFonts w:eastAsia="Times New Roman"/>
                <w:color w:val="000000" w:themeColor="text1"/>
                <w:sz w:val="16"/>
                <w:szCs w:val="16"/>
              </w:rPr>
            </w:pPr>
            <w:r w:rsidRPr="00D14CD7">
              <w:rPr>
                <w:rFonts w:eastAsia="Times New Roman"/>
                <w:color w:val="000000" w:themeColor="text1"/>
                <w:sz w:val="16"/>
                <w:szCs w:val="16"/>
              </w:rPr>
              <w:t>—</w:t>
            </w:r>
          </w:p>
        </w:tc>
        <w:tc>
          <w:tcPr>
            <w:tcW w:w="171" w:type="pct"/>
            <w:tcBorders>
              <w:top w:val="single" w:sz="8" w:space="0" w:color="auto"/>
              <w:bottom w:val="double" w:sz="4" w:space="0" w:color="auto"/>
            </w:tcBorders>
            <w:shd w:val="clear" w:color="auto" w:fill="auto"/>
            <w:noWrap/>
            <w:vAlign w:val="center"/>
          </w:tcPr>
          <w:p w14:paraId="6AEFE98A" w14:textId="77777777" w:rsidR="00144794" w:rsidRPr="00D14CD7" w:rsidRDefault="00144794" w:rsidP="004720C0">
            <w:pPr>
              <w:spacing w:after="0" w:line="240" w:lineRule="auto"/>
              <w:jc w:val="right"/>
              <w:rPr>
                <w:rFonts w:eastAsia="Times New Roman"/>
                <w:color w:val="000000" w:themeColor="text1"/>
                <w:sz w:val="16"/>
                <w:szCs w:val="16"/>
              </w:rPr>
            </w:pPr>
            <w:r w:rsidRPr="00D14CD7">
              <w:rPr>
                <w:rFonts w:eastAsia="Times New Roman"/>
                <w:color w:val="000000" w:themeColor="text1"/>
                <w:sz w:val="16"/>
                <w:szCs w:val="16"/>
              </w:rPr>
              <w:t>—</w:t>
            </w:r>
          </w:p>
        </w:tc>
      </w:tr>
      <w:bookmarkEnd w:id="65"/>
    </w:tbl>
    <w:p w14:paraId="20D0AE3C" w14:textId="5A9C565F" w:rsidR="005B6BB0" w:rsidRPr="00D14CD7" w:rsidRDefault="005B6BB0" w:rsidP="00A4347B">
      <w:pPr>
        <w:pStyle w:val="Caption"/>
        <w:rPr>
          <w:b/>
          <w:i w:val="0"/>
          <w:color w:val="000000" w:themeColor="text1"/>
          <w:sz w:val="24"/>
          <w:szCs w:val="24"/>
        </w:rPr>
      </w:pPr>
    </w:p>
    <w:p w14:paraId="78C59C87" w14:textId="77777777" w:rsidR="005B6BB0" w:rsidRPr="00D14CD7" w:rsidRDefault="005B6BB0" w:rsidP="005B6BB0">
      <w:pPr>
        <w:rPr>
          <w:color w:val="000000" w:themeColor="text1"/>
        </w:rPr>
      </w:pPr>
    </w:p>
    <w:p w14:paraId="792C3FB9" w14:textId="4823FEB1" w:rsidR="00246701" w:rsidRPr="00D14CD7" w:rsidRDefault="004720C0" w:rsidP="005B6BB0">
      <w:pPr>
        <w:rPr>
          <w:color w:val="000000" w:themeColor="text1"/>
        </w:rPr>
        <w:sectPr w:rsidR="00246701" w:rsidRPr="00D14CD7" w:rsidSect="00503602">
          <w:pgSz w:w="15840" w:h="12240" w:orient="landscape" w:code="1"/>
          <w:pgMar w:top="1152" w:right="720" w:bottom="1152" w:left="720" w:header="720" w:footer="720" w:gutter="0"/>
          <w:cols w:space="720"/>
          <w:docGrid w:linePitch="360"/>
        </w:sectPr>
      </w:pPr>
      <w:r w:rsidRPr="00D14CD7">
        <w:rPr>
          <w:color w:val="000000" w:themeColor="text1"/>
        </w:rPr>
        <w:t xml:space="preserve"> </w:t>
      </w:r>
    </w:p>
    <w:p w14:paraId="1B998885" w14:textId="17BB313F" w:rsidR="005B6BB0" w:rsidRPr="00D14CD7" w:rsidRDefault="005B6BB0" w:rsidP="00630A69">
      <w:pPr>
        <w:spacing w:after="120"/>
        <w:rPr>
          <w:b/>
          <w:color w:val="000000" w:themeColor="text1"/>
        </w:rPr>
      </w:pPr>
      <w:r w:rsidRPr="00D14CD7">
        <w:rPr>
          <w:b/>
          <w:color w:val="000000" w:themeColor="text1"/>
        </w:rPr>
        <w:lastRenderedPageBreak/>
        <w:t xml:space="preserve">Table </w:t>
      </w:r>
      <w:r w:rsidR="00BE151D" w:rsidRPr="00D14CD7">
        <w:rPr>
          <w:b/>
          <w:color w:val="000000" w:themeColor="text1"/>
        </w:rPr>
        <w:t>7</w:t>
      </w:r>
      <w:r w:rsidRPr="00D14CD7">
        <w:rPr>
          <w:b/>
          <w:color w:val="000000" w:themeColor="text1"/>
        </w:rPr>
        <w:t>. Likelihood-based data fit measures</w:t>
      </w:r>
    </w:p>
    <w:tbl>
      <w:tblPr>
        <w:tblStyle w:val="TableGrid"/>
        <w:tblW w:w="0" w:type="auto"/>
        <w:tblBorders>
          <w:top w:val="double" w:sz="4" w:space="0" w:color="auto"/>
          <w:left w:val="double" w:sz="4" w:space="0" w:color="auto"/>
          <w:bottom w:val="double" w:sz="4" w:space="0" w:color="auto"/>
          <w:right w:val="double" w:sz="4" w:space="0" w:color="auto"/>
        </w:tblBorders>
        <w:tblLook w:val="04A0" w:firstRow="1" w:lastRow="0" w:firstColumn="1" w:lastColumn="0" w:noHBand="0" w:noVBand="1"/>
      </w:tblPr>
      <w:tblGrid>
        <w:gridCol w:w="4755"/>
        <w:gridCol w:w="2160"/>
        <w:gridCol w:w="2160"/>
      </w:tblGrid>
      <w:tr w:rsidR="00D14CD7" w:rsidRPr="00D14CD7" w14:paraId="5A4628CE" w14:textId="77777777" w:rsidTr="004A7AFD">
        <w:trPr>
          <w:trHeight w:val="346"/>
          <w:tblHeader/>
        </w:trPr>
        <w:tc>
          <w:tcPr>
            <w:tcW w:w="4755" w:type="dxa"/>
            <w:tcBorders>
              <w:top w:val="double" w:sz="4" w:space="0" w:color="auto"/>
              <w:left w:val="double" w:sz="4" w:space="0" w:color="auto"/>
              <w:bottom w:val="double" w:sz="4" w:space="0" w:color="auto"/>
              <w:right w:val="double" w:sz="4" w:space="0" w:color="auto"/>
            </w:tcBorders>
            <w:shd w:val="clear" w:color="auto" w:fill="auto"/>
            <w:vAlign w:val="center"/>
          </w:tcPr>
          <w:p w14:paraId="6C171747" w14:textId="77777777" w:rsidR="005B6BB0" w:rsidRPr="00D14CD7" w:rsidRDefault="005B6BB0" w:rsidP="004A7AFD">
            <w:pPr>
              <w:jc w:val="left"/>
              <w:rPr>
                <w:b/>
                <w:color w:val="000000" w:themeColor="text1"/>
              </w:rPr>
            </w:pPr>
            <w:r w:rsidRPr="00D14CD7">
              <w:rPr>
                <w:b/>
                <w:color w:val="000000" w:themeColor="text1"/>
              </w:rPr>
              <w:t>Summary Statistics</w:t>
            </w:r>
          </w:p>
        </w:tc>
        <w:tc>
          <w:tcPr>
            <w:tcW w:w="2160" w:type="dxa"/>
            <w:tcBorders>
              <w:top w:val="double" w:sz="4" w:space="0" w:color="auto"/>
              <w:left w:val="double" w:sz="4" w:space="0" w:color="auto"/>
              <w:bottom w:val="double" w:sz="4" w:space="0" w:color="auto"/>
            </w:tcBorders>
            <w:shd w:val="clear" w:color="auto" w:fill="auto"/>
            <w:vAlign w:val="center"/>
          </w:tcPr>
          <w:p w14:paraId="4CE4EB24" w14:textId="77777777" w:rsidR="005B6BB0" w:rsidRPr="00D14CD7" w:rsidRDefault="005B6BB0" w:rsidP="004A7AFD">
            <w:pPr>
              <w:jc w:val="center"/>
              <w:rPr>
                <w:b/>
                <w:color w:val="000000" w:themeColor="text1"/>
              </w:rPr>
            </w:pPr>
            <w:r w:rsidRPr="00D14CD7">
              <w:rPr>
                <w:b/>
                <w:color w:val="000000" w:themeColor="text1"/>
              </w:rPr>
              <w:t>Linked Model</w:t>
            </w:r>
          </w:p>
        </w:tc>
        <w:tc>
          <w:tcPr>
            <w:tcW w:w="2160" w:type="dxa"/>
            <w:tcBorders>
              <w:top w:val="double" w:sz="4" w:space="0" w:color="auto"/>
              <w:bottom w:val="double" w:sz="4" w:space="0" w:color="auto"/>
              <w:right w:val="double" w:sz="4" w:space="0" w:color="auto"/>
            </w:tcBorders>
            <w:shd w:val="clear" w:color="auto" w:fill="auto"/>
            <w:vAlign w:val="center"/>
          </w:tcPr>
          <w:p w14:paraId="051D90BC" w14:textId="77777777" w:rsidR="005B6BB0" w:rsidRPr="00D14CD7" w:rsidRDefault="005B6BB0" w:rsidP="004A7AFD">
            <w:pPr>
              <w:jc w:val="center"/>
              <w:rPr>
                <w:b/>
                <w:color w:val="000000" w:themeColor="text1"/>
              </w:rPr>
            </w:pPr>
            <w:r w:rsidRPr="00D14CD7">
              <w:rPr>
                <w:b/>
                <w:color w:val="000000" w:themeColor="text1"/>
              </w:rPr>
              <w:t>Unlinked Model</w:t>
            </w:r>
          </w:p>
        </w:tc>
      </w:tr>
      <w:tr w:rsidR="00D14CD7" w:rsidRPr="00D14CD7" w14:paraId="142BBC1C" w14:textId="77777777" w:rsidTr="004A7AFD">
        <w:trPr>
          <w:trHeight w:val="346"/>
        </w:trPr>
        <w:tc>
          <w:tcPr>
            <w:tcW w:w="4755" w:type="dxa"/>
            <w:tcBorders>
              <w:top w:val="double" w:sz="4" w:space="0" w:color="auto"/>
              <w:left w:val="double" w:sz="4" w:space="0" w:color="auto"/>
              <w:bottom w:val="single" w:sz="4" w:space="0" w:color="auto"/>
              <w:right w:val="double" w:sz="4" w:space="0" w:color="auto"/>
            </w:tcBorders>
            <w:vAlign w:val="center"/>
          </w:tcPr>
          <w:p w14:paraId="50983CA1" w14:textId="6CBACC4E" w:rsidR="005B6BB0" w:rsidRPr="00D14CD7" w:rsidRDefault="00924A11" w:rsidP="004A7AFD">
            <w:pPr>
              <w:jc w:val="left"/>
              <w:rPr>
                <w:color w:val="000000" w:themeColor="text1"/>
              </w:rPr>
            </w:pPr>
            <w:r w:rsidRPr="00D14CD7">
              <w:rPr>
                <w:color w:val="000000" w:themeColor="text1"/>
              </w:rPr>
              <w:t>L</w:t>
            </w:r>
            <w:r w:rsidR="005B6BB0" w:rsidRPr="00D14CD7">
              <w:rPr>
                <w:color w:val="000000" w:themeColor="text1"/>
              </w:rPr>
              <w:t>og-likelihood at convergence</w:t>
            </w:r>
          </w:p>
        </w:tc>
        <w:tc>
          <w:tcPr>
            <w:tcW w:w="2160" w:type="dxa"/>
            <w:tcBorders>
              <w:top w:val="double" w:sz="4" w:space="0" w:color="auto"/>
              <w:left w:val="double" w:sz="4" w:space="0" w:color="auto"/>
            </w:tcBorders>
            <w:vAlign w:val="center"/>
          </w:tcPr>
          <w:p w14:paraId="7B5AC580" w14:textId="77777777" w:rsidR="005B6BB0" w:rsidRPr="00D14CD7" w:rsidRDefault="005B6BB0" w:rsidP="00286339">
            <w:pPr>
              <w:jc w:val="center"/>
              <w:rPr>
                <w:color w:val="000000" w:themeColor="text1"/>
              </w:rPr>
            </w:pPr>
            <w:r w:rsidRPr="00D14CD7">
              <w:rPr>
                <w:color w:val="000000" w:themeColor="text1"/>
              </w:rPr>
              <w:t>-3704.91</w:t>
            </w:r>
          </w:p>
        </w:tc>
        <w:tc>
          <w:tcPr>
            <w:tcW w:w="2160" w:type="dxa"/>
            <w:tcBorders>
              <w:top w:val="double" w:sz="4" w:space="0" w:color="auto"/>
              <w:right w:val="double" w:sz="4" w:space="0" w:color="auto"/>
            </w:tcBorders>
            <w:vAlign w:val="center"/>
          </w:tcPr>
          <w:p w14:paraId="6457B79C" w14:textId="77777777" w:rsidR="005B6BB0" w:rsidRPr="00D14CD7" w:rsidRDefault="005B6BB0" w:rsidP="00286339">
            <w:pPr>
              <w:jc w:val="center"/>
              <w:rPr>
                <w:color w:val="000000" w:themeColor="text1"/>
              </w:rPr>
            </w:pPr>
            <w:r w:rsidRPr="00D14CD7">
              <w:rPr>
                <w:color w:val="000000" w:themeColor="text1"/>
              </w:rPr>
              <w:t>-3728.09</w:t>
            </w:r>
          </w:p>
        </w:tc>
      </w:tr>
      <w:tr w:rsidR="00D14CD7" w:rsidRPr="00D14CD7" w14:paraId="2F381BFE" w14:textId="77777777" w:rsidTr="004A7AFD">
        <w:trPr>
          <w:trHeight w:val="346"/>
        </w:trPr>
        <w:tc>
          <w:tcPr>
            <w:tcW w:w="4755" w:type="dxa"/>
            <w:tcBorders>
              <w:top w:val="single" w:sz="4" w:space="0" w:color="auto"/>
              <w:left w:val="double" w:sz="4" w:space="0" w:color="auto"/>
              <w:bottom w:val="single" w:sz="4" w:space="0" w:color="auto"/>
              <w:right w:val="double" w:sz="4" w:space="0" w:color="auto"/>
            </w:tcBorders>
            <w:vAlign w:val="center"/>
          </w:tcPr>
          <w:p w14:paraId="6CDC28E1" w14:textId="77777777" w:rsidR="005B6BB0" w:rsidRPr="00D14CD7" w:rsidRDefault="005B6BB0" w:rsidP="004A7AFD">
            <w:pPr>
              <w:jc w:val="left"/>
              <w:rPr>
                <w:color w:val="000000" w:themeColor="text1"/>
              </w:rPr>
            </w:pPr>
            <w:r w:rsidRPr="00D14CD7">
              <w:rPr>
                <w:color w:val="000000" w:themeColor="text1"/>
              </w:rPr>
              <w:t>Number of parameters</w:t>
            </w:r>
          </w:p>
        </w:tc>
        <w:tc>
          <w:tcPr>
            <w:tcW w:w="2160" w:type="dxa"/>
            <w:tcBorders>
              <w:left w:val="double" w:sz="4" w:space="0" w:color="auto"/>
            </w:tcBorders>
            <w:vAlign w:val="center"/>
          </w:tcPr>
          <w:p w14:paraId="55192E1B" w14:textId="77777777" w:rsidR="005B6BB0" w:rsidRPr="00D14CD7" w:rsidRDefault="005B6BB0" w:rsidP="004A7AFD">
            <w:pPr>
              <w:jc w:val="center"/>
              <w:rPr>
                <w:color w:val="000000" w:themeColor="text1"/>
              </w:rPr>
            </w:pPr>
            <w:r w:rsidRPr="00D14CD7">
              <w:rPr>
                <w:color w:val="000000" w:themeColor="text1"/>
              </w:rPr>
              <w:t>66</w:t>
            </w:r>
          </w:p>
        </w:tc>
        <w:tc>
          <w:tcPr>
            <w:tcW w:w="2160" w:type="dxa"/>
            <w:tcBorders>
              <w:right w:val="double" w:sz="4" w:space="0" w:color="auto"/>
            </w:tcBorders>
            <w:vAlign w:val="center"/>
          </w:tcPr>
          <w:p w14:paraId="420AB114" w14:textId="77777777" w:rsidR="005B6BB0" w:rsidRPr="00D14CD7" w:rsidRDefault="005B6BB0" w:rsidP="004A7AFD">
            <w:pPr>
              <w:jc w:val="center"/>
              <w:rPr>
                <w:color w:val="000000" w:themeColor="text1"/>
              </w:rPr>
            </w:pPr>
            <w:r w:rsidRPr="00D14CD7">
              <w:rPr>
                <w:color w:val="000000" w:themeColor="text1"/>
              </w:rPr>
              <w:t>66</w:t>
            </w:r>
          </w:p>
        </w:tc>
      </w:tr>
      <w:tr w:rsidR="00D14CD7" w:rsidRPr="00D14CD7" w14:paraId="1E8EB4EE" w14:textId="77777777" w:rsidTr="004A7AFD">
        <w:trPr>
          <w:trHeight w:val="346"/>
        </w:trPr>
        <w:tc>
          <w:tcPr>
            <w:tcW w:w="4755" w:type="dxa"/>
            <w:tcBorders>
              <w:top w:val="single" w:sz="4" w:space="0" w:color="auto"/>
              <w:left w:val="double" w:sz="4" w:space="0" w:color="auto"/>
              <w:bottom w:val="single" w:sz="4" w:space="0" w:color="auto"/>
              <w:right w:val="double" w:sz="4" w:space="0" w:color="auto"/>
            </w:tcBorders>
            <w:vAlign w:val="center"/>
          </w:tcPr>
          <w:p w14:paraId="16969CF1" w14:textId="77777777" w:rsidR="005B6BB0" w:rsidRPr="00D14CD7" w:rsidRDefault="005B6BB0" w:rsidP="004A7AFD">
            <w:pPr>
              <w:jc w:val="left"/>
              <w:rPr>
                <w:color w:val="000000" w:themeColor="text1"/>
              </w:rPr>
            </w:pPr>
            <w:r w:rsidRPr="00D14CD7">
              <w:rPr>
                <w:color w:val="000000" w:themeColor="text1"/>
              </w:rPr>
              <w:t>Bayesian Information Criterion (BIC)</w:t>
            </w:r>
          </w:p>
        </w:tc>
        <w:tc>
          <w:tcPr>
            <w:tcW w:w="2160" w:type="dxa"/>
            <w:tcBorders>
              <w:left w:val="double" w:sz="4" w:space="0" w:color="auto"/>
              <w:bottom w:val="single" w:sz="4" w:space="0" w:color="auto"/>
            </w:tcBorders>
            <w:vAlign w:val="center"/>
          </w:tcPr>
          <w:p w14:paraId="2B0F8FD6" w14:textId="77777777" w:rsidR="005B6BB0" w:rsidRPr="00D14CD7" w:rsidRDefault="005B6BB0" w:rsidP="00286339">
            <w:pPr>
              <w:jc w:val="center"/>
              <w:rPr>
                <w:color w:val="000000" w:themeColor="text1"/>
              </w:rPr>
            </w:pPr>
            <w:r w:rsidRPr="00D14CD7">
              <w:rPr>
                <w:color w:val="000000" w:themeColor="text1"/>
              </w:rPr>
              <w:t>3935.77</w:t>
            </w:r>
          </w:p>
        </w:tc>
        <w:tc>
          <w:tcPr>
            <w:tcW w:w="2160" w:type="dxa"/>
            <w:tcBorders>
              <w:right w:val="double" w:sz="4" w:space="0" w:color="auto"/>
            </w:tcBorders>
            <w:vAlign w:val="center"/>
          </w:tcPr>
          <w:p w14:paraId="0F0DC6C2" w14:textId="77777777" w:rsidR="005B6BB0" w:rsidRPr="00D14CD7" w:rsidRDefault="005B6BB0" w:rsidP="00286339">
            <w:pPr>
              <w:jc w:val="center"/>
              <w:rPr>
                <w:color w:val="000000" w:themeColor="text1"/>
              </w:rPr>
            </w:pPr>
            <w:r w:rsidRPr="00D14CD7">
              <w:rPr>
                <w:color w:val="000000" w:themeColor="text1"/>
              </w:rPr>
              <w:t>3958.95</w:t>
            </w:r>
          </w:p>
        </w:tc>
      </w:tr>
      <w:tr w:rsidR="00D14CD7" w:rsidRPr="00D14CD7" w14:paraId="58897200" w14:textId="77777777" w:rsidTr="004A7AFD">
        <w:trPr>
          <w:trHeight w:val="346"/>
        </w:trPr>
        <w:tc>
          <w:tcPr>
            <w:tcW w:w="4755" w:type="dxa"/>
            <w:tcBorders>
              <w:top w:val="single" w:sz="4" w:space="0" w:color="auto"/>
              <w:left w:val="double" w:sz="4" w:space="0" w:color="auto"/>
              <w:bottom w:val="single" w:sz="4" w:space="0" w:color="auto"/>
              <w:right w:val="double" w:sz="4" w:space="0" w:color="auto"/>
            </w:tcBorders>
            <w:vAlign w:val="center"/>
          </w:tcPr>
          <w:p w14:paraId="63BFC7A1" w14:textId="129F00F8" w:rsidR="00517C9F" w:rsidRPr="00D14CD7" w:rsidRDefault="00517C9F" w:rsidP="004A7AFD">
            <w:pPr>
              <w:jc w:val="left"/>
              <w:rPr>
                <w:color w:val="000000" w:themeColor="text1"/>
              </w:rPr>
            </w:pPr>
            <w:r w:rsidRPr="00D14CD7">
              <w:rPr>
                <w:color w:val="000000" w:themeColor="text1"/>
              </w:rPr>
              <w:t>Constants and threshold-shifters (CT) only log-likelihood*</w:t>
            </w:r>
          </w:p>
        </w:tc>
        <w:tc>
          <w:tcPr>
            <w:tcW w:w="4320" w:type="dxa"/>
            <w:gridSpan w:val="2"/>
            <w:tcBorders>
              <w:top w:val="single" w:sz="4" w:space="0" w:color="auto"/>
              <w:left w:val="double" w:sz="4" w:space="0" w:color="auto"/>
              <w:bottom w:val="single" w:sz="4" w:space="0" w:color="auto"/>
              <w:right w:val="double" w:sz="4" w:space="0" w:color="auto"/>
            </w:tcBorders>
            <w:vAlign w:val="center"/>
          </w:tcPr>
          <w:p w14:paraId="4F5A5C08" w14:textId="16101AE1" w:rsidR="00517C9F" w:rsidRPr="00D14CD7" w:rsidRDefault="00517C9F" w:rsidP="00286339">
            <w:pPr>
              <w:jc w:val="center"/>
              <w:rPr>
                <w:color w:val="000000" w:themeColor="text1"/>
              </w:rPr>
            </w:pPr>
            <w:bookmarkStart w:id="66" w:name="_Hlk141102575"/>
            <w:r w:rsidRPr="00D14CD7">
              <w:rPr>
                <w:color w:val="000000" w:themeColor="text1"/>
              </w:rPr>
              <w:t>-3876.63</w:t>
            </w:r>
            <w:bookmarkEnd w:id="66"/>
          </w:p>
        </w:tc>
      </w:tr>
      <w:tr w:rsidR="00D14CD7" w:rsidRPr="00D14CD7" w14:paraId="42F9046C" w14:textId="77777777" w:rsidTr="004A7AFD">
        <w:trPr>
          <w:trHeight w:val="346"/>
        </w:trPr>
        <w:tc>
          <w:tcPr>
            <w:tcW w:w="4755" w:type="dxa"/>
            <w:tcBorders>
              <w:top w:val="single" w:sz="4" w:space="0" w:color="auto"/>
              <w:left w:val="double" w:sz="4" w:space="0" w:color="auto"/>
              <w:bottom w:val="single" w:sz="4" w:space="0" w:color="auto"/>
              <w:right w:val="double" w:sz="4" w:space="0" w:color="auto"/>
            </w:tcBorders>
            <w:vAlign w:val="center"/>
          </w:tcPr>
          <w:p w14:paraId="2BE754B3" w14:textId="61145780" w:rsidR="005B6BB0" w:rsidRPr="00D14CD7" w:rsidRDefault="007E2CED" w:rsidP="004A7AFD">
            <w:pPr>
              <w:jc w:val="left"/>
              <w:rPr>
                <w:color w:val="000000" w:themeColor="text1"/>
              </w:rPr>
            </w:pPr>
            <w:r w:rsidRPr="00D14CD7">
              <w:rPr>
                <w:color w:val="000000" w:themeColor="text1"/>
                <w:position w:val="-10"/>
              </w:rPr>
              <w:object w:dxaOrig="320" w:dyaOrig="360" w14:anchorId="3D117077">
                <v:shape id="_x0000_i1139" type="#_x0000_t75" style="width:16.3pt;height:18.85pt" o:ole="">
                  <v:imagedata r:id="rId247" o:title=""/>
                </v:shape>
                <o:OLEObject Type="Embed" ProgID="Equation.DSMT4" ShapeID="_x0000_i1139" DrawAspect="Content" ObjectID="_1793173727" r:id="rId248"/>
              </w:object>
            </w:r>
          </w:p>
        </w:tc>
        <w:tc>
          <w:tcPr>
            <w:tcW w:w="2160" w:type="dxa"/>
            <w:tcBorders>
              <w:top w:val="single" w:sz="4" w:space="0" w:color="auto"/>
              <w:left w:val="double" w:sz="4" w:space="0" w:color="auto"/>
              <w:bottom w:val="single" w:sz="4" w:space="0" w:color="auto"/>
            </w:tcBorders>
            <w:vAlign w:val="center"/>
          </w:tcPr>
          <w:p w14:paraId="64A923AD" w14:textId="784C014B" w:rsidR="005B6BB0" w:rsidRPr="00D14CD7" w:rsidRDefault="005B6BB0" w:rsidP="00286339">
            <w:pPr>
              <w:jc w:val="center"/>
              <w:rPr>
                <w:color w:val="000000" w:themeColor="text1"/>
              </w:rPr>
            </w:pPr>
            <w:r w:rsidRPr="00D14CD7">
              <w:rPr>
                <w:color w:val="000000" w:themeColor="text1"/>
              </w:rPr>
              <w:t>0.0</w:t>
            </w:r>
            <w:r w:rsidR="005D7CD3" w:rsidRPr="00D14CD7">
              <w:rPr>
                <w:color w:val="000000" w:themeColor="text1"/>
              </w:rPr>
              <w:t>3</w:t>
            </w:r>
            <w:r w:rsidR="000B2812" w:rsidRPr="00D14CD7">
              <w:rPr>
                <w:color w:val="000000" w:themeColor="text1"/>
              </w:rPr>
              <w:t>1</w:t>
            </w:r>
          </w:p>
        </w:tc>
        <w:tc>
          <w:tcPr>
            <w:tcW w:w="2160" w:type="dxa"/>
            <w:tcBorders>
              <w:right w:val="double" w:sz="4" w:space="0" w:color="auto"/>
            </w:tcBorders>
            <w:vAlign w:val="center"/>
          </w:tcPr>
          <w:p w14:paraId="47CA9D15" w14:textId="5C1149CD" w:rsidR="005B6BB0" w:rsidRPr="00D14CD7" w:rsidRDefault="005B6BB0" w:rsidP="00286339">
            <w:pPr>
              <w:jc w:val="center"/>
              <w:rPr>
                <w:color w:val="000000" w:themeColor="text1"/>
              </w:rPr>
            </w:pPr>
            <w:r w:rsidRPr="00D14CD7">
              <w:rPr>
                <w:color w:val="000000" w:themeColor="text1"/>
              </w:rPr>
              <w:t>0.02</w:t>
            </w:r>
            <w:r w:rsidR="005D7CD3" w:rsidRPr="00D14CD7">
              <w:rPr>
                <w:color w:val="000000" w:themeColor="text1"/>
              </w:rPr>
              <w:t>5</w:t>
            </w:r>
          </w:p>
        </w:tc>
      </w:tr>
      <w:tr w:rsidR="00D14CD7" w:rsidRPr="00D14CD7" w14:paraId="251F12BE" w14:textId="77777777" w:rsidTr="004A7AFD">
        <w:trPr>
          <w:trHeight w:val="346"/>
        </w:trPr>
        <w:tc>
          <w:tcPr>
            <w:tcW w:w="4755" w:type="dxa"/>
            <w:tcBorders>
              <w:top w:val="single" w:sz="4" w:space="0" w:color="auto"/>
              <w:left w:val="double" w:sz="4" w:space="0" w:color="auto"/>
              <w:bottom w:val="single" w:sz="4" w:space="0" w:color="auto"/>
              <w:right w:val="double" w:sz="4" w:space="0" w:color="auto"/>
            </w:tcBorders>
            <w:vAlign w:val="center"/>
          </w:tcPr>
          <w:p w14:paraId="662B7C3F" w14:textId="7C523368" w:rsidR="005B6BB0" w:rsidRPr="00D14CD7" w:rsidRDefault="005B6BB0" w:rsidP="004A7AFD">
            <w:pPr>
              <w:jc w:val="left"/>
              <w:rPr>
                <w:color w:val="000000" w:themeColor="text1"/>
              </w:rPr>
            </w:pPr>
            <w:r w:rsidRPr="00D14CD7">
              <w:rPr>
                <w:color w:val="000000" w:themeColor="text1"/>
              </w:rPr>
              <w:t>Nested likelihood ratio test:</w:t>
            </w:r>
            <w:r w:rsidR="004A7AFD">
              <w:rPr>
                <w:color w:val="000000" w:themeColor="text1"/>
              </w:rPr>
              <w:t xml:space="preserve"> Linked/Unlinked</w:t>
            </w:r>
            <w:r w:rsidRPr="00D14CD7">
              <w:rPr>
                <w:color w:val="000000" w:themeColor="text1"/>
              </w:rPr>
              <w:t xml:space="preserve"> model versus constant-only model</w:t>
            </w:r>
          </w:p>
        </w:tc>
        <w:tc>
          <w:tcPr>
            <w:tcW w:w="2160" w:type="dxa"/>
            <w:tcBorders>
              <w:top w:val="single" w:sz="4" w:space="0" w:color="auto"/>
              <w:left w:val="double" w:sz="4" w:space="0" w:color="auto"/>
              <w:bottom w:val="single" w:sz="4" w:space="0" w:color="auto"/>
              <w:right w:val="single" w:sz="4" w:space="0" w:color="auto"/>
            </w:tcBorders>
            <w:vAlign w:val="center"/>
          </w:tcPr>
          <w:p w14:paraId="2D4A7500" w14:textId="274937FD" w:rsidR="005B6BB0" w:rsidRPr="00D14CD7" w:rsidRDefault="005B6BB0" w:rsidP="00286339">
            <w:pPr>
              <w:jc w:val="center"/>
              <w:rPr>
                <w:color w:val="000000" w:themeColor="text1"/>
              </w:rPr>
            </w:pPr>
            <w:r w:rsidRPr="00D14CD7">
              <w:rPr>
                <w:color w:val="000000" w:themeColor="text1"/>
              </w:rPr>
              <w:t>LR=3</w:t>
            </w:r>
            <w:r w:rsidR="005D7CD3" w:rsidRPr="00D14CD7">
              <w:rPr>
                <w:color w:val="000000" w:themeColor="text1"/>
              </w:rPr>
              <w:t>25</w:t>
            </w:r>
            <w:r w:rsidRPr="00D14CD7">
              <w:rPr>
                <w:color w:val="000000" w:themeColor="text1"/>
              </w:rPr>
              <w:t>.0</w:t>
            </w:r>
            <w:r w:rsidR="005D7CD3" w:rsidRPr="00D14CD7">
              <w:rPr>
                <w:color w:val="000000" w:themeColor="text1"/>
              </w:rPr>
              <w:t>8</w:t>
            </w:r>
            <w:r w:rsidRPr="00D14CD7">
              <w:rPr>
                <w:color w:val="000000" w:themeColor="text1"/>
              </w:rPr>
              <w:t xml:space="preserve">&gt; </w:t>
            </w:r>
            <m:oMath>
              <m:sSubSup>
                <m:sSubSupPr>
                  <m:ctrlPr>
                    <w:rPr>
                      <w:rFonts w:ascii="Cambria Math" w:hAnsi="Cambria Math"/>
                      <w:i/>
                      <w:color w:val="000000" w:themeColor="text1"/>
                    </w:rPr>
                  </m:ctrlPr>
                </m:sSubSupPr>
                <m:e>
                  <m:r>
                    <w:rPr>
                      <w:rFonts w:ascii="Cambria Math" w:hAnsi="Cambria Math"/>
                      <w:color w:val="000000" w:themeColor="text1"/>
                    </w:rPr>
                    <m:t>χ</m:t>
                  </m:r>
                </m:e>
                <m:sub>
                  <m:r>
                    <w:rPr>
                      <w:rFonts w:ascii="Cambria Math" w:hAnsi="Cambria Math"/>
                      <w:color w:val="000000" w:themeColor="text1"/>
                    </w:rPr>
                    <m:t>(50,0.05)</m:t>
                  </m:r>
                </m:sub>
                <m:sup>
                  <m:r>
                    <w:rPr>
                      <w:rFonts w:ascii="Cambria Math" w:hAnsi="Cambria Math"/>
                      <w:color w:val="000000" w:themeColor="text1"/>
                    </w:rPr>
                    <m:t>2</m:t>
                  </m:r>
                </m:sup>
              </m:sSubSup>
            </m:oMath>
            <w:r w:rsidRPr="00D14CD7">
              <w:rPr>
                <w:rFonts w:eastAsiaTheme="minorEastAsia"/>
                <w:color w:val="000000" w:themeColor="text1"/>
              </w:rPr>
              <w:t>=67.505</w:t>
            </w:r>
          </w:p>
        </w:tc>
        <w:tc>
          <w:tcPr>
            <w:tcW w:w="2160" w:type="dxa"/>
            <w:tcBorders>
              <w:left w:val="single" w:sz="4" w:space="0" w:color="auto"/>
              <w:right w:val="double" w:sz="4" w:space="0" w:color="auto"/>
            </w:tcBorders>
            <w:vAlign w:val="center"/>
          </w:tcPr>
          <w:p w14:paraId="1C773AFF" w14:textId="3458A20C" w:rsidR="005B6BB0" w:rsidRPr="00D14CD7" w:rsidRDefault="005B6BB0" w:rsidP="00286339">
            <w:pPr>
              <w:jc w:val="center"/>
              <w:rPr>
                <w:color w:val="000000" w:themeColor="text1"/>
              </w:rPr>
            </w:pPr>
            <w:r w:rsidRPr="00D14CD7">
              <w:rPr>
                <w:color w:val="000000" w:themeColor="text1"/>
              </w:rPr>
              <w:t>LR=</w:t>
            </w:r>
            <w:r w:rsidR="005D7CD3" w:rsidRPr="00D14CD7">
              <w:rPr>
                <w:color w:val="000000" w:themeColor="text1"/>
              </w:rPr>
              <w:t>297</w:t>
            </w:r>
            <w:r w:rsidRPr="00D14CD7">
              <w:rPr>
                <w:color w:val="000000" w:themeColor="text1"/>
              </w:rPr>
              <w:t>.</w:t>
            </w:r>
            <w:r w:rsidR="005D7CD3" w:rsidRPr="00D14CD7">
              <w:rPr>
                <w:color w:val="000000" w:themeColor="text1"/>
              </w:rPr>
              <w:t>08</w:t>
            </w:r>
            <w:r w:rsidRPr="00D14CD7">
              <w:rPr>
                <w:color w:val="000000" w:themeColor="text1"/>
              </w:rPr>
              <w:t xml:space="preserve">&gt; </w:t>
            </w:r>
            <m:oMath>
              <m:sSubSup>
                <m:sSubSupPr>
                  <m:ctrlPr>
                    <w:rPr>
                      <w:rFonts w:ascii="Cambria Math" w:hAnsi="Cambria Math"/>
                      <w:i/>
                      <w:color w:val="000000" w:themeColor="text1"/>
                    </w:rPr>
                  </m:ctrlPr>
                </m:sSubSupPr>
                <m:e>
                  <m:r>
                    <w:rPr>
                      <w:rFonts w:ascii="Cambria Math" w:hAnsi="Cambria Math"/>
                      <w:color w:val="000000" w:themeColor="text1"/>
                    </w:rPr>
                    <m:t>χ</m:t>
                  </m:r>
                </m:e>
                <m:sub>
                  <m:r>
                    <w:rPr>
                      <w:rFonts w:ascii="Cambria Math" w:hAnsi="Cambria Math"/>
                      <w:color w:val="000000" w:themeColor="text1"/>
                    </w:rPr>
                    <m:t>(50,0.05)</m:t>
                  </m:r>
                </m:sub>
                <m:sup>
                  <m:r>
                    <w:rPr>
                      <w:rFonts w:ascii="Cambria Math" w:hAnsi="Cambria Math"/>
                      <w:color w:val="000000" w:themeColor="text1"/>
                    </w:rPr>
                    <m:t>2</m:t>
                  </m:r>
                </m:sup>
              </m:sSubSup>
            </m:oMath>
            <w:r w:rsidRPr="00D14CD7">
              <w:rPr>
                <w:rFonts w:eastAsiaTheme="minorEastAsia"/>
                <w:color w:val="000000" w:themeColor="text1"/>
              </w:rPr>
              <w:t>=67.505</w:t>
            </w:r>
          </w:p>
        </w:tc>
      </w:tr>
      <w:tr w:rsidR="00D14CD7" w:rsidRPr="00D14CD7" w14:paraId="50AC6D67" w14:textId="77777777" w:rsidTr="004A7AFD">
        <w:trPr>
          <w:trHeight w:val="346"/>
        </w:trPr>
        <w:tc>
          <w:tcPr>
            <w:tcW w:w="4755" w:type="dxa"/>
            <w:tcBorders>
              <w:top w:val="single" w:sz="4" w:space="0" w:color="auto"/>
              <w:left w:val="double" w:sz="4" w:space="0" w:color="auto"/>
              <w:bottom w:val="double" w:sz="4" w:space="0" w:color="auto"/>
              <w:right w:val="double" w:sz="4" w:space="0" w:color="auto"/>
            </w:tcBorders>
            <w:vAlign w:val="center"/>
          </w:tcPr>
          <w:p w14:paraId="341ECF27" w14:textId="77777777" w:rsidR="005B6BB0" w:rsidRPr="00D14CD7" w:rsidRDefault="005B6BB0" w:rsidP="004A7AFD">
            <w:pPr>
              <w:jc w:val="left"/>
              <w:rPr>
                <w:color w:val="000000" w:themeColor="text1"/>
              </w:rPr>
            </w:pPr>
            <w:r w:rsidRPr="00D14CD7">
              <w:rPr>
                <w:color w:val="000000" w:themeColor="text1"/>
              </w:rPr>
              <w:t>Non-nested likelihood ratio test: Linked model versus Unlinked model</w:t>
            </w:r>
          </w:p>
        </w:tc>
        <w:tc>
          <w:tcPr>
            <w:tcW w:w="4320" w:type="dxa"/>
            <w:gridSpan w:val="2"/>
            <w:tcBorders>
              <w:left w:val="double" w:sz="4" w:space="0" w:color="auto"/>
              <w:bottom w:val="double" w:sz="4" w:space="0" w:color="auto"/>
              <w:right w:val="double" w:sz="4" w:space="0" w:color="auto"/>
            </w:tcBorders>
            <w:vAlign w:val="center"/>
          </w:tcPr>
          <w:p w14:paraId="1CFDD3A0" w14:textId="2713C05E" w:rsidR="005B6BB0" w:rsidRPr="00D14CD7" w:rsidRDefault="00AC14D2" w:rsidP="00286339">
            <w:pPr>
              <w:jc w:val="center"/>
              <w:rPr>
                <w:color w:val="000000" w:themeColor="text1"/>
              </w:rPr>
            </w:pPr>
            <w:r w:rsidRPr="00D14CD7">
              <w:rPr>
                <w:color w:val="000000" w:themeColor="text1"/>
                <w:position w:val="-14"/>
              </w:rPr>
              <w:object w:dxaOrig="2160" w:dyaOrig="400" w14:anchorId="443457A9">
                <v:shape id="_x0000_i1140" type="#_x0000_t75" style="width:108pt;height:20.15pt" o:ole="" o:preferrelative="f">
                  <v:imagedata r:id="rId249" o:title=""/>
                  <o:lock v:ext="edit" aspectratio="f"/>
                </v:shape>
                <o:OLEObject Type="Embed" ProgID="Equation.DSMT4" ShapeID="_x0000_i1140" DrawAspect="Content" ObjectID="_1793173728" r:id="rId250"/>
              </w:object>
            </w:r>
          </w:p>
        </w:tc>
      </w:tr>
    </w:tbl>
    <w:p w14:paraId="5A0257D8" w14:textId="32A377B6" w:rsidR="005B6BB0" w:rsidRPr="00D14CD7" w:rsidRDefault="00517C9F" w:rsidP="005B6BB0">
      <w:pPr>
        <w:rPr>
          <w:color w:val="000000" w:themeColor="text1"/>
          <w:sz w:val="22"/>
          <w:szCs w:val="22"/>
        </w:rPr>
      </w:pPr>
      <w:r w:rsidRPr="00D14CD7">
        <w:rPr>
          <w:color w:val="000000" w:themeColor="text1"/>
          <w:sz w:val="22"/>
          <w:szCs w:val="22"/>
        </w:rPr>
        <w:t>* The value refers to the (CT) only log-likelihood of the unlinked model.</w:t>
      </w:r>
      <w:r w:rsidR="00AC14D2">
        <w:rPr>
          <w:color w:val="000000" w:themeColor="text1"/>
          <w:sz w:val="22"/>
          <w:szCs w:val="22"/>
        </w:rPr>
        <w:t xml:space="preserve"> </w:t>
      </w:r>
    </w:p>
    <w:p w14:paraId="6070A09E" w14:textId="5BCEB386" w:rsidR="002961D7" w:rsidRPr="00D14CD7" w:rsidRDefault="002961D7" w:rsidP="005B6BB0">
      <w:pPr>
        <w:rPr>
          <w:color w:val="000000" w:themeColor="text1"/>
          <w:sz w:val="22"/>
          <w:szCs w:val="22"/>
        </w:rPr>
      </w:pPr>
    </w:p>
    <w:p w14:paraId="4910406A" w14:textId="77777777" w:rsidR="00630A69" w:rsidRDefault="00630A69" w:rsidP="00630A69">
      <w:pPr>
        <w:pStyle w:val="Caption"/>
        <w:spacing w:after="120"/>
        <w:rPr>
          <w:b/>
          <w:i w:val="0"/>
          <w:color w:val="000000" w:themeColor="text1"/>
          <w:sz w:val="24"/>
          <w:szCs w:val="24"/>
        </w:rPr>
        <w:sectPr w:rsidR="00630A69" w:rsidSect="005B6BB0">
          <w:pgSz w:w="12240" w:h="15840"/>
          <w:pgMar w:top="1440" w:right="1440" w:bottom="1440" w:left="1440" w:header="720" w:footer="720" w:gutter="0"/>
          <w:cols w:space="720"/>
          <w:docGrid w:linePitch="360"/>
        </w:sectPr>
      </w:pPr>
    </w:p>
    <w:p w14:paraId="4A56D237" w14:textId="0DCC30BF" w:rsidR="00630A69" w:rsidRPr="00630A69" w:rsidRDefault="00630A69" w:rsidP="00630A69">
      <w:pPr>
        <w:pStyle w:val="Caption"/>
        <w:spacing w:after="120"/>
        <w:rPr>
          <w:b/>
          <w:i w:val="0"/>
          <w:color w:val="000000" w:themeColor="text1"/>
          <w:sz w:val="24"/>
          <w:szCs w:val="24"/>
        </w:rPr>
      </w:pPr>
      <w:r w:rsidRPr="00D14CD7">
        <w:rPr>
          <w:b/>
          <w:i w:val="0"/>
          <w:color w:val="000000" w:themeColor="text1"/>
          <w:sz w:val="24"/>
          <w:szCs w:val="24"/>
        </w:rPr>
        <w:lastRenderedPageBreak/>
        <w:t xml:space="preserve">Table 8. Aggregate </w:t>
      </w:r>
      <w:r w:rsidR="00DD1045">
        <w:rPr>
          <w:b/>
          <w:i w:val="0"/>
          <w:color w:val="000000" w:themeColor="text1"/>
          <w:sz w:val="24"/>
          <w:szCs w:val="24"/>
        </w:rPr>
        <w:t>f</w:t>
      </w:r>
      <w:r w:rsidRPr="00D14CD7">
        <w:rPr>
          <w:b/>
          <w:i w:val="0"/>
          <w:color w:val="000000" w:themeColor="text1"/>
          <w:sz w:val="24"/>
          <w:szCs w:val="24"/>
        </w:rPr>
        <w:t xml:space="preserve">it </w:t>
      </w:r>
      <w:r w:rsidR="00DD1045">
        <w:rPr>
          <w:b/>
          <w:i w:val="0"/>
          <w:color w:val="000000" w:themeColor="text1"/>
          <w:sz w:val="24"/>
          <w:szCs w:val="24"/>
        </w:rPr>
        <w:t>m</w:t>
      </w:r>
      <w:r w:rsidRPr="00D14CD7">
        <w:rPr>
          <w:b/>
          <w:i w:val="0"/>
          <w:color w:val="000000" w:themeColor="text1"/>
          <w:sz w:val="24"/>
          <w:szCs w:val="24"/>
        </w:rPr>
        <w:t>easures</w:t>
      </w:r>
    </w:p>
    <w:tbl>
      <w:tblPr>
        <w:tblW w:w="5041" w:type="pct"/>
        <w:tblBorders>
          <w:top w:val="double" w:sz="4" w:space="0" w:color="auto"/>
          <w:left w:val="double" w:sz="4" w:space="0" w:color="auto"/>
          <w:bottom w:val="double" w:sz="4" w:space="0" w:color="auto"/>
          <w:right w:val="double" w:sz="4" w:space="0" w:color="auto"/>
        </w:tblBorders>
        <w:tblLayout w:type="fixed"/>
        <w:tblLook w:val="04A0" w:firstRow="1" w:lastRow="0" w:firstColumn="1" w:lastColumn="0" w:noHBand="0" w:noVBand="1"/>
      </w:tblPr>
      <w:tblGrid>
        <w:gridCol w:w="3126"/>
        <w:gridCol w:w="1536"/>
        <w:gridCol w:w="1168"/>
        <w:gridCol w:w="1087"/>
        <w:gridCol w:w="1168"/>
        <w:gridCol w:w="1348"/>
        <w:gridCol w:w="1100"/>
        <w:gridCol w:w="1155"/>
        <w:gridCol w:w="1348"/>
      </w:tblGrid>
      <w:tr w:rsidR="00235349" w:rsidRPr="00630A69" w14:paraId="70FCE855" w14:textId="77777777" w:rsidTr="00235349">
        <w:trPr>
          <w:trHeight w:val="315"/>
        </w:trPr>
        <w:tc>
          <w:tcPr>
            <w:tcW w:w="1199" w:type="pct"/>
            <w:vMerge w:val="restart"/>
            <w:tcBorders>
              <w:top w:val="double" w:sz="4" w:space="0" w:color="auto"/>
              <w:bottom w:val="nil"/>
              <w:right w:val="double" w:sz="4" w:space="0" w:color="auto"/>
            </w:tcBorders>
            <w:noWrap/>
            <w:tcMar>
              <w:left w:w="43" w:type="dxa"/>
              <w:right w:w="43" w:type="dxa"/>
            </w:tcMar>
            <w:vAlign w:val="center"/>
            <w:hideMark/>
          </w:tcPr>
          <w:p w14:paraId="7FCB656A" w14:textId="77777777" w:rsidR="00630A69" w:rsidRPr="00630A69" w:rsidRDefault="00630A69" w:rsidP="00630A69">
            <w:pPr>
              <w:spacing w:after="0" w:line="240" w:lineRule="auto"/>
              <w:jc w:val="left"/>
              <w:rPr>
                <w:rFonts w:eastAsia="Times New Roman"/>
                <w:b/>
                <w:bCs/>
                <w:color w:val="000000" w:themeColor="text1"/>
              </w:rPr>
            </w:pPr>
            <w:r w:rsidRPr="00630A69">
              <w:rPr>
                <w:rFonts w:eastAsia="Times New Roman"/>
                <w:b/>
                <w:bCs/>
                <w:color w:val="000000" w:themeColor="text1"/>
              </w:rPr>
              <w:t>Aggregate Goodness of Fit Measure</w:t>
            </w:r>
          </w:p>
        </w:tc>
        <w:tc>
          <w:tcPr>
            <w:tcW w:w="589" w:type="pct"/>
            <w:vMerge w:val="restart"/>
            <w:tcBorders>
              <w:top w:val="double" w:sz="4" w:space="0" w:color="auto"/>
              <w:left w:val="double" w:sz="4" w:space="0" w:color="auto"/>
              <w:bottom w:val="nil"/>
            </w:tcBorders>
            <w:noWrap/>
            <w:tcMar>
              <w:left w:w="43" w:type="dxa"/>
              <w:right w:w="43" w:type="dxa"/>
            </w:tcMar>
            <w:vAlign w:val="center"/>
            <w:hideMark/>
          </w:tcPr>
          <w:p w14:paraId="38FE80C1" w14:textId="77777777" w:rsidR="00630A69" w:rsidRPr="00630A69" w:rsidRDefault="00630A69" w:rsidP="00630A69">
            <w:pPr>
              <w:spacing w:after="0" w:line="240" w:lineRule="auto"/>
              <w:jc w:val="left"/>
              <w:rPr>
                <w:rFonts w:eastAsia="Times New Roman"/>
                <w:b/>
                <w:bCs/>
                <w:color w:val="000000" w:themeColor="text1"/>
              </w:rPr>
            </w:pPr>
            <w:r w:rsidRPr="00630A69">
              <w:rPr>
                <w:rFonts w:eastAsia="Times New Roman"/>
                <w:b/>
                <w:bCs/>
                <w:color w:val="000000" w:themeColor="text1"/>
              </w:rPr>
              <w:t>Restaurant Segment</w:t>
            </w:r>
          </w:p>
        </w:tc>
        <w:tc>
          <w:tcPr>
            <w:tcW w:w="448" w:type="pct"/>
            <w:vMerge w:val="restart"/>
            <w:tcBorders>
              <w:top w:val="double" w:sz="4" w:space="0" w:color="auto"/>
              <w:bottom w:val="nil"/>
              <w:right w:val="double" w:sz="4" w:space="0" w:color="auto"/>
            </w:tcBorders>
            <w:noWrap/>
            <w:tcMar>
              <w:left w:w="43" w:type="dxa"/>
              <w:right w:w="43" w:type="dxa"/>
            </w:tcMar>
            <w:vAlign w:val="center"/>
            <w:hideMark/>
          </w:tcPr>
          <w:p w14:paraId="169E3FA9" w14:textId="77777777" w:rsidR="00630A69" w:rsidRPr="00630A69" w:rsidRDefault="00630A69" w:rsidP="00630A69">
            <w:pPr>
              <w:spacing w:after="0" w:line="240" w:lineRule="auto"/>
              <w:jc w:val="left"/>
              <w:rPr>
                <w:rFonts w:eastAsia="Times New Roman"/>
                <w:b/>
                <w:bCs/>
                <w:color w:val="000000" w:themeColor="text1"/>
              </w:rPr>
            </w:pPr>
            <w:r w:rsidRPr="00630A69">
              <w:rPr>
                <w:rFonts w:eastAsia="Times New Roman"/>
                <w:b/>
                <w:bCs/>
                <w:color w:val="000000" w:themeColor="text1"/>
              </w:rPr>
              <w:t>Observed</w:t>
            </w:r>
          </w:p>
        </w:tc>
        <w:tc>
          <w:tcPr>
            <w:tcW w:w="1382" w:type="pct"/>
            <w:gridSpan w:val="3"/>
            <w:tcBorders>
              <w:top w:val="double" w:sz="4" w:space="0" w:color="auto"/>
              <w:left w:val="double" w:sz="4" w:space="0" w:color="auto"/>
              <w:bottom w:val="nil"/>
              <w:right w:val="double" w:sz="4" w:space="0" w:color="auto"/>
            </w:tcBorders>
            <w:noWrap/>
            <w:tcMar>
              <w:left w:w="43" w:type="dxa"/>
              <w:right w:w="43" w:type="dxa"/>
            </w:tcMar>
            <w:vAlign w:val="center"/>
            <w:hideMark/>
          </w:tcPr>
          <w:p w14:paraId="4FFCFE2D" w14:textId="77777777" w:rsidR="00630A69" w:rsidRPr="00630A69" w:rsidRDefault="00630A69" w:rsidP="00630A69">
            <w:pPr>
              <w:spacing w:after="0" w:line="240" w:lineRule="auto"/>
              <w:jc w:val="center"/>
              <w:rPr>
                <w:rFonts w:eastAsia="Times New Roman"/>
                <w:b/>
                <w:bCs/>
                <w:color w:val="000000" w:themeColor="text1"/>
              </w:rPr>
            </w:pPr>
            <w:r w:rsidRPr="00630A69">
              <w:rPr>
                <w:rFonts w:eastAsia="Times New Roman"/>
                <w:b/>
                <w:bCs/>
                <w:color w:val="000000" w:themeColor="text1"/>
              </w:rPr>
              <w:t>Linked Model Predictions</w:t>
            </w:r>
          </w:p>
        </w:tc>
        <w:tc>
          <w:tcPr>
            <w:tcW w:w="1382" w:type="pct"/>
            <w:gridSpan w:val="3"/>
            <w:tcBorders>
              <w:top w:val="double" w:sz="4" w:space="0" w:color="auto"/>
              <w:left w:val="double" w:sz="4" w:space="0" w:color="auto"/>
              <w:bottom w:val="nil"/>
            </w:tcBorders>
            <w:noWrap/>
            <w:tcMar>
              <w:left w:w="43" w:type="dxa"/>
              <w:right w:w="43" w:type="dxa"/>
            </w:tcMar>
            <w:vAlign w:val="center"/>
            <w:hideMark/>
          </w:tcPr>
          <w:p w14:paraId="37AFDEA3" w14:textId="77777777" w:rsidR="00630A69" w:rsidRPr="00630A69" w:rsidRDefault="00630A69" w:rsidP="00630A69">
            <w:pPr>
              <w:spacing w:after="0" w:line="240" w:lineRule="auto"/>
              <w:jc w:val="center"/>
              <w:rPr>
                <w:rFonts w:eastAsia="Times New Roman"/>
                <w:b/>
                <w:bCs/>
                <w:color w:val="000000" w:themeColor="text1"/>
              </w:rPr>
            </w:pPr>
            <w:r w:rsidRPr="00630A69">
              <w:rPr>
                <w:rFonts w:eastAsia="Times New Roman"/>
                <w:b/>
                <w:bCs/>
                <w:color w:val="000000" w:themeColor="text1"/>
              </w:rPr>
              <w:t>Unlinked Model Predictions</w:t>
            </w:r>
          </w:p>
        </w:tc>
      </w:tr>
      <w:tr w:rsidR="00235349" w:rsidRPr="00630A69" w14:paraId="7E6ECDFC" w14:textId="77777777" w:rsidTr="00235349">
        <w:trPr>
          <w:trHeight w:val="56"/>
        </w:trPr>
        <w:tc>
          <w:tcPr>
            <w:tcW w:w="1199" w:type="pct"/>
            <w:vMerge/>
            <w:tcBorders>
              <w:top w:val="nil"/>
              <w:bottom w:val="double" w:sz="4" w:space="0" w:color="auto"/>
              <w:right w:val="double" w:sz="4" w:space="0" w:color="auto"/>
            </w:tcBorders>
            <w:tcMar>
              <w:left w:w="43" w:type="dxa"/>
              <w:right w:w="43" w:type="dxa"/>
            </w:tcMar>
            <w:vAlign w:val="center"/>
            <w:hideMark/>
          </w:tcPr>
          <w:p w14:paraId="3169EBE8" w14:textId="77777777" w:rsidR="00630A69" w:rsidRPr="00630A69" w:rsidRDefault="00630A69" w:rsidP="00630A69">
            <w:pPr>
              <w:spacing w:after="0" w:line="240" w:lineRule="auto"/>
              <w:jc w:val="center"/>
              <w:rPr>
                <w:rFonts w:eastAsia="Times New Roman"/>
                <w:b/>
                <w:bCs/>
                <w:color w:val="000000" w:themeColor="text1"/>
              </w:rPr>
            </w:pPr>
          </w:p>
        </w:tc>
        <w:tc>
          <w:tcPr>
            <w:tcW w:w="589" w:type="pct"/>
            <w:vMerge/>
            <w:tcBorders>
              <w:top w:val="nil"/>
              <w:left w:val="double" w:sz="4" w:space="0" w:color="auto"/>
              <w:bottom w:val="double" w:sz="4" w:space="0" w:color="auto"/>
            </w:tcBorders>
            <w:tcMar>
              <w:left w:w="43" w:type="dxa"/>
              <w:right w:w="43" w:type="dxa"/>
            </w:tcMar>
            <w:vAlign w:val="center"/>
            <w:hideMark/>
          </w:tcPr>
          <w:p w14:paraId="478BF3D4" w14:textId="77777777" w:rsidR="00630A69" w:rsidRPr="00630A69" w:rsidRDefault="00630A69" w:rsidP="00630A69">
            <w:pPr>
              <w:spacing w:after="0" w:line="240" w:lineRule="auto"/>
              <w:jc w:val="center"/>
              <w:rPr>
                <w:rFonts w:eastAsia="Times New Roman"/>
                <w:b/>
                <w:bCs/>
                <w:color w:val="000000" w:themeColor="text1"/>
              </w:rPr>
            </w:pPr>
          </w:p>
        </w:tc>
        <w:tc>
          <w:tcPr>
            <w:tcW w:w="448" w:type="pct"/>
            <w:vMerge/>
            <w:tcBorders>
              <w:top w:val="nil"/>
              <w:bottom w:val="double" w:sz="4" w:space="0" w:color="auto"/>
              <w:right w:val="double" w:sz="4" w:space="0" w:color="auto"/>
            </w:tcBorders>
            <w:tcMar>
              <w:left w:w="43" w:type="dxa"/>
              <w:right w:w="43" w:type="dxa"/>
            </w:tcMar>
            <w:vAlign w:val="center"/>
            <w:hideMark/>
          </w:tcPr>
          <w:p w14:paraId="5F15EFF8" w14:textId="77777777" w:rsidR="00630A69" w:rsidRPr="00630A69" w:rsidRDefault="00630A69" w:rsidP="00630A69">
            <w:pPr>
              <w:spacing w:after="0" w:line="240" w:lineRule="auto"/>
              <w:jc w:val="center"/>
              <w:rPr>
                <w:rFonts w:eastAsia="Times New Roman"/>
                <w:b/>
                <w:bCs/>
                <w:color w:val="000000" w:themeColor="text1"/>
              </w:rPr>
            </w:pPr>
          </w:p>
        </w:tc>
        <w:tc>
          <w:tcPr>
            <w:tcW w:w="417" w:type="pct"/>
            <w:tcBorders>
              <w:top w:val="nil"/>
              <w:left w:val="double" w:sz="4" w:space="0" w:color="auto"/>
              <w:bottom w:val="double" w:sz="4" w:space="0" w:color="auto"/>
            </w:tcBorders>
            <w:noWrap/>
            <w:tcMar>
              <w:left w:w="43" w:type="dxa"/>
              <w:right w:w="43" w:type="dxa"/>
            </w:tcMar>
            <w:vAlign w:val="center"/>
            <w:hideMark/>
          </w:tcPr>
          <w:p w14:paraId="67A3E2C5" w14:textId="77777777" w:rsidR="00630A69" w:rsidRPr="00630A69" w:rsidRDefault="00630A69" w:rsidP="00630A69">
            <w:pPr>
              <w:spacing w:after="0" w:line="240" w:lineRule="auto"/>
              <w:jc w:val="center"/>
              <w:rPr>
                <w:rFonts w:eastAsia="Times New Roman"/>
                <w:b/>
                <w:bCs/>
                <w:color w:val="000000" w:themeColor="text1"/>
              </w:rPr>
            </w:pPr>
            <w:r w:rsidRPr="00630A69">
              <w:rPr>
                <w:rFonts w:eastAsia="Times New Roman"/>
                <w:b/>
                <w:bCs/>
                <w:color w:val="000000" w:themeColor="text1"/>
              </w:rPr>
              <w:t>Predicted</w:t>
            </w:r>
          </w:p>
        </w:tc>
        <w:tc>
          <w:tcPr>
            <w:tcW w:w="448" w:type="pct"/>
            <w:tcBorders>
              <w:top w:val="nil"/>
              <w:bottom w:val="double" w:sz="4" w:space="0" w:color="auto"/>
            </w:tcBorders>
            <w:noWrap/>
            <w:tcMar>
              <w:left w:w="43" w:type="dxa"/>
              <w:right w:w="43" w:type="dxa"/>
            </w:tcMar>
            <w:vAlign w:val="center"/>
            <w:hideMark/>
          </w:tcPr>
          <w:p w14:paraId="153F8C11" w14:textId="77777777" w:rsidR="00630A69" w:rsidRPr="00630A69" w:rsidRDefault="00630A69" w:rsidP="00630A69">
            <w:pPr>
              <w:spacing w:after="0" w:line="240" w:lineRule="auto"/>
              <w:jc w:val="center"/>
              <w:rPr>
                <w:rFonts w:eastAsia="Times New Roman"/>
                <w:b/>
                <w:bCs/>
                <w:color w:val="000000" w:themeColor="text1"/>
              </w:rPr>
            </w:pPr>
            <w:r w:rsidRPr="00630A69">
              <w:rPr>
                <w:rFonts w:eastAsia="Times New Roman"/>
                <w:b/>
                <w:bCs/>
                <w:color w:val="000000" w:themeColor="text1"/>
              </w:rPr>
              <w:t>APE (%)</w:t>
            </w:r>
          </w:p>
        </w:tc>
        <w:tc>
          <w:tcPr>
            <w:tcW w:w="517" w:type="pct"/>
            <w:tcBorders>
              <w:top w:val="nil"/>
              <w:bottom w:val="double" w:sz="4" w:space="0" w:color="auto"/>
              <w:right w:val="double" w:sz="4" w:space="0" w:color="auto"/>
            </w:tcBorders>
            <w:noWrap/>
            <w:tcMar>
              <w:left w:w="43" w:type="dxa"/>
              <w:right w:w="43" w:type="dxa"/>
            </w:tcMar>
            <w:vAlign w:val="center"/>
            <w:hideMark/>
          </w:tcPr>
          <w:p w14:paraId="41ED1C40" w14:textId="77777777" w:rsidR="00630A69" w:rsidRPr="00630A69" w:rsidRDefault="00630A69" w:rsidP="00630A69">
            <w:pPr>
              <w:spacing w:after="0" w:line="240" w:lineRule="auto"/>
              <w:jc w:val="center"/>
              <w:rPr>
                <w:rFonts w:eastAsia="Times New Roman"/>
                <w:b/>
                <w:bCs/>
                <w:color w:val="000000" w:themeColor="text1"/>
              </w:rPr>
            </w:pPr>
            <w:r w:rsidRPr="00630A69">
              <w:rPr>
                <w:rFonts w:eastAsia="Times New Roman"/>
                <w:b/>
                <w:bCs/>
                <w:color w:val="000000" w:themeColor="text1"/>
              </w:rPr>
              <w:t>WAPE (%)</w:t>
            </w:r>
          </w:p>
        </w:tc>
        <w:tc>
          <w:tcPr>
            <w:tcW w:w="422" w:type="pct"/>
            <w:tcBorders>
              <w:top w:val="nil"/>
              <w:left w:val="double" w:sz="4" w:space="0" w:color="auto"/>
              <w:bottom w:val="double" w:sz="4" w:space="0" w:color="auto"/>
            </w:tcBorders>
            <w:noWrap/>
            <w:tcMar>
              <w:left w:w="43" w:type="dxa"/>
              <w:right w:w="43" w:type="dxa"/>
            </w:tcMar>
            <w:vAlign w:val="center"/>
            <w:hideMark/>
          </w:tcPr>
          <w:p w14:paraId="4061A64E" w14:textId="77777777" w:rsidR="00630A69" w:rsidRPr="00630A69" w:rsidRDefault="00630A69" w:rsidP="00630A69">
            <w:pPr>
              <w:spacing w:after="0" w:line="240" w:lineRule="auto"/>
              <w:jc w:val="center"/>
              <w:rPr>
                <w:rFonts w:eastAsia="Times New Roman"/>
                <w:b/>
                <w:bCs/>
                <w:color w:val="000000" w:themeColor="text1"/>
              </w:rPr>
            </w:pPr>
            <w:r w:rsidRPr="00630A69">
              <w:rPr>
                <w:rFonts w:eastAsia="Times New Roman"/>
                <w:b/>
                <w:bCs/>
                <w:color w:val="000000" w:themeColor="text1"/>
              </w:rPr>
              <w:t>Predicted</w:t>
            </w:r>
          </w:p>
        </w:tc>
        <w:tc>
          <w:tcPr>
            <w:tcW w:w="443" w:type="pct"/>
            <w:tcBorders>
              <w:top w:val="nil"/>
              <w:bottom w:val="double" w:sz="4" w:space="0" w:color="auto"/>
            </w:tcBorders>
            <w:noWrap/>
            <w:tcMar>
              <w:left w:w="43" w:type="dxa"/>
              <w:right w:w="43" w:type="dxa"/>
            </w:tcMar>
            <w:vAlign w:val="center"/>
            <w:hideMark/>
          </w:tcPr>
          <w:p w14:paraId="7D35DD1E" w14:textId="77777777" w:rsidR="00630A69" w:rsidRPr="00630A69" w:rsidRDefault="00630A69" w:rsidP="00630A69">
            <w:pPr>
              <w:spacing w:after="0" w:line="240" w:lineRule="auto"/>
              <w:jc w:val="center"/>
              <w:rPr>
                <w:rFonts w:eastAsia="Times New Roman"/>
                <w:b/>
                <w:bCs/>
                <w:color w:val="000000" w:themeColor="text1"/>
              </w:rPr>
            </w:pPr>
            <w:r w:rsidRPr="00630A69">
              <w:rPr>
                <w:rFonts w:eastAsia="Times New Roman"/>
                <w:b/>
                <w:bCs/>
                <w:color w:val="000000" w:themeColor="text1"/>
              </w:rPr>
              <w:t>APE (%)</w:t>
            </w:r>
          </w:p>
        </w:tc>
        <w:tc>
          <w:tcPr>
            <w:tcW w:w="518" w:type="pct"/>
            <w:tcBorders>
              <w:top w:val="nil"/>
              <w:bottom w:val="double" w:sz="4" w:space="0" w:color="auto"/>
            </w:tcBorders>
            <w:noWrap/>
            <w:tcMar>
              <w:left w:w="43" w:type="dxa"/>
              <w:right w:w="43" w:type="dxa"/>
            </w:tcMar>
            <w:vAlign w:val="center"/>
            <w:hideMark/>
          </w:tcPr>
          <w:p w14:paraId="1670BF7D" w14:textId="77777777" w:rsidR="00630A69" w:rsidRPr="00630A69" w:rsidRDefault="00630A69" w:rsidP="00630A69">
            <w:pPr>
              <w:spacing w:after="0" w:line="240" w:lineRule="auto"/>
              <w:jc w:val="center"/>
              <w:rPr>
                <w:rFonts w:eastAsia="Times New Roman"/>
                <w:b/>
                <w:bCs/>
                <w:color w:val="000000" w:themeColor="text1"/>
              </w:rPr>
            </w:pPr>
            <w:r w:rsidRPr="00630A69">
              <w:rPr>
                <w:rFonts w:eastAsia="Times New Roman"/>
                <w:b/>
                <w:bCs/>
                <w:color w:val="000000" w:themeColor="text1"/>
              </w:rPr>
              <w:t>WAPE (%)</w:t>
            </w:r>
          </w:p>
        </w:tc>
      </w:tr>
      <w:tr w:rsidR="00235349" w:rsidRPr="00630A69" w14:paraId="52753E24" w14:textId="77777777" w:rsidTr="00235349">
        <w:trPr>
          <w:trHeight w:val="315"/>
        </w:trPr>
        <w:tc>
          <w:tcPr>
            <w:tcW w:w="1199" w:type="pct"/>
            <w:vMerge w:val="restart"/>
            <w:tcBorders>
              <w:top w:val="double" w:sz="4" w:space="0" w:color="auto"/>
              <w:bottom w:val="nil"/>
              <w:right w:val="double" w:sz="4" w:space="0" w:color="auto"/>
            </w:tcBorders>
            <w:noWrap/>
            <w:tcMar>
              <w:left w:w="43" w:type="dxa"/>
              <w:right w:w="43" w:type="dxa"/>
            </w:tcMar>
            <w:vAlign w:val="center"/>
            <w:hideMark/>
          </w:tcPr>
          <w:p w14:paraId="7BE149DC" w14:textId="77777777" w:rsidR="00630A69" w:rsidRPr="00630A69" w:rsidRDefault="00630A69" w:rsidP="00630A69">
            <w:pPr>
              <w:spacing w:after="0" w:line="240" w:lineRule="auto"/>
              <w:jc w:val="left"/>
              <w:rPr>
                <w:rFonts w:eastAsia="Times New Roman"/>
                <w:color w:val="000000" w:themeColor="text1"/>
              </w:rPr>
            </w:pPr>
            <w:r w:rsidRPr="00630A69">
              <w:rPr>
                <w:rFonts w:eastAsia="Times New Roman"/>
                <w:color w:val="000000" w:themeColor="text1"/>
              </w:rPr>
              <w:t>Number of individuals with zero consumption for each restaurant segment</w:t>
            </w:r>
          </w:p>
        </w:tc>
        <w:tc>
          <w:tcPr>
            <w:tcW w:w="589" w:type="pct"/>
            <w:tcBorders>
              <w:top w:val="double" w:sz="4" w:space="0" w:color="auto"/>
              <w:left w:val="double" w:sz="4" w:space="0" w:color="auto"/>
              <w:bottom w:val="nil"/>
            </w:tcBorders>
            <w:noWrap/>
            <w:tcMar>
              <w:left w:w="43" w:type="dxa"/>
              <w:right w:w="43" w:type="dxa"/>
            </w:tcMar>
            <w:vAlign w:val="center"/>
            <w:hideMark/>
          </w:tcPr>
          <w:p w14:paraId="0CDB6CF1" w14:textId="77777777" w:rsidR="00630A69" w:rsidRPr="00630A69" w:rsidRDefault="00630A69" w:rsidP="00630A69">
            <w:pPr>
              <w:spacing w:after="0" w:line="240" w:lineRule="auto"/>
              <w:jc w:val="left"/>
              <w:rPr>
                <w:rFonts w:eastAsia="Times New Roman"/>
                <w:color w:val="000000" w:themeColor="text1"/>
              </w:rPr>
            </w:pPr>
            <w:r w:rsidRPr="00630A69">
              <w:rPr>
                <w:rFonts w:eastAsia="Times New Roman"/>
                <w:color w:val="000000" w:themeColor="text1"/>
              </w:rPr>
              <w:t>QSR</w:t>
            </w:r>
          </w:p>
        </w:tc>
        <w:tc>
          <w:tcPr>
            <w:tcW w:w="448" w:type="pct"/>
            <w:tcBorders>
              <w:top w:val="double" w:sz="4" w:space="0" w:color="auto"/>
              <w:bottom w:val="nil"/>
              <w:right w:val="double" w:sz="4" w:space="0" w:color="auto"/>
            </w:tcBorders>
            <w:noWrap/>
            <w:tcMar>
              <w:left w:w="43" w:type="dxa"/>
              <w:right w:w="43" w:type="dxa"/>
            </w:tcMar>
            <w:vAlign w:val="center"/>
            <w:hideMark/>
          </w:tcPr>
          <w:p w14:paraId="58EF224E" w14:textId="77777777" w:rsidR="00630A69" w:rsidRPr="00630A69" w:rsidRDefault="00630A69" w:rsidP="00630A69">
            <w:pPr>
              <w:spacing w:after="0" w:line="240" w:lineRule="auto"/>
              <w:jc w:val="left"/>
              <w:rPr>
                <w:rFonts w:eastAsia="Times New Roman"/>
                <w:color w:val="000000" w:themeColor="text1"/>
              </w:rPr>
            </w:pPr>
            <w:r w:rsidRPr="00630A69">
              <w:rPr>
                <w:rFonts w:eastAsia="Times New Roman"/>
                <w:color w:val="000000" w:themeColor="text1"/>
              </w:rPr>
              <w:t>810</w:t>
            </w:r>
          </w:p>
        </w:tc>
        <w:tc>
          <w:tcPr>
            <w:tcW w:w="417" w:type="pct"/>
            <w:tcBorders>
              <w:top w:val="double" w:sz="4" w:space="0" w:color="auto"/>
              <w:left w:val="double" w:sz="4" w:space="0" w:color="auto"/>
              <w:bottom w:val="nil"/>
            </w:tcBorders>
            <w:noWrap/>
            <w:tcMar>
              <w:left w:w="43" w:type="dxa"/>
              <w:right w:w="43" w:type="dxa"/>
            </w:tcMar>
            <w:vAlign w:val="center"/>
            <w:hideMark/>
          </w:tcPr>
          <w:p w14:paraId="6903F27C" w14:textId="77777777" w:rsidR="00630A69" w:rsidRPr="00630A69" w:rsidRDefault="00630A69" w:rsidP="00630A69">
            <w:pPr>
              <w:spacing w:after="0" w:line="240" w:lineRule="auto"/>
              <w:jc w:val="right"/>
              <w:rPr>
                <w:rFonts w:eastAsia="Times New Roman"/>
                <w:color w:val="000000" w:themeColor="text1"/>
              </w:rPr>
            </w:pPr>
            <w:r w:rsidRPr="00630A69">
              <w:rPr>
                <w:rFonts w:eastAsia="Times New Roman"/>
                <w:color w:val="000000" w:themeColor="text1"/>
              </w:rPr>
              <w:t>910</w:t>
            </w:r>
          </w:p>
        </w:tc>
        <w:tc>
          <w:tcPr>
            <w:tcW w:w="448" w:type="pct"/>
            <w:tcBorders>
              <w:top w:val="double" w:sz="4" w:space="0" w:color="auto"/>
              <w:bottom w:val="nil"/>
            </w:tcBorders>
            <w:noWrap/>
            <w:tcMar>
              <w:left w:w="43" w:type="dxa"/>
              <w:right w:w="43" w:type="dxa"/>
            </w:tcMar>
            <w:vAlign w:val="center"/>
            <w:hideMark/>
          </w:tcPr>
          <w:p w14:paraId="577A6B51" w14:textId="77777777" w:rsidR="00630A69" w:rsidRPr="00630A69" w:rsidRDefault="00630A69" w:rsidP="00630A69">
            <w:pPr>
              <w:spacing w:after="0" w:line="240" w:lineRule="auto"/>
              <w:jc w:val="right"/>
              <w:rPr>
                <w:rFonts w:eastAsia="Times New Roman"/>
                <w:color w:val="000000" w:themeColor="text1"/>
              </w:rPr>
            </w:pPr>
            <w:r w:rsidRPr="00630A69">
              <w:rPr>
                <w:rFonts w:eastAsia="Times New Roman"/>
                <w:color w:val="000000" w:themeColor="text1"/>
              </w:rPr>
              <w:t>12.35</w:t>
            </w:r>
          </w:p>
        </w:tc>
        <w:tc>
          <w:tcPr>
            <w:tcW w:w="517" w:type="pct"/>
            <w:vMerge w:val="restart"/>
            <w:tcBorders>
              <w:top w:val="double" w:sz="4" w:space="0" w:color="auto"/>
              <w:bottom w:val="nil"/>
              <w:right w:val="double" w:sz="4" w:space="0" w:color="auto"/>
            </w:tcBorders>
            <w:noWrap/>
            <w:tcMar>
              <w:left w:w="43" w:type="dxa"/>
              <w:right w:w="43" w:type="dxa"/>
            </w:tcMar>
            <w:vAlign w:val="center"/>
            <w:hideMark/>
          </w:tcPr>
          <w:p w14:paraId="0E73EE53" w14:textId="77777777" w:rsidR="00630A69" w:rsidRPr="00630A69" w:rsidRDefault="00630A69" w:rsidP="00630A69">
            <w:pPr>
              <w:spacing w:after="0" w:line="240" w:lineRule="auto"/>
              <w:jc w:val="right"/>
              <w:rPr>
                <w:rFonts w:eastAsia="Times New Roman"/>
                <w:color w:val="000000" w:themeColor="text1"/>
              </w:rPr>
            </w:pPr>
            <w:r w:rsidRPr="00630A69">
              <w:rPr>
                <w:rFonts w:eastAsia="Times New Roman"/>
                <w:color w:val="000000" w:themeColor="text1"/>
              </w:rPr>
              <w:t>8.34</w:t>
            </w:r>
          </w:p>
        </w:tc>
        <w:tc>
          <w:tcPr>
            <w:tcW w:w="422" w:type="pct"/>
            <w:tcBorders>
              <w:top w:val="double" w:sz="4" w:space="0" w:color="auto"/>
              <w:left w:val="double" w:sz="4" w:space="0" w:color="auto"/>
              <w:bottom w:val="nil"/>
            </w:tcBorders>
            <w:noWrap/>
            <w:tcMar>
              <w:left w:w="43" w:type="dxa"/>
              <w:right w:w="43" w:type="dxa"/>
            </w:tcMar>
            <w:vAlign w:val="center"/>
            <w:hideMark/>
          </w:tcPr>
          <w:p w14:paraId="108AAF36" w14:textId="77777777" w:rsidR="00630A69" w:rsidRPr="00630A69" w:rsidRDefault="00630A69" w:rsidP="00630A69">
            <w:pPr>
              <w:spacing w:after="0" w:line="240" w:lineRule="auto"/>
              <w:jc w:val="right"/>
              <w:rPr>
                <w:rFonts w:eastAsia="Times New Roman"/>
                <w:color w:val="000000" w:themeColor="text1"/>
              </w:rPr>
            </w:pPr>
            <w:r w:rsidRPr="00630A69">
              <w:rPr>
                <w:rFonts w:eastAsia="Times New Roman"/>
                <w:color w:val="000000" w:themeColor="text1"/>
              </w:rPr>
              <w:t>959</w:t>
            </w:r>
          </w:p>
        </w:tc>
        <w:tc>
          <w:tcPr>
            <w:tcW w:w="443" w:type="pct"/>
            <w:tcBorders>
              <w:top w:val="double" w:sz="4" w:space="0" w:color="auto"/>
              <w:bottom w:val="nil"/>
            </w:tcBorders>
            <w:noWrap/>
            <w:tcMar>
              <w:left w:w="43" w:type="dxa"/>
              <w:right w:w="43" w:type="dxa"/>
            </w:tcMar>
            <w:vAlign w:val="center"/>
            <w:hideMark/>
          </w:tcPr>
          <w:p w14:paraId="337061EA" w14:textId="77777777" w:rsidR="00630A69" w:rsidRPr="00630A69" w:rsidRDefault="00630A69" w:rsidP="00630A69">
            <w:pPr>
              <w:spacing w:after="0" w:line="240" w:lineRule="auto"/>
              <w:jc w:val="right"/>
              <w:rPr>
                <w:rFonts w:eastAsia="Times New Roman"/>
                <w:color w:val="000000" w:themeColor="text1"/>
              </w:rPr>
            </w:pPr>
            <w:r w:rsidRPr="00630A69">
              <w:rPr>
                <w:rFonts w:eastAsia="Times New Roman"/>
                <w:color w:val="000000" w:themeColor="text1"/>
              </w:rPr>
              <w:t>18.39</w:t>
            </w:r>
          </w:p>
        </w:tc>
        <w:tc>
          <w:tcPr>
            <w:tcW w:w="518" w:type="pct"/>
            <w:vMerge w:val="restart"/>
            <w:tcBorders>
              <w:top w:val="double" w:sz="4" w:space="0" w:color="auto"/>
              <w:bottom w:val="double" w:sz="4" w:space="0" w:color="auto"/>
            </w:tcBorders>
            <w:noWrap/>
            <w:tcMar>
              <w:left w:w="43" w:type="dxa"/>
              <w:right w:w="43" w:type="dxa"/>
            </w:tcMar>
            <w:vAlign w:val="center"/>
            <w:hideMark/>
          </w:tcPr>
          <w:p w14:paraId="796929CB" w14:textId="77777777" w:rsidR="00630A69" w:rsidRPr="00630A69" w:rsidRDefault="00630A69" w:rsidP="00630A69">
            <w:pPr>
              <w:spacing w:after="0" w:line="240" w:lineRule="auto"/>
              <w:jc w:val="right"/>
              <w:rPr>
                <w:rFonts w:eastAsia="Times New Roman"/>
                <w:color w:val="000000" w:themeColor="text1"/>
              </w:rPr>
            </w:pPr>
            <w:r w:rsidRPr="00630A69">
              <w:rPr>
                <w:rFonts w:eastAsia="Times New Roman"/>
                <w:color w:val="000000" w:themeColor="text1"/>
              </w:rPr>
              <w:t>12.71</w:t>
            </w:r>
          </w:p>
        </w:tc>
      </w:tr>
      <w:tr w:rsidR="00235349" w:rsidRPr="00630A69" w14:paraId="0E0C6308" w14:textId="77777777" w:rsidTr="00235349">
        <w:trPr>
          <w:trHeight w:val="315"/>
        </w:trPr>
        <w:tc>
          <w:tcPr>
            <w:tcW w:w="1199" w:type="pct"/>
            <w:vMerge/>
            <w:tcBorders>
              <w:top w:val="nil"/>
              <w:bottom w:val="nil"/>
              <w:right w:val="double" w:sz="4" w:space="0" w:color="auto"/>
            </w:tcBorders>
            <w:tcMar>
              <w:left w:w="43" w:type="dxa"/>
              <w:right w:w="43" w:type="dxa"/>
            </w:tcMar>
            <w:vAlign w:val="center"/>
            <w:hideMark/>
          </w:tcPr>
          <w:p w14:paraId="76DDCC68" w14:textId="77777777" w:rsidR="00630A69" w:rsidRPr="00630A69" w:rsidRDefault="00630A69" w:rsidP="00630A69">
            <w:pPr>
              <w:spacing w:after="0" w:line="240" w:lineRule="auto"/>
              <w:jc w:val="left"/>
              <w:rPr>
                <w:rFonts w:eastAsia="Times New Roman"/>
                <w:color w:val="000000" w:themeColor="text1"/>
              </w:rPr>
            </w:pPr>
          </w:p>
        </w:tc>
        <w:tc>
          <w:tcPr>
            <w:tcW w:w="589" w:type="pct"/>
            <w:tcBorders>
              <w:top w:val="nil"/>
              <w:left w:val="double" w:sz="4" w:space="0" w:color="auto"/>
              <w:bottom w:val="nil"/>
            </w:tcBorders>
            <w:noWrap/>
            <w:tcMar>
              <w:left w:w="43" w:type="dxa"/>
              <w:right w:w="43" w:type="dxa"/>
            </w:tcMar>
            <w:vAlign w:val="center"/>
            <w:hideMark/>
          </w:tcPr>
          <w:p w14:paraId="35F7B01C" w14:textId="77777777" w:rsidR="00630A69" w:rsidRPr="00630A69" w:rsidRDefault="00630A69" w:rsidP="00630A69">
            <w:pPr>
              <w:spacing w:after="0" w:line="240" w:lineRule="auto"/>
              <w:jc w:val="left"/>
              <w:rPr>
                <w:rFonts w:eastAsia="Times New Roman"/>
                <w:color w:val="000000" w:themeColor="text1"/>
              </w:rPr>
            </w:pPr>
            <w:r w:rsidRPr="00630A69">
              <w:rPr>
                <w:rFonts w:eastAsia="Times New Roman"/>
                <w:color w:val="000000" w:themeColor="text1"/>
              </w:rPr>
              <w:t>CH</w:t>
            </w:r>
          </w:p>
        </w:tc>
        <w:tc>
          <w:tcPr>
            <w:tcW w:w="448" w:type="pct"/>
            <w:tcBorders>
              <w:top w:val="nil"/>
              <w:bottom w:val="nil"/>
              <w:right w:val="double" w:sz="4" w:space="0" w:color="auto"/>
            </w:tcBorders>
            <w:noWrap/>
            <w:tcMar>
              <w:left w:w="43" w:type="dxa"/>
              <w:right w:w="43" w:type="dxa"/>
            </w:tcMar>
            <w:vAlign w:val="center"/>
            <w:hideMark/>
          </w:tcPr>
          <w:p w14:paraId="7A2C0599" w14:textId="77777777" w:rsidR="00630A69" w:rsidRPr="00630A69" w:rsidRDefault="00630A69" w:rsidP="00630A69">
            <w:pPr>
              <w:spacing w:after="0" w:line="240" w:lineRule="auto"/>
              <w:jc w:val="left"/>
              <w:rPr>
                <w:rFonts w:eastAsia="Times New Roman"/>
                <w:color w:val="000000" w:themeColor="text1"/>
              </w:rPr>
            </w:pPr>
            <w:r w:rsidRPr="00630A69">
              <w:rPr>
                <w:rFonts w:eastAsia="Times New Roman"/>
                <w:color w:val="000000" w:themeColor="text1"/>
              </w:rPr>
              <w:t>936</w:t>
            </w:r>
          </w:p>
        </w:tc>
        <w:tc>
          <w:tcPr>
            <w:tcW w:w="417" w:type="pct"/>
            <w:tcBorders>
              <w:top w:val="nil"/>
              <w:left w:val="double" w:sz="4" w:space="0" w:color="auto"/>
              <w:bottom w:val="nil"/>
            </w:tcBorders>
            <w:noWrap/>
            <w:tcMar>
              <w:left w:w="43" w:type="dxa"/>
              <w:right w:w="43" w:type="dxa"/>
            </w:tcMar>
            <w:vAlign w:val="center"/>
            <w:hideMark/>
          </w:tcPr>
          <w:p w14:paraId="05DFC036" w14:textId="77777777" w:rsidR="00630A69" w:rsidRPr="00630A69" w:rsidRDefault="00630A69" w:rsidP="00630A69">
            <w:pPr>
              <w:spacing w:after="0" w:line="240" w:lineRule="auto"/>
              <w:jc w:val="right"/>
              <w:rPr>
                <w:rFonts w:eastAsia="Times New Roman"/>
                <w:color w:val="000000" w:themeColor="text1"/>
              </w:rPr>
            </w:pPr>
            <w:r w:rsidRPr="00630A69">
              <w:rPr>
                <w:rFonts w:eastAsia="Times New Roman"/>
                <w:color w:val="000000" w:themeColor="text1"/>
              </w:rPr>
              <w:t>1005</w:t>
            </w:r>
          </w:p>
        </w:tc>
        <w:tc>
          <w:tcPr>
            <w:tcW w:w="448" w:type="pct"/>
            <w:tcBorders>
              <w:top w:val="nil"/>
              <w:bottom w:val="nil"/>
            </w:tcBorders>
            <w:noWrap/>
            <w:tcMar>
              <w:left w:w="43" w:type="dxa"/>
              <w:right w:w="43" w:type="dxa"/>
            </w:tcMar>
            <w:vAlign w:val="center"/>
            <w:hideMark/>
          </w:tcPr>
          <w:p w14:paraId="73DD9462" w14:textId="77777777" w:rsidR="00630A69" w:rsidRPr="00630A69" w:rsidRDefault="00630A69" w:rsidP="00630A69">
            <w:pPr>
              <w:spacing w:after="0" w:line="240" w:lineRule="auto"/>
              <w:jc w:val="right"/>
              <w:rPr>
                <w:rFonts w:eastAsia="Times New Roman"/>
                <w:color w:val="000000" w:themeColor="text1"/>
              </w:rPr>
            </w:pPr>
            <w:r w:rsidRPr="00630A69">
              <w:rPr>
                <w:rFonts w:eastAsia="Times New Roman"/>
                <w:color w:val="000000" w:themeColor="text1"/>
              </w:rPr>
              <w:t>7.37</w:t>
            </w:r>
          </w:p>
        </w:tc>
        <w:tc>
          <w:tcPr>
            <w:tcW w:w="517" w:type="pct"/>
            <w:vMerge/>
            <w:tcBorders>
              <w:top w:val="nil"/>
              <w:bottom w:val="nil"/>
              <w:right w:val="double" w:sz="4" w:space="0" w:color="auto"/>
            </w:tcBorders>
            <w:tcMar>
              <w:left w:w="43" w:type="dxa"/>
              <w:right w:w="43" w:type="dxa"/>
            </w:tcMar>
            <w:vAlign w:val="center"/>
            <w:hideMark/>
          </w:tcPr>
          <w:p w14:paraId="1692595B" w14:textId="77777777" w:rsidR="00630A69" w:rsidRPr="00630A69" w:rsidRDefault="00630A69" w:rsidP="00630A69">
            <w:pPr>
              <w:spacing w:after="0" w:line="240" w:lineRule="auto"/>
              <w:jc w:val="left"/>
              <w:rPr>
                <w:rFonts w:eastAsia="Times New Roman"/>
                <w:color w:val="000000" w:themeColor="text1"/>
              </w:rPr>
            </w:pPr>
          </w:p>
        </w:tc>
        <w:tc>
          <w:tcPr>
            <w:tcW w:w="422" w:type="pct"/>
            <w:tcBorders>
              <w:top w:val="nil"/>
              <w:left w:val="double" w:sz="4" w:space="0" w:color="auto"/>
              <w:bottom w:val="nil"/>
            </w:tcBorders>
            <w:noWrap/>
            <w:tcMar>
              <w:left w:w="43" w:type="dxa"/>
              <w:right w:w="43" w:type="dxa"/>
            </w:tcMar>
            <w:vAlign w:val="center"/>
            <w:hideMark/>
          </w:tcPr>
          <w:p w14:paraId="077AC550" w14:textId="77777777" w:rsidR="00630A69" w:rsidRPr="00630A69" w:rsidRDefault="00630A69" w:rsidP="00630A69">
            <w:pPr>
              <w:spacing w:after="0" w:line="240" w:lineRule="auto"/>
              <w:jc w:val="right"/>
              <w:rPr>
                <w:rFonts w:eastAsia="Times New Roman"/>
                <w:color w:val="000000" w:themeColor="text1"/>
              </w:rPr>
            </w:pPr>
            <w:r w:rsidRPr="00630A69">
              <w:rPr>
                <w:rFonts w:eastAsia="Times New Roman"/>
                <w:color w:val="000000" w:themeColor="text1"/>
              </w:rPr>
              <w:t>1008</w:t>
            </w:r>
          </w:p>
        </w:tc>
        <w:tc>
          <w:tcPr>
            <w:tcW w:w="443" w:type="pct"/>
            <w:tcBorders>
              <w:top w:val="nil"/>
              <w:bottom w:val="nil"/>
            </w:tcBorders>
            <w:noWrap/>
            <w:tcMar>
              <w:left w:w="43" w:type="dxa"/>
              <w:right w:w="43" w:type="dxa"/>
            </w:tcMar>
            <w:vAlign w:val="center"/>
            <w:hideMark/>
          </w:tcPr>
          <w:p w14:paraId="0BF04BF5" w14:textId="77777777" w:rsidR="00630A69" w:rsidRPr="00630A69" w:rsidRDefault="00630A69" w:rsidP="00630A69">
            <w:pPr>
              <w:spacing w:after="0" w:line="240" w:lineRule="auto"/>
              <w:jc w:val="right"/>
              <w:rPr>
                <w:rFonts w:eastAsia="Times New Roman"/>
                <w:color w:val="000000" w:themeColor="text1"/>
              </w:rPr>
            </w:pPr>
            <w:r w:rsidRPr="00630A69">
              <w:rPr>
                <w:rFonts w:eastAsia="Times New Roman"/>
                <w:color w:val="000000" w:themeColor="text1"/>
              </w:rPr>
              <w:t>7.65</w:t>
            </w:r>
          </w:p>
        </w:tc>
        <w:tc>
          <w:tcPr>
            <w:tcW w:w="518" w:type="pct"/>
            <w:vMerge/>
            <w:tcBorders>
              <w:top w:val="nil"/>
              <w:bottom w:val="double" w:sz="4" w:space="0" w:color="auto"/>
            </w:tcBorders>
            <w:tcMar>
              <w:left w:w="43" w:type="dxa"/>
              <w:right w:w="43" w:type="dxa"/>
            </w:tcMar>
            <w:vAlign w:val="center"/>
            <w:hideMark/>
          </w:tcPr>
          <w:p w14:paraId="1C9EAAD5" w14:textId="77777777" w:rsidR="00630A69" w:rsidRPr="00630A69" w:rsidRDefault="00630A69" w:rsidP="00630A69">
            <w:pPr>
              <w:spacing w:after="0" w:line="240" w:lineRule="auto"/>
              <w:jc w:val="left"/>
              <w:rPr>
                <w:rFonts w:eastAsia="Times New Roman"/>
                <w:color w:val="000000" w:themeColor="text1"/>
              </w:rPr>
            </w:pPr>
          </w:p>
        </w:tc>
      </w:tr>
      <w:tr w:rsidR="00235349" w:rsidRPr="00630A69" w14:paraId="5F7FFAD6" w14:textId="77777777" w:rsidTr="00235349">
        <w:trPr>
          <w:trHeight w:val="315"/>
        </w:trPr>
        <w:tc>
          <w:tcPr>
            <w:tcW w:w="1199" w:type="pct"/>
            <w:vMerge/>
            <w:tcBorders>
              <w:top w:val="nil"/>
              <w:bottom w:val="nil"/>
              <w:right w:val="double" w:sz="4" w:space="0" w:color="auto"/>
            </w:tcBorders>
            <w:tcMar>
              <w:left w:w="43" w:type="dxa"/>
              <w:right w:w="43" w:type="dxa"/>
            </w:tcMar>
            <w:vAlign w:val="center"/>
            <w:hideMark/>
          </w:tcPr>
          <w:p w14:paraId="0C3FDF7C" w14:textId="77777777" w:rsidR="00630A69" w:rsidRPr="00630A69" w:rsidRDefault="00630A69" w:rsidP="00630A69">
            <w:pPr>
              <w:spacing w:after="0" w:line="240" w:lineRule="auto"/>
              <w:jc w:val="left"/>
              <w:rPr>
                <w:rFonts w:eastAsia="Times New Roman"/>
                <w:color w:val="000000" w:themeColor="text1"/>
              </w:rPr>
            </w:pPr>
          </w:p>
        </w:tc>
        <w:tc>
          <w:tcPr>
            <w:tcW w:w="589" w:type="pct"/>
            <w:tcBorders>
              <w:top w:val="nil"/>
              <w:left w:val="double" w:sz="4" w:space="0" w:color="auto"/>
              <w:bottom w:val="nil"/>
            </w:tcBorders>
            <w:noWrap/>
            <w:tcMar>
              <w:left w:w="43" w:type="dxa"/>
              <w:right w:w="43" w:type="dxa"/>
            </w:tcMar>
            <w:vAlign w:val="center"/>
            <w:hideMark/>
          </w:tcPr>
          <w:p w14:paraId="096D46A8" w14:textId="77777777" w:rsidR="00630A69" w:rsidRPr="00630A69" w:rsidRDefault="00630A69" w:rsidP="00630A69">
            <w:pPr>
              <w:spacing w:after="0" w:line="240" w:lineRule="auto"/>
              <w:jc w:val="left"/>
              <w:rPr>
                <w:rFonts w:eastAsia="Times New Roman"/>
                <w:color w:val="000000" w:themeColor="text1"/>
              </w:rPr>
            </w:pPr>
            <w:r w:rsidRPr="00630A69">
              <w:rPr>
                <w:rFonts w:eastAsia="Times New Roman"/>
                <w:color w:val="000000" w:themeColor="text1"/>
              </w:rPr>
              <w:t>CSR</w:t>
            </w:r>
          </w:p>
        </w:tc>
        <w:tc>
          <w:tcPr>
            <w:tcW w:w="448" w:type="pct"/>
            <w:tcBorders>
              <w:top w:val="nil"/>
              <w:bottom w:val="nil"/>
              <w:right w:val="double" w:sz="4" w:space="0" w:color="auto"/>
            </w:tcBorders>
            <w:noWrap/>
            <w:tcMar>
              <w:left w:w="43" w:type="dxa"/>
              <w:right w:w="43" w:type="dxa"/>
            </w:tcMar>
            <w:vAlign w:val="center"/>
            <w:hideMark/>
          </w:tcPr>
          <w:p w14:paraId="403C4DC2" w14:textId="77777777" w:rsidR="00630A69" w:rsidRPr="00630A69" w:rsidRDefault="00630A69" w:rsidP="00630A69">
            <w:pPr>
              <w:spacing w:after="0" w:line="240" w:lineRule="auto"/>
              <w:jc w:val="left"/>
              <w:rPr>
                <w:rFonts w:eastAsia="Times New Roman"/>
                <w:color w:val="000000" w:themeColor="text1"/>
              </w:rPr>
            </w:pPr>
            <w:r w:rsidRPr="00630A69">
              <w:rPr>
                <w:rFonts w:eastAsia="Times New Roman"/>
                <w:color w:val="000000" w:themeColor="text1"/>
              </w:rPr>
              <w:t>378</w:t>
            </w:r>
          </w:p>
        </w:tc>
        <w:tc>
          <w:tcPr>
            <w:tcW w:w="417" w:type="pct"/>
            <w:tcBorders>
              <w:top w:val="nil"/>
              <w:left w:val="double" w:sz="4" w:space="0" w:color="auto"/>
              <w:bottom w:val="nil"/>
            </w:tcBorders>
            <w:noWrap/>
            <w:tcMar>
              <w:left w:w="43" w:type="dxa"/>
              <w:right w:w="43" w:type="dxa"/>
            </w:tcMar>
            <w:vAlign w:val="center"/>
            <w:hideMark/>
          </w:tcPr>
          <w:p w14:paraId="647FE431" w14:textId="77777777" w:rsidR="00630A69" w:rsidRPr="00630A69" w:rsidRDefault="00630A69" w:rsidP="00630A69">
            <w:pPr>
              <w:spacing w:after="0" w:line="240" w:lineRule="auto"/>
              <w:jc w:val="right"/>
              <w:rPr>
                <w:rFonts w:eastAsia="Times New Roman"/>
                <w:color w:val="000000" w:themeColor="text1"/>
              </w:rPr>
            </w:pPr>
            <w:r w:rsidRPr="00630A69">
              <w:rPr>
                <w:rFonts w:eastAsia="Times New Roman"/>
                <w:color w:val="000000" w:themeColor="text1"/>
              </w:rPr>
              <w:t>424</w:t>
            </w:r>
          </w:p>
        </w:tc>
        <w:tc>
          <w:tcPr>
            <w:tcW w:w="448" w:type="pct"/>
            <w:tcBorders>
              <w:top w:val="nil"/>
              <w:bottom w:val="nil"/>
            </w:tcBorders>
            <w:noWrap/>
            <w:tcMar>
              <w:left w:w="43" w:type="dxa"/>
              <w:right w:w="43" w:type="dxa"/>
            </w:tcMar>
            <w:vAlign w:val="center"/>
            <w:hideMark/>
          </w:tcPr>
          <w:p w14:paraId="1962080A" w14:textId="77777777" w:rsidR="00630A69" w:rsidRPr="00630A69" w:rsidRDefault="00630A69" w:rsidP="00630A69">
            <w:pPr>
              <w:spacing w:after="0" w:line="240" w:lineRule="auto"/>
              <w:jc w:val="right"/>
              <w:rPr>
                <w:rFonts w:eastAsia="Times New Roman"/>
                <w:color w:val="000000" w:themeColor="text1"/>
              </w:rPr>
            </w:pPr>
            <w:r w:rsidRPr="00630A69">
              <w:rPr>
                <w:rFonts w:eastAsia="Times New Roman"/>
                <w:color w:val="000000" w:themeColor="text1"/>
              </w:rPr>
              <w:t>12.17</w:t>
            </w:r>
          </w:p>
        </w:tc>
        <w:tc>
          <w:tcPr>
            <w:tcW w:w="517" w:type="pct"/>
            <w:vMerge/>
            <w:tcBorders>
              <w:top w:val="nil"/>
              <w:bottom w:val="nil"/>
              <w:right w:val="double" w:sz="4" w:space="0" w:color="auto"/>
            </w:tcBorders>
            <w:tcMar>
              <w:left w:w="43" w:type="dxa"/>
              <w:right w:w="43" w:type="dxa"/>
            </w:tcMar>
            <w:vAlign w:val="center"/>
            <w:hideMark/>
          </w:tcPr>
          <w:p w14:paraId="60DB321C" w14:textId="77777777" w:rsidR="00630A69" w:rsidRPr="00630A69" w:rsidRDefault="00630A69" w:rsidP="00630A69">
            <w:pPr>
              <w:spacing w:after="0" w:line="240" w:lineRule="auto"/>
              <w:jc w:val="left"/>
              <w:rPr>
                <w:rFonts w:eastAsia="Times New Roman"/>
                <w:color w:val="000000" w:themeColor="text1"/>
              </w:rPr>
            </w:pPr>
          </w:p>
        </w:tc>
        <w:tc>
          <w:tcPr>
            <w:tcW w:w="422" w:type="pct"/>
            <w:tcBorders>
              <w:top w:val="nil"/>
              <w:left w:val="double" w:sz="4" w:space="0" w:color="auto"/>
              <w:bottom w:val="nil"/>
            </w:tcBorders>
            <w:noWrap/>
            <w:tcMar>
              <w:left w:w="43" w:type="dxa"/>
              <w:right w:w="43" w:type="dxa"/>
            </w:tcMar>
            <w:vAlign w:val="center"/>
            <w:hideMark/>
          </w:tcPr>
          <w:p w14:paraId="541E4B24" w14:textId="77777777" w:rsidR="00630A69" w:rsidRPr="00630A69" w:rsidRDefault="00630A69" w:rsidP="00630A69">
            <w:pPr>
              <w:spacing w:after="0" w:line="240" w:lineRule="auto"/>
              <w:jc w:val="right"/>
              <w:rPr>
                <w:rFonts w:eastAsia="Times New Roman"/>
                <w:color w:val="000000" w:themeColor="text1"/>
              </w:rPr>
            </w:pPr>
            <w:r w:rsidRPr="00630A69">
              <w:rPr>
                <w:rFonts w:eastAsia="Times New Roman"/>
                <w:color w:val="000000" w:themeColor="text1"/>
              </w:rPr>
              <w:t>474</w:t>
            </w:r>
          </w:p>
        </w:tc>
        <w:tc>
          <w:tcPr>
            <w:tcW w:w="443" w:type="pct"/>
            <w:tcBorders>
              <w:top w:val="nil"/>
              <w:bottom w:val="nil"/>
            </w:tcBorders>
            <w:noWrap/>
            <w:tcMar>
              <w:left w:w="43" w:type="dxa"/>
              <w:right w:w="43" w:type="dxa"/>
            </w:tcMar>
            <w:vAlign w:val="center"/>
            <w:hideMark/>
          </w:tcPr>
          <w:p w14:paraId="29357E4B" w14:textId="77777777" w:rsidR="00630A69" w:rsidRPr="00630A69" w:rsidRDefault="00630A69" w:rsidP="00630A69">
            <w:pPr>
              <w:spacing w:after="0" w:line="240" w:lineRule="auto"/>
              <w:jc w:val="right"/>
              <w:rPr>
                <w:rFonts w:eastAsia="Times New Roman"/>
                <w:color w:val="000000" w:themeColor="text1"/>
              </w:rPr>
            </w:pPr>
            <w:r w:rsidRPr="00630A69">
              <w:rPr>
                <w:rFonts w:eastAsia="Times New Roman"/>
                <w:color w:val="000000" w:themeColor="text1"/>
              </w:rPr>
              <w:t>25.42</w:t>
            </w:r>
          </w:p>
        </w:tc>
        <w:tc>
          <w:tcPr>
            <w:tcW w:w="518" w:type="pct"/>
            <w:vMerge/>
            <w:tcBorders>
              <w:top w:val="nil"/>
              <w:bottom w:val="double" w:sz="4" w:space="0" w:color="auto"/>
            </w:tcBorders>
            <w:tcMar>
              <w:left w:w="43" w:type="dxa"/>
              <w:right w:w="43" w:type="dxa"/>
            </w:tcMar>
            <w:vAlign w:val="center"/>
            <w:hideMark/>
          </w:tcPr>
          <w:p w14:paraId="043AD166" w14:textId="77777777" w:rsidR="00630A69" w:rsidRPr="00630A69" w:rsidRDefault="00630A69" w:rsidP="00630A69">
            <w:pPr>
              <w:spacing w:after="0" w:line="240" w:lineRule="auto"/>
              <w:jc w:val="left"/>
              <w:rPr>
                <w:rFonts w:eastAsia="Times New Roman"/>
                <w:color w:val="000000" w:themeColor="text1"/>
              </w:rPr>
            </w:pPr>
          </w:p>
        </w:tc>
      </w:tr>
      <w:tr w:rsidR="00235349" w:rsidRPr="00630A69" w14:paraId="43A801D9" w14:textId="77777777" w:rsidTr="00235349">
        <w:trPr>
          <w:trHeight w:val="56"/>
        </w:trPr>
        <w:tc>
          <w:tcPr>
            <w:tcW w:w="1199" w:type="pct"/>
            <w:vMerge/>
            <w:tcBorders>
              <w:top w:val="nil"/>
              <w:bottom w:val="double" w:sz="4" w:space="0" w:color="auto"/>
              <w:right w:val="double" w:sz="4" w:space="0" w:color="auto"/>
            </w:tcBorders>
            <w:tcMar>
              <w:left w:w="43" w:type="dxa"/>
              <w:right w:w="43" w:type="dxa"/>
            </w:tcMar>
            <w:vAlign w:val="center"/>
            <w:hideMark/>
          </w:tcPr>
          <w:p w14:paraId="4BC6DA34" w14:textId="77777777" w:rsidR="00630A69" w:rsidRPr="00630A69" w:rsidRDefault="00630A69" w:rsidP="00630A69">
            <w:pPr>
              <w:spacing w:after="0" w:line="240" w:lineRule="auto"/>
              <w:jc w:val="left"/>
              <w:rPr>
                <w:rFonts w:eastAsia="Times New Roman"/>
                <w:color w:val="000000" w:themeColor="text1"/>
              </w:rPr>
            </w:pPr>
          </w:p>
        </w:tc>
        <w:tc>
          <w:tcPr>
            <w:tcW w:w="589" w:type="pct"/>
            <w:tcBorders>
              <w:top w:val="nil"/>
              <w:left w:val="double" w:sz="4" w:space="0" w:color="auto"/>
              <w:bottom w:val="double" w:sz="4" w:space="0" w:color="auto"/>
            </w:tcBorders>
            <w:noWrap/>
            <w:tcMar>
              <w:left w:w="43" w:type="dxa"/>
              <w:right w:w="43" w:type="dxa"/>
            </w:tcMar>
            <w:vAlign w:val="center"/>
            <w:hideMark/>
          </w:tcPr>
          <w:p w14:paraId="26ADDD66" w14:textId="77777777" w:rsidR="00630A69" w:rsidRPr="00630A69" w:rsidRDefault="00630A69" w:rsidP="00630A69">
            <w:pPr>
              <w:spacing w:after="0" w:line="240" w:lineRule="auto"/>
              <w:jc w:val="left"/>
              <w:rPr>
                <w:rFonts w:eastAsia="Times New Roman"/>
                <w:color w:val="000000" w:themeColor="text1"/>
              </w:rPr>
            </w:pPr>
            <w:r w:rsidRPr="00630A69">
              <w:rPr>
                <w:rFonts w:eastAsia="Times New Roman"/>
                <w:color w:val="000000" w:themeColor="text1"/>
              </w:rPr>
              <w:t>FSR</w:t>
            </w:r>
          </w:p>
        </w:tc>
        <w:tc>
          <w:tcPr>
            <w:tcW w:w="448" w:type="pct"/>
            <w:tcBorders>
              <w:top w:val="nil"/>
              <w:bottom w:val="double" w:sz="4" w:space="0" w:color="auto"/>
              <w:right w:val="double" w:sz="4" w:space="0" w:color="auto"/>
            </w:tcBorders>
            <w:noWrap/>
            <w:tcMar>
              <w:left w:w="43" w:type="dxa"/>
              <w:right w:w="43" w:type="dxa"/>
            </w:tcMar>
            <w:vAlign w:val="center"/>
            <w:hideMark/>
          </w:tcPr>
          <w:p w14:paraId="77136A18" w14:textId="77777777" w:rsidR="00630A69" w:rsidRPr="00630A69" w:rsidRDefault="00630A69" w:rsidP="00630A69">
            <w:pPr>
              <w:spacing w:after="0" w:line="240" w:lineRule="auto"/>
              <w:jc w:val="left"/>
              <w:rPr>
                <w:rFonts w:eastAsia="Times New Roman"/>
                <w:color w:val="000000" w:themeColor="text1"/>
              </w:rPr>
            </w:pPr>
            <w:r w:rsidRPr="00630A69">
              <w:rPr>
                <w:rFonts w:eastAsia="Times New Roman"/>
                <w:color w:val="000000" w:themeColor="text1"/>
              </w:rPr>
              <w:t>887</w:t>
            </w:r>
          </w:p>
        </w:tc>
        <w:tc>
          <w:tcPr>
            <w:tcW w:w="417" w:type="pct"/>
            <w:tcBorders>
              <w:top w:val="nil"/>
              <w:left w:val="double" w:sz="4" w:space="0" w:color="auto"/>
              <w:bottom w:val="double" w:sz="4" w:space="0" w:color="auto"/>
            </w:tcBorders>
            <w:noWrap/>
            <w:tcMar>
              <w:left w:w="43" w:type="dxa"/>
              <w:right w:w="43" w:type="dxa"/>
            </w:tcMar>
            <w:vAlign w:val="center"/>
            <w:hideMark/>
          </w:tcPr>
          <w:p w14:paraId="3EDA04F8" w14:textId="77777777" w:rsidR="00630A69" w:rsidRPr="00630A69" w:rsidRDefault="00630A69" w:rsidP="00630A69">
            <w:pPr>
              <w:spacing w:after="0" w:line="240" w:lineRule="auto"/>
              <w:jc w:val="right"/>
              <w:rPr>
                <w:rFonts w:eastAsia="Times New Roman"/>
                <w:color w:val="000000" w:themeColor="text1"/>
              </w:rPr>
            </w:pPr>
            <w:r w:rsidRPr="00630A69">
              <w:rPr>
                <w:rFonts w:eastAsia="Times New Roman"/>
                <w:color w:val="000000" w:themeColor="text1"/>
              </w:rPr>
              <w:t>923</w:t>
            </w:r>
          </w:p>
        </w:tc>
        <w:tc>
          <w:tcPr>
            <w:tcW w:w="448" w:type="pct"/>
            <w:tcBorders>
              <w:top w:val="nil"/>
              <w:bottom w:val="double" w:sz="4" w:space="0" w:color="auto"/>
            </w:tcBorders>
            <w:noWrap/>
            <w:tcMar>
              <w:left w:w="43" w:type="dxa"/>
              <w:right w:w="43" w:type="dxa"/>
            </w:tcMar>
            <w:vAlign w:val="center"/>
            <w:hideMark/>
          </w:tcPr>
          <w:p w14:paraId="4CFD6773" w14:textId="77777777" w:rsidR="00630A69" w:rsidRPr="00630A69" w:rsidRDefault="00630A69" w:rsidP="00630A69">
            <w:pPr>
              <w:spacing w:after="0" w:line="240" w:lineRule="auto"/>
              <w:jc w:val="right"/>
              <w:rPr>
                <w:rFonts w:eastAsia="Times New Roman"/>
                <w:color w:val="000000" w:themeColor="text1"/>
              </w:rPr>
            </w:pPr>
            <w:r w:rsidRPr="00630A69">
              <w:rPr>
                <w:rFonts w:eastAsia="Times New Roman"/>
                <w:color w:val="000000" w:themeColor="text1"/>
              </w:rPr>
              <w:t>4.06</w:t>
            </w:r>
          </w:p>
        </w:tc>
        <w:tc>
          <w:tcPr>
            <w:tcW w:w="517" w:type="pct"/>
            <w:vMerge/>
            <w:tcBorders>
              <w:top w:val="nil"/>
              <w:bottom w:val="double" w:sz="4" w:space="0" w:color="auto"/>
              <w:right w:val="double" w:sz="4" w:space="0" w:color="auto"/>
            </w:tcBorders>
            <w:tcMar>
              <w:left w:w="43" w:type="dxa"/>
              <w:right w:w="43" w:type="dxa"/>
            </w:tcMar>
            <w:vAlign w:val="center"/>
            <w:hideMark/>
          </w:tcPr>
          <w:p w14:paraId="307679F3" w14:textId="77777777" w:rsidR="00630A69" w:rsidRPr="00630A69" w:rsidRDefault="00630A69" w:rsidP="00630A69">
            <w:pPr>
              <w:spacing w:after="0" w:line="240" w:lineRule="auto"/>
              <w:jc w:val="left"/>
              <w:rPr>
                <w:rFonts w:eastAsia="Times New Roman"/>
                <w:color w:val="000000" w:themeColor="text1"/>
              </w:rPr>
            </w:pPr>
          </w:p>
        </w:tc>
        <w:tc>
          <w:tcPr>
            <w:tcW w:w="422" w:type="pct"/>
            <w:tcBorders>
              <w:top w:val="nil"/>
              <w:left w:val="double" w:sz="4" w:space="0" w:color="auto"/>
              <w:bottom w:val="double" w:sz="4" w:space="0" w:color="auto"/>
            </w:tcBorders>
            <w:noWrap/>
            <w:tcMar>
              <w:left w:w="43" w:type="dxa"/>
              <w:right w:w="43" w:type="dxa"/>
            </w:tcMar>
            <w:vAlign w:val="center"/>
            <w:hideMark/>
          </w:tcPr>
          <w:p w14:paraId="4C312A94" w14:textId="77777777" w:rsidR="00630A69" w:rsidRPr="00630A69" w:rsidRDefault="00630A69" w:rsidP="00630A69">
            <w:pPr>
              <w:spacing w:after="0" w:line="240" w:lineRule="auto"/>
              <w:jc w:val="right"/>
              <w:rPr>
                <w:rFonts w:eastAsia="Times New Roman"/>
                <w:color w:val="000000" w:themeColor="text1"/>
              </w:rPr>
            </w:pPr>
            <w:r w:rsidRPr="00630A69">
              <w:rPr>
                <w:rFonts w:eastAsia="Times New Roman"/>
                <w:color w:val="000000" w:themeColor="text1"/>
              </w:rPr>
              <w:t>953</w:t>
            </w:r>
          </w:p>
        </w:tc>
        <w:tc>
          <w:tcPr>
            <w:tcW w:w="443" w:type="pct"/>
            <w:tcBorders>
              <w:top w:val="nil"/>
              <w:bottom w:val="double" w:sz="4" w:space="0" w:color="auto"/>
            </w:tcBorders>
            <w:noWrap/>
            <w:tcMar>
              <w:left w:w="43" w:type="dxa"/>
              <w:right w:w="43" w:type="dxa"/>
            </w:tcMar>
            <w:vAlign w:val="center"/>
            <w:hideMark/>
          </w:tcPr>
          <w:p w14:paraId="153B5EAA" w14:textId="77777777" w:rsidR="00630A69" w:rsidRPr="00630A69" w:rsidRDefault="00630A69" w:rsidP="00630A69">
            <w:pPr>
              <w:spacing w:after="0" w:line="240" w:lineRule="auto"/>
              <w:jc w:val="right"/>
              <w:rPr>
                <w:rFonts w:eastAsia="Times New Roman"/>
                <w:color w:val="000000" w:themeColor="text1"/>
              </w:rPr>
            </w:pPr>
            <w:r w:rsidRPr="00630A69">
              <w:rPr>
                <w:rFonts w:eastAsia="Times New Roman"/>
                <w:color w:val="000000" w:themeColor="text1"/>
              </w:rPr>
              <w:t>7.45</w:t>
            </w:r>
          </w:p>
        </w:tc>
        <w:tc>
          <w:tcPr>
            <w:tcW w:w="518" w:type="pct"/>
            <w:vMerge/>
            <w:tcBorders>
              <w:top w:val="nil"/>
              <w:bottom w:val="double" w:sz="4" w:space="0" w:color="auto"/>
            </w:tcBorders>
            <w:tcMar>
              <w:left w:w="43" w:type="dxa"/>
              <w:right w:w="43" w:type="dxa"/>
            </w:tcMar>
            <w:vAlign w:val="center"/>
            <w:hideMark/>
          </w:tcPr>
          <w:p w14:paraId="21AB4CA4" w14:textId="77777777" w:rsidR="00630A69" w:rsidRPr="00630A69" w:rsidRDefault="00630A69" w:rsidP="00630A69">
            <w:pPr>
              <w:spacing w:after="0" w:line="240" w:lineRule="auto"/>
              <w:jc w:val="left"/>
              <w:rPr>
                <w:rFonts w:eastAsia="Times New Roman"/>
                <w:color w:val="000000" w:themeColor="text1"/>
              </w:rPr>
            </w:pPr>
          </w:p>
        </w:tc>
      </w:tr>
      <w:tr w:rsidR="00235349" w:rsidRPr="00630A69" w14:paraId="3ACB5AD8" w14:textId="77777777" w:rsidTr="00235349">
        <w:trPr>
          <w:trHeight w:val="345"/>
        </w:trPr>
        <w:tc>
          <w:tcPr>
            <w:tcW w:w="1199" w:type="pct"/>
            <w:vMerge w:val="restart"/>
            <w:tcBorders>
              <w:top w:val="double" w:sz="4" w:space="0" w:color="auto"/>
              <w:bottom w:val="nil"/>
              <w:right w:val="double" w:sz="4" w:space="0" w:color="auto"/>
            </w:tcBorders>
            <w:noWrap/>
            <w:tcMar>
              <w:left w:w="43" w:type="dxa"/>
              <w:right w:w="43" w:type="dxa"/>
            </w:tcMar>
            <w:vAlign w:val="center"/>
            <w:hideMark/>
          </w:tcPr>
          <w:p w14:paraId="1F5BCC9B" w14:textId="77777777" w:rsidR="00630A69" w:rsidRPr="00630A69" w:rsidRDefault="00630A69" w:rsidP="00630A69">
            <w:pPr>
              <w:spacing w:after="0" w:line="240" w:lineRule="auto"/>
              <w:jc w:val="left"/>
              <w:rPr>
                <w:rFonts w:eastAsia="Times New Roman"/>
                <w:color w:val="000000" w:themeColor="text1"/>
              </w:rPr>
            </w:pPr>
            <w:r w:rsidRPr="00630A69">
              <w:rPr>
                <w:rFonts w:eastAsia="Times New Roman"/>
                <w:color w:val="000000" w:themeColor="text1"/>
              </w:rPr>
              <w:t>Number of individuals with positive consumption for each restaurant segment</w:t>
            </w:r>
          </w:p>
        </w:tc>
        <w:tc>
          <w:tcPr>
            <w:tcW w:w="589" w:type="pct"/>
            <w:tcBorders>
              <w:top w:val="double" w:sz="4" w:space="0" w:color="auto"/>
              <w:left w:val="double" w:sz="4" w:space="0" w:color="auto"/>
              <w:bottom w:val="nil"/>
            </w:tcBorders>
            <w:noWrap/>
            <w:tcMar>
              <w:left w:w="43" w:type="dxa"/>
              <w:right w:w="43" w:type="dxa"/>
            </w:tcMar>
            <w:vAlign w:val="center"/>
            <w:hideMark/>
          </w:tcPr>
          <w:p w14:paraId="1FC529EE" w14:textId="77777777" w:rsidR="00630A69" w:rsidRPr="00630A69" w:rsidRDefault="00630A69" w:rsidP="00630A69">
            <w:pPr>
              <w:spacing w:after="0" w:line="240" w:lineRule="auto"/>
              <w:jc w:val="left"/>
              <w:rPr>
                <w:rFonts w:eastAsia="Times New Roman"/>
                <w:color w:val="000000" w:themeColor="text1"/>
              </w:rPr>
            </w:pPr>
            <w:r w:rsidRPr="00630A69">
              <w:rPr>
                <w:rFonts w:eastAsia="Times New Roman"/>
                <w:color w:val="000000" w:themeColor="text1"/>
              </w:rPr>
              <w:t>QSR</w:t>
            </w:r>
          </w:p>
        </w:tc>
        <w:tc>
          <w:tcPr>
            <w:tcW w:w="448" w:type="pct"/>
            <w:tcBorders>
              <w:top w:val="double" w:sz="4" w:space="0" w:color="auto"/>
              <w:bottom w:val="nil"/>
              <w:right w:val="double" w:sz="4" w:space="0" w:color="auto"/>
            </w:tcBorders>
            <w:noWrap/>
            <w:tcMar>
              <w:left w:w="43" w:type="dxa"/>
              <w:right w:w="43" w:type="dxa"/>
            </w:tcMar>
            <w:vAlign w:val="center"/>
            <w:hideMark/>
          </w:tcPr>
          <w:p w14:paraId="69E65E35" w14:textId="77777777" w:rsidR="00630A69" w:rsidRPr="00630A69" w:rsidRDefault="00630A69" w:rsidP="00630A69">
            <w:pPr>
              <w:spacing w:after="0" w:line="240" w:lineRule="auto"/>
              <w:jc w:val="left"/>
              <w:rPr>
                <w:rFonts w:eastAsia="Times New Roman"/>
                <w:color w:val="000000" w:themeColor="text1"/>
              </w:rPr>
            </w:pPr>
            <w:r w:rsidRPr="00630A69">
              <w:rPr>
                <w:rFonts w:eastAsia="Times New Roman"/>
                <w:color w:val="000000" w:themeColor="text1"/>
              </w:rPr>
              <w:t>282</w:t>
            </w:r>
          </w:p>
        </w:tc>
        <w:tc>
          <w:tcPr>
            <w:tcW w:w="417" w:type="pct"/>
            <w:tcBorders>
              <w:top w:val="double" w:sz="4" w:space="0" w:color="auto"/>
              <w:left w:val="double" w:sz="4" w:space="0" w:color="auto"/>
              <w:bottom w:val="nil"/>
            </w:tcBorders>
            <w:noWrap/>
            <w:tcMar>
              <w:left w:w="43" w:type="dxa"/>
              <w:right w:w="43" w:type="dxa"/>
            </w:tcMar>
            <w:vAlign w:val="center"/>
            <w:hideMark/>
          </w:tcPr>
          <w:p w14:paraId="45B913C9" w14:textId="77777777" w:rsidR="00630A69" w:rsidRPr="00630A69" w:rsidRDefault="00630A69" w:rsidP="00630A69">
            <w:pPr>
              <w:spacing w:after="0" w:line="240" w:lineRule="auto"/>
              <w:jc w:val="right"/>
              <w:rPr>
                <w:rFonts w:eastAsia="Times New Roman"/>
                <w:color w:val="000000" w:themeColor="text1"/>
              </w:rPr>
            </w:pPr>
            <w:r w:rsidRPr="00630A69">
              <w:rPr>
                <w:rFonts w:eastAsia="Times New Roman"/>
                <w:color w:val="000000" w:themeColor="text1"/>
              </w:rPr>
              <w:t>181</w:t>
            </w:r>
          </w:p>
        </w:tc>
        <w:tc>
          <w:tcPr>
            <w:tcW w:w="448" w:type="pct"/>
            <w:tcBorders>
              <w:top w:val="double" w:sz="4" w:space="0" w:color="auto"/>
              <w:bottom w:val="nil"/>
            </w:tcBorders>
            <w:noWrap/>
            <w:tcMar>
              <w:left w:w="43" w:type="dxa"/>
              <w:right w:w="43" w:type="dxa"/>
            </w:tcMar>
            <w:vAlign w:val="center"/>
            <w:hideMark/>
          </w:tcPr>
          <w:p w14:paraId="6838DB83" w14:textId="77777777" w:rsidR="00630A69" w:rsidRPr="00630A69" w:rsidRDefault="00630A69" w:rsidP="00630A69">
            <w:pPr>
              <w:spacing w:after="0" w:line="240" w:lineRule="auto"/>
              <w:jc w:val="right"/>
              <w:rPr>
                <w:rFonts w:eastAsia="Times New Roman"/>
                <w:color w:val="000000" w:themeColor="text1"/>
              </w:rPr>
            </w:pPr>
            <w:r w:rsidRPr="00630A69">
              <w:rPr>
                <w:rFonts w:eastAsia="Times New Roman"/>
                <w:color w:val="000000" w:themeColor="text1"/>
              </w:rPr>
              <w:t>35.82</w:t>
            </w:r>
          </w:p>
        </w:tc>
        <w:tc>
          <w:tcPr>
            <w:tcW w:w="517" w:type="pct"/>
            <w:vMerge w:val="restart"/>
            <w:tcBorders>
              <w:top w:val="double" w:sz="4" w:space="0" w:color="auto"/>
              <w:bottom w:val="nil"/>
              <w:right w:val="double" w:sz="4" w:space="0" w:color="auto"/>
            </w:tcBorders>
            <w:noWrap/>
            <w:tcMar>
              <w:left w:w="43" w:type="dxa"/>
              <w:right w:w="43" w:type="dxa"/>
            </w:tcMar>
            <w:vAlign w:val="center"/>
            <w:hideMark/>
          </w:tcPr>
          <w:p w14:paraId="684A1418" w14:textId="77777777" w:rsidR="00630A69" w:rsidRPr="00630A69" w:rsidRDefault="00630A69" w:rsidP="00630A69">
            <w:pPr>
              <w:spacing w:after="0" w:line="240" w:lineRule="auto"/>
              <w:jc w:val="right"/>
              <w:rPr>
                <w:rFonts w:eastAsia="Times New Roman"/>
                <w:color w:val="000000" w:themeColor="text1"/>
              </w:rPr>
            </w:pPr>
            <w:r w:rsidRPr="00630A69">
              <w:rPr>
                <w:rFonts w:eastAsia="Times New Roman"/>
                <w:color w:val="000000" w:themeColor="text1"/>
              </w:rPr>
              <w:t>18.79</w:t>
            </w:r>
          </w:p>
        </w:tc>
        <w:tc>
          <w:tcPr>
            <w:tcW w:w="422" w:type="pct"/>
            <w:tcBorders>
              <w:top w:val="double" w:sz="4" w:space="0" w:color="auto"/>
              <w:left w:val="double" w:sz="4" w:space="0" w:color="auto"/>
              <w:bottom w:val="nil"/>
            </w:tcBorders>
            <w:noWrap/>
            <w:tcMar>
              <w:left w:w="43" w:type="dxa"/>
              <w:right w:w="43" w:type="dxa"/>
            </w:tcMar>
            <w:vAlign w:val="center"/>
            <w:hideMark/>
          </w:tcPr>
          <w:p w14:paraId="7CF1BEF2" w14:textId="77777777" w:rsidR="00630A69" w:rsidRPr="00630A69" w:rsidRDefault="00630A69" w:rsidP="00630A69">
            <w:pPr>
              <w:spacing w:after="0" w:line="240" w:lineRule="auto"/>
              <w:jc w:val="right"/>
              <w:rPr>
                <w:rFonts w:eastAsia="Times New Roman"/>
                <w:color w:val="000000" w:themeColor="text1"/>
              </w:rPr>
            </w:pPr>
            <w:r w:rsidRPr="00630A69">
              <w:rPr>
                <w:rFonts w:eastAsia="Times New Roman"/>
                <w:color w:val="000000" w:themeColor="text1"/>
              </w:rPr>
              <w:t>133</w:t>
            </w:r>
          </w:p>
        </w:tc>
        <w:tc>
          <w:tcPr>
            <w:tcW w:w="443" w:type="pct"/>
            <w:tcBorders>
              <w:top w:val="double" w:sz="4" w:space="0" w:color="auto"/>
              <w:bottom w:val="nil"/>
            </w:tcBorders>
            <w:noWrap/>
            <w:tcMar>
              <w:left w:w="43" w:type="dxa"/>
              <w:right w:w="43" w:type="dxa"/>
            </w:tcMar>
            <w:vAlign w:val="center"/>
            <w:hideMark/>
          </w:tcPr>
          <w:p w14:paraId="61374F23" w14:textId="77777777" w:rsidR="00630A69" w:rsidRPr="00630A69" w:rsidRDefault="00630A69" w:rsidP="00630A69">
            <w:pPr>
              <w:spacing w:after="0" w:line="240" w:lineRule="auto"/>
              <w:jc w:val="right"/>
              <w:rPr>
                <w:rFonts w:eastAsia="Times New Roman"/>
                <w:color w:val="000000" w:themeColor="text1"/>
              </w:rPr>
            </w:pPr>
            <w:r w:rsidRPr="00630A69">
              <w:rPr>
                <w:rFonts w:eastAsia="Times New Roman"/>
                <w:color w:val="000000" w:themeColor="text1"/>
              </w:rPr>
              <w:t>52.82</w:t>
            </w:r>
          </w:p>
        </w:tc>
        <w:tc>
          <w:tcPr>
            <w:tcW w:w="518" w:type="pct"/>
            <w:vMerge w:val="restart"/>
            <w:tcBorders>
              <w:top w:val="double" w:sz="4" w:space="0" w:color="auto"/>
              <w:bottom w:val="double" w:sz="4" w:space="0" w:color="auto"/>
            </w:tcBorders>
            <w:noWrap/>
            <w:tcMar>
              <w:left w:w="43" w:type="dxa"/>
              <w:right w:w="43" w:type="dxa"/>
            </w:tcMar>
            <w:vAlign w:val="center"/>
            <w:hideMark/>
          </w:tcPr>
          <w:p w14:paraId="21E3CA0F" w14:textId="77777777" w:rsidR="00630A69" w:rsidRPr="00630A69" w:rsidRDefault="00630A69" w:rsidP="00630A69">
            <w:pPr>
              <w:spacing w:after="0" w:line="240" w:lineRule="auto"/>
              <w:jc w:val="right"/>
              <w:rPr>
                <w:rFonts w:eastAsia="Times New Roman"/>
                <w:color w:val="000000" w:themeColor="text1"/>
              </w:rPr>
            </w:pPr>
            <w:r w:rsidRPr="00630A69">
              <w:rPr>
                <w:rFonts w:eastAsia="Times New Roman"/>
                <w:color w:val="000000" w:themeColor="text1"/>
              </w:rPr>
              <w:t>28.21</w:t>
            </w:r>
          </w:p>
        </w:tc>
      </w:tr>
      <w:tr w:rsidR="00235349" w:rsidRPr="00630A69" w14:paraId="7D031457" w14:textId="77777777" w:rsidTr="00235349">
        <w:trPr>
          <w:trHeight w:val="315"/>
        </w:trPr>
        <w:tc>
          <w:tcPr>
            <w:tcW w:w="1199" w:type="pct"/>
            <w:vMerge/>
            <w:tcBorders>
              <w:top w:val="nil"/>
              <w:bottom w:val="nil"/>
              <w:right w:val="double" w:sz="4" w:space="0" w:color="auto"/>
            </w:tcBorders>
            <w:tcMar>
              <w:left w:w="43" w:type="dxa"/>
              <w:right w:w="43" w:type="dxa"/>
            </w:tcMar>
            <w:vAlign w:val="center"/>
            <w:hideMark/>
          </w:tcPr>
          <w:p w14:paraId="2668EF8E" w14:textId="77777777" w:rsidR="00630A69" w:rsidRPr="00630A69" w:rsidRDefault="00630A69" w:rsidP="00630A69">
            <w:pPr>
              <w:spacing w:after="0" w:line="240" w:lineRule="auto"/>
              <w:jc w:val="left"/>
              <w:rPr>
                <w:rFonts w:eastAsia="Times New Roman"/>
                <w:color w:val="000000" w:themeColor="text1"/>
              </w:rPr>
            </w:pPr>
          </w:p>
        </w:tc>
        <w:tc>
          <w:tcPr>
            <w:tcW w:w="589" w:type="pct"/>
            <w:tcBorders>
              <w:top w:val="nil"/>
              <w:left w:val="double" w:sz="4" w:space="0" w:color="auto"/>
              <w:bottom w:val="nil"/>
            </w:tcBorders>
            <w:noWrap/>
            <w:tcMar>
              <w:left w:w="43" w:type="dxa"/>
              <w:right w:w="43" w:type="dxa"/>
            </w:tcMar>
            <w:vAlign w:val="center"/>
            <w:hideMark/>
          </w:tcPr>
          <w:p w14:paraId="22BAE152" w14:textId="77777777" w:rsidR="00630A69" w:rsidRPr="00630A69" w:rsidRDefault="00630A69" w:rsidP="00630A69">
            <w:pPr>
              <w:spacing w:after="0" w:line="240" w:lineRule="auto"/>
              <w:jc w:val="left"/>
              <w:rPr>
                <w:rFonts w:eastAsia="Times New Roman"/>
                <w:color w:val="000000" w:themeColor="text1"/>
              </w:rPr>
            </w:pPr>
            <w:r w:rsidRPr="00630A69">
              <w:rPr>
                <w:rFonts w:eastAsia="Times New Roman"/>
                <w:color w:val="000000" w:themeColor="text1"/>
              </w:rPr>
              <w:t>CH</w:t>
            </w:r>
          </w:p>
        </w:tc>
        <w:tc>
          <w:tcPr>
            <w:tcW w:w="448" w:type="pct"/>
            <w:tcBorders>
              <w:top w:val="nil"/>
              <w:bottom w:val="nil"/>
              <w:right w:val="double" w:sz="4" w:space="0" w:color="auto"/>
            </w:tcBorders>
            <w:noWrap/>
            <w:tcMar>
              <w:left w:w="43" w:type="dxa"/>
              <w:right w:w="43" w:type="dxa"/>
            </w:tcMar>
            <w:vAlign w:val="center"/>
            <w:hideMark/>
          </w:tcPr>
          <w:p w14:paraId="7662CC3F" w14:textId="77777777" w:rsidR="00630A69" w:rsidRPr="00630A69" w:rsidRDefault="00630A69" w:rsidP="00630A69">
            <w:pPr>
              <w:spacing w:after="0" w:line="240" w:lineRule="auto"/>
              <w:jc w:val="left"/>
              <w:rPr>
                <w:rFonts w:eastAsia="Times New Roman"/>
                <w:color w:val="000000" w:themeColor="text1"/>
              </w:rPr>
            </w:pPr>
            <w:r w:rsidRPr="00630A69">
              <w:rPr>
                <w:rFonts w:eastAsia="Times New Roman"/>
                <w:color w:val="000000" w:themeColor="text1"/>
              </w:rPr>
              <w:t>156</w:t>
            </w:r>
          </w:p>
        </w:tc>
        <w:tc>
          <w:tcPr>
            <w:tcW w:w="417" w:type="pct"/>
            <w:tcBorders>
              <w:top w:val="nil"/>
              <w:left w:val="double" w:sz="4" w:space="0" w:color="auto"/>
              <w:bottom w:val="nil"/>
            </w:tcBorders>
            <w:noWrap/>
            <w:tcMar>
              <w:left w:w="43" w:type="dxa"/>
              <w:right w:w="43" w:type="dxa"/>
            </w:tcMar>
            <w:vAlign w:val="center"/>
            <w:hideMark/>
          </w:tcPr>
          <w:p w14:paraId="47427556" w14:textId="77777777" w:rsidR="00630A69" w:rsidRPr="00630A69" w:rsidRDefault="00630A69" w:rsidP="00630A69">
            <w:pPr>
              <w:spacing w:after="0" w:line="240" w:lineRule="auto"/>
              <w:jc w:val="right"/>
              <w:rPr>
                <w:rFonts w:eastAsia="Times New Roman"/>
                <w:color w:val="000000" w:themeColor="text1"/>
              </w:rPr>
            </w:pPr>
            <w:r w:rsidRPr="00630A69">
              <w:rPr>
                <w:rFonts w:eastAsia="Times New Roman"/>
                <w:color w:val="000000" w:themeColor="text1"/>
              </w:rPr>
              <w:t>86</w:t>
            </w:r>
          </w:p>
        </w:tc>
        <w:tc>
          <w:tcPr>
            <w:tcW w:w="448" w:type="pct"/>
            <w:tcBorders>
              <w:top w:val="nil"/>
              <w:bottom w:val="nil"/>
            </w:tcBorders>
            <w:noWrap/>
            <w:tcMar>
              <w:left w:w="43" w:type="dxa"/>
              <w:right w:w="43" w:type="dxa"/>
            </w:tcMar>
            <w:vAlign w:val="center"/>
            <w:hideMark/>
          </w:tcPr>
          <w:p w14:paraId="5B9C462C" w14:textId="77777777" w:rsidR="00630A69" w:rsidRPr="00630A69" w:rsidRDefault="00630A69" w:rsidP="00630A69">
            <w:pPr>
              <w:spacing w:after="0" w:line="240" w:lineRule="auto"/>
              <w:jc w:val="right"/>
              <w:rPr>
                <w:rFonts w:eastAsia="Times New Roman"/>
                <w:color w:val="000000" w:themeColor="text1"/>
              </w:rPr>
            </w:pPr>
            <w:r w:rsidRPr="00630A69">
              <w:rPr>
                <w:rFonts w:eastAsia="Times New Roman"/>
                <w:color w:val="000000" w:themeColor="text1"/>
              </w:rPr>
              <w:t>44.87</w:t>
            </w:r>
          </w:p>
        </w:tc>
        <w:tc>
          <w:tcPr>
            <w:tcW w:w="517" w:type="pct"/>
            <w:vMerge/>
            <w:tcBorders>
              <w:top w:val="nil"/>
              <w:bottom w:val="nil"/>
              <w:right w:val="double" w:sz="4" w:space="0" w:color="auto"/>
            </w:tcBorders>
            <w:tcMar>
              <w:left w:w="43" w:type="dxa"/>
              <w:right w:w="43" w:type="dxa"/>
            </w:tcMar>
            <w:vAlign w:val="center"/>
            <w:hideMark/>
          </w:tcPr>
          <w:p w14:paraId="153CEF56" w14:textId="77777777" w:rsidR="00630A69" w:rsidRPr="00630A69" w:rsidRDefault="00630A69" w:rsidP="00630A69">
            <w:pPr>
              <w:spacing w:after="0" w:line="240" w:lineRule="auto"/>
              <w:jc w:val="left"/>
              <w:rPr>
                <w:rFonts w:eastAsia="Times New Roman"/>
                <w:color w:val="000000" w:themeColor="text1"/>
              </w:rPr>
            </w:pPr>
          </w:p>
        </w:tc>
        <w:tc>
          <w:tcPr>
            <w:tcW w:w="422" w:type="pct"/>
            <w:tcBorders>
              <w:top w:val="nil"/>
              <w:left w:val="double" w:sz="4" w:space="0" w:color="auto"/>
              <w:bottom w:val="nil"/>
            </w:tcBorders>
            <w:noWrap/>
            <w:tcMar>
              <w:left w:w="43" w:type="dxa"/>
              <w:right w:w="43" w:type="dxa"/>
            </w:tcMar>
            <w:vAlign w:val="center"/>
            <w:hideMark/>
          </w:tcPr>
          <w:p w14:paraId="5DB6788D" w14:textId="77777777" w:rsidR="00630A69" w:rsidRPr="00630A69" w:rsidRDefault="00630A69" w:rsidP="00630A69">
            <w:pPr>
              <w:spacing w:after="0" w:line="240" w:lineRule="auto"/>
              <w:jc w:val="right"/>
              <w:rPr>
                <w:rFonts w:eastAsia="Times New Roman"/>
                <w:color w:val="000000" w:themeColor="text1"/>
              </w:rPr>
            </w:pPr>
            <w:r w:rsidRPr="00630A69">
              <w:rPr>
                <w:rFonts w:eastAsia="Times New Roman"/>
                <w:color w:val="000000" w:themeColor="text1"/>
              </w:rPr>
              <w:t>84</w:t>
            </w:r>
          </w:p>
        </w:tc>
        <w:tc>
          <w:tcPr>
            <w:tcW w:w="443" w:type="pct"/>
            <w:tcBorders>
              <w:top w:val="nil"/>
              <w:bottom w:val="nil"/>
            </w:tcBorders>
            <w:noWrap/>
            <w:tcMar>
              <w:left w:w="43" w:type="dxa"/>
              <w:right w:w="43" w:type="dxa"/>
            </w:tcMar>
            <w:vAlign w:val="center"/>
            <w:hideMark/>
          </w:tcPr>
          <w:p w14:paraId="3C3BAFE9" w14:textId="77777777" w:rsidR="00630A69" w:rsidRPr="00630A69" w:rsidRDefault="00630A69" w:rsidP="00630A69">
            <w:pPr>
              <w:spacing w:after="0" w:line="240" w:lineRule="auto"/>
              <w:jc w:val="right"/>
              <w:rPr>
                <w:rFonts w:eastAsia="Times New Roman"/>
                <w:color w:val="000000" w:themeColor="text1"/>
              </w:rPr>
            </w:pPr>
            <w:r w:rsidRPr="00630A69">
              <w:rPr>
                <w:rFonts w:eastAsia="Times New Roman"/>
                <w:color w:val="000000" w:themeColor="text1"/>
              </w:rPr>
              <w:t>45.91</w:t>
            </w:r>
          </w:p>
        </w:tc>
        <w:tc>
          <w:tcPr>
            <w:tcW w:w="518" w:type="pct"/>
            <w:vMerge/>
            <w:tcBorders>
              <w:top w:val="nil"/>
              <w:bottom w:val="double" w:sz="4" w:space="0" w:color="auto"/>
            </w:tcBorders>
            <w:tcMar>
              <w:left w:w="43" w:type="dxa"/>
              <w:right w:w="43" w:type="dxa"/>
            </w:tcMar>
            <w:vAlign w:val="center"/>
            <w:hideMark/>
          </w:tcPr>
          <w:p w14:paraId="58D84CB1" w14:textId="77777777" w:rsidR="00630A69" w:rsidRPr="00630A69" w:rsidRDefault="00630A69" w:rsidP="00630A69">
            <w:pPr>
              <w:spacing w:after="0" w:line="240" w:lineRule="auto"/>
              <w:jc w:val="left"/>
              <w:rPr>
                <w:rFonts w:eastAsia="Times New Roman"/>
                <w:color w:val="000000" w:themeColor="text1"/>
              </w:rPr>
            </w:pPr>
          </w:p>
        </w:tc>
      </w:tr>
      <w:tr w:rsidR="00235349" w:rsidRPr="00630A69" w14:paraId="42C8C14F" w14:textId="77777777" w:rsidTr="00235349">
        <w:trPr>
          <w:trHeight w:val="315"/>
        </w:trPr>
        <w:tc>
          <w:tcPr>
            <w:tcW w:w="1199" w:type="pct"/>
            <w:vMerge/>
            <w:tcBorders>
              <w:top w:val="nil"/>
              <w:bottom w:val="nil"/>
              <w:right w:val="double" w:sz="4" w:space="0" w:color="auto"/>
            </w:tcBorders>
            <w:tcMar>
              <w:left w:w="43" w:type="dxa"/>
              <w:right w:w="43" w:type="dxa"/>
            </w:tcMar>
            <w:vAlign w:val="center"/>
            <w:hideMark/>
          </w:tcPr>
          <w:p w14:paraId="7A3038F9" w14:textId="77777777" w:rsidR="00630A69" w:rsidRPr="00630A69" w:rsidRDefault="00630A69" w:rsidP="00630A69">
            <w:pPr>
              <w:spacing w:after="0" w:line="240" w:lineRule="auto"/>
              <w:jc w:val="left"/>
              <w:rPr>
                <w:rFonts w:eastAsia="Times New Roman"/>
                <w:color w:val="000000" w:themeColor="text1"/>
              </w:rPr>
            </w:pPr>
          </w:p>
        </w:tc>
        <w:tc>
          <w:tcPr>
            <w:tcW w:w="589" w:type="pct"/>
            <w:tcBorders>
              <w:top w:val="nil"/>
              <w:left w:val="double" w:sz="4" w:space="0" w:color="auto"/>
              <w:bottom w:val="nil"/>
            </w:tcBorders>
            <w:noWrap/>
            <w:tcMar>
              <w:left w:w="43" w:type="dxa"/>
              <w:right w:w="43" w:type="dxa"/>
            </w:tcMar>
            <w:vAlign w:val="center"/>
            <w:hideMark/>
          </w:tcPr>
          <w:p w14:paraId="2706B3E7" w14:textId="77777777" w:rsidR="00630A69" w:rsidRPr="00630A69" w:rsidRDefault="00630A69" w:rsidP="00630A69">
            <w:pPr>
              <w:spacing w:after="0" w:line="240" w:lineRule="auto"/>
              <w:jc w:val="left"/>
              <w:rPr>
                <w:rFonts w:eastAsia="Times New Roman"/>
                <w:color w:val="000000" w:themeColor="text1"/>
              </w:rPr>
            </w:pPr>
            <w:r w:rsidRPr="00630A69">
              <w:rPr>
                <w:rFonts w:eastAsia="Times New Roman"/>
                <w:color w:val="000000" w:themeColor="text1"/>
              </w:rPr>
              <w:t>CSR</w:t>
            </w:r>
          </w:p>
        </w:tc>
        <w:tc>
          <w:tcPr>
            <w:tcW w:w="448" w:type="pct"/>
            <w:tcBorders>
              <w:top w:val="nil"/>
              <w:bottom w:val="nil"/>
              <w:right w:val="double" w:sz="4" w:space="0" w:color="auto"/>
            </w:tcBorders>
            <w:noWrap/>
            <w:tcMar>
              <w:left w:w="43" w:type="dxa"/>
              <w:right w:w="43" w:type="dxa"/>
            </w:tcMar>
            <w:vAlign w:val="center"/>
            <w:hideMark/>
          </w:tcPr>
          <w:p w14:paraId="473059BE" w14:textId="77777777" w:rsidR="00630A69" w:rsidRPr="00630A69" w:rsidRDefault="00630A69" w:rsidP="00630A69">
            <w:pPr>
              <w:spacing w:after="0" w:line="240" w:lineRule="auto"/>
              <w:jc w:val="left"/>
              <w:rPr>
                <w:rFonts w:eastAsia="Times New Roman"/>
                <w:color w:val="000000" w:themeColor="text1"/>
              </w:rPr>
            </w:pPr>
            <w:r w:rsidRPr="00630A69">
              <w:rPr>
                <w:rFonts w:eastAsia="Times New Roman"/>
                <w:color w:val="000000" w:themeColor="text1"/>
              </w:rPr>
              <w:t>714</w:t>
            </w:r>
          </w:p>
        </w:tc>
        <w:tc>
          <w:tcPr>
            <w:tcW w:w="417" w:type="pct"/>
            <w:tcBorders>
              <w:top w:val="nil"/>
              <w:left w:val="double" w:sz="4" w:space="0" w:color="auto"/>
              <w:bottom w:val="nil"/>
            </w:tcBorders>
            <w:noWrap/>
            <w:tcMar>
              <w:left w:w="43" w:type="dxa"/>
              <w:right w:w="43" w:type="dxa"/>
            </w:tcMar>
            <w:vAlign w:val="center"/>
            <w:hideMark/>
          </w:tcPr>
          <w:p w14:paraId="24EFAA0A" w14:textId="77777777" w:rsidR="00630A69" w:rsidRPr="00630A69" w:rsidRDefault="00630A69" w:rsidP="00630A69">
            <w:pPr>
              <w:spacing w:after="0" w:line="240" w:lineRule="auto"/>
              <w:jc w:val="right"/>
              <w:rPr>
                <w:rFonts w:eastAsia="Times New Roman"/>
                <w:color w:val="000000" w:themeColor="text1"/>
              </w:rPr>
            </w:pPr>
            <w:r w:rsidRPr="00630A69">
              <w:rPr>
                <w:rFonts w:eastAsia="Times New Roman"/>
                <w:color w:val="000000" w:themeColor="text1"/>
              </w:rPr>
              <w:t>667</w:t>
            </w:r>
          </w:p>
        </w:tc>
        <w:tc>
          <w:tcPr>
            <w:tcW w:w="448" w:type="pct"/>
            <w:tcBorders>
              <w:top w:val="nil"/>
              <w:bottom w:val="nil"/>
            </w:tcBorders>
            <w:noWrap/>
            <w:tcMar>
              <w:left w:w="43" w:type="dxa"/>
              <w:right w:w="43" w:type="dxa"/>
            </w:tcMar>
            <w:vAlign w:val="center"/>
            <w:hideMark/>
          </w:tcPr>
          <w:p w14:paraId="195AF736" w14:textId="77777777" w:rsidR="00630A69" w:rsidRPr="00630A69" w:rsidRDefault="00630A69" w:rsidP="00630A69">
            <w:pPr>
              <w:spacing w:after="0" w:line="240" w:lineRule="auto"/>
              <w:jc w:val="right"/>
              <w:rPr>
                <w:rFonts w:eastAsia="Times New Roman"/>
                <w:color w:val="000000" w:themeColor="text1"/>
              </w:rPr>
            </w:pPr>
            <w:r w:rsidRPr="00630A69">
              <w:rPr>
                <w:rFonts w:eastAsia="Times New Roman"/>
                <w:color w:val="000000" w:themeColor="text1"/>
              </w:rPr>
              <w:t>6.58</w:t>
            </w:r>
          </w:p>
        </w:tc>
        <w:tc>
          <w:tcPr>
            <w:tcW w:w="517" w:type="pct"/>
            <w:vMerge/>
            <w:tcBorders>
              <w:top w:val="nil"/>
              <w:bottom w:val="nil"/>
              <w:right w:val="double" w:sz="4" w:space="0" w:color="auto"/>
            </w:tcBorders>
            <w:tcMar>
              <w:left w:w="43" w:type="dxa"/>
              <w:right w:w="43" w:type="dxa"/>
            </w:tcMar>
            <w:vAlign w:val="center"/>
            <w:hideMark/>
          </w:tcPr>
          <w:p w14:paraId="51CA8139" w14:textId="77777777" w:rsidR="00630A69" w:rsidRPr="00630A69" w:rsidRDefault="00630A69" w:rsidP="00630A69">
            <w:pPr>
              <w:spacing w:after="0" w:line="240" w:lineRule="auto"/>
              <w:jc w:val="left"/>
              <w:rPr>
                <w:rFonts w:eastAsia="Times New Roman"/>
                <w:color w:val="000000" w:themeColor="text1"/>
              </w:rPr>
            </w:pPr>
          </w:p>
        </w:tc>
        <w:tc>
          <w:tcPr>
            <w:tcW w:w="422" w:type="pct"/>
            <w:tcBorders>
              <w:top w:val="nil"/>
              <w:left w:val="double" w:sz="4" w:space="0" w:color="auto"/>
              <w:bottom w:val="nil"/>
            </w:tcBorders>
            <w:noWrap/>
            <w:tcMar>
              <w:left w:w="43" w:type="dxa"/>
              <w:right w:w="43" w:type="dxa"/>
            </w:tcMar>
            <w:vAlign w:val="center"/>
            <w:hideMark/>
          </w:tcPr>
          <w:p w14:paraId="60CC40CC" w14:textId="77777777" w:rsidR="00630A69" w:rsidRPr="00630A69" w:rsidRDefault="00630A69" w:rsidP="00630A69">
            <w:pPr>
              <w:spacing w:after="0" w:line="240" w:lineRule="auto"/>
              <w:jc w:val="right"/>
              <w:rPr>
                <w:rFonts w:eastAsia="Times New Roman"/>
                <w:color w:val="000000" w:themeColor="text1"/>
              </w:rPr>
            </w:pPr>
            <w:r w:rsidRPr="00630A69">
              <w:rPr>
                <w:rFonts w:eastAsia="Times New Roman"/>
                <w:color w:val="000000" w:themeColor="text1"/>
              </w:rPr>
              <w:t>618</w:t>
            </w:r>
          </w:p>
        </w:tc>
        <w:tc>
          <w:tcPr>
            <w:tcW w:w="443" w:type="pct"/>
            <w:tcBorders>
              <w:top w:val="nil"/>
              <w:bottom w:val="nil"/>
            </w:tcBorders>
            <w:noWrap/>
            <w:tcMar>
              <w:left w:w="43" w:type="dxa"/>
              <w:right w:w="43" w:type="dxa"/>
            </w:tcMar>
            <w:vAlign w:val="center"/>
            <w:hideMark/>
          </w:tcPr>
          <w:p w14:paraId="16DEAAD4" w14:textId="77777777" w:rsidR="00630A69" w:rsidRPr="00630A69" w:rsidRDefault="00630A69" w:rsidP="00630A69">
            <w:pPr>
              <w:spacing w:after="0" w:line="240" w:lineRule="auto"/>
              <w:jc w:val="right"/>
              <w:rPr>
                <w:rFonts w:eastAsia="Times New Roman"/>
                <w:color w:val="000000" w:themeColor="text1"/>
              </w:rPr>
            </w:pPr>
            <w:r w:rsidRPr="00630A69">
              <w:rPr>
                <w:rFonts w:eastAsia="Times New Roman"/>
                <w:color w:val="000000" w:themeColor="text1"/>
              </w:rPr>
              <w:t>13.46</w:t>
            </w:r>
          </w:p>
        </w:tc>
        <w:tc>
          <w:tcPr>
            <w:tcW w:w="518" w:type="pct"/>
            <w:vMerge/>
            <w:tcBorders>
              <w:top w:val="nil"/>
              <w:bottom w:val="double" w:sz="4" w:space="0" w:color="auto"/>
            </w:tcBorders>
            <w:tcMar>
              <w:left w:w="43" w:type="dxa"/>
              <w:right w:w="43" w:type="dxa"/>
            </w:tcMar>
            <w:vAlign w:val="center"/>
            <w:hideMark/>
          </w:tcPr>
          <w:p w14:paraId="774C3CE3" w14:textId="77777777" w:rsidR="00630A69" w:rsidRPr="00630A69" w:rsidRDefault="00630A69" w:rsidP="00630A69">
            <w:pPr>
              <w:spacing w:after="0" w:line="240" w:lineRule="auto"/>
              <w:jc w:val="left"/>
              <w:rPr>
                <w:rFonts w:eastAsia="Times New Roman"/>
                <w:color w:val="000000" w:themeColor="text1"/>
              </w:rPr>
            </w:pPr>
          </w:p>
        </w:tc>
      </w:tr>
      <w:tr w:rsidR="00235349" w:rsidRPr="00630A69" w14:paraId="6BCD2511" w14:textId="77777777" w:rsidTr="00235349">
        <w:trPr>
          <w:trHeight w:val="315"/>
        </w:trPr>
        <w:tc>
          <w:tcPr>
            <w:tcW w:w="1199" w:type="pct"/>
            <w:vMerge/>
            <w:tcBorders>
              <w:top w:val="nil"/>
              <w:bottom w:val="double" w:sz="4" w:space="0" w:color="auto"/>
              <w:right w:val="double" w:sz="4" w:space="0" w:color="auto"/>
            </w:tcBorders>
            <w:tcMar>
              <w:left w:w="43" w:type="dxa"/>
              <w:right w:w="43" w:type="dxa"/>
            </w:tcMar>
            <w:vAlign w:val="center"/>
            <w:hideMark/>
          </w:tcPr>
          <w:p w14:paraId="2AACBC75" w14:textId="77777777" w:rsidR="00630A69" w:rsidRPr="00630A69" w:rsidRDefault="00630A69" w:rsidP="00630A69">
            <w:pPr>
              <w:spacing w:after="0" w:line="240" w:lineRule="auto"/>
              <w:jc w:val="left"/>
              <w:rPr>
                <w:rFonts w:eastAsia="Times New Roman"/>
                <w:color w:val="000000" w:themeColor="text1"/>
              </w:rPr>
            </w:pPr>
          </w:p>
        </w:tc>
        <w:tc>
          <w:tcPr>
            <w:tcW w:w="589" w:type="pct"/>
            <w:tcBorders>
              <w:top w:val="nil"/>
              <w:left w:val="double" w:sz="4" w:space="0" w:color="auto"/>
              <w:bottom w:val="double" w:sz="4" w:space="0" w:color="auto"/>
            </w:tcBorders>
            <w:noWrap/>
            <w:tcMar>
              <w:left w:w="43" w:type="dxa"/>
              <w:right w:w="43" w:type="dxa"/>
            </w:tcMar>
            <w:vAlign w:val="center"/>
            <w:hideMark/>
          </w:tcPr>
          <w:p w14:paraId="3FC6964B" w14:textId="77777777" w:rsidR="00630A69" w:rsidRPr="00630A69" w:rsidRDefault="00630A69" w:rsidP="00630A69">
            <w:pPr>
              <w:spacing w:after="0" w:line="240" w:lineRule="auto"/>
              <w:jc w:val="left"/>
              <w:rPr>
                <w:rFonts w:eastAsia="Times New Roman"/>
                <w:color w:val="000000" w:themeColor="text1"/>
              </w:rPr>
            </w:pPr>
            <w:r w:rsidRPr="00630A69">
              <w:rPr>
                <w:rFonts w:eastAsia="Times New Roman"/>
                <w:color w:val="000000" w:themeColor="text1"/>
              </w:rPr>
              <w:t>FSR</w:t>
            </w:r>
          </w:p>
        </w:tc>
        <w:tc>
          <w:tcPr>
            <w:tcW w:w="448" w:type="pct"/>
            <w:tcBorders>
              <w:top w:val="nil"/>
              <w:bottom w:val="double" w:sz="4" w:space="0" w:color="auto"/>
              <w:right w:val="double" w:sz="4" w:space="0" w:color="auto"/>
            </w:tcBorders>
            <w:noWrap/>
            <w:tcMar>
              <w:left w:w="43" w:type="dxa"/>
              <w:right w:w="43" w:type="dxa"/>
            </w:tcMar>
            <w:vAlign w:val="center"/>
            <w:hideMark/>
          </w:tcPr>
          <w:p w14:paraId="40808128" w14:textId="77777777" w:rsidR="00630A69" w:rsidRPr="00630A69" w:rsidRDefault="00630A69" w:rsidP="00630A69">
            <w:pPr>
              <w:spacing w:after="0" w:line="240" w:lineRule="auto"/>
              <w:jc w:val="left"/>
              <w:rPr>
                <w:rFonts w:eastAsia="Times New Roman"/>
                <w:color w:val="000000" w:themeColor="text1"/>
              </w:rPr>
            </w:pPr>
            <w:r w:rsidRPr="00630A69">
              <w:rPr>
                <w:rFonts w:eastAsia="Times New Roman"/>
                <w:color w:val="000000" w:themeColor="text1"/>
              </w:rPr>
              <w:t>205</w:t>
            </w:r>
          </w:p>
        </w:tc>
        <w:tc>
          <w:tcPr>
            <w:tcW w:w="417" w:type="pct"/>
            <w:tcBorders>
              <w:top w:val="nil"/>
              <w:left w:val="double" w:sz="4" w:space="0" w:color="auto"/>
              <w:bottom w:val="double" w:sz="4" w:space="0" w:color="auto"/>
            </w:tcBorders>
            <w:noWrap/>
            <w:tcMar>
              <w:left w:w="43" w:type="dxa"/>
              <w:right w:w="43" w:type="dxa"/>
            </w:tcMar>
            <w:vAlign w:val="center"/>
            <w:hideMark/>
          </w:tcPr>
          <w:p w14:paraId="1CE7A111" w14:textId="77777777" w:rsidR="00630A69" w:rsidRPr="00630A69" w:rsidRDefault="00630A69" w:rsidP="00630A69">
            <w:pPr>
              <w:spacing w:after="0" w:line="240" w:lineRule="auto"/>
              <w:jc w:val="right"/>
              <w:rPr>
                <w:rFonts w:eastAsia="Times New Roman"/>
                <w:color w:val="000000" w:themeColor="text1"/>
              </w:rPr>
            </w:pPr>
            <w:r w:rsidRPr="00630A69">
              <w:rPr>
                <w:rFonts w:eastAsia="Times New Roman"/>
                <w:color w:val="000000" w:themeColor="text1"/>
              </w:rPr>
              <w:t>168</w:t>
            </w:r>
          </w:p>
        </w:tc>
        <w:tc>
          <w:tcPr>
            <w:tcW w:w="448" w:type="pct"/>
            <w:tcBorders>
              <w:top w:val="nil"/>
              <w:bottom w:val="double" w:sz="4" w:space="0" w:color="auto"/>
            </w:tcBorders>
            <w:noWrap/>
            <w:tcMar>
              <w:left w:w="43" w:type="dxa"/>
              <w:right w:w="43" w:type="dxa"/>
            </w:tcMar>
            <w:vAlign w:val="center"/>
            <w:hideMark/>
          </w:tcPr>
          <w:p w14:paraId="7D1AD23A" w14:textId="77777777" w:rsidR="00630A69" w:rsidRPr="00630A69" w:rsidRDefault="00630A69" w:rsidP="00630A69">
            <w:pPr>
              <w:spacing w:after="0" w:line="240" w:lineRule="auto"/>
              <w:jc w:val="right"/>
              <w:rPr>
                <w:rFonts w:eastAsia="Times New Roman"/>
                <w:color w:val="000000" w:themeColor="text1"/>
              </w:rPr>
            </w:pPr>
            <w:r w:rsidRPr="00630A69">
              <w:rPr>
                <w:rFonts w:eastAsia="Times New Roman"/>
                <w:color w:val="000000" w:themeColor="text1"/>
              </w:rPr>
              <w:t>18.05</w:t>
            </w:r>
          </w:p>
        </w:tc>
        <w:tc>
          <w:tcPr>
            <w:tcW w:w="517" w:type="pct"/>
            <w:vMerge/>
            <w:tcBorders>
              <w:top w:val="nil"/>
              <w:bottom w:val="double" w:sz="4" w:space="0" w:color="auto"/>
              <w:right w:val="double" w:sz="4" w:space="0" w:color="auto"/>
            </w:tcBorders>
            <w:tcMar>
              <w:left w:w="43" w:type="dxa"/>
              <w:right w:w="43" w:type="dxa"/>
            </w:tcMar>
            <w:vAlign w:val="center"/>
            <w:hideMark/>
          </w:tcPr>
          <w:p w14:paraId="08FFFF19" w14:textId="77777777" w:rsidR="00630A69" w:rsidRPr="00630A69" w:rsidRDefault="00630A69" w:rsidP="00630A69">
            <w:pPr>
              <w:spacing w:after="0" w:line="240" w:lineRule="auto"/>
              <w:jc w:val="left"/>
              <w:rPr>
                <w:rFonts w:eastAsia="Times New Roman"/>
                <w:color w:val="000000" w:themeColor="text1"/>
              </w:rPr>
            </w:pPr>
          </w:p>
        </w:tc>
        <w:tc>
          <w:tcPr>
            <w:tcW w:w="422" w:type="pct"/>
            <w:tcBorders>
              <w:top w:val="nil"/>
              <w:left w:val="double" w:sz="4" w:space="0" w:color="auto"/>
              <w:bottom w:val="double" w:sz="4" w:space="0" w:color="auto"/>
            </w:tcBorders>
            <w:noWrap/>
            <w:tcMar>
              <w:left w:w="43" w:type="dxa"/>
              <w:right w:w="43" w:type="dxa"/>
            </w:tcMar>
            <w:vAlign w:val="center"/>
            <w:hideMark/>
          </w:tcPr>
          <w:p w14:paraId="5FEA17A7" w14:textId="77777777" w:rsidR="00630A69" w:rsidRPr="00630A69" w:rsidRDefault="00630A69" w:rsidP="00630A69">
            <w:pPr>
              <w:spacing w:after="0" w:line="240" w:lineRule="auto"/>
              <w:jc w:val="right"/>
              <w:rPr>
                <w:rFonts w:eastAsia="Times New Roman"/>
                <w:color w:val="000000" w:themeColor="text1"/>
              </w:rPr>
            </w:pPr>
            <w:r w:rsidRPr="00630A69">
              <w:rPr>
                <w:rFonts w:eastAsia="Times New Roman"/>
                <w:color w:val="000000" w:themeColor="text1"/>
              </w:rPr>
              <w:t>139</w:t>
            </w:r>
          </w:p>
        </w:tc>
        <w:tc>
          <w:tcPr>
            <w:tcW w:w="443" w:type="pct"/>
            <w:tcBorders>
              <w:top w:val="nil"/>
              <w:bottom w:val="double" w:sz="4" w:space="0" w:color="auto"/>
            </w:tcBorders>
            <w:noWrap/>
            <w:tcMar>
              <w:left w:w="43" w:type="dxa"/>
              <w:right w:w="43" w:type="dxa"/>
            </w:tcMar>
            <w:vAlign w:val="center"/>
            <w:hideMark/>
          </w:tcPr>
          <w:p w14:paraId="329A5D00" w14:textId="77777777" w:rsidR="00630A69" w:rsidRPr="00630A69" w:rsidRDefault="00630A69" w:rsidP="00630A69">
            <w:pPr>
              <w:spacing w:after="0" w:line="240" w:lineRule="auto"/>
              <w:jc w:val="right"/>
              <w:rPr>
                <w:rFonts w:eastAsia="Times New Roman"/>
                <w:color w:val="000000" w:themeColor="text1"/>
              </w:rPr>
            </w:pPr>
            <w:r w:rsidRPr="00630A69">
              <w:rPr>
                <w:rFonts w:eastAsia="Times New Roman"/>
                <w:color w:val="000000" w:themeColor="text1"/>
              </w:rPr>
              <w:t>32.24</w:t>
            </w:r>
          </w:p>
        </w:tc>
        <w:tc>
          <w:tcPr>
            <w:tcW w:w="518" w:type="pct"/>
            <w:vMerge/>
            <w:tcBorders>
              <w:top w:val="nil"/>
              <w:bottom w:val="double" w:sz="4" w:space="0" w:color="auto"/>
            </w:tcBorders>
            <w:tcMar>
              <w:left w:w="43" w:type="dxa"/>
              <w:right w:w="43" w:type="dxa"/>
            </w:tcMar>
            <w:vAlign w:val="center"/>
            <w:hideMark/>
          </w:tcPr>
          <w:p w14:paraId="66EEA216" w14:textId="77777777" w:rsidR="00630A69" w:rsidRPr="00630A69" w:rsidRDefault="00630A69" w:rsidP="00630A69">
            <w:pPr>
              <w:spacing w:after="0" w:line="240" w:lineRule="auto"/>
              <w:jc w:val="left"/>
              <w:rPr>
                <w:rFonts w:eastAsia="Times New Roman"/>
                <w:color w:val="000000" w:themeColor="text1"/>
              </w:rPr>
            </w:pPr>
          </w:p>
        </w:tc>
      </w:tr>
      <w:tr w:rsidR="00235349" w:rsidRPr="00630A69" w14:paraId="7D3D9A5B" w14:textId="77777777" w:rsidTr="00235349">
        <w:trPr>
          <w:trHeight w:val="315"/>
        </w:trPr>
        <w:tc>
          <w:tcPr>
            <w:tcW w:w="1199" w:type="pct"/>
            <w:vMerge w:val="restart"/>
            <w:tcBorders>
              <w:top w:val="double" w:sz="4" w:space="0" w:color="auto"/>
              <w:bottom w:val="nil"/>
              <w:right w:val="double" w:sz="4" w:space="0" w:color="auto"/>
            </w:tcBorders>
            <w:noWrap/>
            <w:tcMar>
              <w:left w:w="43" w:type="dxa"/>
              <w:right w:w="43" w:type="dxa"/>
            </w:tcMar>
            <w:vAlign w:val="center"/>
            <w:hideMark/>
          </w:tcPr>
          <w:p w14:paraId="3813FFC7" w14:textId="77777777" w:rsidR="00630A69" w:rsidRPr="00630A69" w:rsidRDefault="00630A69" w:rsidP="00630A69">
            <w:pPr>
              <w:spacing w:after="0" w:line="240" w:lineRule="auto"/>
              <w:jc w:val="left"/>
              <w:rPr>
                <w:rFonts w:eastAsia="Times New Roman"/>
                <w:color w:val="000000" w:themeColor="text1"/>
              </w:rPr>
            </w:pPr>
            <w:r w:rsidRPr="00630A69">
              <w:rPr>
                <w:rFonts w:eastAsia="Times New Roman"/>
                <w:color w:val="000000" w:themeColor="text1"/>
              </w:rPr>
              <w:t>Number of visits to each restaurant segment</w:t>
            </w:r>
          </w:p>
        </w:tc>
        <w:tc>
          <w:tcPr>
            <w:tcW w:w="589" w:type="pct"/>
            <w:tcBorders>
              <w:top w:val="double" w:sz="4" w:space="0" w:color="auto"/>
              <w:left w:val="double" w:sz="4" w:space="0" w:color="auto"/>
              <w:bottom w:val="nil"/>
            </w:tcBorders>
            <w:noWrap/>
            <w:tcMar>
              <w:left w:w="43" w:type="dxa"/>
              <w:right w:w="43" w:type="dxa"/>
            </w:tcMar>
            <w:vAlign w:val="center"/>
            <w:hideMark/>
          </w:tcPr>
          <w:p w14:paraId="72483FD8" w14:textId="77777777" w:rsidR="00630A69" w:rsidRPr="00630A69" w:rsidRDefault="00630A69" w:rsidP="00630A69">
            <w:pPr>
              <w:spacing w:after="0" w:line="240" w:lineRule="auto"/>
              <w:jc w:val="left"/>
              <w:rPr>
                <w:rFonts w:eastAsia="Times New Roman"/>
                <w:color w:val="000000" w:themeColor="text1"/>
              </w:rPr>
            </w:pPr>
            <w:r w:rsidRPr="00630A69">
              <w:rPr>
                <w:rFonts w:eastAsia="Times New Roman"/>
                <w:color w:val="000000" w:themeColor="text1"/>
              </w:rPr>
              <w:t>QSR</w:t>
            </w:r>
          </w:p>
        </w:tc>
        <w:tc>
          <w:tcPr>
            <w:tcW w:w="448" w:type="pct"/>
            <w:tcBorders>
              <w:top w:val="double" w:sz="4" w:space="0" w:color="auto"/>
              <w:bottom w:val="nil"/>
              <w:right w:val="double" w:sz="4" w:space="0" w:color="auto"/>
            </w:tcBorders>
            <w:noWrap/>
            <w:tcMar>
              <w:left w:w="43" w:type="dxa"/>
              <w:right w:w="43" w:type="dxa"/>
            </w:tcMar>
            <w:vAlign w:val="center"/>
            <w:hideMark/>
          </w:tcPr>
          <w:p w14:paraId="58C63768" w14:textId="77777777" w:rsidR="00630A69" w:rsidRPr="00630A69" w:rsidRDefault="00630A69" w:rsidP="00630A69">
            <w:pPr>
              <w:spacing w:after="0" w:line="240" w:lineRule="auto"/>
              <w:jc w:val="left"/>
              <w:rPr>
                <w:rFonts w:eastAsia="Times New Roman"/>
                <w:color w:val="000000" w:themeColor="text1"/>
              </w:rPr>
            </w:pPr>
            <w:r w:rsidRPr="00630A69">
              <w:rPr>
                <w:rFonts w:eastAsia="Times New Roman"/>
                <w:color w:val="000000" w:themeColor="text1"/>
              </w:rPr>
              <w:t>744</w:t>
            </w:r>
          </w:p>
        </w:tc>
        <w:tc>
          <w:tcPr>
            <w:tcW w:w="417" w:type="pct"/>
            <w:tcBorders>
              <w:top w:val="double" w:sz="4" w:space="0" w:color="auto"/>
              <w:left w:val="double" w:sz="4" w:space="0" w:color="auto"/>
              <w:bottom w:val="nil"/>
            </w:tcBorders>
            <w:noWrap/>
            <w:tcMar>
              <w:left w:w="43" w:type="dxa"/>
              <w:right w:w="43" w:type="dxa"/>
            </w:tcMar>
            <w:vAlign w:val="center"/>
            <w:hideMark/>
          </w:tcPr>
          <w:p w14:paraId="47486706" w14:textId="77777777" w:rsidR="00630A69" w:rsidRPr="00630A69" w:rsidRDefault="00630A69" w:rsidP="00630A69">
            <w:pPr>
              <w:spacing w:after="0" w:line="240" w:lineRule="auto"/>
              <w:jc w:val="right"/>
              <w:rPr>
                <w:rFonts w:eastAsia="Times New Roman"/>
                <w:color w:val="000000" w:themeColor="text1"/>
              </w:rPr>
            </w:pPr>
            <w:r w:rsidRPr="00630A69">
              <w:rPr>
                <w:rFonts w:eastAsia="Times New Roman"/>
                <w:color w:val="000000" w:themeColor="text1"/>
              </w:rPr>
              <w:t>540</w:t>
            </w:r>
          </w:p>
        </w:tc>
        <w:tc>
          <w:tcPr>
            <w:tcW w:w="448" w:type="pct"/>
            <w:tcBorders>
              <w:top w:val="double" w:sz="4" w:space="0" w:color="auto"/>
              <w:bottom w:val="nil"/>
            </w:tcBorders>
            <w:noWrap/>
            <w:tcMar>
              <w:left w:w="43" w:type="dxa"/>
              <w:right w:w="43" w:type="dxa"/>
            </w:tcMar>
            <w:vAlign w:val="center"/>
            <w:hideMark/>
          </w:tcPr>
          <w:p w14:paraId="3FA52DA4" w14:textId="77777777" w:rsidR="00630A69" w:rsidRPr="00630A69" w:rsidRDefault="00630A69" w:rsidP="00630A69">
            <w:pPr>
              <w:spacing w:after="0" w:line="240" w:lineRule="auto"/>
              <w:jc w:val="right"/>
              <w:rPr>
                <w:rFonts w:eastAsia="Times New Roman"/>
                <w:color w:val="000000" w:themeColor="text1"/>
              </w:rPr>
            </w:pPr>
            <w:r w:rsidRPr="00630A69">
              <w:rPr>
                <w:rFonts w:eastAsia="Times New Roman"/>
                <w:color w:val="000000" w:themeColor="text1"/>
              </w:rPr>
              <w:t>27.42</w:t>
            </w:r>
          </w:p>
        </w:tc>
        <w:tc>
          <w:tcPr>
            <w:tcW w:w="517" w:type="pct"/>
            <w:vMerge w:val="restart"/>
            <w:tcBorders>
              <w:top w:val="double" w:sz="4" w:space="0" w:color="auto"/>
              <w:bottom w:val="nil"/>
              <w:right w:val="double" w:sz="4" w:space="0" w:color="auto"/>
            </w:tcBorders>
            <w:noWrap/>
            <w:tcMar>
              <w:left w:w="43" w:type="dxa"/>
              <w:right w:w="43" w:type="dxa"/>
            </w:tcMar>
            <w:vAlign w:val="center"/>
            <w:hideMark/>
          </w:tcPr>
          <w:p w14:paraId="3ED4CBF6" w14:textId="77777777" w:rsidR="00630A69" w:rsidRPr="00630A69" w:rsidRDefault="00630A69" w:rsidP="00630A69">
            <w:pPr>
              <w:spacing w:after="0" w:line="240" w:lineRule="auto"/>
              <w:jc w:val="right"/>
              <w:rPr>
                <w:rFonts w:eastAsia="Times New Roman"/>
                <w:color w:val="000000" w:themeColor="text1"/>
              </w:rPr>
            </w:pPr>
            <w:r w:rsidRPr="00630A69">
              <w:rPr>
                <w:rFonts w:eastAsia="Times New Roman"/>
                <w:color w:val="000000" w:themeColor="text1"/>
              </w:rPr>
              <w:t>10.94</w:t>
            </w:r>
          </w:p>
        </w:tc>
        <w:tc>
          <w:tcPr>
            <w:tcW w:w="422" w:type="pct"/>
            <w:tcBorders>
              <w:top w:val="double" w:sz="4" w:space="0" w:color="auto"/>
              <w:left w:val="double" w:sz="4" w:space="0" w:color="auto"/>
            </w:tcBorders>
            <w:noWrap/>
            <w:tcMar>
              <w:left w:w="43" w:type="dxa"/>
              <w:right w:w="43" w:type="dxa"/>
            </w:tcMar>
            <w:vAlign w:val="center"/>
            <w:hideMark/>
          </w:tcPr>
          <w:p w14:paraId="04A17EFA" w14:textId="77777777" w:rsidR="00630A69" w:rsidRPr="00630A69" w:rsidRDefault="00630A69" w:rsidP="00630A69">
            <w:pPr>
              <w:spacing w:after="0" w:line="240" w:lineRule="auto"/>
              <w:jc w:val="right"/>
              <w:rPr>
                <w:rFonts w:eastAsia="Times New Roman"/>
                <w:color w:val="000000" w:themeColor="text1"/>
              </w:rPr>
            </w:pPr>
            <w:r w:rsidRPr="00630A69">
              <w:rPr>
                <w:rFonts w:eastAsia="Calibri"/>
                <w:color w:val="000000" w:themeColor="text1"/>
              </w:rPr>
              <w:t>446</w:t>
            </w:r>
          </w:p>
        </w:tc>
        <w:tc>
          <w:tcPr>
            <w:tcW w:w="443" w:type="pct"/>
            <w:tcBorders>
              <w:top w:val="double" w:sz="4" w:space="0" w:color="auto"/>
            </w:tcBorders>
            <w:noWrap/>
            <w:tcMar>
              <w:left w:w="43" w:type="dxa"/>
              <w:right w:w="43" w:type="dxa"/>
            </w:tcMar>
            <w:vAlign w:val="center"/>
            <w:hideMark/>
          </w:tcPr>
          <w:p w14:paraId="4290F1CB" w14:textId="77777777" w:rsidR="00630A69" w:rsidRPr="00630A69" w:rsidRDefault="00630A69" w:rsidP="00630A69">
            <w:pPr>
              <w:spacing w:after="0" w:line="240" w:lineRule="auto"/>
              <w:jc w:val="right"/>
              <w:rPr>
                <w:rFonts w:eastAsia="Times New Roman"/>
                <w:color w:val="000000" w:themeColor="text1"/>
              </w:rPr>
            </w:pPr>
            <w:r w:rsidRPr="00630A69">
              <w:rPr>
                <w:rFonts w:eastAsia="Calibri"/>
                <w:color w:val="000000" w:themeColor="text1"/>
              </w:rPr>
              <w:t>40.03</w:t>
            </w:r>
          </w:p>
        </w:tc>
        <w:tc>
          <w:tcPr>
            <w:tcW w:w="518" w:type="pct"/>
            <w:vMerge w:val="restart"/>
            <w:tcBorders>
              <w:top w:val="double" w:sz="4" w:space="0" w:color="auto"/>
            </w:tcBorders>
            <w:noWrap/>
            <w:tcMar>
              <w:left w:w="43" w:type="dxa"/>
              <w:right w:w="43" w:type="dxa"/>
            </w:tcMar>
            <w:vAlign w:val="center"/>
            <w:hideMark/>
          </w:tcPr>
          <w:p w14:paraId="4D98E2B2" w14:textId="77777777" w:rsidR="00630A69" w:rsidRPr="00630A69" w:rsidRDefault="00630A69" w:rsidP="00630A69">
            <w:pPr>
              <w:spacing w:after="0" w:line="240" w:lineRule="auto"/>
              <w:jc w:val="right"/>
              <w:rPr>
                <w:rFonts w:eastAsia="Times New Roman"/>
                <w:color w:val="000000" w:themeColor="text1"/>
              </w:rPr>
            </w:pPr>
            <w:r w:rsidRPr="00630A69">
              <w:rPr>
                <w:rFonts w:eastAsia="Calibri"/>
                <w:color w:val="000000" w:themeColor="text1"/>
              </w:rPr>
              <w:t>10.60</w:t>
            </w:r>
          </w:p>
        </w:tc>
      </w:tr>
      <w:tr w:rsidR="00235349" w:rsidRPr="00630A69" w14:paraId="2F6A273F" w14:textId="77777777" w:rsidTr="00235349">
        <w:trPr>
          <w:trHeight w:val="315"/>
        </w:trPr>
        <w:tc>
          <w:tcPr>
            <w:tcW w:w="1199" w:type="pct"/>
            <w:vMerge/>
            <w:tcBorders>
              <w:top w:val="nil"/>
              <w:bottom w:val="nil"/>
              <w:right w:val="double" w:sz="4" w:space="0" w:color="auto"/>
            </w:tcBorders>
            <w:tcMar>
              <w:left w:w="43" w:type="dxa"/>
              <w:right w:w="43" w:type="dxa"/>
            </w:tcMar>
            <w:vAlign w:val="center"/>
            <w:hideMark/>
          </w:tcPr>
          <w:p w14:paraId="3F579124" w14:textId="77777777" w:rsidR="00630A69" w:rsidRPr="00630A69" w:rsidRDefault="00630A69" w:rsidP="00630A69">
            <w:pPr>
              <w:spacing w:after="0" w:line="240" w:lineRule="auto"/>
              <w:jc w:val="left"/>
              <w:rPr>
                <w:rFonts w:eastAsia="Times New Roman"/>
                <w:color w:val="000000" w:themeColor="text1"/>
              </w:rPr>
            </w:pPr>
          </w:p>
        </w:tc>
        <w:tc>
          <w:tcPr>
            <w:tcW w:w="589" w:type="pct"/>
            <w:tcBorders>
              <w:top w:val="nil"/>
              <w:left w:val="double" w:sz="4" w:space="0" w:color="auto"/>
              <w:bottom w:val="nil"/>
            </w:tcBorders>
            <w:noWrap/>
            <w:tcMar>
              <w:left w:w="43" w:type="dxa"/>
              <w:right w:w="43" w:type="dxa"/>
            </w:tcMar>
            <w:vAlign w:val="center"/>
            <w:hideMark/>
          </w:tcPr>
          <w:p w14:paraId="1D67E421" w14:textId="77777777" w:rsidR="00630A69" w:rsidRPr="00630A69" w:rsidRDefault="00630A69" w:rsidP="00630A69">
            <w:pPr>
              <w:spacing w:after="0" w:line="240" w:lineRule="auto"/>
              <w:jc w:val="left"/>
              <w:rPr>
                <w:rFonts w:eastAsia="Times New Roman"/>
                <w:color w:val="000000" w:themeColor="text1"/>
              </w:rPr>
            </w:pPr>
            <w:r w:rsidRPr="00630A69">
              <w:rPr>
                <w:rFonts w:eastAsia="Times New Roman"/>
                <w:color w:val="000000" w:themeColor="text1"/>
              </w:rPr>
              <w:t>CH</w:t>
            </w:r>
          </w:p>
        </w:tc>
        <w:tc>
          <w:tcPr>
            <w:tcW w:w="448" w:type="pct"/>
            <w:tcBorders>
              <w:top w:val="nil"/>
              <w:bottom w:val="nil"/>
              <w:right w:val="double" w:sz="4" w:space="0" w:color="auto"/>
            </w:tcBorders>
            <w:noWrap/>
            <w:tcMar>
              <w:left w:w="43" w:type="dxa"/>
              <w:right w:w="43" w:type="dxa"/>
            </w:tcMar>
            <w:vAlign w:val="center"/>
            <w:hideMark/>
          </w:tcPr>
          <w:p w14:paraId="35A7757E" w14:textId="77777777" w:rsidR="00630A69" w:rsidRPr="00630A69" w:rsidRDefault="00630A69" w:rsidP="00630A69">
            <w:pPr>
              <w:spacing w:after="0" w:line="240" w:lineRule="auto"/>
              <w:jc w:val="left"/>
              <w:rPr>
                <w:rFonts w:eastAsia="Times New Roman"/>
                <w:color w:val="000000" w:themeColor="text1"/>
              </w:rPr>
            </w:pPr>
            <w:r w:rsidRPr="00630A69">
              <w:rPr>
                <w:rFonts w:eastAsia="Times New Roman"/>
                <w:color w:val="000000" w:themeColor="text1"/>
              </w:rPr>
              <w:t>272</w:t>
            </w:r>
          </w:p>
        </w:tc>
        <w:tc>
          <w:tcPr>
            <w:tcW w:w="417" w:type="pct"/>
            <w:tcBorders>
              <w:top w:val="nil"/>
              <w:left w:val="double" w:sz="4" w:space="0" w:color="auto"/>
              <w:bottom w:val="nil"/>
            </w:tcBorders>
            <w:noWrap/>
            <w:tcMar>
              <w:left w:w="43" w:type="dxa"/>
              <w:right w:w="43" w:type="dxa"/>
            </w:tcMar>
            <w:vAlign w:val="center"/>
            <w:hideMark/>
          </w:tcPr>
          <w:p w14:paraId="745342C1" w14:textId="77777777" w:rsidR="00630A69" w:rsidRPr="00630A69" w:rsidRDefault="00630A69" w:rsidP="00630A69">
            <w:pPr>
              <w:spacing w:after="0" w:line="240" w:lineRule="auto"/>
              <w:jc w:val="right"/>
              <w:rPr>
                <w:rFonts w:eastAsia="Times New Roman"/>
                <w:color w:val="000000" w:themeColor="text1"/>
              </w:rPr>
            </w:pPr>
            <w:r w:rsidRPr="00630A69">
              <w:rPr>
                <w:rFonts w:eastAsia="Times New Roman"/>
                <w:color w:val="000000" w:themeColor="text1"/>
              </w:rPr>
              <w:t>192</w:t>
            </w:r>
          </w:p>
        </w:tc>
        <w:tc>
          <w:tcPr>
            <w:tcW w:w="448" w:type="pct"/>
            <w:tcBorders>
              <w:top w:val="nil"/>
              <w:bottom w:val="nil"/>
            </w:tcBorders>
            <w:noWrap/>
            <w:tcMar>
              <w:left w:w="43" w:type="dxa"/>
              <w:right w:w="43" w:type="dxa"/>
            </w:tcMar>
            <w:vAlign w:val="center"/>
            <w:hideMark/>
          </w:tcPr>
          <w:p w14:paraId="3934DA1A" w14:textId="77777777" w:rsidR="00630A69" w:rsidRPr="00630A69" w:rsidRDefault="00630A69" w:rsidP="00630A69">
            <w:pPr>
              <w:spacing w:after="0" w:line="240" w:lineRule="auto"/>
              <w:jc w:val="right"/>
              <w:rPr>
                <w:rFonts w:eastAsia="Times New Roman"/>
                <w:color w:val="000000" w:themeColor="text1"/>
              </w:rPr>
            </w:pPr>
            <w:r w:rsidRPr="00630A69">
              <w:rPr>
                <w:rFonts w:eastAsia="Times New Roman"/>
                <w:color w:val="000000" w:themeColor="text1"/>
              </w:rPr>
              <w:t>29.41</w:t>
            </w:r>
          </w:p>
        </w:tc>
        <w:tc>
          <w:tcPr>
            <w:tcW w:w="517" w:type="pct"/>
            <w:vMerge/>
            <w:tcBorders>
              <w:top w:val="nil"/>
              <w:bottom w:val="nil"/>
              <w:right w:val="double" w:sz="4" w:space="0" w:color="auto"/>
            </w:tcBorders>
            <w:tcMar>
              <w:left w:w="43" w:type="dxa"/>
              <w:right w:w="43" w:type="dxa"/>
            </w:tcMar>
            <w:vAlign w:val="center"/>
            <w:hideMark/>
          </w:tcPr>
          <w:p w14:paraId="3B9FF82E" w14:textId="77777777" w:rsidR="00630A69" w:rsidRPr="00630A69" w:rsidRDefault="00630A69" w:rsidP="00630A69">
            <w:pPr>
              <w:spacing w:after="0" w:line="240" w:lineRule="auto"/>
              <w:jc w:val="left"/>
              <w:rPr>
                <w:rFonts w:eastAsia="Times New Roman"/>
                <w:color w:val="000000" w:themeColor="text1"/>
              </w:rPr>
            </w:pPr>
          </w:p>
        </w:tc>
        <w:tc>
          <w:tcPr>
            <w:tcW w:w="422" w:type="pct"/>
            <w:tcBorders>
              <w:left w:val="double" w:sz="4" w:space="0" w:color="auto"/>
            </w:tcBorders>
            <w:noWrap/>
            <w:tcMar>
              <w:left w:w="43" w:type="dxa"/>
              <w:right w:w="43" w:type="dxa"/>
            </w:tcMar>
            <w:vAlign w:val="center"/>
            <w:hideMark/>
          </w:tcPr>
          <w:p w14:paraId="0300C34C" w14:textId="77777777" w:rsidR="00630A69" w:rsidRPr="00630A69" w:rsidRDefault="00630A69" w:rsidP="00630A69">
            <w:pPr>
              <w:spacing w:after="0" w:line="240" w:lineRule="auto"/>
              <w:jc w:val="right"/>
              <w:rPr>
                <w:rFonts w:eastAsia="Times New Roman"/>
                <w:color w:val="000000" w:themeColor="text1"/>
              </w:rPr>
            </w:pPr>
            <w:r w:rsidRPr="00630A69">
              <w:rPr>
                <w:rFonts w:eastAsia="Calibri"/>
                <w:color w:val="000000" w:themeColor="text1"/>
              </w:rPr>
              <w:t>268</w:t>
            </w:r>
          </w:p>
        </w:tc>
        <w:tc>
          <w:tcPr>
            <w:tcW w:w="443" w:type="pct"/>
            <w:noWrap/>
            <w:tcMar>
              <w:left w:w="43" w:type="dxa"/>
              <w:right w:w="43" w:type="dxa"/>
            </w:tcMar>
            <w:vAlign w:val="center"/>
            <w:hideMark/>
          </w:tcPr>
          <w:p w14:paraId="4F50F221" w14:textId="77777777" w:rsidR="00630A69" w:rsidRPr="00630A69" w:rsidRDefault="00630A69" w:rsidP="00630A69">
            <w:pPr>
              <w:spacing w:after="0" w:line="240" w:lineRule="auto"/>
              <w:jc w:val="right"/>
              <w:rPr>
                <w:rFonts w:eastAsia="Times New Roman"/>
                <w:color w:val="000000" w:themeColor="text1"/>
              </w:rPr>
            </w:pPr>
            <w:r w:rsidRPr="00630A69">
              <w:rPr>
                <w:rFonts w:eastAsia="Calibri"/>
                <w:color w:val="000000" w:themeColor="text1"/>
              </w:rPr>
              <w:t>1.34</w:t>
            </w:r>
          </w:p>
        </w:tc>
        <w:tc>
          <w:tcPr>
            <w:tcW w:w="518" w:type="pct"/>
            <w:vMerge/>
            <w:tcMar>
              <w:left w:w="43" w:type="dxa"/>
              <w:right w:w="43" w:type="dxa"/>
            </w:tcMar>
            <w:vAlign w:val="center"/>
            <w:hideMark/>
          </w:tcPr>
          <w:p w14:paraId="6F65CCAE" w14:textId="77777777" w:rsidR="00630A69" w:rsidRPr="00630A69" w:rsidRDefault="00630A69" w:rsidP="00630A69">
            <w:pPr>
              <w:spacing w:after="0" w:line="240" w:lineRule="auto"/>
              <w:jc w:val="left"/>
              <w:rPr>
                <w:rFonts w:eastAsia="Times New Roman"/>
                <w:color w:val="000000" w:themeColor="text1"/>
              </w:rPr>
            </w:pPr>
          </w:p>
        </w:tc>
      </w:tr>
      <w:tr w:rsidR="00235349" w:rsidRPr="00630A69" w14:paraId="1911CEC0" w14:textId="77777777" w:rsidTr="00235349">
        <w:trPr>
          <w:trHeight w:val="315"/>
        </w:trPr>
        <w:tc>
          <w:tcPr>
            <w:tcW w:w="1199" w:type="pct"/>
            <w:vMerge/>
            <w:tcBorders>
              <w:top w:val="nil"/>
              <w:bottom w:val="nil"/>
              <w:right w:val="double" w:sz="4" w:space="0" w:color="auto"/>
            </w:tcBorders>
            <w:tcMar>
              <w:left w:w="43" w:type="dxa"/>
              <w:right w:w="43" w:type="dxa"/>
            </w:tcMar>
            <w:vAlign w:val="center"/>
            <w:hideMark/>
          </w:tcPr>
          <w:p w14:paraId="1670756E" w14:textId="77777777" w:rsidR="00630A69" w:rsidRPr="00630A69" w:rsidRDefault="00630A69" w:rsidP="00630A69">
            <w:pPr>
              <w:spacing w:after="0" w:line="240" w:lineRule="auto"/>
              <w:jc w:val="left"/>
              <w:rPr>
                <w:rFonts w:eastAsia="Times New Roman"/>
                <w:color w:val="000000" w:themeColor="text1"/>
              </w:rPr>
            </w:pPr>
          </w:p>
        </w:tc>
        <w:tc>
          <w:tcPr>
            <w:tcW w:w="589" w:type="pct"/>
            <w:tcBorders>
              <w:top w:val="nil"/>
              <w:left w:val="double" w:sz="4" w:space="0" w:color="auto"/>
              <w:bottom w:val="nil"/>
            </w:tcBorders>
            <w:noWrap/>
            <w:tcMar>
              <w:left w:w="43" w:type="dxa"/>
              <w:right w:w="43" w:type="dxa"/>
            </w:tcMar>
            <w:vAlign w:val="center"/>
            <w:hideMark/>
          </w:tcPr>
          <w:p w14:paraId="7355B2C2" w14:textId="77777777" w:rsidR="00630A69" w:rsidRPr="00630A69" w:rsidRDefault="00630A69" w:rsidP="00630A69">
            <w:pPr>
              <w:spacing w:after="0" w:line="240" w:lineRule="auto"/>
              <w:jc w:val="left"/>
              <w:rPr>
                <w:rFonts w:eastAsia="Times New Roman"/>
                <w:color w:val="000000" w:themeColor="text1"/>
              </w:rPr>
            </w:pPr>
            <w:r w:rsidRPr="00630A69">
              <w:rPr>
                <w:rFonts w:eastAsia="Times New Roman"/>
                <w:color w:val="000000" w:themeColor="text1"/>
              </w:rPr>
              <w:t>CSR</w:t>
            </w:r>
          </w:p>
        </w:tc>
        <w:tc>
          <w:tcPr>
            <w:tcW w:w="448" w:type="pct"/>
            <w:tcBorders>
              <w:top w:val="nil"/>
              <w:bottom w:val="nil"/>
              <w:right w:val="double" w:sz="4" w:space="0" w:color="auto"/>
            </w:tcBorders>
            <w:noWrap/>
            <w:tcMar>
              <w:left w:w="43" w:type="dxa"/>
              <w:right w:w="43" w:type="dxa"/>
            </w:tcMar>
            <w:vAlign w:val="center"/>
            <w:hideMark/>
          </w:tcPr>
          <w:p w14:paraId="39B7A65A" w14:textId="77777777" w:rsidR="00630A69" w:rsidRPr="00630A69" w:rsidRDefault="00630A69" w:rsidP="00630A69">
            <w:pPr>
              <w:spacing w:after="0" w:line="240" w:lineRule="auto"/>
              <w:jc w:val="left"/>
              <w:rPr>
                <w:rFonts w:eastAsia="Times New Roman"/>
                <w:color w:val="000000" w:themeColor="text1"/>
              </w:rPr>
            </w:pPr>
            <w:r w:rsidRPr="00630A69">
              <w:rPr>
                <w:rFonts w:eastAsia="Times New Roman"/>
                <w:color w:val="000000" w:themeColor="text1"/>
              </w:rPr>
              <w:t>2454</w:t>
            </w:r>
          </w:p>
        </w:tc>
        <w:tc>
          <w:tcPr>
            <w:tcW w:w="417" w:type="pct"/>
            <w:tcBorders>
              <w:top w:val="nil"/>
              <w:left w:val="double" w:sz="4" w:space="0" w:color="auto"/>
              <w:bottom w:val="nil"/>
            </w:tcBorders>
            <w:noWrap/>
            <w:tcMar>
              <w:left w:w="43" w:type="dxa"/>
              <w:right w:w="43" w:type="dxa"/>
            </w:tcMar>
            <w:vAlign w:val="center"/>
            <w:hideMark/>
          </w:tcPr>
          <w:p w14:paraId="5575977F" w14:textId="77777777" w:rsidR="00630A69" w:rsidRPr="00630A69" w:rsidRDefault="00630A69" w:rsidP="00630A69">
            <w:pPr>
              <w:spacing w:after="0" w:line="240" w:lineRule="auto"/>
              <w:jc w:val="right"/>
              <w:rPr>
                <w:rFonts w:eastAsia="Times New Roman"/>
                <w:color w:val="000000" w:themeColor="text1"/>
              </w:rPr>
            </w:pPr>
            <w:r w:rsidRPr="00630A69">
              <w:rPr>
                <w:rFonts w:eastAsia="Times New Roman"/>
                <w:color w:val="000000" w:themeColor="text1"/>
              </w:rPr>
              <w:t>2353</w:t>
            </w:r>
          </w:p>
        </w:tc>
        <w:tc>
          <w:tcPr>
            <w:tcW w:w="448" w:type="pct"/>
            <w:tcBorders>
              <w:top w:val="nil"/>
              <w:bottom w:val="nil"/>
            </w:tcBorders>
            <w:noWrap/>
            <w:tcMar>
              <w:left w:w="43" w:type="dxa"/>
              <w:right w:w="43" w:type="dxa"/>
            </w:tcMar>
            <w:vAlign w:val="center"/>
            <w:hideMark/>
          </w:tcPr>
          <w:p w14:paraId="1B41C3F2" w14:textId="77777777" w:rsidR="00630A69" w:rsidRPr="00630A69" w:rsidRDefault="00630A69" w:rsidP="00630A69">
            <w:pPr>
              <w:spacing w:after="0" w:line="240" w:lineRule="auto"/>
              <w:jc w:val="right"/>
              <w:rPr>
                <w:rFonts w:eastAsia="Times New Roman"/>
                <w:color w:val="000000" w:themeColor="text1"/>
              </w:rPr>
            </w:pPr>
            <w:r w:rsidRPr="00630A69">
              <w:rPr>
                <w:rFonts w:eastAsia="Times New Roman"/>
                <w:color w:val="000000" w:themeColor="text1"/>
              </w:rPr>
              <w:t>4.12</w:t>
            </w:r>
          </w:p>
        </w:tc>
        <w:tc>
          <w:tcPr>
            <w:tcW w:w="517" w:type="pct"/>
            <w:vMerge/>
            <w:tcBorders>
              <w:top w:val="nil"/>
              <w:bottom w:val="nil"/>
              <w:right w:val="double" w:sz="4" w:space="0" w:color="auto"/>
            </w:tcBorders>
            <w:tcMar>
              <w:left w:w="43" w:type="dxa"/>
              <w:right w:w="43" w:type="dxa"/>
            </w:tcMar>
            <w:vAlign w:val="center"/>
            <w:hideMark/>
          </w:tcPr>
          <w:p w14:paraId="4506E877" w14:textId="77777777" w:rsidR="00630A69" w:rsidRPr="00630A69" w:rsidRDefault="00630A69" w:rsidP="00630A69">
            <w:pPr>
              <w:spacing w:after="0" w:line="240" w:lineRule="auto"/>
              <w:jc w:val="left"/>
              <w:rPr>
                <w:rFonts w:eastAsia="Times New Roman"/>
                <w:color w:val="000000" w:themeColor="text1"/>
              </w:rPr>
            </w:pPr>
          </w:p>
        </w:tc>
        <w:tc>
          <w:tcPr>
            <w:tcW w:w="422" w:type="pct"/>
            <w:tcBorders>
              <w:left w:val="double" w:sz="4" w:space="0" w:color="auto"/>
            </w:tcBorders>
            <w:noWrap/>
            <w:tcMar>
              <w:left w:w="43" w:type="dxa"/>
              <w:right w:w="43" w:type="dxa"/>
            </w:tcMar>
            <w:vAlign w:val="center"/>
            <w:hideMark/>
          </w:tcPr>
          <w:p w14:paraId="3510F6FF" w14:textId="77777777" w:rsidR="00630A69" w:rsidRPr="00630A69" w:rsidRDefault="00630A69" w:rsidP="00630A69">
            <w:pPr>
              <w:spacing w:after="0" w:line="240" w:lineRule="auto"/>
              <w:jc w:val="right"/>
              <w:rPr>
                <w:rFonts w:eastAsia="Times New Roman"/>
                <w:color w:val="000000" w:themeColor="text1"/>
              </w:rPr>
            </w:pPr>
            <w:r w:rsidRPr="00630A69">
              <w:rPr>
                <w:rFonts w:eastAsia="Calibri"/>
                <w:color w:val="000000" w:themeColor="text1"/>
              </w:rPr>
              <w:t>2432</w:t>
            </w:r>
          </w:p>
        </w:tc>
        <w:tc>
          <w:tcPr>
            <w:tcW w:w="443" w:type="pct"/>
            <w:noWrap/>
            <w:tcMar>
              <w:left w:w="43" w:type="dxa"/>
              <w:right w:w="43" w:type="dxa"/>
            </w:tcMar>
            <w:vAlign w:val="center"/>
            <w:hideMark/>
          </w:tcPr>
          <w:p w14:paraId="66E05F57" w14:textId="77777777" w:rsidR="00630A69" w:rsidRPr="00630A69" w:rsidRDefault="00630A69" w:rsidP="00630A69">
            <w:pPr>
              <w:spacing w:after="0" w:line="240" w:lineRule="auto"/>
              <w:jc w:val="right"/>
              <w:rPr>
                <w:rFonts w:eastAsia="Times New Roman"/>
                <w:color w:val="000000" w:themeColor="text1"/>
              </w:rPr>
            </w:pPr>
            <w:r w:rsidRPr="00630A69">
              <w:rPr>
                <w:rFonts w:eastAsia="Calibri"/>
                <w:color w:val="000000" w:themeColor="text1"/>
              </w:rPr>
              <w:t>0.89</w:t>
            </w:r>
          </w:p>
        </w:tc>
        <w:tc>
          <w:tcPr>
            <w:tcW w:w="518" w:type="pct"/>
            <w:vMerge/>
            <w:tcMar>
              <w:left w:w="43" w:type="dxa"/>
              <w:right w:w="43" w:type="dxa"/>
            </w:tcMar>
            <w:vAlign w:val="center"/>
            <w:hideMark/>
          </w:tcPr>
          <w:p w14:paraId="48B66A1E" w14:textId="77777777" w:rsidR="00630A69" w:rsidRPr="00630A69" w:rsidRDefault="00630A69" w:rsidP="00630A69">
            <w:pPr>
              <w:spacing w:after="0" w:line="240" w:lineRule="auto"/>
              <w:jc w:val="left"/>
              <w:rPr>
                <w:rFonts w:eastAsia="Times New Roman"/>
                <w:color w:val="000000" w:themeColor="text1"/>
              </w:rPr>
            </w:pPr>
          </w:p>
        </w:tc>
      </w:tr>
      <w:tr w:rsidR="00235349" w:rsidRPr="00630A69" w14:paraId="12B7C887" w14:textId="77777777" w:rsidTr="00235349">
        <w:trPr>
          <w:trHeight w:val="315"/>
        </w:trPr>
        <w:tc>
          <w:tcPr>
            <w:tcW w:w="1199" w:type="pct"/>
            <w:vMerge/>
            <w:tcBorders>
              <w:top w:val="nil"/>
              <w:bottom w:val="double" w:sz="4" w:space="0" w:color="auto"/>
              <w:right w:val="double" w:sz="4" w:space="0" w:color="auto"/>
            </w:tcBorders>
            <w:tcMar>
              <w:left w:w="43" w:type="dxa"/>
              <w:right w:w="43" w:type="dxa"/>
            </w:tcMar>
            <w:vAlign w:val="center"/>
            <w:hideMark/>
          </w:tcPr>
          <w:p w14:paraId="5B356B06" w14:textId="77777777" w:rsidR="00630A69" w:rsidRPr="00630A69" w:rsidRDefault="00630A69" w:rsidP="00630A69">
            <w:pPr>
              <w:spacing w:after="0" w:line="240" w:lineRule="auto"/>
              <w:jc w:val="left"/>
              <w:rPr>
                <w:rFonts w:eastAsia="Times New Roman"/>
                <w:color w:val="000000" w:themeColor="text1"/>
              </w:rPr>
            </w:pPr>
          </w:p>
        </w:tc>
        <w:tc>
          <w:tcPr>
            <w:tcW w:w="589" w:type="pct"/>
            <w:tcBorders>
              <w:top w:val="nil"/>
              <w:left w:val="double" w:sz="4" w:space="0" w:color="auto"/>
              <w:bottom w:val="double" w:sz="4" w:space="0" w:color="auto"/>
            </w:tcBorders>
            <w:noWrap/>
            <w:tcMar>
              <w:left w:w="43" w:type="dxa"/>
              <w:right w:w="43" w:type="dxa"/>
            </w:tcMar>
            <w:vAlign w:val="center"/>
            <w:hideMark/>
          </w:tcPr>
          <w:p w14:paraId="2B57A5C4" w14:textId="77777777" w:rsidR="00630A69" w:rsidRPr="00630A69" w:rsidRDefault="00630A69" w:rsidP="00630A69">
            <w:pPr>
              <w:spacing w:after="0" w:line="240" w:lineRule="auto"/>
              <w:jc w:val="left"/>
              <w:rPr>
                <w:rFonts w:eastAsia="Times New Roman"/>
                <w:color w:val="000000" w:themeColor="text1"/>
              </w:rPr>
            </w:pPr>
            <w:r w:rsidRPr="00630A69">
              <w:rPr>
                <w:rFonts w:eastAsia="Times New Roman"/>
                <w:color w:val="000000" w:themeColor="text1"/>
              </w:rPr>
              <w:t>FSR</w:t>
            </w:r>
          </w:p>
        </w:tc>
        <w:tc>
          <w:tcPr>
            <w:tcW w:w="448" w:type="pct"/>
            <w:tcBorders>
              <w:top w:val="nil"/>
              <w:bottom w:val="double" w:sz="4" w:space="0" w:color="auto"/>
              <w:right w:val="double" w:sz="4" w:space="0" w:color="auto"/>
            </w:tcBorders>
            <w:noWrap/>
            <w:tcMar>
              <w:left w:w="43" w:type="dxa"/>
              <w:right w:w="43" w:type="dxa"/>
            </w:tcMar>
            <w:vAlign w:val="center"/>
            <w:hideMark/>
          </w:tcPr>
          <w:p w14:paraId="5C7F08D9" w14:textId="77777777" w:rsidR="00630A69" w:rsidRPr="00630A69" w:rsidRDefault="00630A69" w:rsidP="00630A69">
            <w:pPr>
              <w:spacing w:after="0" w:line="240" w:lineRule="auto"/>
              <w:jc w:val="left"/>
              <w:rPr>
                <w:rFonts w:eastAsia="Times New Roman"/>
                <w:color w:val="000000" w:themeColor="text1"/>
              </w:rPr>
            </w:pPr>
            <w:r w:rsidRPr="00630A69">
              <w:rPr>
                <w:rFonts w:eastAsia="Times New Roman"/>
                <w:color w:val="000000" w:themeColor="text1"/>
              </w:rPr>
              <w:t>370</w:t>
            </w:r>
          </w:p>
        </w:tc>
        <w:tc>
          <w:tcPr>
            <w:tcW w:w="417" w:type="pct"/>
            <w:tcBorders>
              <w:top w:val="nil"/>
              <w:left w:val="double" w:sz="4" w:space="0" w:color="auto"/>
              <w:bottom w:val="double" w:sz="4" w:space="0" w:color="auto"/>
            </w:tcBorders>
            <w:noWrap/>
            <w:tcMar>
              <w:left w:w="43" w:type="dxa"/>
              <w:right w:w="43" w:type="dxa"/>
            </w:tcMar>
            <w:vAlign w:val="center"/>
            <w:hideMark/>
          </w:tcPr>
          <w:p w14:paraId="108352F6" w14:textId="77777777" w:rsidR="00630A69" w:rsidRPr="00630A69" w:rsidRDefault="00630A69" w:rsidP="00630A69">
            <w:pPr>
              <w:spacing w:after="0" w:line="240" w:lineRule="auto"/>
              <w:jc w:val="right"/>
              <w:rPr>
                <w:rFonts w:eastAsia="Times New Roman"/>
                <w:color w:val="000000" w:themeColor="text1"/>
              </w:rPr>
            </w:pPr>
            <w:r w:rsidRPr="00630A69">
              <w:rPr>
                <w:rFonts w:eastAsia="Times New Roman"/>
                <w:color w:val="000000" w:themeColor="text1"/>
              </w:rPr>
              <w:t>405</w:t>
            </w:r>
          </w:p>
        </w:tc>
        <w:tc>
          <w:tcPr>
            <w:tcW w:w="448" w:type="pct"/>
            <w:tcBorders>
              <w:top w:val="nil"/>
              <w:bottom w:val="double" w:sz="4" w:space="0" w:color="auto"/>
            </w:tcBorders>
            <w:noWrap/>
            <w:tcMar>
              <w:left w:w="43" w:type="dxa"/>
              <w:right w:w="43" w:type="dxa"/>
            </w:tcMar>
            <w:vAlign w:val="center"/>
            <w:hideMark/>
          </w:tcPr>
          <w:p w14:paraId="191270F3" w14:textId="77777777" w:rsidR="00630A69" w:rsidRPr="00630A69" w:rsidRDefault="00630A69" w:rsidP="00630A69">
            <w:pPr>
              <w:spacing w:after="0" w:line="240" w:lineRule="auto"/>
              <w:jc w:val="right"/>
              <w:rPr>
                <w:rFonts w:eastAsia="Times New Roman"/>
                <w:color w:val="000000" w:themeColor="text1"/>
              </w:rPr>
            </w:pPr>
            <w:r w:rsidRPr="00630A69">
              <w:rPr>
                <w:rFonts w:eastAsia="Times New Roman"/>
                <w:color w:val="000000" w:themeColor="text1"/>
              </w:rPr>
              <w:t>9.46</w:t>
            </w:r>
          </w:p>
        </w:tc>
        <w:tc>
          <w:tcPr>
            <w:tcW w:w="517" w:type="pct"/>
            <w:vMerge/>
            <w:tcBorders>
              <w:top w:val="nil"/>
              <w:bottom w:val="double" w:sz="4" w:space="0" w:color="auto"/>
              <w:right w:val="double" w:sz="4" w:space="0" w:color="auto"/>
            </w:tcBorders>
            <w:tcMar>
              <w:left w:w="43" w:type="dxa"/>
              <w:right w:w="43" w:type="dxa"/>
            </w:tcMar>
            <w:vAlign w:val="center"/>
            <w:hideMark/>
          </w:tcPr>
          <w:p w14:paraId="7383DBFD" w14:textId="77777777" w:rsidR="00630A69" w:rsidRPr="00630A69" w:rsidRDefault="00630A69" w:rsidP="00630A69">
            <w:pPr>
              <w:spacing w:after="0" w:line="240" w:lineRule="auto"/>
              <w:jc w:val="left"/>
              <w:rPr>
                <w:rFonts w:eastAsia="Times New Roman"/>
                <w:color w:val="000000" w:themeColor="text1"/>
              </w:rPr>
            </w:pPr>
          </w:p>
        </w:tc>
        <w:tc>
          <w:tcPr>
            <w:tcW w:w="422" w:type="pct"/>
            <w:tcBorders>
              <w:left w:val="double" w:sz="4" w:space="0" w:color="auto"/>
            </w:tcBorders>
            <w:noWrap/>
            <w:tcMar>
              <w:left w:w="43" w:type="dxa"/>
              <w:right w:w="43" w:type="dxa"/>
            </w:tcMar>
            <w:vAlign w:val="center"/>
            <w:hideMark/>
          </w:tcPr>
          <w:p w14:paraId="249B5E37" w14:textId="77777777" w:rsidR="00630A69" w:rsidRPr="00630A69" w:rsidRDefault="00630A69" w:rsidP="00630A69">
            <w:pPr>
              <w:spacing w:after="0" w:line="240" w:lineRule="auto"/>
              <w:jc w:val="right"/>
              <w:rPr>
                <w:rFonts w:eastAsia="Times New Roman"/>
                <w:color w:val="000000" w:themeColor="text1"/>
              </w:rPr>
            </w:pPr>
            <w:r w:rsidRPr="00630A69">
              <w:rPr>
                <w:rFonts w:eastAsia="Calibri"/>
                <w:color w:val="000000" w:themeColor="text1"/>
              </w:rPr>
              <w:t>453</w:t>
            </w:r>
          </w:p>
        </w:tc>
        <w:tc>
          <w:tcPr>
            <w:tcW w:w="443" w:type="pct"/>
            <w:noWrap/>
            <w:tcMar>
              <w:left w:w="43" w:type="dxa"/>
              <w:right w:w="43" w:type="dxa"/>
            </w:tcMar>
            <w:vAlign w:val="center"/>
            <w:hideMark/>
          </w:tcPr>
          <w:p w14:paraId="777A2DA2" w14:textId="77777777" w:rsidR="00630A69" w:rsidRPr="00630A69" w:rsidRDefault="00630A69" w:rsidP="00630A69">
            <w:pPr>
              <w:spacing w:after="0" w:line="240" w:lineRule="auto"/>
              <w:jc w:val="right"/>
              <w:rPr>
                <w:rFonts w:eastAsia="Times New Roman"/>
                <w:color w:val="000000" w:themeColor="text1"/>
              </w:rPr>
            </w:pPr>
            <w:r w:rsidRPr="00630A69">
              <w:rPr>
                <w:rFonts w:eastAsia="Calibri"/>
                <w:color w:val="000000" w:themeColor="text1"/>
              </w:rPr>
              <w:t>22.53</w:t>
            </w:r>
          </w:p>
        </w:tc>
        <w:tc>
          <w:tcPr>
            <w:tcW w:w="518" w:type="pct"/>
            <w:vMerge/>
            <w:tcMar>
              <w:left w:w="43" w:type="dxa"/>
              <w:right w:w="43" w:type="dxa"/>
            </w:tcMar>
            <w:vAlign w:val="center"/>
            <w:hideMark/>
          </w:tcPr>
          <w:p w14:paraId="25358EE6" w14:textId="77777777" w:rsidR="00630A69" w:rsidRPr="00630A69" w:rsidRDefault="00630A69" w:rsidP="00630A69">
            <w:pPr>
              <w:spacing w:after="0" w:line="240" w:lineRule="auto"/>
              <w:jc w:val="left"/>
              <w:rPr>
                <w:rFonts w:eastAsia="Times New Roman"/>
                <w:color w:val="000000" w:themeColor="text1"/>
              </w:rPr>
            </w:pPr>
          </w:p>
        </w:tc>
      </w:tr>
    </w:tbl>
    <w:p w14:paraId="2F9494A6" w14:textId="77777777" w:rsidR="00630A69" w:rsidRPr="00D14CD7" w:rsidRDefault="00630A69" w:rsidP="00630A69">
      <w:pPr>
        <w:rPr>
          <w:color w:val="000000" w:themeColor="text1"/>
        </w:rPr>
      </w:pPr>
    </w:p>
    <w:p w14:paraId="23CA0BA0" w14:textId="192CBAD7" w:rsidR="002961D7" w:rsidRPr="00D14CD7" w:rsidRDefault="002961D7" w:rsidP="005B6BB0">
      <w:pPr>
        <w:rPr>
          <w:color w:val="000000" w:themeColor="text1"/>
          <w:sz w:val="22"/>
          <w:szCs w:val="22"/>
        </w:rPr>
      </w:pPr>
    </w:p>
    <w:p w14:paraId="6408890B" w14:textId="77777777" w:rsidR="002961D7" w:rsidRPr="00D14CD7" w:rsidRDefault="002961D7" w:rsidP="005B6BB0">
      <w:pPr>
        <w:rPr>
          <w:color w:val="000000" w:themeColor="text1"/>
          <w:sz w:val="22"/>
          <w:szCs w:val="22"/>
        </w:rPr>
      </w:pPr>
    </w:p>
    <w:p w14:paraId="3F4963AF" w14:textId="77777777" w:rsidR="005B6BB0" w:rsidRPr="00D14CD7" w:rsidRDefault="005B6BB0" w:rsidP="005B6BB0">
      <w:pPr>
        <w:rPr>
          <w:color w:val="000000" w:themeColor="text1"/>
        </w:rPr>
      </w:pPr>
    </w:p>
    <w:p w14:paraId="7FB1235E" w14:textId="10EC9D50" w:rsidR="00352714" w:rsidRPr="00D14CD7" w:rsidRDefault="00352714" w:rsidP="005B6BB0">
      <w:pPr>
        <w:rPr>
          <w:color w:val="000000" w:themeColor="text1"/>
        </w:rPr>
      </w:pPr>
    </w:p>
    <w:p w14:paraId="02F18382" w14:textId="006030DF" w:rsidR="00352714" w:rsidRPr="00D14CD7" w:rsidRDefault="00352714" w:rsidP="005B6BB0">
      <w:pPr>
        <w:rPr>
          <w:color w:val="000000" w:themeColor="text1"/>
        </w:rPr>
        <w:sectPr w:rsidR="00352714" w:rsidRPr="00D14CD7" w:rsidSect="00630A69">
          <w:pgSz w:w="15840" w:h="12240" w:orient="landscape"/>
          <w:pgMar w:top="1440" w:right="1440" w:bottom="1440" w:left="1440" w:header="720" w:footer="720" w:gutter="0"/>
          <w:cols w:space="720"/>
          <w:docGrid w:linePitch="360"/>
        </w:sectPr>
      </w:pPr>
      <w:r w:rsidRPr="00D14CD7">
        <w:rPr>
          <w:color w:val="000000" w:themeColor="text1"/>
        </w:rPr>
        <w:t xml:space="preserve">  </w:t>
      </w:r>
    </w:p>
    <w:p w14:paraId="7A400EA9" w14:textId="74C47B61" w:rsidR="00A4347B" w:rsidRPr="00D14CD7" w:rsidRDefault="00F030EF" w:rsidP="00630A69">
      <w:pPr>
        <w:pStyle w:val="Caption"/>
        <w:spacing w:after="120"/>
        <w:rPr>
          <w:b/>
          <w:i w:val="0"/>
          <w:color w:val="000000" w:themeColor="text1"/>
          <w:sz w:val="24"/>
          <w:szCs w:val="24"/>
        </w:rPr>
      </w:pPr>
      <w:r w:rsidRPr="00D14CD7">
        <w:rPr>
          <w:b/>
          <w:i w:val="0"/>
          <w:color w:val="000000" w:themeColor="text1"/>
          <w:sz w:val="24"/>
          <w:szCs w:val="24"/>
        </w:rPr>
        <w:lastRenderedPageBreak/>
        <w:t xml:space="preserve">Table </w:t>
      </w:r>
      <w:r w:rsidR="00BE151D" w:rsidRPr="00D14CD7">
        <w:rPr>
          <w:b/>
          <w:i w:val="0"/>
          <w:color w:val="000000" w:themeColor="text1"/>
          <w:sz w:val="24"/>
          <w:szCs w:val="24"/>
        </w:rPr>
        <w:t>9</w:t>
      </w:r>
      <w:r w:rsidR="00136A69" w:rsidRPr="00D14CD7">
        <w:rPr>
          <w:b/>
          <w:i w:val="0"/>
          <w:color w:val="000000" w:themeColor="text1"/>
          <w:sz w:val="24"/>
          <w:szCs w:val="24"/>
        </w:rPr>
        <w:t xml:space="preserve">. </w:t>
      </w:r>
      <w:r w:rsidR="00A4347B" w:rsidRPr="00D14CD7">
        <w:rPr>
          <w:b/>
          <w:i w:val="0"/>
          <w:color w:val="000000" w:themeColor="text1"/>
          <w:sz w:val="24"/>
          <w:szCs w:val="24"/>
        </w:rPr>
        <w:t xml:space="preserve">Average Treatment Effect (ATE) for all </w:t>
      </w:r>
      <w:r w:rsidR="00F6769E" w:rsidRPr="00D14CD7">
        <w:rPr>
          <w:b/>
          <w:i w:val="0"/>
          <w:color w:val="000000" w:themeColor="text1"/>
          <w:sz w:val="24"/>
          <w:szCs w:val="24"/>
        </w:rPr>
        <w:t>exogenous</w:t>
      </w:r>
      <w:r w:rsidR="00A4347B" w:rsidRPr="00D14CD7">
        <w:rPr>
          <w:b/>
          <w:i w:val="0"/>
          <w:color w:val="000000" w:themeColor="text1"/>
          <w:sz w:val="24"/>
          <w:szCs w:val="24"/>
        </w:rPr>
        <w:t xml:space="preserve"> variables</w:t>
      </w:r>
    </w:p>
    <w:tbl>
      <w:tblPr>
        <w:tblStyle w:val="TableGrid"/>
        <w:tblW w:w="5000" w:type="pct"/>
        <w:tblBorders>
          <w:top w:val="double" w:sz="4" w:space="0" w:color="auto"/>
          <w:left w:val="double" w:sz="4" w:space="0" w:color="auto"/>
          <w:bottom w:val="double" w:sz="4" w:space="0" w:color="auto"/>
          <w:right w:val="double" w:sz="4" w:space="0" w:color="auto"/>
        </w:tblBorders>
        <w:tblCellMar>
          <w:left w:w="29" w:type="dxa"/>
          <w:right w:w="29" w:type="dxa"/>
        </w:tblCellMar>
        <w:tblLook w:val="04A0" w:firstRow="1" w:lastRow="0" w:firstColumn="1" w:lastColumn="0" w:noHBand="0" w:noVBand="1"/>
      </w:tblPr>
      <w:tblGrid>
        <w:gridCol w:w="1877"/>
        <w:gridCol w:w="1704"/>
        <w:gridCol w:w="1612"/>
        <w:gridCol w:w="581"/>
        <w:gridCol w:w="624"/>
        <w:gridCol w:w="534"/>
        <w:gridCol w:w="624"/>
        <w:gridCol w:w="534"/>
        <w:gridCol w:w="581"/>
        <w:gridCol w:w="624"/>
        <w:gridCol w:w="534"/>
        <w:gridCol w:w="624"/>
        <w:gridCol w:w="626"/>
        <w:gridCol w:w="624"/>
        <w:gridCol w:w="624"/>
        <w:gridCol w:w="713"/>
        <w:gridCol w:w="625"/>
        <w:gridCol w:w="705"/>
      </w:tblGrid>
      <w:tr w:rsidR="00D14CD7" w:rsidRPr="00D14CD7" w14:paraId="70CE7454" w14:textId="77777777" w:rsidTr="00170887">
        <w:trPr>
          <w:tblHeader/>
        </w:trPr>
        <w:tc>
          <w:tcPr>
            <w:tcW w:w="654" w:type="pct"/>
            <w:vMerge w:val="restart"/>
            <w:tcBorders>
              <w:top w:val="double" w:sz="4" w:space="0" w:color="auto"/>
              <w:left w:val="double" w:sz="4" w:space="0" w:color="auto"/>
              <w:bottom w:val="double" w:sz="4" w:space="0" w:color="auto"/>
              <w:right w:val="double" w:sz="4" w:space="0" w:color="auto"/>
            </w:tcBorders>
            <w:vAlign w:val="center"/>
          </w:tcPr>
          <w:p w14:paraId="019B222E" w14:textId="1A7B77D9" w:rsidR="00170887" w:rsidRPr="00D14CD7" w:rsidRDefault="00170887" w:rsidP="00170887">
            <w:pPr>
              <w:jc w:val="left"/>
              <w:rPr>
                <w:b/>
                <w:color w:val="000000" w:themeColor="text1"/>
                <w:sz w:val="20"/>
                <w:szCs w:val="20"/>
              </w:rPr>
            </w:pPr>
            <w:r w:rsidRPr="00D14CD7">
              <w:rPr>
                <w:b/>
                <w:color w:val="000000" w:themeColor="text1"/>
                <w:sz w:val="20"/>
                <w:szCs w:val="20"/>
              </w:rPr>
              <w:t>Variables</w:t>
            </w:r>
          </w:p>
        </w:tc>
        <w:tc>
          <w:tcPr>
            <w:tcW w:w="594" w:type="pct"/>
            <w:vMerge w:val="restart"/>
            <w:tcBorders>
              <w:top w:val="double" w:sz="4" w:space="0" w:color="auto"/>
              <w:left w:val="double" w:sz="4" w:space="0" w:color="auto"/>
              <w:bottom w:val="double" w:sz="4" w:space="0" w:color="auto"/>
              <w:right w:val="double" w:sz="4" w:space="0" w:color="auto"/>
            </w:tcBorders>
            <w:vAlign w:val="center"/>
          </w:tcPr>
          <w:p w14:paraId="377AFB1B" w14:textId="77777777" w:rsidR="00170887" w:rsidRPr="00D14CD7" w:rsidRDefault="00170887" w:rsidP="00170887">
            <w:pPr>
              <w:jc w:val="left"/>
              <w:rPr>
                <w:b/>
                <w:color w:val="000000" w:themeColor="text1"/>
                <w:sz w:val="20"/>
                <w:szCs w:val="20"/>
              </w:rPr>
            </w:pPr>
            <w:r w:rsidRPr="00D14CD7">
              <w:rPr>
                <w:b/>
                <w:color w:val="000000" w:themeColor="text1"/>
                <w:sz w:val="20"/>
                <w:szCs w:val="20"/>
              </w:rPr>
              <w:t>Base Level</w:t>
            </w:r>
          </w:p>
        </w:tc>
        <w:tc>
          <w:tcPr>
            <w:tcW w:w="562" w:type="pct"/>
            <w:vMerge w:val="restart"/>
            <w:tcBorders>
              <w:top w:val="double" w:sz="4" w:space="0" w:color="auto"/>
              <w:left w:val="double" w:sz="4" w:space="0" w:color="auto"/>
              <w:bottom w:val="double" w:sz="4" w:space="0" w:color="auto"/>
              <w:right w:val="double" w:sz="4" w:space="0" w:color="auto"/>
            </w:tcBorders>
            <w:vAlign w:val="center"/>
          </w:tcPr>
          <w:p w14:paraId="03FFFDBA" w14:textId="77777777" w:rsidR="00170887" w:rsidRPr="00D14CD7" w:rsidRDefault="00170887" w:rsidP="00170887">
            <w:pPr>
              <w:jc w:val="left"/>
              <w:rPr>
                <w:b/>
                <w:color w:val="000000" w:themeColor="text1"/>
                <w:sz w:val="20"/>
                <w:szCs w:val="20"/>
              </w:rPr>
            </w:pPr>
            <w:r w:rsidRPr="00D14CD7">
              <w:rPr>
                <w:b/>
                <w:color w:val="000000" w:themeColor="text1"/>
                <w:sz w:val="20"/>
                <w:szCs w:val="20"/>
              </w:rPr>
              <w:t>Treatment Level</w:t>
            </w:r>
          </w:p>
        </w:tc>
        <w:tc>
          <w:tcPr>
            <w:tcW w:w="1012" w:type="pct"/>
            <w:gridSpan w:val="5"/>
            <w:tcBorders>
              <w:top w:val="double" w:sz="4" w:space="0" w:color="auto"/>
              <w:left w:val="double" w:sz="4" w:space="0" w:color="auto"/>
              <w:bottom w:val="single" w:sz="4" w:space="0" w:color="auto"/>
              <w:right w:val="double" w:sz="4" w:space="0" w:color="auto"/>
            </w:tcBorders>
            <w:vAlign w:val="center"/>
          </w:tcPr>
          <w:p w14:paraId="0EB56905" w14:textId="77777777" w:rsidR="00170887" w:rsidRPr="00D14CD7" w:rsidRDefault="00170887" w:rsidP="00170887">
            <w:pPr>
              <w:jc w:val="center"/>
              <w:rPr>
                <w:color w:val="000000" w:themeColor="text1"/>
                <w:sz w:val="20"/>
                <w:szCs w:val="20"/>
              </w:rPr>
            </w:pPr>
            <w:r w:rsidRPr="00D14CD7">
              <w:rPr>
                <w:rFonts w:eastAsia="Times New Roman"/>
                <w:b/>
                <w:bCs/>
                <w:color w:val="000000" w:themeColor="text1"/>
                <w:sz w:val="20"/>
                <w:szCs w:val="20"/>
              </w:rPr>
              <w:t>Base level</w:t>
            </w:r>
          </w:p>
        </w:tc>
        <w:tc>
          <w:tcPr>
            <w:tcW w:w="1029" w:type="pct"/>
            <w:gridSpan w:val="5"/>
            <w:tcBorders>
              <w:top w:val="double" w:sz="4" w:space="0" w:color="auto"/>
              <w:left w:val="double" w:sz="4" w:space="0" w:color="auto"/>
              <w:bottom w:val="single" w:sz="4" w:space="0" w:color="auto"/>
              <w:right w:val="double" w:sz="4" w:space="0" w:color="auto"/>
            </w:tcBorders>
            <w:vAlign w:val="center"/>
          </w:tcPr>
          <w:p w14:paraId="608A8AE1" w14:textId="5E5A09B1" w:rsidR="00170887" w:rsidRPr="00D14CD7" w:rsidRDefault="00170887" w:rsidP="00170887">
            <w:pPr>
              <w:jc w:val="center"/>
              <w:rPr>
                <w:color w:val="000000" w:themeColor="text1"/>
                <w:sz w:val="20"/>
                <w:szCs w:val="20"/>
              </w:rPr>
            </w:pPr>
            <w:r w:rsidRPr="00D14CD7">
              <w:rPr>
                <w:rFonts w:eastAsia="Times New Roman"/>
                <w:b/>
                <w:bCs/>
                <w:color w:val="000000" w:themeColor="text1"/>
                <w:sz w:val="20"/>
                <w:szCs w:val="20"/>
              </w:rPr>
              <w:t xml:space="preserve">Treatment level </w:t>
            </w:r>
          </w:p>
        </w:tc>
        <w:tc>
          <w:tcPr>
            <w:tcW w:w="1150" w:type="pct"/>
            <w:gridSpan w:val="5"/>
            <w:tcBorders>
              <w:top w:val="double" w:sz="4" w:space="0" w:color="auto"/>
              <w:left w:val="double" w:sz="4" w:space="0" w:color="auto"/>
              <w:bottom w:val="single" w:sz="4" w:space="0" w:color="auto"/>
            </w:tcBorders>
            <w:vAlign w:val="center"/>
          </w:tcPr>
          <w:p w14:paraId="3DFEBE11" w14:textId="77777777" w:rsidR="00170887" w:rsidRPr="00D14CD7" w:rsidRDefault="00170887" w:rsidP="00170887">
            <w:pPr>
              <w:jc w:val="center"/>
              <w:rPr>
                <w:color w:val="000000" w:themeColor="text1"/>
                <w:sz w:val="20"/>
                <w:szCs w:val="20"/>
              </w:rPr>
            </w:pPr>
            <w:r w:rsidRPr="00D14CD7">
              <w:rPr>
                <w:rFonts w:eastAsia="Times New Roman"/>
                <w:b/>
                <w:bCs/>
                <w:color w:val="000000" w:themeColor="text1"/>
                <w:sz w:val="20"/>
                <w:szCs w:val="20"/>
              </w:rPr>
              <w:t>ATE (% shift)</w:t>
            </w:r>
          </w:p>
        </w:tc>
      </w:tr>
      <w:tr w:rsidR="00D14CD7" w:rsidRPr="00D14CD7" w14:paraId="76DCFC3B" w14:textId="77777777" w:rsidTr="00170887">
        <w:trPr>
          <w:tblHeader/>
        </w:trPr>
        <w:tc>
          <w:tcPr>
            <w:tcW w:w="654" w:type="pct"/>
            <w:vMerge/>
            <w:tcBorders>
              <w:top w:val="double" w:sz="4" w:space="0" w:color="auto"/>
              <w:left w:val="double" w:sz="4" w:space="0" w:color="auto"/>
              <w:bottom w:val="double" w:sz="4" w:space="0" w:color="auto"/>
              <w:right w:val="double" w:sz="4" w:space="0" w:color="auto"/>
            </w:tcBorders>
          </w:tcPr>
          <w:p w14:paraId="3B51B8C5" w14:textId="77777777" w:rsidR="00170887" w:rsidRPr="00D14CD7" w:rsidRDefault="00170887" w:rsidP="00170887">
            <w:pPr>
              <w:jc w:val="left"/>
              <w:rPr>
                <w:color w:val="000000" w:themeColor="text1"/>
                <w:sz w:val="20"/>
                <w:szCs w:val="20"/>
              </w:rPr>
            </w:pPr>
          </w:p>
        </w:tc>
        <w:tc>
          <w:tcPr>
            <w:tcW w:w="594" w:type="pct"/>
            <w:vMerge/>
            <w:tcBorders>
              <w:top w:val="single" w:sz="4" w:space="0" w:color="auto"/>
              <w:left w:val="double" w:sz="4" w:space="0" w:color="auto"/>
              <w:bottom w:val="double" w:sz="4" w:space="0" w:color="auto"/>
              <w:right w:val="double" w:sz="4" w:space="0" w:color="auto"/>
            </w:tcBorders>
          </w:tcPr>
          <w:p w14:paraId="492A39F4" w14:textId="77777777" w:rsidR="00170887" w:rsidRPr="00D14CD7" w:rsidRDefault="00170887" w:rsidP="00170887">
            <w:pPr>
              <w:jc w:val="left"/>
              <w:rPr>
                <w:color w:val="000000" w:themeColor="text1"/>
                <w:sz w:val="20"/>
                <w:szCs w:val="20"/>
              </w:rPr>
            </w:pPr>
          </w:p>
        </w:tc>
        <w:tc>
          <w:tcPr>
            <w:tcW w:w="562" w:type="pct"/>
            <w:vMerge/>
            <w:tcBorders>
              <w:top w:val="single" w:sz="4" w:space="0" w:color="auto"/>
              <w:left w:val="double" w:sz="4" w:space="0" w:color="auto"/>
              <w:bottom w:val="double" w:sz="4" w:space="0" w:color="auto"/>
              <w:right w:val="double" w:sz="4" w:space="0" w:color="auto"/>
            </w:tcBorders>
          </w:tcPr>
          <w:p w14:paraId="73FE1E0E" w14:textId="77777777" w:rsidR="00170887" w:rsidRPr="00D14CD7" w:rsidRDefault="00170887" w:rsidP="00170887">
            <w:pPr>
              <w:jc w:val="left"/>
              <w:rPr>
                <w:color w:val="000000" w:themeColor="text1"/>
                <w:sz w:val="20"/>
                <w:szCs w:val="20"/>
              </w:rPr>
            </w:pPr>
          </w:p>
        </w:tc>
        <w:tc>
          <w:tcPr>
            <w:tcW w:w="202" w:type="pct"/>
            <w:vMerge w:val="restart"/>
            <w:tcBorders>
              <w:top w:val="single" w:sz="4" w:space="0" w:color="auto"/>
              <w:left w:val="double" w:sz="4" w:space="0" w:color="auto"/>
              <w:bottom w:val="single" w:sz="4" w:space="0" w:color="auto"/>
            </w:tcBorders>
            <w:vAlign w:val="center"/>
          </w:tcPr>
          <w:p w14:paraId="76D3E5CF" w14:textId="77777777" w:rsidR="00170887" w:rsidRPr="00D14CD7" w:rsidRDefault="00170887" w:rsidP="00170887">
            <w:pPr>
              <w:jc w:val="center"/>
              <w:rPr>
                <w:b/>
                <w:color w:val="000000" w:themeColor="text1"/>
                <w:sz w:val="20"/>
                <w:szCs w:val="20"/>
              </w:rPr>
            </w:pPr>
            <w:r w:rsidRPr="00D14CD7">
              <w:rPr>
                <w:b/>
                <w:color w:val="000000" w:themeColor="text1"/>
                <w:sz w:val="20"/>
                <w:szCs w:val="20"/>
              </w:rPr>
              <w:t>Total eat-outs per capita</w:t>
            </w:r>
          </w:p>
        </w:tc>
        <w:tc>
          <w:tcPr>
            <w:tcW w:w="810" w:type="pct"/>
            <w:gridSpan w:val="4"/>
            <w:tcBorders>
              <w:top w:val="single" w:sz="4" w:space="0" w:color="auto"/>
              <w:bottom w:val="single" w:sz="4" w:space="0" w:color="auto"/>
              <w:right w:val="double" w:sz="4" w:space="0" w:color="auto"/>
            </w:tcBorders>
            <w:vAlign w:val="center"/>
          </w:tcPr>
          <w:p w14:paraId="3A24379A" w14:textId="77777777" w:rsidR="00170887" w:rsidRPr="00D14CD7" w:rsidRDefault="00170887" w:rsidP="00170887">
            <w:pPr>
              <w:jc w:val="center"/>
              <w:rPr>
                <w:b/>
                <w:color w:val="000000" w:themeColor="text1"/>
                <w:sz w:val="20"/>
                <w:szCs w:val="20"/>
              </w:rPr>
            </w:pPr>
            <w:r w:rsidRPr="00D14CD7">
              <w:rPr>
                <w:b/>
                <w:color w:val="000000" w:themeColor="text1"/>
                <w:sz w:val="20"/>
                <w:szCs w:val="20"/>
              </w:rPr>
              <w:t>Allocation to restaurant segment (%)</w:t>
            </w:r>
          </w:p>
        </w:tc>
        <w:tc>
          <w:tcPr>
            <w:tcW w:w="187" w:type="pct"/>
            <w:vMerge w:val="restart"/>
            <w:tcBorders>
              <w:top w:val="single" w:sz="4" w:space="0" w:color="auto"/>
              <w:left w:val="double" w:sz="4" w:space="0" w:color="auto"/>
              <w:bottom w:val="single" w:sz="4" w:space="0" w:color="auto"/>
            </w:tcBorders>
            <w:vAlign w:val="center"/>
          </w:tcPr>
          <w:p w14:paraId="1A75DD19" w14:textId="54E2A551" w:rsidR="00170887" w:rsidRPr="00D14CD7" w:rsidRDefault="00170887" w:rsidP="00170887">
            <w:pPr>
              <w:jc w:val="center"/>
              <w:rPr>
                <w:b/>
                <w:color w:val="000000" w:themeColor="text1"/>
                <w:sz w:val="20"/>
                <w:szCs w:val="20"/>
              </w:rPr>
            </w:pPr>
            <w:r w:rsidRPr="00D14CD7">
              <w:rPr>
                <w:b/>
                <w:color w:val="000000" w:themeColor="text1"/>
                <w:sz w:val="20"/>
                <w:szCs w:val="20"/>
              </w:rPr>
              <w:t>Total eat-outs</w:t>
            </w:r>
            <w:r w:rsidR="00352714" w:rsidRPr="00D14CD7">
              <w:rPr>
                <w:b/>
                <w:color w:val="000000" w:themeColor="text1"/>
                <w:sz w:val="20"/>
                <w:szCs w:val="20"/>
              </w:rPr>
              <w:t xml:space="preserve"> per capita</w:t>
            </w:r>
          </w:p>
        </w:tc>
        <w:tc>
          <w:tcPr>
            <w:tcW w:w="842" w:type="pct"/>
            <w:gridSpan w:val="4"/>
            <w:tcBorders>
              <w:top w:val="single" w:sz="4" w:space="0" w:color="auto"/>
              <w:bottom w:val="single" w:sz="4" w:space="0" w:color="auto"/>
              <w:right w:val="double" w:sz="4" w:space="0" w:color="auto"/>
            </w:tcBorders>
            <w:vAlign w:val="center"/>
          </w:tcPr>
          <w:p w14:paraId="36AFCCDE" w14:textId="77777777" w:rsidR="00170887" w:rsidRPr="00D14CD7" w:rsidRDefault="00170887" w:rsidP="00170887">
            <w:pPr>
              <w:jc w:val="center"/>
              <w:rPr>
                <w:b/>
                <w:color w:val="000000" w:themeColor="text1"/>
                <w:sz w:val="20"/>
                <w:szCs w:val="20"/>
              </w:rPr>
            </w:pPr>
            <w:r w:rsidRPr="00D14CD7">
              <w:rPr>
                <w:b/>
                <w:color w:val="000000" w:themeColor="text1"/>
                <w:sz w:val="20"/>
                <w:szCs w:val="20"/>
              </w:rPr>
              <w:t>Allocation to restaurant segment (%)</w:t>
            </w:r>
          </w:p>
        </w:tc>
        <w:tc>
          <w:tcPr>
            <w:tcW w:w="218" w:type="pct"/>
            <w:vMerge w:val="restart"/>
            <w:tcBorders>
              <w:top w:val="single" w:sz="4" w:space="0" w:color="auto"/>
              <w:left w:val="double" w:sz="4" w:space="0" w:color="auto"/>
              <w:bottom w:val="single" w:sz="4" w:space="0" w:color="auto"/>
            </w:tcBorders>
            <w:vAlign w:val="center"/>
          </w:tcPr>
          <w:p w14:paraId="115330C0" w14:textId="77777777" w:rsidR="00170887" w:rsidRPr="00D14CD7" w:rsidRDefault="00170887" w:rsidP="00170887">
            <w:pPr>
              <w:jc w:val="center"/>
              <w:rPr>
                <w:b/>
                <w:color w:val="000000" w:themeColor="text1"/>
                <w:sz w:val="20"/>
                <w:szCs w:val="20"/>
              </w:rPr>
            </w:pPr>
            <w:r w:rsidRPr="00D14CD7">
              <w:rPr>
                <w:b/>
                <w:color w:val="000000" w:themeColor="text1"/>
                <w:sz w:val="20"/>
                <w:szCs w:val="20"/>
              </w:rPr>
              <w:t>Total eat-outs per capita</w:t>
            </w:r>
          </w:p>
        </w:tc>
        <w:tc>
          <w:tcPr>
            <w:tcW w:w="931" w:type="pct"/>
            <w:gridSpan w:val="4"/>
            <w:tcBorders>
              <w:top w:val="single" w:sz="4" w:space="0" w:color="auto"/>
              <w:bottom w:val="single" w:sz="4" w:space="0" w:color="auto"/>
            </w:tcBorders>
            <w:vAlign w:val="center"/>
          </w:tcPr>
          <w:p w14:paraId="3F81EFE5" w14:textId="77777777" w:rsidR="00170887" w:rsidRPr="00D14CD7" w:rsidRDefault="00170887" w:rsidP="00170887">
            <w:pPr>
              <w:jc w:val="center"/>
              <w:rPr>
                <w:b/>
                <w:color w:val="000000" w:themeColor="text1"/>
                <w:sz w:val="20"/>
                <w:szCs w:val="20"/>
              </w:rPr>
            </w:pPr>
            <w:r w:rsidRPr="00D14CD7">
              <w:rPr>
                <w:b/>
                <w:color w:val="000000" w:themeColor="text1"/>
                <w:sz w:val="20"/>
                <w:szCs w:val="20"/>
              </w:rPr>
              <w:t>Number of visits to restaurant segment</w:t>
            </w:r>
          </w:p>
        </w:tc>
      </w:tr>
      <w:tr w:rsidR="00D14CD7" w:rsidRPr="00D14CD7" w14:paraId="7D75FBC3" w14:textId="77777777" w:rsidTr="00170887">
        <w:trPr>
          <w:tblHeader/>
        </w:trPr>
        <w:tc>
          <w:tcPr>
            <w:tcW w:w="654" w:type="pct"/>
            <w:vMerge/>
            <w:tcBorders>
              <w:top w:val="double" w:sz="4" w:space="0" w:color="auto"/>
              <w:left w:val="double" w:sz="4" w:space="0" w:color="auto"/>
              <w:bottom w:val="double" w:sz="4" w:space="0" w:color="auto"/>
              <w:right w:val="double" w:sz="4" w:space="0" w:color="auto"/>
            </w:tcBorders>
          </w:tcPr>
          <w:p w14:paraId="16C54DAF" w14:textId="77777777" w:rsidR="00170887" w:rsidRPr="00D14CD7" w:rsidRDefault="00170887" w:rsidP="00170887">
            <w:pPr>
              <w:jc w:val="left"/>
              <w:rPr>
                <w:color w:val="000000" w:themeColor="text1"/>
                <w:sz w:val="20"/>
                <w:szCs w:val="20"/>
              </w:rPr>
            </w:pPr>
          </w:p>
        </w:tc>
        <w:tc>
          <w:tcPr>
            <w:tcW w:w="594" w:type="pct"/>
            <w:vMerge/>
            <w:tcBorders>
              <w:top w:val="single" w:sz="4" w:space="0" w:color="auto"/>
              <w:left w:val="double" w:sz="4" w:space="0" w:color="auto"/>
              <w:bottom w:val="double" w:sz="4" w:space="0" w:color="auto"/>
              <w:right w:val="double" w:sz="4" w:space="0" w:color="auto"/>
            </w:tcBorders>
          </w:tcPr>
          <w:p w14:paraId="2A41FBEE" w14:textId="77777777" w:rsidR="00170887" w:rsidRPr="00D14CD7" w:rsidRDefault="00170887" w:rsidP="00170887">
            <w:pPr>
              <w:jc w:val="left"/>
              <w:rPr>
                <w:color w:val="000000" w:themeColor="text1"/>
                <w:sz w:val="20"/>
                <w:szCs w:val="20"/>
              </w:rPr>
            </w:pPr>
          </w:p>
        </w:tc>
        <w:tc>
          <w:tcPr>
            <w:tcW w:w="562" w:type="pct"/>
            <w:vMerge/>
            <w:tcBorders>
              <w:top w:val="single" w:sz="4" w:space="0" w:color="auto"/>
              <w:left w:val="double" w:sz="4" w:space="0" w:color="auto"/>
              <w:bottom w:val="double" w:sz="4" w:space="0" w:color="auto"/>
              <w:right w:val="double" w:sz="4" w:space="0" w:color="auto"/>
            </w:tcBorders>
          </w:tcPr>
          <w:p w14:paraId="406AACA2" w14:textId="77777777" w:rsidR="00170887" w:rsidRPr="00D14CD7" w:rsidRDefault="00170887" w:rsidP="00170887">
            <w:pPr>
              <w:jc w:val="left"/>
              <w:rPr>
                <w:color w:val="000000" w:themeColor="text1"/>
                <w:sz w:val="20"/>
                <w:szCs w:val="20"/>
              </w:rPr>
            </w:pPr>
          </w:p>
        </w:tc>
        <w:tc>
          <w:tcPr>
            <w:tcW w:w="202" w:type="pct"/>
            <w:vMerge/>
            <w:tcBorders>
              <w:top w:val="single" w:sz="4" w:space="0" w:color="auto"/>
              <w:left w:val="double" w:sz="4" w:space="0" w:color="auto"/>
              <w:bottom w:val="double" w:sz="4" w:space="0" w:color="auto"/>
            </w:tcBorders>
            <w:vAlign w:val="center"/>
          </w:tcPr>
          <w:p w14:paraId="576D8E27" w14:textId="77777777" w:rsidR="00170887" w:rsidRPr="00D14CD7" w:rsidRDefault="00170887" w:rsidP="00170887">
            <w:pPr>
              <w:jc w:val="center"/>
              <w:rPr>
                <w:b/>
                <w:color w:val="000000" w:themeColor="text1"/>
                <w:sz w:val="20"/>
                <w:szCs w:val="20"/>
              </w:rPr>
            </w:pPr>
          </w:p>
        </w:tc>
        <w:tc>
          <w:tcPr>
            <w:tcW w:w="218" w:type="pct"/>
            <w:tcBorders>
              <w:top w:val="single" w:sz="4" w:space="0" w:color="auto"/>
              <w:bottom w:val="double" w:sz="4" w:space="0" w:color="auto"/>
            </w:tcBorders>
            <w:vAlign w:val="center"/>
          </w:tcPr>
          <w:p w14:paraId="20F35D10" w14:textId="77777777" w:rsidR="00170887" w:rsidRPr="00D14CD7" w:rsidRDefault="00170887" w:rsidP="00170887">
            <w:pPr>
              <w:jc w:val="center"/>
              <w:rPr>
                <w:b/>
                <w:color w:val="000000" w:themeColor="text1"/>
                <w:sz w:val="20"/>
                <w:szCs w:val="20"/>
              </w:rPr>
            </w:pPr>
            <w:r w:rsidRPr="00D14CD7">
              <w:rPr>
                <w:b/>
                <w:color w:val="000000" w:themeColor="text1"/>
                <w:sz w:val="20"/>
                <w:szCs w:val="20"/>
              </w:rPr>
              <w:t>QSR</w:t>
            </w:r>
          </w:p>
        </w:tc>
        <w:tc>
          <w:tcPr>
            <w:tcW w:w="187" w:type="pct"/>
            <w:tcBorders>
              <w:top w:val="single" w:sz="4" w:space="0" w:color="auto"/>
              <w:bottom w:val="double" w:sz="4" w:space="0" w:color="auto"/>
            </w:tcBorders>
            <w:vAlign w:val="center"/>
          </w:tcPr>
          <w:p w14:paraId="3346020F" w14:textId="77777777" w:rsidR="00170887" w:rsidRPr="00D14CD7" w:rsidRDefault="00170887" w:rsidP="00170887">
            <w:pPr>
              <w:jc w:val="center"/>
              <w:rPr>
                <w:b/>
                <w:color w:val="000000" w:themeColor="text1"/>
                <w:sz w:val="20"/>
                <w:szCs w:val="20"/>
              </w:rPr>
            </w:pPr>
            <w:r w:rsidRPr="00D14CD7">
              <w:rPr>
                <w:b/>
                <w:color w:val="000000" w:themeColor="text1"/>
                <w:sz w:val="20"/>
                <w:szCs w:val="20"/>
              </w:rPr>
              <w:t>CH</w:t>
            </w:r>
          </w:p>
        </w:tc>
        <w:tc>
          <w:tcPr>
            <w:tcW w:w="218" w:type="pct"/>
            <w:tcBorders>
              <w:top w:val="single" w:sz="4" w:space="0" w:color="auto"/>
              <w:bottom w:val="double" w:sz="4" w:space="0" w:color="auto"/>
            </w:tcBorders>
            <w:vAlign w:val="center"/>
          </w:tcPr>
          <w:p w14:paraId="1FC9CBB9" w14:textId="77777777" w:rsidR="00170887" w:rsidRPr="00D14CD7" w:rsidRDefault="00170887" w:rsidP="00170887">
            <w:pPr>
              <w:jc w:val="center"/>
              <w:rPr>
                <w:b/>
                <w:color w:val="000000" w:themeColor="text1"/>
                <w:sz w:val="20"/>
                <w:szCs w:val="20"/>
              </w:rPr>
            </w:pPr>
            <w:r w:rsidRPr="00D14CD7">
              <w:rPr>
                <w:b/>
                <w:color w:val="000000" w:themeColor="text1"/>
                <w:sz w:val="20"/>
                <w:szCs w:val="20"/>
              </w:rPr>
              <w:t>CSR</w:t>
            </w:r>
          </w:p>
        </w:tc>
        <w:tc>
          <w:tcPr>
            <w:tcW w:w="187" w:type="pct"/>
            <w:tcBorders>
              <w:top w:val="single" w:sz="4" w:space="0" w:color="auto"/>
              <w:bottom w:val="double" w:sz="4" w:space="0" w:color="auto"/>
              <w:right w:val="double" w:sz="4" w:space="0" w:color="auto"/>
            </w:tcBorders>
            <w:vAlign w:val="center"/>
          </w:tcPr>
          <w:p w14:paraId="1B993C9E" w14:textId="77777777" w:rsidR="00170887" w:rsidRPr="00D14CD7" w:rsidRDefault="00170887" w:rsidP="00170887">
            <w:pPr>
              <w:jc w:val="center"/>
              <w:rPr>
                <w:b/>
                <w:color w:val="000000" w:themeColor="text1"/>
                <w:sz w:val="20"/>
                <w:szCs w:val="20"/>
              </w:rPr>
            </w:pPr>
            <w:r w:rsidRPr="00D14CD7">
              <w:rPr>
                <w:b/>
                <w:color w:val="000000" w:themeColor="text1"/>
                <w:sz w:val="20"/>
                <w:szCs w:val="20"/>
              </w:rPr>
              <w:t>FSR</w:t>
            </w:r>
          </w:p>
        </w:tc>
        <w:tc>
          <w:tcPr>
            <w:tcW w:w="187" w:type="pct"/>
            <w:vMerge/>
            <w:tcBorders>
              <w:top w:val="single" w:sz="4" w:space="0" w:color="auto"/>
              <w:left w:val="double" w:sz="4" w:space="0" w:color="auto"/>
              <w:bottom w:val="double" w:sz="4" w:space="0" w:color="auto"/>
            </w:tcBorders>
            <w:vAlign w:val="center"/>
          </w:tcPr>
          <w:p w14:paraId="60B74D04" w14:textId="77777777" w:rsidR="00170887" w:rsidRPr="00D14CD7" w:rsidRDefault="00170887" w:rsidP="00170887">
            <w:pPr>
              <w:jc w:val="center"/>
              <w:rPr>
                <w:b/>
                <w:color w:val="000000" w:themeColor="text1"/>
                <w:sz w:val="20"/>
                <w:szCs w:val="20"/>
              </w:rPr>
            </w:pPr>
          </w:p>
        </w:tc>
        <w:tc>
          <w:tcPr>
            <w:tcW w:w="218" w:type="pct"/>
            <w:tcBorders>
              <w:top w:val="single" w:sz="4" w:space="0" w:color="auto"/>
              <w:bottom w:val="double" w:sz="4" w:space="0" w:color="auto"/>
            </w:tcBorders>
            <w:vAlign w:val="center"/>
          </w:tcPr>
          <w:p w14:paraId="73128790" w14:textId="77777777" w:rsidR="00170887" w:rsidRPr="00D14CD7" w:rsidRDefault="00170887" w:rsidP="00170887">
            <w:pPr>
              <w:jc w:val="center"/>
              <w:rPr>
                <w:b/>
                <w:color w:val="000000" w:themeColor="text1"/>
                <w:sz w:val="20"/>
                <w:szCs w:val="20"/>
              </w:rPr>
            </w:pPr>
            <w:r w:rsidRPr="00D14CD7">
              <w:rPr>
                <w:b/>
                <w:color w:val="000000" w:themeColor="text1"/>
                <w:sz w:val="20"/>
                <w:szCs w:val="20"/>
              </w:rPr>
              <w:t>QSR</w:t>
            </w:r>
          </w:p>
        </w:tc>
        <w:tc>
          <w:tcPr>
            <w:tcW w:w="187" w:type="pct"/>
            <w:tcBorders>
              <w:top w:val="single" w:sz="4" w:space="0" w:color="auto"/>
              <w:bottom w:val="double" w:sz="4" w:space="0" w:color="auto"/>
            </w:tcBorders>
            <w:vAlign w:val="center"/>
          </w:tcPr>
          <w:p w14:paraId="28E79BD8" w14:textId="77777777" w:rsidR="00170887" w:rsidRPr="00D14CD7" w:rsidRDefault="00170887" w:rsidP="00170887">
            <w:pPr>
              <w:jc w:val="center"/>
              <w:rPr>
                <w:b/>
                <w:color w:val="000000" w:themeColor="text1"/>
                <w:sz w:val="20"/>
                <w:szCs w:val="20"/>
              </w:rPr>
            </w:pPr>
            <w:r w:rsidRPr="00D14CD7">
              <w:rPr>
                <w:b/>
                <w:color w:val="000000" w:themeColor="text1"/>
                <w:sz w:val="20"/>
                <w:szCs w:val="20"/>
              </w:rPr>
              <w:t>CH</w:t>
            </w:r>
          </w:p>
        </w:tc>
        <w:tc>
          <w:tcPr>
            <w:tcW w:w="218" w:type="pct"/>
            <w:tcBorders>
              <w:top w:val="single" w:sz="4" w:space="0" w:color="auto"/>
              <w:bottom w:val="double" w:sz="4" w:space="0" w:color="auto"/>
            </w:tcBorders>
            <w:vAlign w:val="center"/>
          </w:tcPr>
          <w:p w14:paraId="5852831C" w14:textId="77777777" w:rsidR="00170887" w:rsidRPr="00D14CD7" w:rsidRDefault="00170887" w:rsidP="00170887">
            <w:pPr>
              <w:jc w:val="center"/>
              <w:rPr>
                <w:b/>
                <w:color w:val="000000" w:themeColor="text1"/>
                <w:sz w:val="20"/>
                <w:szCs w:val="20"/>
              </w:rPr>
            </w:pPr>
            <w:r w:rsidRPr="00D14CD7">
              <w:rPr>
                <w:b/>
                <w:color w:val="000000" w:themeColor="text1"/>
                <w:sz w:val="20"/>
                <w:szCs w:val="20"/>
              </w:rPr>
              <w:t>CSR</w:t>
            </w:r>
          </w:p>
        </w:tc>
        <w:tc>
          <w:tcPr>
            <w:tcW w:w="219" w:type="pct"/>
            <w:tcBorders>
              <w:top w:val="single" w:sz="4" w:space="0" w:color="auto"/>
              <w:bottom w:val="double" w:sz="4" w:space="0" w:color="auto"/>
              <w:right w:val="double" w:sz="4" w:space="0" w:color="auto"/>
            </w:tcBorders>
            <w:vAlign w:val="center"/>
          </w:tcPr>
          <w:p w14:paraId="707CBA9C" w14:textId="77777777" w:rsidR="00170887" w:rsidRPr="00D14CD7" w:rsidRDefault="00170887" w:rsidP="00170887">
            <w:pPr>
              <w:jc w:val="center"/>
              <w:rPr>
                <w:b/>
                <w:color w:val="000000" w:themeColor="text1"/>
                <w:sz w:val="20"/>
                <w:szCs w:val="20"/>
              </w:rPr>
            </w:pPr>
            <w:r w:rsidRPr="00D14CD7">
              <w:rPr>
                <w:b/>
                <w:color w:val="000000" w:themeColor="text1"/>
                <w:sz w:val="20"/>
                <w:szCs w:val="20"/>
              </w:rPr>
              <w:t>FSR</w:t>
            </w:r>
          </w:p>
        </w:tc>
        <w:tc>
          <w:tcPr>
            <w:tcW w:w="218" w:type="pct"/>
            <w:vMerge/>
            <w:tcBorders>
              <w:top w:val="single" w:sz="4" w:space="0" w:color="auto"/>
              <w:left w:val="double" w:sz="4" w:space="0" w:color="auto"/>
              <w:bottom w:val="double" w:sz="4" w:space="0" w:color="auto"/>
            </w:tcBorders>
            <w:vAlign w:val="center"/>
          </w:tcPr>
          <w:p w14:paraId="7C0FF305" w14:textId="77777777" w:rsidR="00170887" w:rsidRPr="00D14CD7" w:rsidRDefault="00170887" w:rsidP="00170887">
            <w:pPr>
              <w:jc w:val="center"/>
              <w:rPr>
                <w:b/>
                <w:color w:val="000000" w:themeColor="text1"/>
                <w:sz w:val="20"/>
                <w:szCs w:val="20"/>
              </w:rPr>
            </w:pPr>
          </w:p>
        </w:tc>
        <w:tc>
          <w:tcPr>
            <w:tcW w:w="218" w:type="pct"/>
            <w:tcBorders>
              <w:top w:val="single" w:sz="4" w:space="0" w:color="auto"/>
              <w:bottom w:val="double" w:sz="4" w:space="0" w:color="auto"/>
            </w:tcBorders>
            <w:vAlign w:val="center"/>
          </w:tcPr>
          <w:p w14:paraId="0AEB0CDE" w14:textId="77777777" w:rsidR="00170887" w:rsidRPr="00D14CD7" w:rsidRDefault="00170887" w:rsidP="00170887">
            <w:pPr>
              <w:jc w:val="center"/>
              <w:rPr>
                <w:b/>
                <w:color w:val="000000" w:themeColor="text1"/>
                <w:sz w:val="20"/>
                <w:szCs w:val="20"/>
              </w:rPr>
            </w:pPr>
            <w:r w:rsidRPr="00D14CD7">
              <w:rPr>
                <w:b/>
                <w:color w:val="000000" w:themeColor="text1"/>
                <w:sz w:val="20"/>
                <w:szCs w:val="20"/>
              </w:rPr>
              <w:t>QSR</w:t>
            </w:r>
          </w:p>
        </w:tc>
        <w:tc>
          <w:tcPr>
            <w:tcW w:w="249" w:type="pct"/>
            <w:tcBorders>
              <w:top w:val="single" w:sz="4" w:space="0" w:color="auto"/>
              <w:bottom w:val="double" w:sz="4" w:space="0" w:color="auto"/>
            </w:tcBorders>
            <w:vAlign w:val="center"/>
          </w:tcPr>
          <w:p w14:paraId="76595279" w14:textId="77777777" w:rsidR="00170887" w:rsidRPr="00D14CD7" w:rsidRDefault="00170887" w:rsidP="00170887">
            <w:pPr>
              <w:jc w:val="center"/>
              <w:rPr>
                <w:b/>
                <w:color w:val="000000" w:themeColor="text1"/>
                <w:sz w:val="20"/>
                <w:szCs w:val="20"/>
              </w:rPr>
            </w:pPr>
            <w:r w:rsidRPr="00D14CD7">
              <w:rPr>
                <w:b/>
                <w:color w:val="000000" w:themeColor="text1"/>
                <w:sz w:val="20"/>
                <w:szCs w:val="20"/>
              </w:rPr>
              <w:t>CH</w:t>
            </w:r>
          </w:p>
        </w:tc>
        <w:tc>
          <w:tcPr>
            <w:tcW w:w="218" w:type="pct"/>
            <w:tcBorders>
              <w:top w:val="single" w:sz="4" w:space="0" w:color="auto"/>
              <w:bottom w:val="double" w:sz="4" w:space="0" w:color="auto"/>
            </w:tcBorders>
            <w:vAlign w:val="center"/>
          </w:tcPr>
          <w:p w14:paraId="5BBDE424" w14:textId="77777777" w:rsidR="00170887" w:rsidRPr="00D14CD7" w:rsidRDefault="00170887" w:rsidP="00170887">
            <w:pPr>
              <w:jc w:val="center"/>
              <w:rPr>
                <w:b/>
                <w:color w:val="000000" w:themeColor="text1"/>
                <w:sz w:val="20"/>
                <w:szCs w:val="20"/>
              </w:rPr>
            </w:pPr>
            <w:r w:rsidRPr="00D14CD7">
              <w:rPr>
                <w:b/>
                <w:color w:val="000000" w:themeColor="text1"/>
                <w:sz w:val="20"/>
                <w:szCs w:val="20"/>
              </w:rPr>
              <w:t>CSR</w:t>
            </w:r>
          </w:p>
        </w:tc>
        <w:tc>
          <w:tcPr>
            <w:tcW w:w="246" w:type="pct"/>
            <w:tcBorders>
              <w:top w:val="single" w:sz="4" w:space="0" w:color="auto"/>
              <w:bottom w:val="double" w:sz="4" w:space="0" w:color="auto"/>
            </w:tcBorders>
            <w:vAlign w:val="center"/>
          </w:tcPr>
          <w:p w14:paraId="1EE62068" w14:textId="77777777" w:rsidR="00170887" w:rsidRPr="00D14CD7" w:rsidRDefault="00170887" w:rsidP="00170887">
            <w:pPr>
              <w:jc w:val="center"/>
              <w:rPr>
                <w:b/>
                <w:color w:val="000000" w:themeColor="text1"/>
                <w:sz w:val="20"/>
                <w:szCs w:val="20"/>
              </w:rPr>
            </w:pPr>
            <w:r w:rsidRPr="00D14CD7">
              <w:rPr>
                <w:b/>
                <w:color w:val="000000" w:themeColor="text1"/>
                <w:sz w:val="20"/>
                <w:szCs w:val="20"/>
              </w:rPr>
              <w:t>FSR</w:t>
            </w:r>
          </w:p>
        </w:tc>
      </w:tr>
      <w:tr w:rsidR="00D14CD7" w:rsidRPr="00D14CD7" w14:paraId="4B27819D" w14:textId="77777777" w:rsidTr="00170887">
        <w:tc>
          <w:tcPr>
            <w:tcW w:w="5000" w:type="pct"/>
            <w:gridSpan w:val="18"/>
            <w:tcBorders>
              <w:top w:val="single" w:sz="8" w:space="0" w:color="auto"/>
              <w:bottom w:val="single" w:sz="4" w:space="0" w:color="auto"/>
            </w:tcBorders>
            <w:vAlign w:val="center"/>
          </w:tcPr>
          <w:p w14:paraId="6FC09BD7" w14:textId="77777777" w:rsidR="00170887" w:rsidRPr="00D14CD7" w:rsidRDefault="00170887" w:rsidP="00170887">
            <w:pPr>
              <w:jc w:val="left"/>
              <w:rPr>
                <w:color w:val="000000" w:themeColor="text1"/>
                <w:sz w:val="20"/>
                <w:szCs w:val="20"/>
              </w:rPr>
            </w:pPr>
            <w:r w:rsidRPr="00D14CD7">
              <w:rPr>
                <w:rFonts w:eastAsia="Times New Roman"/>
                <w:b/>
                <w:bCs/>
                <w:color w:val="000000" w:themeColor="text1"/>
                <w:sz w:val="20"/>
                <w:szCs w:val="20"/>
              </w:rPr>
              <w:t>Individual Demographics</w:t>
            </w:r>
          </w:p>
        </w:tc>
      </w:tr>
      <w:tr w:rsidR="00D14CD7" w:rsidRPr="00D14CD7" w14:paraId="3FE00500" w14:textId="77777777" w:rsidTr="00170887">
        <w:tc>
          <w:tcPr>
            <w:tcW w:w="654" w:type="pct"/>
            <w:tcBorders>
              <w:top w:val="single" w:sz="4" w:space="0" w:color="auto"/>
              <w:right w:val="double" w:sz="4" w:space="0" w:color="auto"/>
            </w:tcBorders>
            <w:vAlign w:val="center"/>
          </w:tcPr>
          <w:p w14:paraId="45A43D46" w14:textId="77777777" w:rsidR="00170887" w:rsidRPr="00D14CD7" w:rsidRDefault="00170887" w:rsidP="00170887">
            <w:pPr>
              <w:jc w:val="left"/>
              <w:rPr>
                <w:color w:val="000000" w:themeColor="text1"/>
                <w:sz w:val="20"/>
                <w:szCs w:val="20"/>
              </w:rPr>
            </w:pPr>
            <w:r w:rsidRPr="00D14CD7">
              <w:rPr>
                <w:rFonts w:eastAsia="Times New Roman"/>
                <w:color w:val="000000" w:themeColor="text1"/>
                <w:sz w:val="20"/>
                <w:szCs w:val="20"/>
              </w:rPr>
              <w:t>Age</w:t>
            </w:r>
          </w:p>
        </w:tc>
        <w:tc>
          <w:tcPr>
            <w:tcW w:w="594" w:type="pct"/>
            <w:tcBorders>
              <w:top w:val="single" w:sz="4" w:space="0" w:color="auto"/>
              <w:left w:val="double" w:sz="4" w:space="0" w:color="auto"/>
            </w:tcBorders>
            <w:vAlign w:val="center"/>
          </w:tcPr>
          <w:p w14:paraId="48CF8D15" w14:textId="77777777" w:rsidR="00170887" w:rsidRPr="00D14CD7" w:rsidRDefault="00170887" w:rsidP="00170887">
            <w:pPr>
              <w:jc w:val="left"/>
              <w:rPr>
                <w:color w:val="000000" w:themeColor="text1"/>
                <w:sz w:val="20"/>
                <w:szCs w:val="20"/>
              </w:rPr>
            </w:pPr>
            <w:r w:rsidRPr="00D14CD7">
              <w:rPr>
                <w:rFonts w:eastAsia="Times New Roman"/>
                <w:color w:val="000000" w:themeColor="text1"/>
                <w:sz w:val="20"/>
                <w:szCs w:val="20"/>
              </w:rPr>
              <w:t>Less than 30 years</w:t>
            </w:r>
          </w:p>
        </w:tc>
        <w:tc>
          <w:tcPr>
            <w:tcW w:w="562" w:type="pct"/>
            <w:tcBorders>
              <w:top w:val="single" w:sz="4" w:space="0" w:color="auto"/>
              <w:right w:val="double" w:sz="4" w:space="0" w:color="auto"/>
            </w:tcBorders>
            <w:vAlign w:val="center"/>
          </w:tcPr>
          <w:p w14:paraId="5D64329F" w14:textId="77777777" w:rsidR="00170887" w:rsidRPr="00D14CD7" w:rsidRDefault="00170887" w:rsidP="00170887">
            <w:pPr>
              <w:jc w:val="left"/>
              <w:rPr>
                <w:color w:val="000000" w:themeColor="text1"/>
                <w:sz w:val="20"/>
                <w:szCs w:val="20"/>
              </w:rPr>
            </w:pPr>
            <w:r w:rsidRPr="00D14CD7">
              <w:rPr>
                <w:rFonts w:eastAsia="Times New Roman"/>
                <w:color w:val="000000" w:themeColor="text1"/>
                <w:sz w:val="20"/>
                <w:szCs w:val="20"/>
              </w:rPr>
              <w:t>More than 65 years</w:t>
            </w:r>
          </w:p>
        </w:tc>
        <w:tc>
          <w:tcPr>
            <w:tcW w:w="202" w:type="pct"/>
            <w:tcBorders>
              <w:top w:val="single" w:sz="4" w:space="0" w:color="auto"/>
              <w:left w:val="double" w:sz="4" w:space="0" w:color="auto"/>
            </w:tcBorders>
            <w:vAlign w:val="center"/>
          </w:tcPr>
          <w:p w14:paraId="67F6EF5A" w14:textId="77777777" w:rsidR="00170887" w:rsidRPr="00D14CD7" w:rsidRDefault="00170887" w:rsidP="00170887">
            <w:pPr>
              <w:jc w:val="right"/>
              <w:rPr>
                <w:color w:val="000000" w:themeColor="text1"/>
                <w:sz w:val="20"/>
                <w:szCs w:val="20"/>
              </w:rPr>
            </w:pPr>
            <w:r w:rsidRPr="00D14CD7">
              <w:rPr>
                <w:rFonts w:eastAsia="Times New Roman"/>
                <w:color w:val="000000" w:themeColor="text1"/>
                <w:sz w:val="20"/>
                <w:szCs w:val="20"/>
              </w:rPr>
              <w:t>2.96</w:t>
            </w:r>
          </w:p>
        </w:tc>
        <w:tc>
          <w:tcPr>
            <w:tcW w:w="218" w:type="pct"/>
            <w:tcBorders>
              <w:top w:val="single" w:sz="4" w:space="0" w:color="auto"/>
            </w:tcBorders>
            <w:vAlign w:val="center"/>
          </w:tcPr>
          <w:p w14:paraId="074937A0" w14:textId="77777777" w:rsidR="00170887" w:rsidRPr="00D14CD7" w:rsidRDefault="00170887" w:rsidP="00170887">
            <w:pPr>
              <w:jc w:val="right"/>
              <w:rPr>
                <w:color w:val="000000" w:themeColor="text1"/>
                <w:sz w:val="20"/>
                <w:szCs w:val="20"/>
              </w:rPr>
            </w:pPr>
            <w:r w:rsidRPr="00D14CD7">
              <w:rPr>
                <w:rFonts w:eastAsia="Times New Roman"/>
                <w:color w:val="000000" w:themeColor="text1"/>
                <w:sz w:val="20"/>
                <w:szCs w:val="20"/>
              </w:rPr>
              <w:t>22.2</w:t>
            </w:r>
          </w:p>
        </w:tc>
        <w:tc>
          <w:tcPr>
            <w:tcW w:w="187" w:type="pct"/>
            <w:tcBorders>
              <w:top w:val="single" w:sz="4" w:space="0" w:color="auto"/>
            </w:tcBorders>
            <w:vAlign w:val="center"/>
          </w:tcPr>
          <w:p w14:paraId="1EE7A621" w14:textId="77777777" w:rsidR="00170887" w:rsidRPr="00D14CD7" w:rsidRDefault="00170887" w:rsidP="00170887">
            <w:pPr>
              <w:jc w:val="right"/>
              <w:rPr>
                <w:color w:val="000000" w:themeColor="text1"/>
                <w:sz w:val="20"/>
                <w:szCs w:val="20"/>
              </w:rPr>
            </w:pPr>
            <w:r w:rsidRPr="00D14CD7">
              <w:rPr>
                <w:rFonts w:eastAsia="Times New Roman"/>
                <w:color w:val="000000" w:themeColor="text1"/>
                <w:sz w:val="20"/>
                <w:szCs w:val="20"/>
              </w:rPr>
              <w:t>15.8</w:t>
            </w:r>
          </w:p>
        </w:tc>
        <w:tc>
          <w:tcPr>
            <w:tcW w:w="218" w:type="pct"/>
            <w:tcBorders>
              <w:top w:val="single" w:sz="4" w:space="0" w:color="auto"/>
            </w:tcBorders>
            <w:vAlign w:val="center"/>
          </w:tcPr>
          <w:p w14:paraId="37DD11E3" w14:textId="053F8234" w:rsidR="00170887" w:rsidRPr="00D14CD7" w:rsidRDefault="00170887" w:rsidP="00170887">
            <w:pPr>
              <w:jc w:val="right"/>
              <w:rPr>
                <w:color w:val="000000" w:themeColor="text1"/>
                <w:sz w:val="20"/>
                <w:szCs w:val="20"/>
              </w:rPr>
            </w:pPr>
            <w:r w:rsidRPr="00D14CD7">
              <w:rPr>
                <w:rFonts w:eastAsia="Times New Roman"/>
                <w:color w:val="000000" w:themeColor="text1"/>
                <w:sz w:val="20"/>
                <w:szCs w:val="20"/>
              </w:rPr>
              <w:t>48.</w:t>
            </w:r>
            <w:r w:rsidR="00E56A7C" w:rsidRPr="00D14CD7">
              <w:rPr>
                <w:rFonts w:eastAsia="Times New Roman"/>
                <w:color w:val="000000" w:themeColor="text1"/>
                <w:sz w:val="20"/>
                <w:szCs w:val="20"/>
              </w:rPr>
              <w:t>7</w:t>
            </w:r>
          </w:p>
        </w:tc>
        <w:tc>
          <w:tcPr>
            <w:tcW w:w="187" w:type="pct"/>
            <w:tcBorders>
              <w:top w:val="single" w:sz="4" w:space="0" w:color="auto"/>
              <w:right w:val="double" w:sz="4" w:space="0" w:color="auto"/>
            </w:tcBorders>
            <w:vAlign w:val="center"/>
          </w:tcPr>
          <w:p w14:paraId="3703F966" w14:textId="77777777" w:rsidR="00170887" w:rsidRPr="00D14CD7" w:rsidRDefault="00170887" w:rsidP="00170887">
            <w:pPr>
              <w:jc w:val="right"/>
              <w:rPr>
                <w:color w:val="000000" w:themeColor="text1"/>
                <w:sz w:val="20"/>
                <w:szCs w:val="20"/>
              </w:rPr>
            </w:pPr>
            <w:r w:rsidRPr="00D14CD7">
              <w:rPr>
                <w:rFonts w:eastAsia="Times New Roman"/>
                <w:color w:val="000000" w:themeColor="text1"/>
                <w:sz w:val="20"/>
                <w:szCs w:val="20"/>
              </w:rPr>
              <w:t>13.3</w:t>
            </w:r>
          </w:p>
        </w:tc>
        <w:tc>
          <w:tcPr>
            <w:tcW w:w="187" w:type="pct"/>
            <w:tcBorders>
              <w:top w:val="single" w:sz="4" w:space="0" w:color="auto"/>
              <w:left w:val="double" w:sz="4" w:space="0" w:color="auto"/>
            </w:tcBorders>
            <w:vAlign w:val="center"/>
          </w:tcPr>
          <w:p w14:paraId="2E837FEB" w14:textId="459C5CD0" w:rsidR="00170887" w:rsidRPr="00D14CD7" w:rsidRDefault="00170887" w:rsidP="00170887">
            <w:pPr>
              <w:jc w:val="right"/>
              <w:rPr>
                <w:color w:val="000000" w:themeColor="text1"/>
                <w:sz w:val="20"/>
                <w:szCs w:val="20"/>
              </w:rPr>
            </w:pPr>
            <w:r w:rsidRPr="00D14CD7">
              <w:rPr>
                <w:rFonts w:eastAsia="Times New Roman"/>
                <w:color w:val="000000" w:themeColor="text1"/>
                <w:sz w:val="20"/>
                <w:szCs w:val="20"/>
              </w:rPr>
              <w:t>2.</w:t>
            </w:r>
            <w:r w:rsidR="001D7C95" w:rsidRPr="00D14CD7">
              <w:rPr>
                <w:rFonts w:eastAsia="Times New Roman"/>
                <w:color w:val="000000" w:themeColor="text1"/>
                <w:sz w:val="20"/>
                <w:szCs w:val="20"/>
              </w:rPr>
              <w:t>9</w:t>
            </w:r>
            <w:r w:rsidRPr="00D14CD7">
              <w:rPr>
                <w:rFonts w:eastAsia="Times New Roman"/>
                <w:color w:val="000000" w:themeColor="text1"/>
                <w:sz w:val="20"/>
                <w:szCs w:val="20"/>
              </w:rPr>
              <w:t>9</w:t>
            </w:r>
          </w:p>
        </w:tc>
        <w:tc>
          <w:tcPr>
            <w:tcW w:w="218" w:type="pct"/>
            <w:tcBorders>
              <w:top w:val="single" w:sz="4" w:space="0" w:color="auto"/>
            </w:tcBorders>
            <w:vAlign w:val="center"/>
          </w:tcPr>
          <w:p w14:paraId="05CF2740" w14:textId="7072B84A" w:rsidR="00170887" w:rsidRPr="00D14CD7" w:rsidRDefault="00170887" w:rsidP="00170887">
            <w:pPr>
              <w:jc w:val="right"/>
              <w:rPr>
                <w:color w:val="000000" w:themeColor="text1"/>
                <w:sz w:val="20"/>
                <w:szCs w:val="20"/>
              </w:rPr>
            </w:pPr>
            <w:r w:rsidRPr="00D14CD7">
              <w:rPr>
                <w:rFonts w:eastAsia="Times New Roman"/>
                <w:color w:val="000000" w:themeColor="text1"/>
                <w:sz w:val="20"/>
                <w:szCs w:val="20"/>
              </w:rPr>
              <w:t>15.</w:t>
            </w:r>
            <w:r w:rsidR="00FC630C" w:rsidRPr="00D14CD7">
              <w:rPr>
                <w:rFonts w:eastAsia="Times New Roman"/>
                <w:color w:val="000000" w:themeColor="text1"/>
                <w:sz w:val="20"/>
                <w:szCs w:val="20"/>
              </w:rPr>
              <w:t>3</w:t>
            </w:r>
          </w:p>
        </w:tc>
        <w:tc>
          <w:tcPr>
            <w:tcW w:w="187" w:type="pct"/>
            <w:tcBorders>
              <w:top w:val="single" w:sz="4" w:space="0" w:color="auto"/>
            </w:tcBorders>
            <w:vAlign w:val="center"/>
          </w:tcPr>
          <w:p w14:paraId="772183A9" w14:textId="7C14EE52" w:rsidR="00170887" w:rsidRPr="00D14CD7" w:rsidRDefault="00170887" w:rsidP="00170887">
            <w:pPr>
              <w:jc w:val="right"/>
              <w:rPr>
                <w:color w:val="000000" w:themeColor="text1"/>
                <w:sz w:val="20"/>
                <w:szCs w:val="20"/>
              </w:rPr>
            </w:pPr>
            <w:r w:rsidRPr="00D14CD7">
              <w:rPr>
                <w:rFonts w:eastAsia="Times New Roman"/>
                <w:color w:val="000000" w:themeColor="text1"/>
                <w:sz w:val="20"/>
                <w:szCs w:val="20"/>
              </w:rPr>
              <w:t>3.</w:t>
            </w:r>
            <w:r w:rsidR="00FC630C" w:rsidRPr="00D14CD7">
              <w:rPr>
                <w:rFonts w:eastAsia="Times New Roman"/>
                <w:color w:val="000000" w:themeColor="text1"/>
                <w:sz w:val="20"/>
                <w:szCs w:val="20"/>
              </w:rPr>
              <w:t>7</w:t>
            </w:r>
          </w:p>
        </w:tc>
        <w:tc>
          <w:tcPr>
            <w:tcW w:w="218" w:type="pct"/>
            <w:tcBorders>
              <w:top w:val="single" w:sz="4" w:space="0" w:color="auto"/>
            </w:tcBorders>
            <w:vAlign w:val="center"/>
          </w:tcPr>
          <w:p w14:paraId="5BC4DA30" w14:textId="4A07A804" w:rsidR="00170887" w:rsidRPr="00D14CD7" w:rsidRDefault="00170887" w:rsidP="00170887">
            <w:pPr>
              <w:jc w:val="right"/>
              <w:rPr>
                <w:color w:val="000000" w:themeColor="text1"/>
                <w:sz w:val="20"/>
                <w:szCs w:val="20"/>
              </w:rPr>
            </w:pPr>
            <w:r w:rsidRPr="00D14CD7">
              <w:rPr>
                <w:rFonts w:eastAsia="Times New Roman"/>
                <w:color w:val="000000" w:themeColor="text1"/>
                <w:sz w:val="20"/>
                <w:szCs w:val="20"/>
              </w:rPr>
              <w:t>67.</w:t>
            </w:r>
            <w:r w:rsidR="00FC630C" w:rsidRPr="00D14CD7">
              <w:rPr>
                <w:rFonts w:eastAsia="Times New Roman"/>
                <w:color w:val="000000" w:themeColor="text1"/>
                <w:sz w:val="20"/>
                <w:szCs w:val="20"/>
              </w:rPr>
              <w:t>8</w:t>
            </w:r>
          </w:p>
        </w:tc>
        <w:tc>
          <w:tcPr>
            <w:tcW w:w="219" w:type="pct"/>
            <w:tcBorders>
              <w:top w:val="single" w:sz="4" w:space="0" w:color="auto"/>
              <w:right w:val="double" w:sz="4" w:space="0" w:color="auto"/>
            </w:tcBorders>
            <w:vAlign w:val="center"/>
          </w:tcPr>
          <w:p w14:paraId="29F33D94" w14:textId="77777777" w:rsidR="00170887" w:rsidRPr="00D14CD7" w:rsidRDefault="00170887" w:rsidP="00170887">
            <w:pPr>
              <w:jc w:val="right"/>
              <w:rPr>
                <w:color w:val="000000" w:themeColor="text1"/>
                <w:sz w:val="20"/>
                <w:szCs w:val="20"/>
              </w:rPr>
            </w:pPr>
            <w:r w:rsidRPr="00D14CD7">
              <w:rPr>
                <w:rFonts w:eastAsia="Times New Roman"/>
                <w:color w:val="000000" w:themeColor="text1"/>
                <w:sz w:val="20"/>
                <w:szCs w:val="20"/>
              </w:rPr>
              <w:t>13.2</w:t>
            </w:r>
          </w:p>
        </w:tc>
        <w:tc>
          <w:tcPr>
            <w:tcW w:w="218" w:type="pct"/>
            <w:tcBorders>
              <w:top w:val="single" w:sz="4" w:space="0" w:color="auto"/>
              <w:left w:val="double" w:sz="4" w:space="0" w:color="auto"/>
            </w:tcBorders>
            <w:vAlign w:val="center"/>
          </w:tcPr>
          <w:p w14:paraId="738E1DF2" w14:textId="77777777" w:rsidR="00170887" w:rsidRPr="00D14CD7" w:rsidRDefault="00170887" w:rsidP="00170887">
            <w:pPr>
              <w:jc w:val="right"/>
              <w:rPr>
                <w:color w:val="000000" w:themeColor="text1"/>
                <w:sz w:val="20"/>
                <w:szCs w:val="20"/>
              </w:rPr>
            </w:pPr>
            <w:r w:rsidRPr="00D14CD7">
              <w:rPr>
                <w:color w:val="000000" w:themeColor="text1"/>
                <w:sz w:val="20"/>
                <w:szCs w:val="20"/>
              </w:rPr>
              <w:t>0.9</w:t>
            </w:r>
          </w:p>
        </w:tc>
        <w:tc>
          <w:tcPr>
            <w:tcW w:w="218" w:type="pct"/>
            <w:tcBorders>
              <w:top w:val="single" w:sz="4" w:space="0" w:color="auto"/>
            </w:tcBorders>
            <w:vAlign w:val="center"/>
          </w:tcPr>
          <w:p w14:paraId="2E1FBC2F" w14:textId="77777777" w:rsidR="00170887" w:rsidRPr="00D14CD7" w:rsidRDefault="00170887" w:rsidP="00170887">
            <w:pPr>
              <w:jc w:val="right"/>
              <w:rPr>
                <w:rFonts w:eastAsia="Times New Roman"/>
                <w:color w:val="000000" w:themeColor="text1"/>
                <w:sz w:val="20"/>
                <w:szCs w:val="20"/>
              </w:rPr>
            </w:pPr>
            <w:r w:rsidRPr="00D14CD7">
              <w:rPr>
                <w:rFonts w:eastAsia="Times New Roman"/>
                <w:color w:val="000000" w:themeColor="text1"/>
                <w:sz w:val="20"/>
                <w:szCs w:val="20"/>
              </w:rPr>
              <w:t>-30.4</w:t>
            </w:r>
          </w:p>
        </w:tc>
        <w:tc>
          <w:tcPr>
            <w:tcW w:w="249" w:type="pct"/>
            <w:tcBorders>
              <w:top w:val="single" w:sz="4" w:space="0" w:color="auto"/>
            </w:tcBorders>
            <w:vAlign w:val="center"/>
          </w:tcPr>
          <w:p w14:paraId="128326E0" w14:textId="77777777" w:rsidR="00170887" w:rsidRPr="00D14CD7" w:rsidRDefault="00170887" w:rsidP="00170887">
            <w:pPr>
              <w:jc w:val="right"/>
              <w:rPr>
                <w:rFonts w:eastAsia="Times New Roman"/>
                <w:color w:val="000000" w:themeColor="text1"/>
                <w:sz w:val="20"/>
                <w:szCs w:val="20"/>
              </w:rPr>
            </w:pPr>
            <w:r w:rsidRPr="00D14CD7">
              <w:rPr>
                <w:rFonts w:eastAsia="Times New Roman"/>
                <w:color w:val="000000" w:themeColor="text1"/>
                <w:sz w:val="20"/>
                <w:szCs w:val="20"/>
              </w:rPr>
              <w:t>-76.4</w:t>
            </w:r>
          </w:p>
        </w:tc>
        <w:tc>
          <w:tcPr>
            <w:tcW w:w="218" w:type="pct"/>
            <w:tcBorders>
              <w:top w:val="single" w:sz="4" w:space="0" w:color="auto"/>
            </w:tcBorders>
            <w:vAlign w:val="center"/>
          </w:tcPr>
          <w:p w14:paraId="4C772402" w14:textId="77777777" w:rsidR="00170887" w:rsidRPr="00D14CD7" w:rsidRDefault="00170887" w:rsidP="00170887">
            <w:pPr>
              <w:jc w:val="right"/>
              <w:rPr>
                <w:rFonts w:eastAsia="Times New Roman"/>
                <w:color w:val="000000" w:themeColor="text1"/>
                <w:sz w:val="20"/>
                <w:szCs w:val="20"/>
              </w:rPr>
            </w:pPr>
            <w:r w:rsidRPr="00D14CD7">
              <w:rPr>
                <w:rFonts w:eastAsia="Times New Roman"/>
                <w:color w:val="000000" w:themeColor="text1"/>
                <w:sz w:val="20"/>
                <w:szCs w:val="20"/>
              </w:rPr>
              <w:t>40.5</w:t>
            </w:r>
          </w:p>
        </w:tc>
        <w:tc>
          <w:tcPr>
            <w:tcW w:w="246" w:type="pct"/>
            <w:tcBorders>
              <w:top w:val="single" w:sz="4" w:space="0" w:color="auto"/>
            </w:tcBorders>
            <w:vAlign w:val="center"/>
          </w:tcPr>
          <w:p w14:paraId="11AD4941" w14:textId="77777777" w:rsidR="00170887" w:rsidRPr="00D14CD7" w:rsidRDefault="00170887" w:rsidP="00170887">
            <w:pPr>
              <w:jc w:val="right"/>
              <w:rPr>
                <w:rFonts w:eastAsia="Times New Roman"/>
                <w:color w:val="000000" w:themeColor="text1"/>
                <w:sz w:val="20"/>
                <w:szCs w:val="20"/>
              </w:rPr>
            </w:pPr>
            <w:r w:rsidRPr="00D14CD7">
              <w:rPr>
                <w:rFonts w:eastAsia="Times New Roman"/>
                <w:color w:val="000000" w:themeColor="text1"/>
                <w:sz w:val="20"/>
                <w:szCs w:val="20"/>
              </w:rPr>
              <w:t>0.1</w:t>
            </w:r>
          </w:p>
        </w:tc>
      </w:tr>
      <w:tr w:rsidR="00D14CD7" w:rsidRPr="00D14CD7" w14:paraId="50658000" w14:textId="77777777" w:rsidTr="00170887">
        <w:tc>
          <w:tcPr>
            <w:tcW w:w="654" w:type="pct"/>
            <w:vMerge w:val="restart"/>
            <w:tcBorders>
              <w:right w:val="double" w:sz="4" w:space="0" w:color="auto"/>
            </w:tcBorders>
            <w:vAlign w:val="center"/>
          </w:tcPr>
          <w:p w14:paraId="102CA84B" w14:textId="77777777" w:rsidR="00170887" w:rsidRPr="00D14CD7" w:rsidRDefault="00170887" w:rsidP="00170887">
            <w:pPr>
              <w:jc w:val="left"/>
              <w:rPr>
                <w:color w:val="000000" w:themeColor="text1"/>
                <w:sz w:val="20"/>
                <w:szCs w:val="20"/>
              </w:rPr>
            </w:pPr>
            <w:r w:rsidRPr="00D14CD7">
              <w:rPr>
                <w:color w:val="000000" w:themeColor="text1"/>
                <w:sz w:val="20"/>
                <w:szCs w:val="20"/>
              </w:rPr>
              <w:t>Race</w:t>
            </w:r>
          </w:p>
        </w:tc>
        <w:tc>
          <w:tcPr>
            <w:tcW w:w="594" w:type="pct"/>
            <w:tcBorders>
              <w:left w:val="double" w:sz="4" w:space="0" w:color="auto"/>
            </w:tcBorders>
            <w:vAlign w:val="center"/>
          </w:tcPr>
          <w:p w14:paraId="1C41102D" w14:textId="77777777" w:rsidR="00170887" w:rsidRPr="00D14CD7" w:rsidRDefault="00170887" w:rsidP="00170887">
            <w:pPr>
              <w:jc w:val="left"/>
              <w:rPr>
                <w:color w:val="000000" w:themeColor="text1"/>
                <w:sz w:val="20"/>
                <w:szCs w:val="20"/>
              </w:rPr>
            </w:pPr>
            <w:r w:rsidRPr="00D14CD7">
              <w:rPr>
                <w:color w:val="000000" w:themeColor="text1"/>
                <w:sz w:val="20"/>
                <w:szCs w:val="20"/>
              </w:rPr>
              <w:t>White and low walkability (10th</w:t>
            </w:r>
          </w:p>
          <w:p w14:paraId="07165A67" w14:textId="77777777" w:rsidR="00170887" w:rsidRPr="00D14CD7" w:rsidRDefault="00170887" w:rsidP="00170887">
            <w:pPr>
              <w:jc w:val="left"/>
              <w:rPr>
                <w:color w:val="000000" w:themeColor="text1"/>
                <w:sz w:val="20"/>
                <w:szCs w:val="20"/>
              </w:rPr>
            </w:pPr>
            <w:r w:rsidRPr="00D14CD7">
              <w:rPr>
                <w:color w:val="000000" w:themeColor="text1"/>
                <w:sz w:val="20"/>
                <w:szCs w:val="20"/>
              </w:rPr>
              <w:t>percentile=0.05)</w:t>
            </w:r>
          </w:p>
        </w:tc>
        <w:tc>
          <w:tcPr>
            <w:tcW w:w="562" w:type="pct"/>
            <w:tcBorders>
              <w:right w:val="double" w:sz="4" w:space="0" w:color="auto"/>
            </w:tcBorders>
            <w:vAlign w:val="center"/>
          </w:tcPr>
          <w:p w14:paraId="7F96E2E7" w14:textId="77777777" w:rsidR="00170887" w:rsidRPr="00D14CD7" w:rsidRDefault="00170887" w:rsidP="00170887">
            <w:pPr>
              <w:jc w:val="left"/>
              <w:rPr>
                <w:color w:val="000000" w:themeColor="text1"/>
                <w:sz w:val="20"/>
                <w:szCs w:val="20"/>
              </w:rPr>
            </w:pPr>
            <w:r w:rsidRPr="00D14CD7">
              <w:rPr>
                <w:color w:val="000000" w:themeColor="text1"/>
                <w:sz w:val="20"/>
                <w:szCs w:val="20"/>
              </w:rPr>
              <w:t>Not White and low walkability</w:t>
            </w:r>
          </w:p>
        </w:tc>
        <w:tc>
          <w:tcPr>
            <w:tcW w:w="202" w:type="pct"/>
            <w:tcBorders>
              <w:left w:val="double" w:sz="4" w:space="0" w:color="auto"/>
            </w:tcBorders>
            <w:vAlign w:val="center"/>
          </w:tcPr>
          <w:p w14:paraId="5A8BAEAE" w14:textId="77777777" w:rsidR="00170887" w:rsidRPr="00D14CD7" w:rsidRDefault="00170887" w:rsidP="00170887">
            <w:pPr>
              <w:jc w:val="right"/>
              <w:rPr>
                <w:color w:val="000000" w:themeColor="text1"/>
                <w:sz w:val="20"/>
                <w:szCs w:val="20"/>
              </w:rPr>
            </w:pPr>
            <w:r w:rsidRPr="00D14CD7">
              <w:rPr>
                <w:rFonts w:eastAsia="Times New Roman"/>
                <w:color w:val="000000" w:themeColor="text1"/>
                <w:sz w:val="20"/>
                <w:szCs w:val="20"/>
              </w:rPr>
              <w:t>3.36</w:t>
            </w:r>
          </w:p>
        </w:tc>
        <w:tc>
          <w:tcPr>
            <w:tcW w:w="218" w:type="pct"/>
            <w:vAlign w:val="center"/>
          </w:tcPr>
          <w:p w14:paraId="3BB91F4E" w14:textId="77777777" w:rsidR="00170887" w:rsidRPr="00D14CD7" w:rsidRDefault="00170887" w:rsidP="00170887">
            <w:pPr>
              <w:jc w:val="right"/>
              <w:rPr>
                <w:color w:val="000000" w:themeColor="text1"/>
                <w:sz w:val="20"/>
                <w:szCs w:val="20"/>
              </w:rPr>
            </w:pPr>
            <w:r w:rsidRPr="00D14CD7">
              <w:rPr>
                <w:rFonts w:eastAsia="Times New Roman"/>
                <w:color w:val="000000" w:themeColor="text1"/>
                <w:sz w:val="20"/>
                <w:szCs w:val="20"/>
              </w:rPr>
              <w:t>17.1</w:t>
            </w:r>
          </w:p>
        </w:tc>
        <w:tc>
          <w:tcPr>
            <w:tcW w:w="187" w:type="pct"/>
            <w:vAlign w:val="center"/>
          </w:tcPr>
          <w:p w14:paraId="47F2C1DC" w14:textId="77777777" w:rsidR="00170887" w:rsidRPr="00D14CD7" w:rsidRDefault="00170887" w:rsidP="00170887">
            <w:pPr>
              <w:jc w:val="right"/>
              <w:rPr>
                <w:color w:val="000000" w:themeColor="text1"/>
                <w:sz w:val="20"/>
                <w:szCs w:val="20"/>
              </w:rPr>
            </w:pPr>
            <w:r w:rsidRPr="00D14CD7">
              <w:rPr>
                <w:rFonts w:eastAsia="Times New Roman"/>
                <w:color w:val="000000" w:themeColor="text1"/>
                <w:sz w:val="20"/>
                <w:szCs w:val="20"/>
              </w:rPr>
              <w:t>5.2</w:t>
            </w:r>
          </w:p>
        </w:tc>
        <w:tc>
          <w:tcPr>
            <w:tcW w:w="218" w:type="pct"/>
            <w:vAlign w:val="center"/>
          </w:tcPr>
          <w:p w14:paraId="4703FC8C" w14:textId="22C56E68" w:rsidR="00170887" w:rsidRPr="00D14CD7" w:rsidRDefault="00170887" w:rsidP="00170887">
            <w:pPr>
              <w:jc w:val="right"/>
              <w:rPr>
                <w:color w:val="000000" w:themeColor="text1"/>
                <w:sz w:val="20"/>
                <w:szCs w:val="20"/>
              </w:rPr>
            </w:pPr>
            <w:r w:rsidRPr="00D14CD7">
              <w:rPr>
                <w:rFonts w:eastAsia="Times New Roman"/>
                <w:color w:val="000000" w:themeColor="text1"/>
                <w:sz w:val="20"/>
                <w:szCs w:val="20"/>
              </w:rPr>
              <w:t>66.</w:t>
            </w:r>
            <w:r w:rsidR="00E56A7C" w:rsidRPr="00D14CD7">
              <w:rPr>
                <w:rFonts w:eastAsia="Times New Roman"/>
                <w:color w:val="000000" w:themeColor="text1"/>
                <w:sz w:val="20"/>
                <w:szCs w:val="20"/>
              </w:rPr>
              <w:t>7</w:t>
            </w:r>
          </w:p>
        </w:tc>
        <w:tc>
          <w:tcPr>
            <w:tcW w:w="187" w:type="pct"/>
            <w:tcBorders>
              <w:right w:val="double" w:sz="4" w:space="0" w:color="auto"/>
            </w:tcBorders>
            <w:vAlign w:val="center"/>
          </w:tcPr>
          <w:p w14:paraId="7EFC68B6" w14:textId="4B8E9491" w:rsidR="00170887" w:rsidRPr="00D14CD7" w:rsidRDefault="00170887" w:rsidP="00170887">
            <w:pPr>
              <w:jc w:val="right"/>
              <w:rPr>
                <w:color w:val="000000" w:themeColor="text1"/>
                <w:sz w:val="20"/>
                <w:szCs w:val="20"/>
              </w:rPr>
            </w:pPr>
            <w:r w:rsidRPr="00D14CD7">
              <w:rPr>
                <w:rFonts w:eastAsia="Times New Roman"/>
                <w:color w:val="000000" w:themeColor="text1"/>
                <w:sz w:val="20"/>
                <w:szCs w:val="20"/>
              </w:rPr>
              <w:t>1</w:t>
            </w:r>
            <w:r w:rsidR="00E56A7C" w:rsidRPr="00D14CD7">
              <w:rPr>
                <w:rFonts w:eastAsia="Times New Roman"/>
                <w:color w:val="000000" w:themeColor="text1"/>
                <w:sz w:val="20"/>
                <w:szCs w:val="20"/>
              </w:rPr>
              <w:t>1</w:t>
            </w:r>
            <w:r w:rsidRPr="00D14CD7">
              <w:rPr>
                <w:rFonts w:eastAsia="Times New Roman"/>
                <w:color w:val="000000" w:themeColor="text1"/>
                <w:sz w:val="20"/>
                <w:szCs w:val="20"/>
              </w:rPr>
              <w:t>.</w:t>
            </w:r>
            <w:r w:rsidR="00E56A7C" w:rsidRPr="00D14CD7">
              <w:rPr>
                <w:rFonts w:eastAsia="Times New Roman"/>
                <w:color w:val="000000" w:themeColor="text1"/>
                <w:sz w:val="20"/>
                <w:szCs w:val="20"/>
              </w:rPr>
              <w:t>0</w:t>
            </w:r>
          </w:p>
        </w:tc>
        <w:tc>
          <w:tcPr>
            <w:tcW w:w="187" w:type="pct"/>
            <w:tcBorders>
              <w:left w:val="double" w:sz="4" w:space="0" w:color="auto"/>
            </w:tcBorders>
            <w:vAlign w:val="center"/>
          </w:tcPr>
          <w:p w14:paraId="344A16DD" w14:textId="1AA17F7E" w:rsidR="00170887" w:rsidRPr="00D14CD7" w:rsidRDefault="00170887" w:rsidP="00170887">
            <w:pPr>
              <w:jc w:val="right"/>
              <w:rPr>
                <w:color w:val="000000" w:themeColor="text1"/>
                <w:sz w:val="20"/>
                <w:szCs w:val="20"/>
              </w:rPr>
            </w:pPr>
            <w:r w:rsidRPr="00D14CD7">
              <w:rPr>
                <w:rFonts w:eastAsia="Times New Roman"/>
                <w:color w:val="000000" w:themeColor="text1"/>
                <w:sz w:val="20"/>
                <w:szCs w:val="20"/>
              </w:rPr>
              <w:t>2.2</w:t>
            </w:r>
            <w:r w:rsidR="001D7C95" w:rsidRPr="00D14CD7">
              <w:rPr>
                <w:rFonts w:eastAsia="Times New Roman"/>
                <w:color w:val="000000" w:themeColor="text1"/>
                <w:sz w:val="20"/>
                <w:szCs w:val="20"/>
              </w:rPr>
              <w:t>7</w:t>
            </w:r>
          </w:p>
        </w:tc>
        <w:tc>
          <w:tcPr>
            <w:tcW w:w="218" w:type="pct"/>
            <w:vAlign w:val="center"/>
          </w:tcPr>
          <w:p w14:paraId="195BE2CC" w14:textId="77777777" w:rsidR="00170887" w:rsidRPr="00D14CD7" w:rsidRDefault="00170887" w:rsidP="00170887">
            <w:pPr>
              <w:jc w:val="right"/>
              <w:rPr>
                <w:color w:val="000000" w:themeColor="text1"/>
                <w:sz w:val="20"/>
                <w:szCs w:val="20"/>
              </w:rPr>
            </w:pPr>
            <w:r w:rsidRPr="00D14CD7">
              <w:rPr>
                <w:rFonts w:eastAsia="Times New Roman"/>
                <w:color w:val="000000" w:themeColor="text1"/>
                <w:sz w:val="20"/>
                <w:szCs w:val="20"/>
              </w:rPr>
              <w:t>27.4</w:t>
            </w:r>
          </w:p>
        </w:tc>
        <w:tc>
          <w:tcPr>
            <w:tcW w:w="187" w:type="pct"/>
            <w:vAlign w:val="center"/>
          </w:tcPr>
          <w:p w14:paraId="75185CA9" w14:textId="37E65931" w:rsidR="00170887" w:rsidRPr="00D14CD7" w:rsidRDefault="00170887" w:rsidP="00170887">
            <w:pPr>
              <w:jc w:val="right"/>
              <w:rPr>
                <w:color w:val="000000" w:themeColor="text1"/>
                <w:sz w:val="20"/>
                <w:szCs w:val="20"/>
              </w:rPr>
            </w:pPr>
            <w:r w:rsidRPr="00D14CD7">
              <w:rPr>
                <w:rFonts w:eastAsia="Times New Roman"/>
                <w:color w:val="000000" w:themeColor="text1"/>
                <w:sz w:val="20"/>
                <w:szCs w:val="20"/>
              </w:rPr>
              <w:t>9.</w:t>
            </w:r>
            <w:r w:rsidR="00E56A7C" w:rsidRPr="00D14CD7">
              <w:rPr>
                <w:rFonts w:eastAsia="Times New Roman"/>
                <w:color w:val="000000" w:themeColor="text1"/>
                <w:sz w:val="20"/>
                <w:szCs w:val="20"/>
              </w:rPr>
              <w:t>2</w:t>
            </w:r>
          </w:p>
        </w:tc>
        <w:tc>
          <w:tcPr>
            <w:tcW w:w="218" w:type="pct"/>
            <w:vAlign w:val="center"/>
          </w:tcPr>
          <w:p w14:paraId="42A7B435" w14:textId="77777777" w:rsidR="00170887" w:rsidRPr="00D14CD7" w:rsidRDefault="00170887" w:rsidP="00170887">
            <w:pPr>
              <w:jc w:val="right"/>
              <w:rPr>
                <w:color w:val="000000" w:themeColor="text1"/>
                <w:sz w:val="20"/>
                <w:szCs w:val="20"/>
              </w:rPr>
            </w:pPr>
            <w:r w:rsidRPr="00D14CD7">
              <w:rPr>
                <w:rFonts w:eastAsia="Times New Roman"/>
                <w:color w:val="000000" w:themeColor="text1"/>
                <w:sz w:val="20"/>
                <w:szCs w:val="20"/>
              </w:rPr>
              <w:t>45.0</w:t>
            </w:r>
          </w:p>
        </w:tc>
        <w:tc>
          <w:tcPr>
            <w:tcW w:w="219" w:type="pct"/>
            <w:tcBorders>
              <w:right w:val="double" w:sz="4" w:space="0" w:color="auto"/>
            </w:tcBorders>
            <w:vAlign w:val="center"/>
          </w:tcPr>
          <w:p w14:paraId="36B935FD" w14:textId="1AF87077" w:rsidR="00170887" w:rsidRPr="00D14CD7" w:rsidRDefault="00170887" w:rsidP="00170887">
            <w:pPr>
              <w:jc w:val="right"/>
              <w:rPr>
                <w:color w:val="000000" w:themeColor="text1"/>
                <w:sz w:val="20"/>
                <w:szCs w:val="20"/>
              </w:rPr>
            </w:pPr>
            <w:r w:rsidRPr="00D14CD7">
              <w:rPr>
                <w:rFonts w:eastAsia="Times New Roman"/>
                <w:color w:val="000000" w:themeColor="text1"/>
                <w:sz w:val="20"/>
                <w:szCs w:val="20"/>
              </w:rPr>
              <w:t>18.</w:t>
            </w:r>
            <w:r w:rsidR="00E56A7C" w:rsidRPr="00D14CD7">
              <w:rPr>
                <w:rFonts w:eastAsia="Times New Roman"/>
                <w:color w:val="000000" w:themeColor="text1"/>
                <w:sz w:val="20"/>
                <w:szCs w:val="20"/>
              </w:rPr>
              <w:t>4</w:t>
            </w:r>
          </w:p>
        </w:tc>
        <w:tc>
          <w:tcPr>
            <w:tcW w:w="218" w:type="pct"/>
            <w:tcBorders>
              <w:left w:val="double" w:sz="4" w:space="0" w:color="auto"/>
            </w:tcBorders>
            <w:vAlign w:val="center"/>
          </w:tcPr>
          <w:p w14:paraId="7A58F17D" w14:textId="77777777" w:rsidR="00170887" w:rsidRPr="00D14CD7" w:rsidRDefault="00170887" w:rsidP="00170887">
            <w:pPr>
              <w:jc w:val="right"/>
              <w:rPr>
                <w:color w:val="000000" w:themeColor="text1"/>
                <w:sz w:val="20"/>
                <w:szCs w:val="20"/>
              </w:rPr>
            </w:pPr>
            <w:r w:rsidRPr="00D14CD7">
              <w:rPr>
                <w:rFonts w:eastAsia="Times New Roman"/>
                <w:color w:val="000000" w:themeColor="text1"/>
                <w:sz w:val="20"/>
                <w:szCs w:val="20"/>
              </w:rPr>
              <w:t>-32.3</w:t>
            </w:r>
          </w:p>
        </w:tc>
        <w:tc>
          <w:tcPr>
            <w:tcW w:w="218" w:type="pct"/>
            <w:vAlign w:val="center"/>
          </w:tcPr>
          <w:p w14:paraId="41354CA9" w14:textId="77777777" w:rsidR="00170887" w:rsidRPr="00D14CD7" w:rsidRDefault="00170887" w:rsidP="00170887">
            <w:pPr>
              <w:jc w:val="right"/>
              <w:rPr>
                <w:rFonts w:eastAsia="Times New Roman"/>
                <w:color w:val="000000" w:themeColor="text1"/>
                <w:sz w:val="20"/>
                <w:szCs w:val="20"/>
              </w:rPr>
            </w:pPr>
            <w:r w:rsidRPr="00D14CD7">
              <w:rPr>
                <w:rFonts w:eastAsia="Times New Roman"/>
                <w:color w:val="000000" w:themeColor="text1"/>
                <w:sz w:val="20"/>
                <w:szCs w:val="20"/>
              </w:rPr>
              <w:t>8.3</w:t>
            </w:r>
          </w:p>
        </w:tc>
        <w:tc>
          <w:tcPr>
            <w:tcW w:w="249" w:type="pct"/>
            <w:vAlign w:val="center"/>
          </w:tcPr>
          <w:p w14:paraId="34CAB9CD" w14:textId="77777777" w:rsidR="00170887" w:rsidRPr="00D14CD7" w:rsidRDefault="00170887" w:rsidP="00170887">
            <w:pPr>
              <w:jc w:val="right"/>
              <w:rPr>
                <w:rFonts w:eastAsia="Times New Roman"/>
                <w:color w:val="000000" w:themeColor="text1"/>
                <w:sz w:val="20"/>
                <w:szCs w:val="20"/>
              </w:rPr>
            </w:pPr>
            <w:r w:rsidRPr="00D14CD7">
              <w:rPr>
                <w:rFonts w:eastAsia="Times New Roman"/>
                <w:color w:val="000000" w:themeColor="text1"/>
                <w:sz w:val="20"/>
                <w:szCs w:val="20"/>
              </w:rPr>
              <w:t>18.4</w:t>
            </w:r>
          </w:p>
        </w:tc>
        <w:tc>
          <w:tcPr>
            <w:tcW w:w="218" w:type="pct"/>
            <w:vAlign w:val="center"/>
          </w:tcPr>
          <w:p w14:paraId="6046AF1C" w14:textId="77777777" w:rsidR="00170887" w:rsidRPr="00D14CD7" w:rsidRDefault="00170887" w:rsidP="00170887">
            <w:pPr>
              <w:jc w:val="right"/>
              <w:rPr>
                <w:rFonts w:eastAsia="Times New Roman"/>
                <w:color w:val="000000" w:themeColor="text1"/>
                <w:sz w:val="20"/>
                <w:szCs w:val="20"/>
              </w:rPr>
            </w:pPr>
            <w:r w:rsidRPr="00D14CD7">
              <w:rPr>
                <w:rFonts w:eastAsia="Times New Roman"/>
                <w:color w:val="000000" w:themeColor="text1"/>
                <w:sz w:val="20"/>
                <w:szCs w:val="20"/>
              </w:rPr>
              <w:t>-54.3</w:t>
            </w:r>
          </w:p>
        </w:tc>
        <w:tc>
          <w:tcPr>
            <w:tcW w:w="246" w:type="pct"/>
            <w:vAlign w:val="center"/>
          </w:tcPr>
          <w:p w14:paraId="12B8A382" w14:textId="77777777" w:rsidR="00170887" w:rsidRPr="00D14CD7" w:rsidRDefault="00170887" w:rsidP="00170887">
            <w:pPr>
              <w:jc w:val="right"/>
              <w:rPr>
                <w:rFonts w:eastAsia="Times New Roman"/>
                <w:color w:val="000000" w:themeColor="text1"/>
                <w:sz w:val="20"/>
                <w:szCs w:val="20"/>
              </w:rPr>
            </w:pPr>
            <w:r w:rsidRPr="00D14CD7">
              <w:rPr>
                <w:rFonts w:eastAsia="Times New Roman"/>
                <w:color w:val="000000" w:themeColor="text1"/>
                <w:sz w:val="20"/>
                <w:szCs w:val="20"/>
              </w:rPr>
              <w:t>13.4</w:t>
            </w:r>
          </w:p>
        </w:tc>
      </w:tr>
      <w:tr w:rsidR="00D14CD7" w:rsidRPr="00D14CD7" w14:paraId="6C69997C" w14:textId="77777777" w:rsidTr="00170887">
        <w:tc>
          <w:tcPr>
            <w:tcW w:w="654" w:type="pct"/>
            <w:vMerge/>
            <w:tcBorders>
              <w:right w:val="double" w:sz="4" w:space="0" w:color="auto"/>
            </w:tcBorders>
            <w:vAlign w:val="center"/>
          </w:tcPr>
          <w:p w14:paraId="60EC6EAB" w14:textId="77777777" w:rsidR="00170887" w:rsidRPr="00D14CD7" w:rsidRDefault="00170887" w:rsidP="00170887">
            <w:pPr>
              <w:jc w:val="left"/>
              <w:rPr>
                <w:color w:val="000000" w:themeColor="text1"/>
                <w:sz w:val="20"/>
                <w:szCs w:val="20"/>
              </w:rPr>
            </w:pPr>
          </w:p>
        </w:tc>
        <w:tc>
          <w:tcPr>
            <w:tcW w:w="594" w:type="pct"/>
            <w:tcBorders>
              <w:left w:val="double" w:sz="4" w:space="0" w:color="auto"/>
            </w:tcBorders>
            <w:vAlign w:val="center"/>
          </w:tcPr>
          <w:p w14:paraId="695E7AD3" w14:textId="77777777" w:rsidR="00170887" w:rsidRPr="00D14CD7" w:rsidRDefault="00170887" w:rsidP="00170887">
            <w:pPr>
              <w:jc w:val="left"/>
              <w:rPr>
                <w:color w:val="000000" w:themeColor="text1"/>
                <w:sz w:val="20"/>
                <w:szCs w:val="20"/>
              </w:rPr>
            </w:pPr>
            <w:r w:rsidRPr="00D14CD7">
              <w:rPr>
                <w:color w:val="000000" w:themeColor="text1"/>
                <w:sz w:val="20"/>
                <w:szCs w:val="20"/>
              </w:rPr>
              <w:t>White high walkability (90th</w:t>
            </w:r>
          </w:p>
          <w:p w14:paraId="689ACF49" w14:textId="77777777" w:rsidR="00170887" w:rsidRPr="00D14CD7" w:rsidRDefault="00170887" w:rsidP="00170887">
            <w:pPr>
              <w:jc w:val="left"/>
              <w:rPr>
                <w:color w:val="000000" w:themeColor="text1"/>
                <w:sz w:val="20"/>
                <w:szCs w:val="20"/>
              </w:rPr>
            </w:pPr>
            <w:r w:rsidRPr="00D14CD7">
              <w:rPr>
                <w:color w:val="000000" w:themeColor="text1"/>
                <w:sz w:val="20"/>
                <w:szCs w:val="20"/>
              </w:rPr>
              <w:t>percentile=0.14)</w:t>
            </w:r>
          </w:p>
        </w:tc>
        <w:tc>
          <w:tcPr>
            <w:tcW w:w="562" w:type="pct"/>
            <w:tcBorders>
              <w:right w:val="double" w:sz="4" w:space="0" w:color="auto"/>
            </w:tcBorders>
            <w:vAlign w:val="center"/>
          </w:tcPr>
          <w:p w14:paraId="160F0D2C" w14:textId="77777777" w:rsidR="00170887" w:rsidRPr="00D14CD7" w:rsidRDefault="00170887" w:rsidP="00170887">
            <w:pPr>
              <w:jc w:val="left"/>
              <w:rPr>
                <w:color w:val="000000" w:themeColor="text1"/>
                <w:sz w:val="20"/>
                <w:szCs w:val="20"/>
              </w:rPr>
            </w:pPr>
            <w:r w:rsidRPr="00D14CD7">
              <w:rPr>
                <w:color w:val="000000" w:themeColor="text1"/>
                <w:sz w:val="20"/>
                <w:szCs w:val="20"/>
              </w:rPr>
              <w:t>Not White high walkability</w:t>
            </w:r>
          </w:p>
        </w:tc>
        <w:tc>
          <w:tcPr>
            <w:tcW w:w="202" w:type="pct"/>
            <w:tcBorders>
              <w:left w:val="double" w:sz="4" w:space="0" w:color="auto"/>
            </w:tcBorders>
            <w:vAlign w:val="center"/>
          </w:tcPr>
          <w:p w14:paraId="5A7908CE" w14:textId="77777777" w:rsidR="00170887" w:rsidRPr="00D14CD7" w:rsidRDefault="00170887" w:rsidP="00170887">
            <w:pPr>
              <w:jc w:val="right"/>
              <w:rPr>
                <w:color w:val="000000" w:themeColor="text1"/>
                <w:sz w:val="20"/>
                <w:szCs w:val="20"/>
              </w:rPr>
            </w:pPr>
            <w:r w:rsidRPr="00D14CD7">
              <w:rPr>
                <w:rFonts w:eastAsia="Times New Roman"/>
                <w:color w:val="000000" w:themeColor="text1"/>
                <w:sz w:val="20"/>
                <w:szCs w:val="20"/>
              </w:rPr>
              <w:t>3.19</w:t>
            </w:r>
          </w:p>
        </w:tc>
        <w:tc>
          <w:tcPr>
            <w:tcW w:w="218" w:type="pct"/>
            <w:vAlign w:val="center"/>
          </w:tcPr>
          <w:p w14:paraId="7053AD09" w14:textId="254EE801" w:rsidR="00170887" w:rsidRPr="00D14CD7" w:rsidRDefault="00170887" w:rsidP="00170887">
            <w:pPr>
              <w:jc w:val="right"/>
              <w:rPr>
                <w:color w:val="000000" w:themeColor="text1"/>
                <w:sz w:val="20"/>
                <w:szCs w:val="20"/>
              </w:rPr>
            </w:pPr>
            <w:r w:rsidRPr="00D14CD7">
              <w:rPr>
                <w:rFonts w:eastAsia="Times New Roman"/>
                <w:color w:val="000000" w:themeColor="text1"/>
                <w:sz w:val="20"/>
                <w:szCs w:val="20"/>
              </w:rPr>
              <w:t>1</w:t>
            </w:r>
            <w:r w:rsidR="00E56A7C" w:rsidRPr="00D14CD7">
              <w:rPr>
                <w:rFonts w:eastAsia="Times New Roman"/>
                <w:color w:val="000000" w:themeColor="text1"/>
                <w:sz w:val="20"/>
                <w:szCs w:val="20"/>
              </w:rPr>
              <w:t>3</w:t>
            </w:r>
            <w:r w:rsidRPr="00D14CD7">
              <w:rPr>
                <w:rFonts w:eastAsia="Times New Roman"/>
                <w:color w:val="000000" w:themeColor="text1"/>
                <w:sz w:val="20"/>
                <w:szCs w:val="20"/>
              </w:rPr>
              <w:t>.</w:t>
            </w:r>
            <w:r w:rsidR="00E56A7C" w:rsidRPr="00D14CD7">
              <w:rPr>
                <w:rFonts w:eastAsia="Times New Roman"/>
                <w:color w:val="000000" w:themeColor="text1"/>
                <w:sz w:val="20"/>
                <w:szCs w:val="20"/>
              </w:rPr>
              <w:t>0</w:t>
            </w:r>
          </w:p>
        </w:tc>
        <w:tc>
          <w:tcPr>
            <w:tcW w:w="187" w:type="pct"/>
            <w:vAlign w:val="center"/>
          </w:tcPr>
          <w:p w14:paraId="5522292E" w14:textId="5F2740C8" w:rsidR="00170887" w:rsidRPr="00D14CD7" w:rsidRDefault="00170887" w:rsidP="00170887">
            <w:pPr>
              <w:jc w:val="right"/>
              <w:rPr>
                <w:color w:val="000000" w:themeColor="text1"/>
                <w:sz w:val="20"/>
                <w:szCs w:val="20"/>
              </w:rPr>
            </w:pPr>
            <w:r w:rsidRPr="00D14CD7">
              <w:rPr>
                <w:rFonts w:eastAsia="Times New Roman"/>
                <w:color w:val="000000" w:themeColor="text1"/>
                <w:sz w:val="20"/>
                <w:szCs w:val="20"/>
              </w:rPr>
              <w:t>5.</w:t>
            </w:r>
            <w:r w:rsidR="00FC630C" w:rsidRPr="00D14CD7">
              <w:rPr>
                <w:rFonts w:eastAsia="Times New Roman"/>
                <w:color w:val="000000" w:themeColor="text1"/>
                <w:sz w:val="20"/>
                <w:szCs w:val="20"/>
              </w:rPr>
              <w:t>7</w:t>
            </w:r>
          </w:p>
        </w:tc>
        <w:tc>
          <w:tcPr>
            <w:tcW w:w="218" w:type="pct"/>
            <w:vAlign w:val="center"/>
          </w:tcPr>
          <w:p w14:paraId="1A92ADBE" w14:textId="7FED315D" w:rsidR="00170887" w:rsidRPr="00D14CD7" w:rsidRDefault="00170887" w:rsidP="00170887">
            <w:pPr>
              <w:jc w:val="right"/>
              <w:rPr>
                <w:color w:val="000000" w:themeColor="text1"/>
                <w:sz w:val="20"/>
                <w:szCs w:val="20"/>
              </w:rPr>
            </w:pPr>
            <w:r w:rsidRPr="00D14CD7">
              <w:rPr>
                <w:rFonts w:eastAsia="Times New Roman"/>
                <w:color w:val="000000" w:themeColor="text1"/>
                <w:sz w:val="20"/>
                <w:szCs w:val="20"/>
              </w:rPr>
              <w:t>69.</w:t>
            </w:r>
            <w:r w:rsidR="00E56A7C" w:rsidRPr="00D14CD7">
              <w:rPr>
                <w:rFonts w:eastAsia="Times New Roman"/>
                <w:color w:val="000000" w:themeColor="text1"/>
                <w:sz w:val="20"/>
                <w:szCs w:val="20"/>
              </w:rPr>
              <w:t>2</w:t>
            </w:r>
          </w:p>
        </w:tc>
        <w:tc>
          <w:tcPr>
            <w:tcW w:w="187" w:type="pct"/>
            <w:tcBorders>
              <w:right w:val="double" w:sz="4" w:space="0" w:color="auto"/>
            </w:tcBorders>
            <w:vAlign w:val="center"/>
          </w:tcPr>
          <w:p w14:paraId="0820184F" w14:textId="498BAE87" w:rsidR="00170887" w:rsidRPr="00D14CD7" w:rsidRDefault="00170887" w:rsidP="00170887">
            <w:pPr>
              <w:jc w:val="right"/>
              <w:rPr>
                <w:color w:val="000000" w:themeColor="text1"/>
                <w:sz w:val="20"/>
                <w:szCs w:val="20"/>
              </w:rPr>
            </w:pPr>
            <w:r w:rsidRPr="00D14CD7">
              <w:rPr>
                <w:rFonts w:eastAsia="Times New Roman"/>
                <w:color w:val="000000" w:themeColor="text1"/>
                <w:sz w:val="20"/>
                <w:szCs w:val="20"/>
              </w:rPr>
              <w:t>12.</w:t>
            </w:r>
            <w:r w:rsidR="00E56A7C" w:rsidRPr="00D14CD7">
              <w:rPr>
                <w:rFonts w:eastAsia="Times New Roman"/>
                <w:color w:val="000000" w:themeColor="text1"/>
                <w:sz w:val="20"/>
                <w:szCs w:val="20"/>
              </w:rPr>
              <w:t>1</w:t>
            </w:r>
          </w:p>
        </w:tc>
        <w:tc>
          <w:tcPr>
            <w:tcW w:w="187" w:type="pct"/>
            <w:tcBorders>
              <w:left w:val="double" w:sz="4" w:space="0" w:color="auto"/>
            </w:tcBorders>
            <w:vAlign w:val="center"/>
          </w:tcPr>
          <w:p w14:paraId="525150B6" w14:textId="40A4B5C7" w:rsidR="00170887" w:rsidRPr="00D14CD7" w:rsidRDefault="00170887" w:rsidP="00170887">
            <w:pPr>
              <w:jc w:val="right"/>
              <w:rPr>
                <w:color w:val="000000" w:themeColor="text1"/>
                <w:sz w:val="20"/>
                <w:szCs w:val="20"/>
              </w:rPr>
            </w:pPr>
            <w:r w:rsidRPr="00D14CD7">
              <w:rPr>
                <w:rFonts w:eastAsia="Times New Roman"/>
                <w:color w:val="000000" w:themeColor="text1"/>
                <w:sz w:val="20"/>
                <w:szCs w:val="20"/>
              </w:rPr>
              <w:t>2.1</w:t>
            </w:r>
            <w:r w:rsidR="001D7C95" w:rsidRPr="00D14CD7">
              <w:rPr>
                <w:rFonts w:eastAsia="Times New Roman"/>
                <w:color w:val="000000" w:themeColor="text1"/>
                <w:sz w:val="20"/>
                <w:szCs w:val="20"/>
              </w:rPr>
              <w:t>3</w:t>
            </w:r>
          </w:p>
        </w:tc>
        <w:tc>
          <w:tcPr>
            <w:tcW w:w="218" w:type="pct"/>
            <w:vAlign w:val="center"/>
          </w:tcPr>
          <w:p w14:paraId="149230EF" w14:textId="0EB340B2" w:rsidR="00170887" w:rsidRPr="00D14CD7" w:rsidRDefault="00170887" w:rsidP="00170887">
            <w:pPr>
              <w:jc w:val="right"/>
              <w:rPr>
                <w:color w:val="000000" w:themeColor="text1"/>
                <w:sz w:val="20"/>
                <w:szCs w:val="20"/>
              </w:rPr>
            </w:pPr>
            <w:r w:rsidRPr="00D14CD7">
              <w:rPr>
                <w:rFonts w:eastAsia="Times New Roman"/>
                <w:color w:val="000000" w:themeColor="text1"/>
                <w:sz w:val="20"/>
                <w:szCs w:val="20"/>
              </w:rPr>
              <w:t>20.</w:t>
            </w:r>
            <w:r w:rsidR="00E56A7C" w:rsidRPr="00D14CD7">
              <w:rPr>
                <w:rFonts w:eastAsia="Times New Roman"/>
                <w:color w:val="000000" w:themeColor="text1"/>
                <w:sz w:val="20"/>
                <w:szCs w:val="20"/>
              </w:rPr>
              <w:t>9</w:t>
            </w:r>
          </w:p>
        </w:tc>
        <w:tc>
          <w:tcPr>
            <w:tcW w:w="187" w:type="pct"/>
            <w:vAlign w:val="center"/>
          </w:tcPr>
          <w:p w14:paraId="476BF9FF" w14:textId="77777777" w:rsidR="00170887" w:rsidRPr="00D14CD7" w:rsidRDefault="00170887" w:rsidP="00170887">
            <w:pPr>
              <w:jc w:val="right"/>
              <w:rPr>
                <w:color w:val="000000" w:themeColor="text1"/>
                <w:sz w:val="20"/>
                <w:szCs w:val="20"/>
              </w:rPr>
            </w:pPr>
            <w:r w:rsidRPr="00D14CD7">
              <w:rPr>
                <w:rFonts w:eastAsia="Times New Roman"/>
                <w:color w:val="000000" w:themeColor="text1"/>
                <w:sz w:val="20"/>
                <w:szCs w:val="20"/>
              </w:rPr>
              <w:t>9.8</w:t>
            </w:r>
          </w:p>
        </w:tc>
        <w:tc>
          <w:tcPr>
            <w:tcW w:w="218" w:type="pct"/>
            <w:vAlign w:val="center"/>
          </w:tcPr>
          <w:p w14:paraId="146275D2" w14:textId="0DC5A35D" w:rsidR="00170887" w:rsidRPr="00D14CD7" w:rsidRDefault="00170887" w:rsidP="00170887">
            <w:pPr>
              <w:jc w:val="right"/>
              <w:rPr>
                <w:color w:val="000000" w:themeColor="text1"/>
                <w:sz w:val="20"/>
                <w:szCs w:val="20"/>
              </w:rPr>
            </w:pPr>
            <w:r w:rsidRPr="00D14CD7">
              <w:rPr>
                <w:rFonts w:eastAsia="Times New Roman"/>
                <w:color w:val="000000" w:themeColor="text1"/>
                <w:sz w:val="20"/>
                <w:szCs w:val="20"/>
              </w:rPr>
              <w:t>49.</w:t>
            </w:r>
            <w:r w:rsidR="00E56A7C" w:rsidRPr="00D14CD7">
              <w:rPr>
                <w:rFonts w:eastAsia="Times New Roman"/>
                <w:color w:val="000000" w:themeColor="text1"/>
                <w:sz w:val="20"/>
                <w:szCs w:val="20"/>
              </w:rPr>
              <w:t>6</w:t>
            </w:r>
          </w:p>
        </w:tc>
        <w:tc>
          <w:tcPr>
            <w:tcW w:w="219" w:type="pct"/>
            <w:tcBorders>
              <w:right w:val="double" w:sz="4" w:space="0" w:color="auto"/>
            </w:tcBorders>
            <w:vAlign w:val="center"/>
          </w:tcPr>
          <w:p w14:paraId="204EA606" w14:textId="77777777" w:rsidR="00170887" w:rsidRPr="00D14CD7" w:rsidRDefault="00170887" w:rsidP="00170887">
            <w:pPr>
              <w:jc w:val="right"/>
              <w:rPr>
                <w:color w:val="000000" w:themeColor="text1"/>
                <w:sz w:val="20"/>
                <w:szCs w:val="20"/>
              </w:rPr>
            </w:pPr>
            <w:r w:rsidRPr="00D14CD7">
              <w:rPr>
                <w:rFonts w:eastAsia="Times New Roman"/>
                <w:color w:val="000000" w:themeColor="text1"/>
                <w:sz w:val="20"/>
                <w:szCs w:val="20"/>
              </w:rPr>
              <w:t>19.7</w:t>
            </w:r>
          </w:p>
        </w:tc>
        <w:tc>
          <w:tcPr>
            <w:tcW w:w="218" w:type="pct"/>
            <w:tcBorders>
              <w:left w:val="double" w:sz="4" w:space="0" w:color="auto"/>
            </w:tcBorders>
            <w:vAlign w:val="center"/>
          </w:tcPr>
          <w:p w14:paraId="0443F885" w14:textId="77777777" w:rsidR="00170887" w:rsidRPr="00D14CD7" w:rsidRDefault="00170887" w:rsidP="00170887">
            <w:pPr>
              <w:jc w:val="right"/>
              <w:rPr>
                <w:color w:val="000000" w:themeColor="text1"/>
                <w:sz w:val="20"/>
                <w:szCs w:val="20"/>
              </w:rPr>
            </w:pPr>
            <w:r w:rsidRPr="00D14CD7">
              <w:rPr>
                <w:rFonts w:eastAsia="Times New Roman"/>
                <w:color w:val="000000" w:themeColor="text1"/>
                <w:sz w:val="20"/>
                <w:szCs w:val="20"/>
              </w:rPr>
              <w:t>-33.3</w:t>
            </w:r>
          </w:p>
        </w:tc>
        <w:tc>
          <w:tcPr>
            <w:tcW w:w="218" w:type="pct"/>
            <w:vAlign w:val="center"/>
          </w:tcPr>
          <w:p w14:paraId="3EA1AC9B" w14:textId="77777777" w:rsidR="00170887" w:rsidRPr="00D14CD7" w:rsidRDefault="00170887" w:rsidP="00170887">
            <w:pPr>
              <w:jc w:val="right"/>
              <w:rPr>
                <w:rFonts w:eastAsia="Times New Roman"/>
                <w:color w:val="000000" w:themeColor="text1"/>
                <w:sz w:val="20"/>
                <w:szCs w:val="20"/>
              </w:rPr>
            </w:pPr>
            <w:r w:rsidRPr="00D14CD7">
              <w:rPr>
                <w:rFonts w:eastAsia="Times New Roman"/>
                <w:color w:val="000000" w:themeColor="text1"/>
                <w:sz w:val="20"/>
                <w:szCs w:val="20"/>
              </w:rPr>
              <w:t>7.1</w:t>
            </w:r>
          </w:p>
        </w:tc>
        <w:tc>
          <w:tcPr>
            <w:tcW w:w="249" w:type="pct"/>
            <w:vAlign w:val="center"/>
          </w:tcPr>
          <w:p w14:paraId="5B67892E" w14:textId="77777777" w:rsidR="00170887" w:rsidRPr="00D14CD7" w:rsidRDefault="00170887" w:rsidP="00170887">
            <w:pPr>
              <w:jc w:val="right"/>
              <w:rPr>
                <w:rFonts w:eastAsia="Times New Roman"/>
                <w:color w:val="000000" w:themeColor="text1"/>
                <w:sz w:val="20"/>
                <w:szCs w:val="20"/>
              </w:rPr>
            </w:pPr>
            <w:r w:rsidRPr="00D14CD7">
              <w:rPr>
                <w:rFonts w:eastAsia="Times New Roman"/>
                <w:color w:val="000000" w:themeColor="text1"/>
                <w:sz w:val="20"/>
                <w:szCs w:val="20"/>
              </w:rPr>
              <w:t>13.2</w:t>
            </w:r>
          </w:p>
        </w:tc>
        <w:tc>
          <w:tcPr>
            <w:tcW w:w="218" w:type="pct"/>
            <w:vAlign w:val="center"/>
          </w:tcPr>
          <w:p w14:paraId="2E067F81" w14:textId="77777777" w:rsidR="00170887" w:rsidRPr="00D14CD7" w:rsidRDefault="00170887" w:rsidP="00170887">
            <w:pPr>
              <w:jc w:val="right"/>
              <w:rPr>
                <w:rFonts w:eastAsia="Times New Roman"/>
                <w:color w:val="000000" w:themeColor="text1"/>
                <w:sz w:val="20"/>
                <w:szCs w:val="20"/>
              </w:rPr>
            </w:pPr>
            <w:r w:rsidRPr="00D14CD7">
              <w:rPr>
                <w:rFonts w:eastAsia="Times New Roman"/>
                <w:color w:val="000000" w:themeColor="text1"/>
                <w:sz w:val="20"/>
                <w:szCs w:val="20"/>
              </w:rPr>
              <w:t>-52.2</w:t>
            </w:r>
          </w:p>
        </w:tc>
        <w:tc>
          <w:tcPr>
            <w:tcW w:w="246" w:type="pct"/>
            <w:vAlign w:val="center"/>
          </w:tcPr>
          <w:p w14:paraId="4A5650E1" w14:textId="77777777" w:rsidR="00170887" w:rsidRPr="00D14CD7" w:rsidRDefault="00170887" w:rsidP="00170887">
            <w:pPr>
              <w:jc w:val="right"/>
              <w:rPr>
                <w:rFonts w:eastAsia="Times New Roman"/>
                <w:color w:val="000000" w:themeColor="text1"/>
                <w:sz w:val="20"/>
                <w:szCs w:val="20"/>
              </w:rPr>
            </w:pPr>
            <w:r w:rsidRPr="00D14CD7">
              <w:rPr>
                <w:rFonts w:eastAsia="Times New Roman"/>
                <w:color w:val="000000" w:themeColor="text1"/>
                <w:sz w:val="20"/>
                <w:szCs w:val="20"/>
              </w:rPr>
              <w:t>9.1</w:t>
            </w:r>
          </w:p>
        </w:tc>
      </w:tr>
      <w:tr w:rsidR="00D14CD7" w:rsidRPr="00D14CD7" w14:paraId="4508EBC0" w14:textId="77777777" w:rsidTr="00170887">
        <w:tc>
          <w:tcPr>
            <w:tcW w:w="654" w:type="pct"/>
            <w:tcBorders>
              <w:bottom w:val="single" w:sz="8" w:space="0" w:color="auto"/>
              <w:right w:val="double" w:sz="4" w:space="0" w:color="auto"/>
            </w:tcBorders>
            <w:vAlign w:val="center"/>
          </w:tcPr>
          <w:p w14:paraId="2A320A68" w14:textId="77777777" w:rsidR="00170887" w:rsidRPr="00D14CD7" w:rsidRDefault="00170887" w:rsidP="00170887">
            <w:pPr>
              <w:jc w:val="left"/>
              <w:rPr>
                <w:color w:val="000000" w:themeColor="text1"/>
                <w:sz w:val="20"/>
                <w:szCs w:val="20"/>
              </w:rPr>
            </w:pPr>
            <w:r w:rsidRPr="00D14CD7">
              <w:rPr>
                <w:rFonts w:eastAsia="Times New Roman"/>
                <w:bCs/>
                <w:iCs/>
                <w:color w:val="000000" w:themeColor="text1"/>
                <w:sz w:val="20"/>
                <w:szCs w:val="20"/>
              </w:rPr>
              <w:t>Educational level</w:t>
            </w:r>
          </w:p>
        </w:tc>
        <w:tc>
          <w:tcPr>
            <w:tcW w:w="594" w:type="pct"/>
            <w:tcBorders>
              <w:left w:val="double" w:sz="4" w:space="0" w:color="auto"/>
              <w:bottom w:val="single" w:sz="8" w:space="0" w:color="auto"/>
            </w:tcBorders>
            <w:vAlign w:val="center"/>
          </w:tcPr>
          <w:p w14:paraId="5CC60209" w14:textId="0DB181B3" w:rsidR="00170887" w:rsidRPr="00D14CD7" w:rsidRDefault="00170887" w:rsidP="00170887">
            <w:pPr>
              <w:jc w:val="left"/>
              <w:rPr>
                <w:color w:val="000000" w:themeColor="text1"/>
                <w:sz w:val="20"/>
                <w:szCs w:val="20"/>
              </w:rPr>
            </w:pPr>
            <w:r w:rsidRPr="00D14CD7">
              <w:rPr>
                <w:color w:val="000000" w:themeColor="text1"/>
                <w:sz w:val="20"/>
                <w:szCs w:val="20"/>
              </w:rPr>
              <w:t>Below graduate degree</w:t>
            </w:r>
          </w:p>
        </w:tc>
        <w:tc>
          <w:tcPr>
            <w:tcW w:w="562" w:type="pct"/>
            <w:tcBorders>
              <w:bottom w:val="single" w:sz="8" w:space="0" w:color="auto"/>
              <w:right w:val="double" w:sz="4" w:space="0" w:color="auto"/>
            </w:tcBorders>
            <w:vAlign w:val="center"/>
          </w:tcPr>
          <w:p w14:paraId="3348ED56" w14:textId="77777777" w:rsidR="00170887" w:rsidRPr="00D14CD7" w:rsidRDefault="00170887" w:rsidP="00170887">
            <w:pPr>
              <w:jc w:val="left"/>
              <w:rPr>
                <w:color w:val="000000" w:themeColor="text1"/>
                <w:sz w:val="20"/>
                <w:szCs w:val="20"/>
              </w:rPr>
            </w:pPr>
            <w:r w:rsidRPr="00D14CD7">
              <w:rPr>
                <w:color w:val="000000" w:themeColor="text1"/>
                <w:sz w:val="20"/>
                <w:szCs w:val="20"/>
              </w:rPr>
              <w:t>Graduate degree</w:t>
            </w:r>
          </w:p>
        </w:tc>
        <w:tc>
          <w:tcPr>
            <w:tcW w:w="202" w:type="pct"/>
            <w:tcBorders>
              <w:left w:val="double" w:sz="4" w:space="0" w:color="auto"/>
              <w:bottom w:val="single" w:sz="8" w:space="0" w:color="auto"/>
            </w:tcBorders>
            <w:vAlign w:val="center"/>
          </w:tcPr>
          <w:p w14:paraId="0FC5BC76" w14:textId="77777777" w:rsidR="00170887" w:rsidRPr="00D14CD7" w:rsidRDefault="00170887" w:rsidP="00170887">
            <w:pPr>
              <w:jc w:val="right"/>
              <w:rPr>
                <w:color w:val="000000" w:themeColor="text1"/>
                <w:sz w:val="20"/>
                <w:szCs w:val="20"/>
              </w:rPr>
            </w:pPr>
            <w:r w:rsidRPr="00D14CD7">
              <w:rPr>
                <w:rFonts w:eastAsia="Times New Roman"/>
                <w:color w:val="000000" w:themeColor="text1"/>
                <w:sz w:val="20"/>
                <w:szCs w:val="20"/>
              </w:rPr>
              <w:t>3.46</w:t>
            </w:r>
          </w:p>
        </w:tc>
        <w:tc>
          <w:tcPr>
            <w:tcW w:w="218" w:type="pct"/>
            <w:tcBorders>
              <w:bottom w:val="single" w:sz="8" w:space="0" w:color="auto"/>
            </w:tcBorders>
            <w:vAlign w:val="center"/>
          </w:tcPr>
          <w:p w14:paraId="2FDBA188" w14:textId="77777777" w:rsidR="00170887" w:rsidRPr="00D14CD7" w:rsidRDefault="00170887" w:rsidP="00170887">
            <w:pPr>
              <w:jc w:val="right"/>
              <w:rPr>
                <w:color w:val="000000" w:themeColor="text1"/>
                <w:sz w:val="20"/>
                <w:szCs w:val="20"/>
              </w:rPr>
            </w:pPr>
            <w:r w:rsidRPr="00D14CD7">
              <w:rPr>
                <w:rFonts w:eastAsia="Times New Roman"/>
                <w:color w:val="000000" w:themeColor="text1"/>
                <w:sz w:val="20"/>
                <w:szCs w:val="20"/>
              </w:rPr>
              <w:t>15.4</w:t>
            </w:r>
          </w:p>
        </w:tc>
        <w:tc>
          <w:tcPr>
            <w:tcW w:w="187" w:type="pct"/>
            <w:tcBorders>
              <w:bottom w:val="single" w:sz="8" w:space="0" w:color="auto"/>
            </w:tcBorders>
            <w:vAlign w:val="center"/>
          </w:tcPr>
          <w:p w14:paraId="17D0ADC2" w14:textId="77777777" w:rsidR="00170887" w:rsidRPr="00D14CD7" w:rsidRDefault="00170887" w:rsidP="00170887">
            <w:pPr>
              <w:jc w:val="right"/>
              <w:rPr>
                <w:color w:val="000000" w:themeColor="text1"/>
                <w:sz w:val="20"/>
                <w:szCs w:val="20"/>
              </w:rPr>
            </w:pPr>
            <w:r w:rsidRPr="00D14CD7">
              <w:rPr>
                <w:rFonts w:eastAsia="Times New Roman"/>
                <w:color w:val="000000" w:themeColor="text1"/>
                <w:sz w:val="20"/>
                <w:szCs w:val="20"/>
              </w:rPr>
              <w:t>5.5</w:t>
            </w:r>
          </w:p>
        </w:tc>
        <w:tc>
          <w:tcPr>
            <w:tcW w:w="218" w:type="pct"/>
            <w:tcBorders>
              <w:bottom w:val="single" w:sz="8" w:space="0" w:color="auto"/>
            </w:tcBorders>
            <w:vAlign w:val="center"/>
          </w:tcPr>
          <w:p w14:paraId="3BA6ACAA" w14:textId="7218F130" w:rsidR="00170887" w:rsidRPr="00D14CD7" w:rsidRDefault="00170887" w:rsidP="00170887">
            <w:pPr>
              <w:jc w:val="right"/>
              <w:rPr>
                <w:color w:val="000000" w:themeColor="text1"/>
                <w:sz w:val="20"/>
                <w:szCs w:val="20"/>
              </w:rPr>
            </w:pPr>
            <w:r w:rsidRPr="00D14CD7">
              <w:rPr>
                <w:rFonts w:eastAsia="Times New Roman"/>
                <w:color w:val="000000" w:themeColor="text1"/>
                <w:sz w:val="20"/>
                <w:szCs w:val="20"/>
              </w:rPr>
              <w:t>67.</w:t>
            </w:r>
            <w:r w:rsidR="00FC630C" w:rsidRPr="00D14CD7">
              <w:rPr>
                <w:rFonts w:eastAsia="Times New Roman"/>
                <w:color w:val="000000" w:themeColor="text1"/>
                <w:sz w:val="20"/>
                <w:szCs w:val="20"/>
              </w:rPr>
              <w:t>5</w:t>
            </w:r>
          </w:p>
        </w:tc>
        <w:tc>
          <w:tcPr>
            <w:tcW w:w="187" w:type="pct"/>
            <w:tcBorders>
              <w:bottom w:val="single" w:sz="8" w:space="0" w:color="auto"/>
              <w:right w:val="double" w:sz="4" w:space="0" w:color="auto"/>
            </w:tcBorders>
            <w:vAlign w:val="center"/>
          </w:tcPr>
          <w:p w14:paraId="043AD0A6" w14:textId="77777777" w:rsidR="00170887" w:rsidRPr="00D14CD7" w:rsidRDefault="00170887" w:rsidP="00170887">
            <w:pPr>
              <w:jc w:val="right"/>
              <w:rPr>
                <w:color w:val="000000" w:themeColor="text1"/>
                <w:sz w:val="20"/>
                <w:szCs w:val="20"/>
              </w:rPr>
            </w:pPr>
            <w:r w:rsidRPr="00D14CD7">
              <w:rPr>
                <w:rFonts w:eastAsia="Times New Roman"/>
                <w:color w:val="000000" w:themeColor="text1"/>
                <w:sz w:val="20"/>
                <w:szCs w:val="20"/>
              </w:rPr>
              <w:t>11.6</w:t>
            </w:r>
          </w:p>
        </w:tc>
        <w:tc>
          <w:tcPr>
            <w:tcW w:w="187" w:type="pct"/>
            <w:tcBorders>
              <w:left w:val="double" w:sz="4" w:space="0" w:color="auto"/>
              <w:bottom w:val="single" w:sz="8" w:space="0" w:color="auto"/>
            </w:tcBorders>
            <w:vAlign w:val="center"/>
          </w:tcPr>
          <w:p w14:paraId="5F633071" w14:textId="09DE6531" w:rsidR="00170887" w:rsidRPr="00D14CD7" w:rsidRDefault="00170887" w:rsidP="00170887">
            <w:pPr>
              <w:jc w:val="right"/>
              <w:rPr>
                <w:color w:val="000000" w:themeColor="text1"/>
                <w:sz w:val="20"/>
                <w:szCs w:val="20"/>
              </w:rPr>
            </w:pPr>
            <w:r w:rsidRPr="00D14CD7">
              <w:rPr>
                <w:rFonts w:eastAsia="Times New Roman"/>
                <w:color w:val="000000" w:themeColor="text1"/>
                <w:sz w:val="20"/>
                <w:szCs w:val="20"/>
              </w:rPr>
              <w:t>2.9</w:t>
            </w:r>
            <w:r w:rsidR="001D7C95" w:rsidRPr="00D14CD7">
              <w:rPr>
                <w:rFonts w:eastAsia="Times New Roman"/>
                <w:color w:val="000000" w:themeColor="text1"/>
                <w:sz w:val="20"/>
                <w:szCs w:val="20"/>
              </w:rPr>
              <w:t>0</w:t>
            </w:r>
          </w:p>
        </w:tc>
        <w:tc>
          <w:tcPr>
            <w:tcW w:w="218" w:type="pct"/>
            <w:tcBorders>
              <w:bottom w:val="single" w:sz="8" w:space="0" w:color="auto"/>
            </w:tcBorders>
            <w:vAlign w:val="center"/>
          </w:tcPr>
          <w:p w14:paraId="7B464B78" w14:textId="77777777" w:rsidR="00170887" w:rsidRPr="00D14CD7" w:rsidRDefault="00170887" w:rsidP="00170887">
            <w:pPr>
              <w:jc w:val="right"/>
              <w:rPr>
                <w:color w:val="000000" w:themeColor="text1"/>
                <w:sz w:val="20"/>
                <w:szCs w:val="20"/>
              </w:rPr>
            </w:pPr>
            <w:r w:rsidRPr="00D14CD7">
              <w:rPr>
                <w:rFonts w:eastAsia="Times New Roman"/>
                <w:color w:val="000000" w:themeColor="text1"/>
                <w:sz w:val="20"/>
                <w:szCs w:val="20"/>
              </w:rPr>
              <w:t>15.2</w:t>
            </w:r>
          </w:p>
        </w:tc>
        <w:tc>
          <w:tcPr>
            <w:tcW w:w="187" w:type="pct"/>
            <w:tcBorders>
              <w:bottom w:val="single" w:sz="8" w:space="0" w:color="auto"/>
            </w:tcBorders>
            <w:vAlign w:val="center"/>
          </w:tcPr>
          <w:p w14:paraId="52CA346D" w14:textId="77777777" w:rsidR="00170887" w:rsidRPr="00D14CD7" w:rsidRDefault="00170887" w:rsidP="00170887">
            <w:pPr>
              <w:jc w:val="right"/>
              <w:rPr>
                <w:color w:val="000000" w:themeColor="text1"/>
                <w:sz w:val="20"/>
                <w:szCs w:val="20"/>
              </w:rPr>
            </w:pPr>
            <w:r w:rsidRPr="00D14CD7">
              <w:rPr>
                <w:rFonts w:eastAsia="Times New Roman"/>
                <w:color w:val="000000" w:themeColor="text1"/>
                <w:sz w:val="20"/>
                <w:szCs w:val="20"/>
              </w:rPr>
              <w:t>5.5</w:t>
            </w:r>
          </w:p>
        </w:tc>
        <w:tc>
          <w:tcPr>
            <w:tcW w:w="218" w:type="pct"/>
            <w:tcBorders>
              <w:bottom w:val="single" w:sz="8" w:space="0" w:color="auto"/>
            </w:tcBorders>
            <w:vAlign w:val="center"/>
          </w:tcPr>
          <w:p w14:paraId="324A20ED" w14:textId="41E9A670" w:rsidR="00170887" w:rsidRPr="00D14CD7" w:rsidRDefault="00170887" w:rsidP="00170887">
            <w:pPr>
              <w:jc w:val="right"/>
              <w:rPr>
                <w:color w:val="000000" w:themeColor="text1"/>
                <w:sz w:val="20"/>
                <w:szCs w:val="20"/>
              </w:rPr>
            </w:pPr>
            <w:r w:rsidRPr="00D14CD7">
              <w:rPr>
                <w:rFonts w:eastAsia="Times New Roman"/>
                <w:color w:val="000000" w:themeColor="text1"/>
                <w:sz w:val="20"/>
                <w:szCs w:val="20"/>
              </w:rPr>
              <w:t>67.</w:t>
            </w:r>
            <w:r w:rsidR="00DB098E" w:rsidRPr="00D14CD7">
              <w:rPr>
                <w:rFonts w:eastAsia="Times New Roman"/>
                <w:color w:val="000000" w:themeColor="text1"/>
                <w:sz w:val="20"/>
                <w:szCs w:val="20"/>
              </w:rPr>
              <w:t>6</w:t>
            </w:r>
          </w:p>
        </w:tc>
        <w:tc>
          <w:tcPr>
            <w:tcW w:w="219" w:type="pct"/>
            <w:tcBorders>
              <w:bottom w:val="single" w:sz="8" w:space="0" w:color="auto"/>
              <w:right w:val="double" w:sz="4" w:space="0" w:color="auto"/>
            </w:tcBorders>
            <w:vAlign w:val="center"/>
          </w:tcPr>
          <w:p w14:paraId="60DDEA14" w14:textId="3BA2F506" w:rsidR="00170887" w:rsidRPr="00D14CD7" w:rsidRDefault="00170887" w:rsidP="00170887">
            <w:pPr>
              <w:jc w:val="right"/>
              <w:rPr>
                <w:color w:val="000000" w:themeColor="text1"/>
                <w:sz w:val="20"/>
                <w:szCs w:val="20"/>
              </w:rPr>
            </w:pPr>
            <w:r w:rsidRPr="00D14CD7">
              <w:rPr>
                <w:rFonts w:eastAsia="Times New Roman"/>
                <w:color w:val="000000" w:themeColor="text1"/>
                <w:sz w:val="20"/>
                <w:szCs w:val="20"/>
              </w:rPr>
              <w:t>11.</w:t>
            </w:r>
            <w:r w:rsidR="00DB098E" w:rsidRPr="00D14CD7">
              <w:rPr>
                <w:rFonts w:eastAsia="Times New Roman"/>
                <w:color w:val="000000" w:themeColor="text1"/>
                <w:sz w:val="20"/>
                <w:szCs w:val="20"/>
              </w:rPr>
              <w:t>7</w:t>
            </w:r>
          </w:p>
        </w:tc>
        <w:tc>
          <w:tcPr>
            <w:tcW w:w="218" w:type="pct"/>
            <w:tcBorders>
              <w:left w:val="double" w:sz="4" w:space="0" w:color="auto"/>
              <w:bottom w:val="single" w:sz="8" w:space="0" w:color="auto"/>
            </w:tcBorders>
            <w:vAlign w:val="center"/>
          </w:tcPr>
          <w:p w14:paraId="3C69F422" w14:textId="77777777" w:rsidR="00170887" w:rsidRPr="00D14CD7" w:rsidRDefault="00170887" w:rsidP="00170887">
            <w:pPr>
              <w:jc w:val="right"/>
              <w:rPr>
                <w:color w:val="000000" w:themeColor="text1"/>
                <w:sz w:val="20"/>
                <w:szCs w:val="20"/>
              </w:rPr>
            </w:pPr>
            <w:r w:rsidRPr="00D14CD7">
              <w:rPr>
                <w:rFonts w:eastAsia="Times New Roman"/>
                <w:color w:val="000000" w:themeColor="text1"/>
                <w:sz w:val="20"/>
                <w:szCs w:val="20"/>
              </w:rPr>
              <w:t>-16.2</w:t>
            </w:r>
          </w:p>
        </w:tc>
        <w:tc>
          <w:tcPr>
            <w:tcW w:w="218" w:type="pct"/>
            <w:tcBorders>
              <w:bottom w:val="single" w:sz="8" w:space="0" w:color="auto"/>
            </w:tcBorders>
            <w:vAlign w:val="center"/>
          </w:tcPr>
          <w:p w14:paraId="47C78149" w14:textId="77777777" w:rsidR="00170887" w:rsidRPr="00D14CD7" w:rsidRDefault="00170887" w:rsidP="00170887">
            <w:pPr>
              <w:jc w:val="right"/>
              <w:rPr>
                <w:rFonts w:eastAsia="Times New Roman"/>
                <w:color w:val="000000" w:themeColor="text1"/>
                <w:sz w:val="20"/>
                <w:szCs w:val="20"/>
              </w:rPr>
            </w:pPr>
            <w:r w:rsidRPr="00D14CD7">
              <w:rPr>
                <w:rFonts w:eastAsia="Times New Roman"/>
                <w:color w:val="000000" w:themeColor="text1"/>
                <w:sz w:val="20"/>
                <w:szCs w:val="20"/>
              </w:rPr>
              <w:t>-17.3</w:t>
            </w:r>
          </w:p>
        </w:tc>
        <w:tc>
          <w:tcPr>
            <w:tcW w:w="249" w:type="pct"/>
            <w:tcBorders>
              <w:bottom w:val="single" w:sz="8" w:space="0" w:color="auto"/>
            </w:tcBorders>
            <w:vAlign w:val="center"/>
          </w:tcPr>
          <w:p w14:paraId="4BB7AB8E" w14:textId="77777777" w:rsidR="00170887" w:rsidRPr="00D14CD7" w:rsidRDefault="00170887" w:rsidP="00170887">
            <w:pPr>
              <w:jc w:val="right"/>
              <w:rPr>
                <w:rFonts w:eastAsia="Times New Roman"/>
                <w:color w:val="000000" w:themeColor="text1"/>
                <w:sz w:val="20"/>
                <w:szCs w:val="20"/>
              </w:rPr>
            </w:pPr>
            <w:r w:rsidRPr="00D14CD7">
              <w:rPr>
                <w:rFonts w:eastAsia="Times New Roman"/>
                <w:color w:val="000000" w:themeColor="text1"/>
                <w:sz w:val="20"/>
                <w:szCs w:val="20"/>
              </w:rPr>
              <w:t>-16.5</w:t>
            </w:r>
          </w:p>
        </w:tc>
        <w:tc>
          <w:tcPr>
            <w:tcW w:w="218" w:type="pct"/>
            <w:tcBorders>
              <w:bottom w:val="single" w:sz="8" w:space="0" w:color="auto"/>
            </w:tcBorders>
            <w:vAlign w:val="center"/>
          </w:tcPr>
          <w:p w14:paraId="603D3EDA" w14:textId="77777777" w:rsidR="00170887" w:rsidRPr="00D14CD7" w:rsidRDefault="00170887" w:rsidP="00170887">
            <w:pPr>
              <w:jc w:val="right"/>
              <w:rPr>
                <w:rFonts w:eastAsia="Times New Roman"/>
                <w:color w:val="000000" w:themeColor="text1"/>
                <w:sz w:val="20"/>
                <w:szCs w:val="20"/>
              </w:rPr>
            </w:pPr>
            <w:r w:rsidRPr="00D14CD7">
              <w:rPr>
                <w:rFonts w:eastAsia="Times New Roman"/>
                <w:color w:val="000000" w:themeColor="text1"/>
                <w:sz w:val="20"/>
                <w:szCs w:val="20"/>
              </w:rPr>
              <w:t>-16.0</w:t>
            </w:r>
          </w:p>
        </w:tc>
        <w:tc>
          <w:tcPr>
            <w:tcW w:w="246" w:type="pct"/>
            <w:tcBorders>
              <w:bottom w:val="single" w:sz="8" w:space="0" w:color="auto"/>
            </w:tcBorders>
            <w:vAlign w:val="center"/>
          </w:tcPr>
          <w:p w14:paraId="28A109FD" w14:textId="77777777" w:rsidR="00170887" w:rsidRPr="00D14CD7" w:rsidRDefault="00170887" w:rsidP="00170887">
            <w:pPr>
              <w:jc w:val="right"/>
              <w:rPr>
                <w:rFonts w:eastAsia="Times New Roman"/>
                <w:color w:val="000000" w:themeColor="text1"/>
                <w:sz w:val="20"/>
                <w:szCs w:val="20"/>
              </w:rPr>
            </w:pPr>
            <w:r w:rsidRPr="00D14CD7">
              <w:rPr>
                <w:rFonts w:eastAsia="Times New Roman"/>
                <w:color w:val="000000" w:themeColor="text1"/>
                <w:sz w:val="20"/>
                <w:szCs w:val="20"/>
              </w:rPr>
              <w:t>-15.7</w:t>
            </w:r>
          </w:p>
        </w:tc>
      </w:tr>
      <w:tr w:rsidR="00D14CD7" w:rsidRPr="00D14CD7" w14:paraId="483017F0" w14:textId="77777777" w:rsidTr="00170887">
        <w:tc>
          <w:tcPr>
            <w:tcW w:w="5000" w:type="pct"/>
            <w:gridSpan w:val="18"/>
            <w:tcBorders>
              <w:top w:val="single" w:sz="8" w:space="0" w:color="auto"/>
              <w:bottom w:val="single" w:sz="4" w:space="0" w:color="auto"/>
            </w:tcBorders>
            <w:vAlign w:val="center"/>
          </w:tcPr>
          <w:p w14:paraId="0249117A" w14:textId="77777777" w:rsidR="00170887" w:rsidRPr="00D14CD7" w:rsidRDefault="00170887" w:rsidP="00170887">
            <w:pPr>
              <w:jc w:val="left"/>
              <w:rPr>
                <w:color w:val="000000" w:themeColor="text1"/>
                <w:sz w:val="20"/>
                <w:szCs w:val="20"/>
              </w:rPr>
            </w:pPr>
            <w:r w:rsidRPr="00D14CD7">
              <w:rPr>
                <w:b/>
                <w:color w:val="000000" w:themeColor="text1"/>
                <w:sz w:val="20"/>
                <w:szCs w:val="20"/>
              </w:rPr>
              <w:t>Household Characteristics</w:t>
            </w:r>
          </w:p>
        </w:tc>
      </w:tr>
      <w:tr w:rsidR="00D14CD7" w:rsidRPr="00D14CD7" w14:paraId="5CCEB1FE" w14:textId="77777777" w:rsidTr="00170887">
        <w:tc>
          <w:tcPr>
            <w:tcW w:w="654" w:type="pct"/>
            <w:tcBorders>
              <w:top w:val="single" w:sz="4" w:space="0" w:color="auto"/>
              <w:right w:val="double" w:sz="4" w:space="0" w:color="auto"/>
            </w:tcBorders>
            <w:vAlign w:val="center"/>
          </w:tcPr>
          <w:p w14:paraId="781328E1" w14:textId="77777777" w:rsidR="00170887" w:rsidRPr="00D14CD7" w:rsidRDefault="00170887" w:rsidP="00170887">
            <w:pPr>
              <w:jc w:val="left"/>
              <w:rPr>
                <w:color w:val="000000" w:themeColor="text1"/>
                <w:sz w:val="20"/>
                <w:szCs w:val="20"/>
              </w:rPr>
            </w:pPr>
            <w:r w:rsidRPr="00D14CD7">
              <w:rPr>
                <w:color w:val="000000" w:themeColor="text1"/>
                <w:sz w:val="20"/>
                <w:szCs w:val="20"/>
              </w:rPr>
              <w:t>Income</w:t>
            </w:r>
          </w:p>
        </w:tc>
        <w:tc>
          <w:tcPr>
            <w:tcW w:w="594" w:type="pct"/>
            <w:tcBorders>
              <w:top w:val="single" w:sz="4" w:space="0" w:color="auto"/>
              <w:left w:val="double" w:sz="4" w:space="0" w:color="auto"/>
            </w:tcBorders>
            <w:vAlign w:val="center"/>
          </w:tcPr>
          <w:p w14:paraId="121436A7" w14:textId="77777777" w:rsidR="00170887" w:rsidRPr="00D14CD7" w:rsidRDefault="00170887" w:rsidP="00170887">
            <w:pPr>
              <w:jc w:val="left"/>
              <w:rPr>
                <w:color w:val="000000" w:themeColor="text1"/>
                <w:sz w:val="20"/>
                <w:szCs w:val="20"/>
              </w:rPr>
            </w:pPr>
            <w:r w:rsidRPr="00D14CD7">
              <w:rPr>
                <w:color w:val="000000" w:themeColor="text1"/>
                <w:sz w:val="20"/>
                <w:szCs w:val="20"/>
              </w:rPr>
              <w:t>Less than $25,000</w:t>
            </w:r>
          </w:p>
        </w:tc>
        <w:tc>
          <w:tcPr>
            <w:tcW w:w="562" w:type="pct"/>
            <w:tcBorders>
              <w:top w:val="single" w:sz="4" w:space="0" w:color="auto"/>
              <w:right w:val="double" w:sz="4" w:space="0" w:color="auto"/>
            </w:tcBorders>
            <w:vAlign w:val="center"/>
          </w:tcPr>
          <w:p w14:paraId="2C816256" w14:textId="77777777" w:rsidR="00170887" w:rsidRPr="00D14CD7" w:rsidRDefault="00170887" w:rsidP="00170887">
            <w:pPr>
              <w:jc w:val="left"/>
              <w:rPr>
                <w:color w:val="000000" w:themeColor="text1"/>
                <w:sz w:val="20"/>
                <w:szCs w:val="20"/>
              </w:rPr>
            </w:pPr>
            <w:r w:rsidRPr="00D14CD7">
              <w:rPr>
                <w:color w:val="000000" w:themeColor="text1"/>
                <w:sz w:val="20"/>
                <w:szCs w:val="20"/>
              </w:rPr>
              <w:t>More than $150,000</w:t>
            </w:r>
          </w:p>
        </w:tc>
        <w:tc>
          <w:tcPr>
            <w:tcW w:w="202" w:type="pct"/>
            <w:tcBorders>
              <w:top w:val="single" w:sz="4" w:space="0" w:color="auto"/>
              <w:left w:val="double" w:sz="4" w:space="0" w:color="auto"/>
            </w:tcBorders>
            <w:vAlign w:val="center"/>
          </w:tcPr>
          <w:p w14:paraId="7AA64386" w14:textId="77777777" w:rsidR="00170887" w:rsidRPr="00D14CD7" w:rsidRDefault="00170887" w:rsidP="00170887">
            <w:pPr>
              <w:jc w:val="right"/>
              <w:rPr>
                <w:color w:val="000000" w:themeColor="text1"/>
                <w:sz w:val="20"/>
                <w:szCs w:val="20"/>
              </w:rPr>
            </w:pPr>
            <w:r w:rsidRPr="00D14CD7">
              <w:rPr>
                <w:rFonts w:eastAsia="Times New Roman"/>
                <w:color w:val="000000" w:themeColor="text1"/>
                <w:sz w:val="20"/>
                <w:szCs w:val="20"/>
              </w:rPr>
              <w:t>1.57</w:t>
            </w:r>
          </w:p>
        </w:tc>
        <w:tc>
          <w:tcPr>
            <w:tcW w:w="218" w:type="pct"/>
            <w:tcBorders>
              <w:top w:val="single" w:sz="4" w:space="0" w:color="auto"/>
            </w:tcBorders>
            <w:vAlign w:val="center"/>
          </w:tcPr>
          <w:p w14:paraId="5779540E" w14:textId="77777777" w:rsidR="00170887" w:rsidRPr="00D14CD7" w:rsidRDefault="00170887" w:rsidP="00170887">
            <w:pPr>
              <w:jc w:val="right"/>
              <w:rPr>
                <w:color w:val="000000" w:themeColor="text1"/>
                <w:sz w:val="20"/>
                <w:szCs w:val="20"/>
              </w:rPr>
            </w:pPr>
            <w:r w:rsidRPr="00D14CD7">
              <w:rPr>
                <w:rFonts w:eastAsia="Times New Roman"/>
                <w:color w:val="000000" w:themeColor="text1"/>
                <w:sz w:val="20"/>
                <w:szCs w:val="20"/>
              </w:rPr>
              <w:t>20.1</w:t>
            </w:r>
          </w:p>
        </w:tc>
        <w:tc>
          <w:tcPr>
            <w:tcW w:w="187" w:type="pct"/>
            <w:tcBorders>
              <w:top w:val="single" w:sz="4" w:space="0" w:color="auto"/>
            </w:tcBorders>
            <w:vAlign w:val="center"/>
          </w:tcPr>
          <w:p w14:paraId="649A77F9" w14:textId="759EB4F4" w:rsidR="00170887" w:rsidRPr="00D14CD7" w:rsidRDefault="00170887" w:rsidP="00170887">
            <w:pPr>
              <w:jc w:val="right"/>
              <w:rPr>
                <w:color w:val="000000" w:themeColor="text1"/>
                <w:sz w:val="20"/>
                <w:szCs w:val="20"/>
              </w:rPr>
            </w:pPr>
            <w:r w:rsidRPr="00D14CD7">
              <w:rPr>
                <w:rFonts w:eastAsia="Times New Roman"/>
                <w:color w:val="000000" w:themeColor="text1"/>
                <w:sz w:val="20"/>
                <w:szCs w:val="20"/>
              </w:rPr>
              <w:t>7.</w:t>
            </w:r>
            <w:r w:rsidR="00DB098E" w:rsidRPr="00D14CD7">
              <w:rPr>
                <w:rFonts w:eastAsia="Times New Roman"/>
                <w:color w:val="000000" w:themeColor="text1"/>
                <w:sz w:val="20"/>
                <w:szCs w:val="20"/>
              </w:rPr>
              <w:t>5</w:t>
            </w:r>
          </w:p>
        </w:tc>
        <w:tc>
          <w:tcPr>
            <w:tcW w:w="218" w:type="pct"/>
            <w:tcBorders>
              <w:top w:val="single" w:sz="4" w:space="0" w:color="auto"/>
            </w:tcBorders>
            <w:vAlign w:val="center"/>
          </w:tcPr>
          <w:p w14:paraId="14F971F6" w14:textId="256D327B" w:rsidR="00170887" w:rsidRPr="00D14CD7" w:rsidRDefault="00170887" w:rsidP="00170887">
            <w:pPr>
              <w:jc w:val="right"/>
              <w:rPr>
                <w:color w:val="000000" w:themeColor="text1"/>
                <w:sz w:val="20"/>
                <w:szCs w:val="20"/>
              </w:rPr>
            </w:pPr>
            <w:r w:rsidRPr="00D14CD7">
              <w:rPr>
                <w:rFonts w:eastAsia="Times New Roman"/>
                <w:color w:val="000000" w:themeColor="text1"/>
                <w:sz w:val="20"/>
                <w:szCs w:val="20"/>
              </w:rPr>
              <w:t>64</w:t>
            </w:r>
            <w:r w:rsidR="00FC630C" w:rsidRPr="00D14CD7">
              <w:rPr>
                <w:rFonts w:eastAsia="Times New Roman"/>
                <w:color w:val="000000" w:themeColor="text1"/>
                <w:sz w:val="20"/>
                <w:szCs w:val="20"/>
              </w:rPr>
              <w:t>.7</w:t>
            </w:r>
          </w:p>
        </w:tc>
        <w:tc>
          <w:tcPr>
            <w:tcW w:w="187" w:type="pct"/>
            <w:tcBorders>
              <w:top w:val="single" w:sz="4" w:space="0" w:color="auto"/>
              <w:right w:val="double" w:sz="4" w:space="0" w:color="auto"/>
            </w:tcBorders>
            <w:vAlign w:val="center"/>
          </w:tcPr>
          <w:p w14:paraId="4095B06D" w14:textId="693657EC" w:rsidR="00170887" w:rsidRPr="00D14CD7" w:rsidRDefault="00170887" w:rsidP="00170887">
            <w:pPr>
              <w:jc w:val="right"/>
              <w:rPr>
                <w:color w:val="000000" w:themeColor="text1"/>
                <w:sz w:val="20"/>
                <w:szCs w:val="20"/>
              </w:rPr>
            </w:pPr>
            <w:r w:rsidRPr="00D14CD7">
              <w:rPr>
                <w:rFonts w:eastAsia="Times New Roman"/>
                <w:color w:val="000000" w:themeColor="text1"/>
                <w:sz w:val="20"/>
                <w:szCs w:val="20"/>
              </w:rPr>
              <w:t>7.</w:t>
            </w:r>
            <w:r w:rsidR="00DB098E" w:rsidRPr="00D14CD7">
              <w:rPr>
                <w:rFonts w:eastAsia="Times New Roman"/>
                <w:color w:val="000000" w:themeColor="text1"/>
                <w:sz w:val="20"/>
                <w:szCs w:val="20"/>
              </w:rPr>
              <w:t>7</w:t>
            </w:r>
          </w:p>
        </w:tc>
        <w:tc>
          <w:tcPr>
            <w:tcW w:w="187" w:type="pct"/>
            <w:tcBorders>
              <w:top w:val="single" w:sz="4" w:space="0" w:color="auto"/>
              <w:left w:val="double" w:sz="4" w:space="0" w:color="auto"/>
            </w:tcBorders>
            <w:vAlign w:val="center"/>
          </w:tcPr>
          <w:p w14:paraId="499E1911" w14:textId="33DCD0BC" w:rsidR="00170887" w:rsidRPr="00D14CD7" w:rsidRDefault="00170887" w:rsidP="00170887">
            <w:pPr>
              <w:jc w:val="right"/>
              <w:rPr>
                <w:color w:val="000000" w:themeColor="text1"/>
                <w:sz w:val="20"/>
                <w:szCs w:val="20"/>
              </w:rPr>
            </w:pPr>
            <w:r w:rsidRPr="00D14CD7">
              <w:rPr>
                <w:rFonts w:eastAsia="Times New Roman"/>
                <w:color w:val="000000" w:themeColor="text1"/>
                <w:sz w:val="20"/>
                <w:szCs w:val="20"/>
              </w:rPr>
              <w:t>3.3</w:t>
            </w:r>
            <w:r w:rsidR="001D7C95" w:rsidRPr="00D14CD7">
              <w:rPr>
                <w:rFonts w:eastAsia="Times New Roman"/>
                <w:color w:val="000000" w:themeColor="text1"/>
                <w:sz w:val="20"/>
                <w:szCs w:val="20"/>
              </w:rPr>
              <w:t>6</w:t>
            </w:r>
          </w:p>
        </w:tc>
        <w:tc>
          <w:tcPr>
            <w:tcW w:w="218" w:type="pct"/>
            <w:tcBorders>
              <w:top w:val="single" w:sz="4" w:space="0" w:color="auto"/>
            </w:tcBorders>
            <w:vAlign w:val="center"/>
          </w:tcPr>
          <w:p w14:paraId="5134885A" w14:textId="77777777" w:rsidR="00170887" w:rsidRPr="00D14CD7" w:rsidRDefault="00170887" w:rsidP="00170887">
            <w:pPr>
              <w:jc w:val="right"/>
              <w:rPr>
                <w:color w:val="000000" w:themeColor="text1"/>
                <w:sz w:val="20"/>
                <w:szCs w:val="20"/>
              </w:rPr>
            </w:pPr>
            <w:r w:rsidRPr="00D14CD7">
              <w:rPr>
                <w:rFonts w:eastAsia="Times New Roman"/>
                <w:color w:val="000000" w:themeColor="text1"/>
                <w:sz w:val="20"/>
                <w:szCs w:val="20"/>
              </w:rPr>
              <w:t>11.3</w:t>
            </w:r>
          </w:p>
        </w:tc>
        <w:tc>
          <w:tcPr>
            <w:tcW w:w="187" w:type="pct"/>
            <w:tcBorders>
              <w:top w:val="single" w:sz="4" w:space="0" w:color="auto"/>
            </w:tcBorders>
            <w:vAlign w:val="center"/>
          </w:tcPr>
          <w:p w14:paraId="675FC31A" w14:textId="64D7DE43" w:rsidR="00170887" w:rsidRPr="00D14CD7" w:rsidRDefault="00170887" w:rsidP="00170887">
            <w:pPr>
              <w:jc w:val="right"/>
              <w:rPr>
                <w:color w:val="000000" w:themeColor="text1"/>
                <w:sz w:val="20"/>
                <w:szCs w:val="20"/>
              </w:rPr>
            </w:pPr>
            <w:r w:rsidRPr="00D14CD7">
              <w:rPr>
                <w:rFonts w:eastAsia="Times New Roman"/>
                <w:color w:val="000000" w:themeColor="text1"/>
                <w:sz w:val="20"/>
                <w:szCs w:val="20"/>
              </w:rPr>
              <w:t>4.</w:t>
            </w:r>
            <w:r w:rsidR="00DB098E" w:rsidRPr="00D14CD7">
              <w:rPr>
                <w:rFonts w:eastAsia="Times New Roman"/>
                <w:color w:val="000000" w:themeColor="text1"/>
                <w:sz w:val="20"/>
                <w:szCs w:val="20"/>
              </w:rPr>
              <w:t>4</w:t>
            </w:r>
          </w:p>
        </w:tc>
        <w:tc>
          <w:tcPr>
            <w:tcW w:w="218" w:type="pct"/>
            <w:tcBorders>
              <w:top w:val="single" w:sz="4" w:space="0" w:color="auto"/>
            </w:tcBorders>
            <w:vAlign w:val="center"/>
          </w:tcPr>
          <w:p w14:paraId="5FCCB78D" w14:textId="77777777" w:rsidR="00170887" w:rsidRPr="00D14CD7" w:rsidRDefault="00170887" w:rsidP="00170887">
            <w:pPr>
              <w:jc w:val="right"/>
              <w:rPr>
                <w:color w:val="000000" w:themeColor="text1"/>
                <w:sz w:val="20"/>
                <w:szCs w:val="20"/>
              </w:rPr>
            </w:pPr>
            <w:r w:rsidRPr="00D14CD7">
              <w:rPr>
                <w:rFonts w:eastAsia="Times New Roman"/>
                <w:color w:val="000000" w:themeColor="text1"/>
                <w:sz w:val="20"/>
                <w:szCs w:val="20"/>
              </w:rPr>
              <w:t>66.7</w:t>
            </w:r>
          </w:p>
        </w:tc>
        <w:tc>
          <w:tcPr>
            <w:tcW w:w="219" w:type="pct"/>
            <w:tcBorders>
              <w:top w:val="single" w:sz="4" w:space="0" w:color="auto"/>
              <w:right w:val="double" w:sz="4" w:space="0" w:color="auto"/>
            </w:tcBorders>
            <w:vAlign w:val="center"/>
          </w:tcPr>
          <w:p w14:paraId="4BAA86C5" w14:textId="48768EE6" w:rsidR="00170887" w:rsidRPr="00D14CD7" w:rsidRDefault="00170887" w:rsidP="00170887">
            <w:pPr>
              <w:jc w:val="right"/>
              <w:rPr>
                <w:color w:val="000000" w:themeColor="text1"/>
                <w:sz w:val="20"/>
                <w:szCs w:val="20"/>
              </w:rPr>
            </w:pPr>
            <w:r w:rsidRPr="00D14CD7">
              <w:rPr>
                <w:rFonts w:eastAsia="Times New Roman"/>
                <w:color w:val="000000" w:themeColor="text1"/>
                <w:sz w:val="20"/>
                <w:szCs w:val="20"/>
              </w:rPr>
              <w:t>17.</w:t>
            </w:r>
            <w:r w:rsidR="00DB098E" w:rsidRPr="00D14CD7">
              <w:rPr>
                <w:rFonts w:eastAsia="Times New Roman"/>
                <w:color w:val="000000" w:themeColor="text1"/>
                <w:sz w:val="20"/>
                <w:szCs w:val="20"/>
              </w:rPr>
              <w:t>6</w:t>
            </w:r>
          </w:p>
        </w:tc>
        <w:tc>
          <w:tcPr>
            <w:tcW w:w="218" w:type="pct"/>
            <w:tcBorders>
              <w:top w:val="single" w:sz="4" w:space="0" w:color="auto"/>
              <w:left w:val="double" w:sz="4" w:space="0" w:color="auto"/>
            </w:tcBorders>
            <w:vAlign w:val="center"/>
          </w:tcPr>
          <w:p w14:paraId="680118A4" w14:textId="77777777" w:rsidR="00170887" w:rsidRPr="00D14CD7" w:rsidRDefault="00170887" w:rsidP="00170887">
            <w:pPr>
              <w:jc w:val="right"/>
              <w:rPr>
                <w:color w:val="000000" w:themeColor="text1"/>
                <w:sz w:val="20"/>
                <w:szCs w:val="20"/>
              </w:rPr>
            </w:pPr>
            <w:r w:rsidRPr="00D14CD7">
              <w:rPr>
                <w:rFonts w:eastAsia="Times New Roman"/>
                <w:color w:val="000000" w:themeColor="text1"/>
                <w:sz w:val="20"/>
                <w:szCs w:val="20"/>
              </w:rPr>
              <w:t>114.5</w:t>
            </w:r>
          </w:p>
        </w:tc>
        <w:tc>
          <w:tcPr>
            <w:tcW w:w="218" w:type="pct"/>
            <w:tcBorders>
              <w:top w:val="single" w:sz="4" w:space="0" w:color="auto"/>
            </w:tcBorders>
            <w:vAlign w:val="center"/>
          </w:tcPr>
          <w:p w14:paraId="0D1B4D0F" w14:textId="77777777" w:rsidR="00170887" w:rsidRPr="00D14CD7" w:rsidRDefault="00170887" w:rsidP="00170887">
            <w:pPr>
              <w:jc w:val="right"/>
              <w:rPr>
                <w:rFonts w:eastAsia="Times New Roman"/>
                <w:color w:val="000000" w:themeColor="text1"/>
                <w:sz w:val="20"/>
                <w:szCs w:val="20"/>
              </w:rPr>
            </w:pPr>
            <w:r w:rsidRPr="00D14CD7">
              <w:rPr>
                <w:rFonts w:eastAsia="Times New Roman"/>
                <w:color w:val="000000" w:themeColor="text1"/>
                <w:sz w:val="20"/>
                <w:szCs w:val="20"/>
              </w:rPr>
              <w:t>20.9</w:t>
            </w:r>
          </w:p>
        </w:tc>
        <w:tc>
          <w:tcPr>
            <w:tcW w:w="249" w:type="pct"/>
            <w:tcBorders>
              <w:top w:val="single" w:sz="4" w:space="0" w:color="auto"/>
            </w:tcBorders>
            <w:vAlign w:val="center"/>
          </w:tcPr>
          <w:p w14:paraId="6B67E721" w14:textId="77777777" w:rsidR="00170887" w:rsidRPr="00D14CD7" w:rsidRDefault="00170887" w:rsidP="00170887">
            <w:pPr>
              <w:jc w:val="right"/>
              <w:rPr>
                <w:rFonts w:eastAsia="Times New Roman"/>
                <w:color w:val="000000" w:themeColor="text1"/>
                <w:sz w:val="20"/>
                <w:szCs w:val="20"/>
              </w:rPr>
            </w:pPr>
            <w:r w:rsidRPr="00D14CD7">
              <w:rPr>
                <w:rFonts w:eastAsia="Times New Roman"/>
                <w:color w:val="000000" w:themeColor="text1"/>
                <w:sz w:val="20"/>
                <w:szCs w:val="20"/>
              </w:rPr>
              <w:t>26.1</w:t>
            </w:r>
          </w:p>
        </w:tc>
        <w:tc>
          <w:tcPr>
            <w:tcW w:w="218" w:type="pct"/>
            <w:tcBorders>
              <w:top w:val="single" w:sz="4" w:space="0" w:color="auto"/>
            </w:tcBorders>
            <w:vAlign w:val="center"/>
          </w:tcPr>
          <w:p w14:paraId="0C1ABD0D" w14:textId="77777777" w:rsidR="00170887" w:rsidRPr="00D14CD7" w:rsidRDefault="00170887" w:rsidP="00170887">
            <w:pPr>
              <w:jc w:val="right"/>
              <w:rPr>
                <w:rFonts w:eastAsia="Times New Roman"/>
                <w:color w:val="000000" w:themeColor="text1"/>
                <w:sz w:val="20"/>
                <w:szCs w:val="20"/>
              </w:rPr>
            </w:pPr>
            <w:r w:rsidRPr="00D14CD7">
              <w:rPr>
                <w:rFonts w:eastAsia="Times New Roman"/>
                <w:color w:val="000000" w:themeColor="text1"/>
                <w:sz w:val="20"/>
                <w:szCs w:val="20"/>
              </w:rPr>
              <w:t>120.8</w:t>
            </w:r>
          </w:p>
        </w:tc>
        <w:tc>
          <w:tcPr>
            <w:tcW w:w="246" w:type="pct"/>
            <w:tcBorders>
              <w:top w:val="single" w:sz="4" w:space="0" w:color="auto"/>
            </w:tcBorders>
            <w:vAlign w:val="center"/>
          </w:tcPr>
          <w:p w14:paraId="78D34A1A" w14:textId="77777777" w:rsidR="00170887" w:rsidRPr="00D14CD7" w:rsidRDefault="00170887" w:rsidP="00170887">
            <w:pPr>
              <w:jc w:val="right"/>
              <w:rPr>
                <w:rFonts w:eastAsia="Times New Roman"/>
                <w:color w:val="000000" w:themeColor="text1"/>
                <w:sz w:val="20"/>
                <w:szCs w:val="20"/>
              </w:rPr>
            </w:pPr>
            <w:r w:rsidRPr="00D14CD7">
              <w:rPr>
                <w:rFonts w:eastAsia="Times New Roman"/>
                <w:color w:val="000000" w:themeColor="text1"/>
                <w:sz w:val="20"/>
                <w:szCs w:val="20"/>
              </w:rPr>
              <w:t>391.7</w:t>
            </w:r>
          </w:p>
        </w:tc>
      </w:tr>
      <w:tr w:rsidR="00D14CD7" w:rsidRPr="00D14CD7" w14:paraId="7AB3501C" w14:textId="77777777" w:rsidTr="00170887">
        <w:tc>
          <w:tcPr>
            <w:tcW w:w="654" w:type="pct"/>
            <w:tcBorders>
              <w:right w:val="double" w:sz="4" w:space="0" w:color="auto"/>
            </w:tcBorders>
            <w:vAlign w:val="center"/>
          </w:tcPr>
          <w:p w14:paraId="008F4281" w14:textId="6DC9568A" w:rsidR="00170887" w:rsidRPr="00D14CD7" w:rsidRDefault="00170887" w:rsidP="00170887">
            <w:pPr>
              <w:jc w:val="left"/>
              <w:rPr>
                <w:color w:val="000000" w:themeColor="text1"/>
                <w:sz w:val="20"/>
                <w:szCs w:val="20"/>
              </w:rPr>
            </w:pPr>
            <w:r w:rsidRPr="00D14CD7">
              <w:rPr>
                <w:color w:val="000000" w:themeColor="text1"/>
                <w:sz w:val="20"/>
                <w:szCs w:val="20"/>
              </w:rPr>
              <w:t>Vehicle ownership</w:t>
            </w:r>
          </w:p>
        </w:tc>
        <w:tc>
          <w:tcPr>
            <w:tcW w:w="594" w:type="pct"/>
            <w:tcBorders>
              <w:left w:val="double" w:sz="4" w:space="0" w:color="auto"/>
            </w:tcBorders>
            <w:vAlign w:val="center"/>
          </w:tcPr>
          <w:p w14:paraId="12F7118D" w14:textId="438B8C0E" w:rsidR="00170887" w:rsidRPr="00D14CD7" w:rsidRDefault="0036147F" w:rsidP="00170887">
            <w:pPr>
              <w:jc w:val="left"/>
              <w:rPr>
                <w:color w:val="000000" w:themeColor="text1"/>
                <w:sz w:val="20"/>
                <w:szCs w:val="20"/>
              </w:rPr>
            </w:pPr>
            <w:r w:rsidRPr="00D14CD7">
              <w:rPr>
                <w:color w:val="000000" w:themeColor="text1"/>
                <w:sz w:val="20"/>
                <w:szCs w:val="20"/>
              </w:rPr>
              <w:t>0 or 1</w:t>
            </w:r>
            <w:r w:rsidR="00170887" w:rsidRPr="00D14CD7">
              <w:rPr>
                <w:color w:val="000000" w:themeColor="text1"/>
                <w:sz w:val="20"/>
                <w:szCs w:val="20"/>
              </w:rPr>
              <w:t xml:space="preserve"> vehicles</w:t>
            </w:r>
          </w:p>
        </w:tc>
        <w:tc>
          <w:tcPr>
            <w:tcW w:w="562" w:type="pct"/>
            <w:tcBorders>
              <w:right w:val="double" w:sz="4" w:space="0" w:color="auto"/>
            </w:tcBorders>
            <w:vAlign w:val="center"/>
          </w:tcPr>
          <w:p w14:paraId="2B691B07" w14:textId="4E7D794D" w:rsidR="00170887" w:rsidRPr="00D14CD7" w:rsidRDefault="0036147F" w:rsidP="00170887">
            <w:pPr>
              <w:jc w:val="left"/>
              <w:rPr>
                <w:color w:val="000000" w:themeColor="text1"/>
                <w:sz w:val="20"/>
                <w:szCs w:val="20"/>
              </w:rPr>
            </w:pPr>
            <w:r w:rsidRPr="00D14CD7">
              <w:rPr>
                <w:color w:val="000000" w:themeColor="text1"/>
                <w:sz w:val="20"/>
                <w:szCs w:val="20"/>
              </w:rPr>
              <w:t>3+</w:t>
            </w:r>
            <w:r w:rsidR="00170887" w:rsidRPr="00D14CD7">
              <w:rPr>
                <w:color w:val="000000" w:themeColor="text1"/>
                <w:sz w:val="20"/>
                <w:szCs w:val="20"/>
              </w:rPr>
              <w:t xml:space="preserve"> vehicles</w:t>
            </w:r>
          </w:p>
        </w:tc>
        <w:tc>
          <w:tcPr>
            <w:tcW w:w="202" w:type="pct"/>
            <w:tcBorders>
              <w:left w:val="double" w:sz="4" w:space="0" w:color="auto"/>
            </w:tcBorders>
            <w:vAlign w:val="center"/>
          </w:tcPr>
          <w:p w14:paraId="7A3EA17C" w14:textId="77777777" w:rsidR="00170887" w:rsidRPr="00D14CD7" w:rsidRDefault="00170887" w:rsidP="00170887">
            <w:pPr>
              <w:jc w:val="right"/>
              <w:rPr>
                <w:color w:val="000000" w:themeColor="text1"/>
                <w:sz w:val="20"/>
                <w:szCs w:val="20"/>
              </w:rPr>
            </w:pPr>
            <w:r w:rsidRPr="00D14CD7">
              <w:rPr>
                <w:rFonts w:eastAsia="Times New Roman"/>
                <w:color w:val="000000" w:themeColor="text1"/>
                <w:sz w:val="20"/>
                <w:szCs w:val="20"/>
              </w:rPr>
              <w:t>2.94</w:t>
            </w:r>
          </w:p>
        </w:tc>
        <w:tc>
          <w:tcPr>
            <w:tcW w:w="218" w:type="pct"/>
            <w:vAlign w:val="center"/>
          </w:tcPr>
          <w:p w14:paraId="4FC6149C" w14:textId="0754F03D" w:rsidR="00170887" w:rsidRPr="00D14CD7" w:rsidRDefault="00170887" w:rsidP="00170887">
            <w:pPr>
              <w:jc w:val="right"/>
              <w:rPr>
                <w:color w:val="000000" w:themeColor="text1"/>
                <w:sz w:val="20"/>
                <w:szCs w:val="20"/>
              </w:rPr>
            </w:pPr>
            <w:r w:rsidRPr="00D14CD7">
              <w:rPr>
                <w:rFonts w:eastAsia="Times New Roman"/>
                <w:color w:val="000000" w:themeColor="text1"/>
                <w:sz w:val="20"/>
                <w:szCs w:val="20"/>
              </w:rPr>
              <w:t>11.</w:t>
            </w:r>
            <w:r w:rsidR="00DB098E" w:rsidRPr="00D14CD7">
              <w:rPr>
                <w:rFonts w:eastAsia="Times New Roman"/>
                <w:color w:val="000000" w:themeColor="text1"/>
                <w:sz w:val="20"/>
                <w:szCs w:val="20"/>
              </w:rPr>
              <w:t>1</w:t>
            </w:r>
          </w:p>
        </w:tc>
        <w:tc>
          <w:tcPr>
            <w:tcW w:w="187" w:type="pct"/>
            <w:vAlign w:val="center"/>
          </w:tcPr>
          <w:p w14:paraId="7D117EF5" w14:textId="38239B46" w:rsidR="00170887" w:rsidRPr="00D14CD7" w:rsidRDefault="00DB098E" w:rsidP="00170887">
            <w:pPr>
              <w:jc w:val="right"/>
              <w:rPr>
                <w:color w:val="000000" w:themeColor="text1"/>
                <w:sz w:val="20"/>
                <w:szCs w:val="20"/>
              </w:rPr>
            </w:pPr>
            <w:r w:rsidRPr="00D14CD7">
              <w:rPr>
                <w:rFonts w:eastAsia="Times New Roman"/>
                <w:color w:val="000000" w:themeColor="text1"/>
                <w:sz w:val="20"/>
                <w:szCs w:val="20"/>
              </w:rPr>
              <w:t>4</w:t>
            </w:r>
            <w:r w:rsidR="00170887" w:rsidRPr="00D14CD7">
              <w:rPr>
                <w:rFonts w:eastAsia="Times New Roman"/>
                <w:color w:val="000000" w:themeColor="text1"/>
                <w:sz w:val="20"/>
                <w:szCs w:val="20"/>
              </w:rPr>
              <w:t>.</w:t>
            </w:r>
            <w:r w:rsidRPr="00D14CD7">
              <w:rPr>
                <w:rFonts w:eastAsia="Times New Roman"/>
                <w:color w:val="000000" w:themeColor="text1"/>
                <w:sz w:val="20"/>
                <w:szCs w:val="20"/>
              </w:rPr>
              <w:t>0</w:t>
            </w:r>
          </w:p>
        </w:tc>
        <w:tc>
          <w:tcPr>
            <w:tcW w:w="218" w:type="pct"/>
            <w:vAlign w:val="center"/>
          </w:tcPr>
          <w:p w14:paraId="2340787D" w14:textId="4908A080" w:rsidR="00170887" w:rsidRPr="00D14CD7" w:rsidRDefault="00170887" w:rsidP="00170887">
            <w:pPr>
              <w:jc w:val="right"/>
              <w:rPr>
                <w:color w:val="000000" w:themeColor="text1"/>
                <w:sz w:val="20"/>
                <w:szCs w:val="20"/>
              </w:rPr>
            </w:pPr>
            <w:r w:rsidRPr="00D14CD7">
              <w:rPr>
                <w:rFonts w:eastAsia="Times New Roman"/>
                <w:color w:val="000000" w:themeColor="text1"/>
                <w:sz w:val="20"/>
                <w:szCs w:val="20"/>
              </w:rPr>
              <w:t>71.</w:t>
            </w:r>
            <w:r w:rsidR="00DB098E" w:rsidRPr="00D14CD7">
              <w:rPr>
                <w:rFonts w:eastAsia="Times New Roman"/>
                <w:color w:val="000000" w:themeColor="text1"/>
                <w:sz w:val="20"/>
                <w:szCs w:val="20"/>
              </w:rPr>
              <w:t>2</w:t>
            </w:r>
          </w:p>
        </w:tc>
        <w:tc>
          <w:tcPr>
            <w:tcW w:w="187" w:type="pct"/>
            <w:tcBorders>
              <w:right w:val="double" w:sz="4" w:space="0" w:color="auto"/>
            </w:tcBorders>
            <w:vAlign w:val="center"/>
          </w:tcPr>
          <w:p w14:paraId="7B5B1412" w14:textId="6B0220B2" w:rsidR="00170887" w:rsidRPr="00D14CD7" w:rsidRDefault="00170887" w:rsidP="00170887">
            <w:pPr>
              <w:jc w:val="right"/>
              <w:rPr>
                <w:color w:val="000000" w:themeColor="text1"/>
                <w:sz w:val="20"/>
                <w:szCs w:val="20"/>
              </w:rPr>
            </w:pPr>
            <w:r w:rsidRPr="00D14CD7">
              <w:rPr>
                <w:rFonts w:eastAsia="Times New Roman"/>
                <w:color w:val="000000" w:themeColor="text1"/>
                <w:sz w:val="20"/>
                <w:szCs w:val="20"/>
              </w:rPr>
              <w:t>13.</w:t>
            </w:r>
            <w:r w:rsidR="00FC630C" w:rsidRPr="00D14CD7">
              <w:rPr>
                <w:rFonts w:eastAsia="Times New Roman"/>
                <w:color w:val="000000" w:themeColor="text1"/>
                <w:sz w:val="20"/>
                <w:szCs w:val="20"/>
              </w:rPr>
              <w:t>7</w:t>
            </w:r>
          </w:p>
        </w:tc>
        <w:tc>
          <w:tcPr>
            <w:tcW w:w="187" w:type="pct"/>
            <w:tcBorders>
              <w:left w:val="double" w:sz="4" w:space="0" w:color="auto"/>
            </w:tcBorders>
            <w:vAlign w:val="center"/>
          </w:tcPr>
          <w:p w14:paraId="701DED5F" w14:textId="537AE857" w:rsidR="00170887" w:rsidRPr="00D14CD7" w:rsidRDefault="00170887" w:rsidP="00170887">
            <w:pPr>
              <w:jc w:val="right"/>
              <w:rPr>
                <w:color w:val="000000" w:themeColor="text1"/>
                <w:sz w:val="20"/>
                <w:szCs w:val="20"/>
              </w:rPr>
            </w:pPr>
            <w:r w:rsidRPr="00D14CD7">
              <w:rPr>
                <w:rFonts w:eastAsia="Times New Roman"/>
                <w:color w:val="000000" w:themeColor="text1"/>
                <w:sz w:val="20"/>
                <w:szCs w:val="20"/>
              </w:rPr>
              <w:t>3.3</w:t>
            </w:r>
            <w:r w:rsidR="001D7C95" w:rsidRPr="00D14CD7">
              <w:rPr>
                <w:rFonts w:eastAsia="Times New Roman"/>
                <w:color w:val="000000" w:themeColor="text1"/>
                <w:sz w:val="20"/>
                <w:szCs w:val="20"/>
              </w:rPr>
              <w:t>3</w:t>
            </w:r>
          </w:p>
        </w:tc>
        <w:tc>
          <w:tcPr>
            <w:tcW w:w="218" w:type="pct"/>
            <w:vAlign w:val="center"/>
          </w:tcPr>
          <w:p w14:paraId="47285903" w14:textId="77777777" w:rsidR="00170887" w:rsidRPr="00D14CD7" w:rsidRDefault="00170887" w:rsidP="00170887">
            <w:pPr>
              <w:jc w:val="right"/>
              <w:rPr>
                <w:color w:val="000000" w:themeColor="text1"/>
                <w:sz w:val="20"/>
                <w:szCs w:val="20"/>
              </w:rPr>
            </w:pPr>
            <w:r w:rsidRPr="00D14CD7">
              <w:rPr>
                <w:rFonts w:eastAsia="Times New Roman"/>
                <w:color w:val="000000" w:themeColor="text1"/>
                <w:sz w:val="20"/>
                <w:szCs w:val="20"/>
              </w:rPr>
              <w:t>18.1</w:t>
            </w:r>
          </w:p>
        </w:tc>
        <w:tc>
          <w:tcPr>
            <w:tcW w:w="187" w:type="pct"/>
            <w:vAlign w:val="center"/>
          </w:tcPr>
          <w:p w14:paraId="71EB9989" w14:textId="77777777" w:rsidR="00170887" w:rsidRPr="00D14CD7" w:rsidRDefault="00170887" w:rsidP="00170887">
            <w:pPr>
              <w:jc w:val="right"/>
              <w:rPr>
                <w:color w:val="000000" w:themeColor="text1"/>
                <w:sz w:val="20"/>
                <w:szCs w:val="20"/>
              </w:rPr>
            </w:pPr>
            <w:r w:rsidRPr="00D14CD7">
              <w:rPr>
                <w:rFonts w:eastAsia="Times New Roman"/>
                <w:color w:val="000000" w:themeColor="text1"/>
                <w:sz w:val="20"/>
                <w:szCs w:val="20"/>
              </w:rPr>
              <w:t>6.1</w:t>
            </w:r>
          </w:p>
        </w:tc>
        <w:tc>
          <w:tcPr>
            <w:tcW w:w="218" w:type="pct"/>
            <w:vAlign w:val="center"/>
          </w:tcPr>
          <w:p w14:paraId="766E079D" w14:textId="77777777" w:rsidR="00170887" w:rsidRPr="00D14CD7" w:rsidRDefault="00170887" w:rsidP="00170887">
            <w:pPr>
              <w:jc w:val="right"/>
              <w:rPr>
                <w:color w:val="000000" w:themeColor="text1"/>
                <w:sz w:val="20"/>
                <w:szCs w:val="20"/>
              </w:rPr>
            </w:pPr>
            <w:r w:rsidRPr="00D14CD7">
              <w:rPr>
                <w:rFonts w:eastAsia="Times New Roman"/>
                <w:color w:val="000000" w:themeColor="text1"/>
                <w:sz w:val="20"/>
                <w:szCs w:val="20"/>
              </w:rPr>
              <w:t>65.2</w:t>
            </w:r>
          </w:p>
        </w:tc>
        <w:tc>
          <w:tcPr>
            <w:tcW w:w="219" w:type="pct"/>
            <w:tcBorders>
              <w:right w:val="double" w:sz="4" w:space="0" w:color="auto"/>
            </w:tcBorders>
            <w:vAlign w:val="center"/>
          </w:tcPr>
          <w:p w14:paraId="76271322" w14:textId="4BAD3078" w:rsidR="00170887" w:rsidRPr="00D14CD7" w:rsidRDefault="00170887" w:rsidP="00170887">
            <w:pPr>
              <w:jc w:val="right"/>
              <w:rPr>
                <w:color w:val="000000" w:themeColor="text1"/>
                <w:sz w:val="20"/>
                <w:szCs w:val="20"/>
              </w:rPr>
            </w:pPr>
            <w:r w:rsidRPr="00D14CD7">
              <w:rPr>
                <w:rFonts w:eastAsia="Times New Roman"/>
                <w:color w:val="000000" w:themeColor="text1"/>
                <w:sz w:val="20"/>
                <w:szCs w:val="20"/>
              </w:rPr>
              <w:t>10.</w:t>
            </w:r>
            <w:r w:rsidR="00DB098E" w:rsidRPr="00D14CD7">
              <w:rPr>
                <w:rFonts w:eastAsia="Times New Roman"/>
                <w:color w:val="000000" w:themeColor="text1"/>
                <w:sz w:val="20"/>
                <w:szCs w:val="20"/>
              </w:rPr>
              <w:t>6</w:t>
            </w:r>
          </w:p>
        </w:tc>
        <w:tc>
          <w:tcPr>
            <w:tcW w:w="218" w:type="pct"/>
            <w:tcBorders>
              <w:left w:val="double" w:sz="4" w:space="0" w:color="auto"/>
            </w:tcBorders>
            <w:vAlign w:val="center"/>
          </w:tcPr>
          <w:p w14:paraId="5415FE5B" w14:textId="77777777" w:rsidR="00170887" w:rsidRPr="00D14CD7" w:rsidRDefault="00170887" w:rsidP="00170887">
            <w:pPr>
              <w:jc w:val="right"/>
              <w:rPr>
                <w:color w:val="000000" w:themeColor="text1"/>
                <w:sz w:val="20"/>
                <w:szCs w:val="20"/>
              </w:rPr>
            </w:pPr>
            <w:r w:rsidRPr="00D14CD7">
              <w:rPr>
                <w:rFonts w:eastAsia="Times New Roman"/>
                <w:color w:val="000000" w:themeColor="text1"/>
                <w:sz w:val="20"/>
                <w:szCs w:val="20"/>
              </w:rPr>
              <w:t>13.4</w:t>
            </w:r>
          </w:p>
        </w:tc>
        <w:tc>
          <w:tcPr>
            <w:tcW w:w="218" w:type="pct"/>
            <w:vAlign w:val="center"/>
          </w:tcPr>
          <w:p w14:paraId="6ACBBE66" w14:textId="77777777" w:rsidR="00170887" w:rsidRPr="00D14CD7" w:rsidRDefault="00170887" w:rsidP="00170887">
            <w:pPr>
              <w:jc w:val="right"/>
              <w:rPr>
                <w:rFonts w:eastAsia="Times New Roman"/>
                <w:color w:val="000000" w:themeColor="text1"/>
                <w:sz w:val="20"/>
                <w:szCs w:val="20"/>
              </w:rPr>
            </w:pPr>
            <w:r w:rsidRPr="00D14CD7">
              <w:rPr>
                <w:rFonts w:eastAsia="Times New Roman"/>
                <w:color w:val="000000" w:themeColor="text1"/>
                <w:sz w:val="20"/>
                <w:szCs w:val="20"/>
              </w:rPr>
              <w:t>85.3</w:t>
            </w:r>
          </w:p>
        </w:tc>
        <w:tc>
          <w:tcPr>
            <w:tcW w:w="249" w:type="pct"/>
            <w:vAlign w:val="center"/>
          </w:tcPr>
          <w:p w14:paraId="25544AFD" w14:textId="77777777" w:rsidR="00170887" w:rsidRPr="00D14CD7" w:rsidRDefault="00170887" w:rsidP="00170887">
            <w:pPr>
              <w:jc w:val="right"/>
              <w:rPr>
                <w:rFonts w:eastAsia="Times New Roman"/>
                <w:color w:val="000000" w:themeColor="text1"/>
                <w:sz w:val="20"/>
                <w:szCs w:val="20"/>
              </w:rPr>
            </w:pPr>
            <w:r w:rsidRPr="00D14CD7">
              <w:rPr>
                <w:rFonts w:eastAsia="Times New Roman"/>
                <w:color w:val="000000" w:themeColor="text1"/>
                <w:sz w:val="20"/>
                <w:szCs w:val="20"/>
              </w:rPr>
              <w:t>73.4</w:t>
            </w:r>
          </w:p>
        </w:tc>
        <w:tc>
          <w:tcPr>
            <w:tcW w:w="218" w:type="pct"/>
            <w:vAlign w:val="center"/>
          </w:tcPr>
          <w:p w14:paraId="2DCD902C" w14:textId="77777777" w:rsidR="00170887" w:rsidRPr="00D14CD7" w:rsidRDefault="00170887" w:rsidP="00170887">
            <w:pPr>
              <w:jc w:val="right"/>
              <w:rPr>
                <w:rFonts w:eastAsia="Times New Roman"/>
                <w:color w:val="000000" w:themeColor="text1"/>
                <w:sz w:val="20"/>
                <w:szCs w:val="20"/>
              </w:rPr>
            </w:pPr>
            <w:r w:rsidRPr="00D14CD7">
              <w:rPr>
                <w:rFonts w:eastAsia="Times New Roman"/>
                <w:color w:val="000000" w:themeColor="text1"/>
                <w:sz w:val="20"/>
                <w:szCs w:val="20"/>
              </w:rPr>
              <w:t>3.9</w:t>
            </w:r>
          </w:p>
        </w:tc>
        <w:tc>
          <w:tcPr>
            <w:tcW w:w="246" w:type="pct"/>
            <w:vAlign w:val="center"/>
          </w:tcPr>
          <w:p w14:paraId="4220ADAB" w14:textId="77777777" w:rsidR="00170887" w:rsidRPr="00D14CD7" w:rsidRDefault="00170887" w:rsidP="00170887">
            <w:pPr>
              <w:jc w:val="right"/>
              <w:rPr>
                <w:rFonts w:eastAsia="Times New Roman"/>
                <w:color w:val="000000" w:themeColor="text1"/>
                <w:sz w:val="20"/>
                <w:szCs w:val="20"/>
              </w:rPr>
            </w:pPr>
            <w:r w:rsidRPr="00D14CD7">
              <w:rPr>
                <w:rFonts w:eastAsia="Times New Roman"/>
                <w:color w:val="000000" w:themeColor="text1"/>
                <w:sz w:val="20"/>
                <w:szCs w:val="20"/>
              </w:rPr>
              <w:t>-12.9</w:t>
            </w:r>
          </w:p>
        </w:tc>
      </w:tr>
      <w:tr w:rsidR="00D14CD7" w:rsidRPr="00D14CD7" w14:paraId="467A8D80" w14:textId="77777777" w:rsidTr="00170887">
        <w:tc>
          <w:tcPr>
            <w:tcW w:w="654" w:type="pct"/>
            <w:vMerge w:val="restart"/>
            <w:tcBorders>
              <w:right w:val="double" w:sz="4" w:space="0" w:color="auto"/>
            </w:tcBorders>
            <w:vAlign w:val="center"/>
          </w:tcPr>
          <w:p w14:paraId="4C153DF4" w14:textId="77777777" w:rsidR="00170887" w:rsidRPr="00D14CD7" w:rsidRDefault="00170887" w:rsidP="00170887">
            <w:pPr>
              <w:jc w:val="left"/>
              <w:rPr>
                <w:color w:val="000000" w:themeColor="text1"/>
                <w:sz w:val="20"/>
                <w:szCs w:val="20"/>
              </w:rPr>
            </w:pPr>
            <w:r w:rsidRPr="00D14CD7">
              <w:rPr>
                <w:color w:val="000000" w:themeColor="text1"/>
                <w:sz w:val="20"/>
                <w:szCs w:val="20"/>
              </w:rPr>
              <w:t>Household composition</w:t>
            </w:r>
          </w:p>
        </w:tc>
        <w:tc>
          <w:tcPr>
            <w:tcW w:w="594" w:type="pct"/>
            <w:tcBorders>
              <w:left w:val="double" w:sz="4" w:space="0" w:color="auto"/>
            </w:tcBorders>
            <w:vAlign w:val="center"/>
          </w:tcPr>
          <w:p w14:paraId="65F6962D" w14:textId="77777777" w:rsidR="00170887" w:rsidRPr="00D14CD7" w:rsidRDefault="00170887" w:rsidP="00170887">
            <w:pPr>
              <w:jc w:val="left"/>
              <w:rPr>
                <w:color w:val="000000" w:themeColor="text1"/>
                <w:sz w:val="20"/>
                <w:szCs w:val="20"/>
              </w:rPr>
            </w:pPr>
            <w:r w:rsidRPr="00D14CD7">
              <w:rPr>
                <w:color w:val="000000" w:themeColor="text1"/>
                <w:sz w:val="20"/>
                <w:szCs w:val="20"/>
              </w:rPr>
              <w:t>Single man</w:t>
            </w:r>
          </w:p>
        </w:tc>
        <w:tc>
          <w:tcPr>
            <w:tcW w:w="562" w:type="pct"/>
            <w:tcBorders>
              <w:right w:val="double" w:sz="4" w:space="0" w:color="auto"/>
            </w:tcBorders>
            <w:vAlign w:val="center"/>
          </w:tcPr>
          <w:p w14:paraId="3FEC22B3" w14:textId="77777777" w:rsidR="00170887" w:rsidRPr="00D14CD7" w:rsidRDefault="00170887" w:rsidP="00170887">
            <w:pPr>
              <w:jc w:val="left"/>
              <w:rPr>
                <w:color w:val="000000" w:themeColor="text1"/>
                <w:sz w:val="20"/>
                <w:szCs w:val="20"/>
              </w:rPr>
            </w:pPr>
            <w:r w:rsidRPr="00D14CD7">
              <w:rPr>
                <w:color w:val="000000" w:themeColor="text1"/>
                <w:sz w:val="20"/>
                <w:szCs w:val="20"/>
              </w:rPr>
              <w:t>Single woman</w:t>
            </w:r>
          </w:p>
        </w:tc>
        <w:tc>
          <w:tcPr>
            <w:tcW w:w="202" w:type="pct"/>
            <w:tcBorders>
              <w:left w:val="double" w:sz="4" w:space="0" w:color="auto"/>
            </w:tcBorders>
            <w:vAlign w:val="center"/>
          </w:tcPr>
          <w:p w14:paraId="60FC0B83" w14:textId="77777777" w:rsidR="00170887" w:rsidRPr="00D14CD7" w:rsidRDefault="00170887" w:rsidP="00170887">
            <w:pPr>
              <w:jc w:val="right"/>
              <w:rPr>
                <w:color w:val="000000" w:themeColor="text1"/>
                <w:sz w:val="20"/>
                <w:szCs w:val="20"/>
              </w:rPr>
            </w:pPr>
            <w:r w:rsidRPr="00D14CD7">
              <w:rPr>
                <w:rFonts w:eastAsia="Times New Roman"/>
                <w:color w:val="000000" w:themeColor="text1"/>
                <w:sz w:val="20"/>
                <w:szCs w:val="20"/>
              </w:rPr>
              <w:t>3.58</w:t>
            </w:r>
          </w:p>
        </w:tc>
        <w:tc>
          <w:tcPr>
            <w:tcW w:w="218" w:type="pct"/>
            <w:vAlign w:val="center"/>
          </w:tcPr>
          <w:p w14:paraId="40527C4D" w14:textId="4E294356" w:rsidR="00170887" w:rsidRPr="00D14CD7" w:rsidRDefault="00170887" w:rsidP="00170887">
            <w:pPr>
              <w:jc w:val="right"/>
              <w:rPr>
                <w:color w:val="000000" w:themeColor="text1"/>
                <w:sz w:val="20"/>
                <w:szCs w:val="20"/>
              </w:rPr>
            </w:pPr>
            <w:r w:rsidRPr="00D14CD7">
              <w:rPr>
                <w:rFonts w:eastAsia="Times New Roman"/>
                <w:color w:val="000000" w:themeColor="text1"/>
                <w:sz w:val="20"/>
                <w:szCs w:val="20"/>
              </w:rPr>
              <w:t>13.</w:t>
            </w:r>
            <w:r w:rsidR="00FC630C" w:rsidRPr="00D14CD7">
              <w:rPr>
                <w:rFonts w:eastAsia="Times New Roman"/>
                <w:color w:val="000000" w:themeColor="text1"/>
                <w:sz w:val="20"/>
                <w:szCs w:val="20"/>
              </w:rPr>
              <w:t>8</w:t>
            </w:r>
          </w:p>
        </w:tc>
        <w:tc>
          <w:tcPr>
            <w:tcW w:w="187" w:type="pct"/>
            <w:vAlign w:val="center"/>
          </w:tcPr>
          <w:p w14:paraId="37777C67" w14:textId="77777777" w:rsidR="00170887" w:rsidRPr="00D14CD7" w:rsidRDefault="00170887" w:rsidP="00170887">
            <w:pPr>
              <w:jc w:val="right"/>
              <w:rPr>
                <w:color w:val="000000" w:themeColor="text1"/>
                <w:sz w:val="20"/>
                <w:szCs w:val="20"/>
              </w:rPr>
            </w:pPr>
            <w:r w:rsidRPr="00D14CD7">
              <w:rPr>
                <w:rFonts w:eastAsia="Times New Roman"/>
                <w:color w:val="000000" w:themeColor="text1"/>
                <w:sz w:val="20"/>
                <w:szCs w:val="20"/>
              </w:rPr>
              <w:t>5.8</w:t>
            </w:r>
          </w:p>
        </w:tc>
        <w:tc>
          <w:tcPr>
            <w:tcW w:w="218" w:type="pct"/>
            <w:vAlign w:val="center"/>
          </w:tcPr>
          <w:p w14:paraId="7DEC3A81" w14:textId="77777777" w:rsidR="00170887" w:rsidRPr="00D14CD7" w:rsidRDefault="00170887" w:rsidP="00170887">
            <w:pPr>
              <w:jc w:val="right"/>
              <w:rPr>
                <w:color w:val="000000" w:themeColor="text1"/>
                <w:sz w:val="20"/>
                <w:szCs w:val="20"/>
              </w:rPr>
            </w:pPr>
            <w:r w:rsidRPr="00D14CD7">
              <w:rPr>
                <w:rFonts w:eastAsia="Times New Roman"/>
                <w:color w:val="000000" w:themeColor="text1"/>
                <w:sz w:val="20"/>
                <w:szCs w:val="20"/>
              </w:rPr>
              <w:t>68.2</w:t>
            </w:r>
          </w:p>
        </w:tc>
        <w:tc>
          <w:tcPr>
            <w:tcW w:w="187" w:type="pct"/>
            <w:tcBorders>
              <w:right w:val="double" w:sz="4" w:space="0" w:color="auto"/>
            </w:tcBorders>
            <w:vAlign w:val="center"/>
          </w:tcPr>
          <w:p w14:paraId="6A8D64D1" w14:textId="77777777" w:rsidR="00170887" w:rsidRPr="00D14CD7" w:rsidRDefault="00170887" w:rsidP="00170887">
            <w:pPr>
              <w:jc w:val="right"/>
              <w:rPr>
                <w:color w:val="000000" w:themeColor="text1"/>
                <w:sz w:val="20"/>
                <w:szCs w:val="20"/>
              </w:rPr>
            </w:pPr>
            <w:r w:rsidRPr="00D14CD7">
              <w:rPr>
                <w:rFonts w:eastAsia="Times New Roman"/>
                <w:color w:val="000000" w:themeColor="text1"/>
                <w:sz w:val="20"/>
                <w:szCs w:val="20"/>
              </w:rPr>
              <w:t>12.2</w:t>
            </w:r>
          </w:p>
        </w:tc>
        <w:tc>
          <w:tcPr>
            <w:tcW w:w="187" w:type="pct"/>
            <w:tcBorders>
              <w:left w:val="double" w:sz="4" w:space="0" w:color="auto"/>
            </w:tcBorders>
            <w:vAlign w:val="center"/>
          </w:tcPr>
          <w:p w14:paraId="4D618CCD" w14:textId="2D30417A" w:rsidR="00170887" w:rsidRPr="00D14CD7" w:rsidRDefault="00170887" w:rsidP="00170887">
            <w:pPr>
              <w:jc w:val="right"/>
              <w:rPr>
                <w:color w:val="000000" w:themeColor="text1"/>
                <w:sz w:val="20"/>
                <w:szCs w:val="20"/>
              </w:rPr>
            </w:pPr>
            <w:r w:rsidRPr="00D14CD7">
              <w:rPr>
                <w:rFonts w:eastAsia="Times New Roman"/>
                <w:color w:val="000000" w:themeColor="text1"/>
                <w:sz w:val="20"/>
                <w:szCs w:val="20"/>
              </w:rPr>
              <w:t>3.1</w:t>
            </w:r>
            <w:r w:rsidR="001D7C95" w:rsidRPr="00D14CD7">
              <w:rPr>
                <w:rFonts w:eastAsia="Times New Roman"/>
                <w:color w:val="000000" w:themeColor="text1"/>
                <w:sz w:val="20"/>
                <w:szCs w:val="20"/>
              </w:rPr>
              <w:t>6</w:t>
            </w:r>
          </w:p>
        </w:tc>
        <w:tc>
          <w:tcPr>
            <w:tcW w:w="218" w:type="pct"/>
            <w:vAlign w:val="center"/>
          </w:tcPr>
          <w:p w14:paraId="32637D60" w14:textId="77777777" w:rsidR="00170887" w:rsidRPr="00D14CD7" w:rsidRDefault="00170887" w:rsidP="00170887">
            <w:pPr>
              <w:jc w:val="right"/>
              <w:rPr>
                <w:color w:val="000000" w:themeColor="text1"/>
                <w:sz w:val="20"/>
                <w:szCs w:val="20"/>
              </w:rPr>
            </w:pPr>
            <w:r w:rsidRPr="00D14CD7">
              <w:rPr>
                <w:rFonts w:eastAsia="Times New Roman"/>
                <w:color w:val="000000" w:themeColor="text1"/>
                <w:sz w:val="20"/>
                <w:szCs w:val="20"/>
              </w:rPr>
              <w:t>10.5</w:t>
            </w:r>
          </w:p>
        </w:tc>
        <w:tc>
          <w:tcPr>
            <w:tcW w:w="187" w:type="pct"/>
            <w:vAlign w:val="center"/>
          </w:tcPr>
          <w:p w14:paraId="2DCD8ABE" w14:textId="77777777" w:rsidR="00170887" w:rsidRPr="00D14CD7" w:rsidRDefault="00170887" w:rsidP="00170887">
            <w:pPr>
              <w:jc w:val="right"/>
              <w:rPr>
                <w:color w:val="000000" w:themeColor="text1"/>
                <w:sz w:val="20"/>
                <w:szCs w:val="20"/>
              </w:rPr>
            </w:pPr>
            <w:r w:rsidRPr="00D14CD7">
              <w:rPr>
                <w:rFonts w:eastAsia="Times New Roman"/>
                <w:color w:val="000000" w:themeColor="text1"/>
                <w:sz w:val="20"/>
                <w:szCs w:val="20"/>
              </w:rPr>
              <w:t>4.1</w:t>
            </w:r>
          </w:p>
        </w:tc>
        <w:tc>
          <w:tcPr>
            <w:tcW w:w="218" w:type="pct"/>
            <w:vAlign w:val="center"/>
          </w:tcPr>
          <w:p w14:paraId="41505DB6" w14:textId="2009089F" w:rsidR="00170887" w:rsidRPr="00D14CD7" w:rsidRDefault="00170887" w:rsidP="00170887">
            <w:pPr>
              <w:jc w:val="right"/>
              <w:rPr>
                <w:color w:val="000000" w:themeColor="text1"/>
                <w:sz w:val="20"/>
                <w:szCs w:val="20"/>
              </w:rPr>
            </w:pPr>
            <w:r w:rsidRPr="00D14CD7">
              <w:rPr>
                <w:rFonts w:eastAsia="Times New Roman"/>
                <w:color w:val="000000" w:themeColor="text1"/>
                <w:sz w:val="20"/>
                <w:szCs w:val="20"/>
              </w:rPr>
              <w:t>76.</w:t>
            </w:r>
            <w:r w:rsidR="00FC630C" w:rsidRPr="00D14CD7">
              <w:rPr>
                <w:rFonts w:eastAsia="Times New Roman"/>
                <w:color w:val="000000" w:themeColor="text1"/>
                <w:sz w:val="20"/>
                <w:szCs w:val="20"/>
              </w:rPr>
              <w:t>2</w:t>
            </w:r>
          </w:p>
        </w:tc>
        <w:tc>
          <w:tcPr>
            <w:tcW w:w="219" w:type="pct"/>
            <w:tcBorders>
              <w:right w:val="double" w:sz="4" w:space="0" w:color="auto"/>
            </w:tcBorders>
            <w:vAlign w:val="center"/>
          </w:tcPr>
          <w:p w14:paraId="4327DBEB" w14:textId="159C6F17" w:rsidR="00170887" w:rsidRPr="00D14CD7" w:rsidRDefault="00170887" w:rsidP="00170887">
            <w:pPr>
              <w:jc w:val="right"/>
              <w:rPr>
                <w:color w:val="000000" w:themeColor="text1"/>
                <w:sz w:val="20"/>
                <w:szCs w:val="20"/>
              </w:rPr>
            </w:pPr>
            <w:r w:rsidRPr="00D14CD7">
              <w:rPr>
                <w:rFonts w:eastAsia="Times New Roman"/>
                <w:color w:val="000000" w:themeColor="text1"/>
                <w:sz w:val="20"/>
                <w:szCs w:val="20"/>
              </w:rPr>
              <w:t>9.</w:t>
            </w:r>
            <w:r w:rsidR="00FC630C" w:rsidRPr="00D14CD7">
              <w:rPr>
                <w:rFonts w:eastAsia="Times New Roman"/>
                <w:color w:val="000000" w:themeColor="text1"/>
                <w:sz w:val="20"/>
                <w:szCs w:val="20"/>
              </w:rPr>
              <w:t>2</w:t>
            </w:r>
          </w:p>
        </w:tc>
        <w:tc>
          <w:tcPr>
            <w:tcW w:w="218" w:type="pct"/>
            <w:tcBorders>
              <w:left w:val="double" w:sz="4" w:space="0" w:color="auto"/>
            </w:tcBorders>
            <w:vAlign w:val="center"/>
          </w:tcPr>
          <w:p w14:paraId="6B2CA72D" w14:textId="77777777" w:rsidR="00170887" w:rsidRPr="00D14CD7" w:rsidRDefault="00170887" w:rsidP="00170887">
            <w:pPr>
              <w:jc w:val="right"/>
              <w:rPr>
                <w:color w:val="000000" w:themeColor="text1"/>
                <w:sz w:val="20"/>
                <w:szCs w:val="20"/>
              </w:rPr>
            </w:pPr>
            <w:r w:rsidRPr="00D14CD7">
              <w:rPr>
                <w:rFonts w:eastAsia="Times New Roman"/>
                <w:color w:val="000000" w:themeColor="text1"/>
                <w:sz w:val="20"/>
                <w:szCs w:val="20"/>
              </w:rPr>
              <w:t>-11.6</w:t>
            </w:r>
          </w:p>
        </w:tc>
        <w:tc>
          <w:tcPr>
            <w:tcW w:w="218" w:type="pct"/>
            <w:vAlign w:val="center"/>
          </w:tcPr>
          <w:p w14:paraId="2B165D43" w14:textId="77777777" w:rsidR="00170887" w:rsidRPr="00D14CD7" w:rsidRDefault="00170887" w:rsidP="00170887">
            <w:pPr>
              <w:jc w:val="right"/>
              <w:rPr>
                <w:rFonts w:eastAsia="Times New Roman"/>
                <w:color w:val="000000" w:themeColor="text1"/>
                <w:sz w:val="20"/>
                <w:szCs w:val="20"/>
              </w:rPr>
            </w:pPr>
            <w:r w:rsidRPr="00D14CD7">
              <w:rPr>
                <w:rFonts w:eastAsia="Times New Roman"/>
                <w:color w:val="000000" w:themeColor="text1"/>
                <w:sz w:val="20"/>
                <w:szCs w:val="20"/>
              </w:rPr>
              <w:t>-32.1</w:t>
            </w:r>
          </w:p>
        </w:tc>
        <w:tc>
          <w:tcPr>
            <w:tcW w:w="249" w:type="pct"/>
            <w:vAlign w:val="center"/>
          </w:tcPr>
          <w:p w14:paraId="1404AD2F" w14:textId="77777777" w:rsidR="00170887" w:rsidRPr="00D14CD7" w:rsidRDefault="00170887" w:rsidP="00170887">
            <w:pPr>
              <w:jc w:val="right"/>
              <w:rPr>
                <w:rFonts w:eastAsia="Times New Roman"/>
                <w:color w:val="000000" w:themeColor="text1"/>
                <w:sz w:val="20"/>
                <w:szCs w:val="20"/>
              </w:rPr>
            </w:pPr>
            <w:r w:rsidRPr="00D14CD7">
              <w:rPr>
                <w:rFonts w:eastAsia="Times New Roman"/>
                <w:color w:val="000000" w:themeColor="text1"/>
                <w:sz w:val="20"/>
                <w:szCs w:val="20"/>
              </w:rPr>
              <w:t>-37.1</w:t>
            </w:r>
          </w:p>
        </w:tc>
        <w:tc>
          <w:tcPr>
            <w:tcW w:w="218" w:type="pct"/>
            <w:vAlign w:val="center"/>
          </w:tcPr>
          <w:p w14:paraId="12748F63" w14:textId="77777777" w:rsidR="00170887" w:rsidRPr="00D14CD7" w:rsidRDefault="00170887" w:rsidP="00170887">
            <w:pPr>
              <w:jc w:val="right"/>
              <w:rPr>
                <w:rFonts w:eastAsia="Times New Roman"/>
                <w:color w:val="000000" w:themeColor="text1"/>
                <w:sz w:val="20"/>
                <w:szCs w:val="20"/>
              </w:rPr>
            </w:pPr>
            <w:r w:rsidRPr="00D14CD7">
              <w:rPr>
                <w:rFonts w:eastAsia="Times New Roman"/>
                <w:color w:val="000000" w:themeColor="text1"/>
                <w:sz w:val="20"/>
                <w:szCs w:val="20"/>
              </w:rPr>
              <w:t>-1.3</w:t>
            </w:r>
          </w:p>
        </w:tc>
        <w:tc>
          <w:tcPr>
            <w:tcW w:w="246" w:type="pct"/>
            <w:vAlign w:val="center"/>
          </w:tcPr>
          <w:p w14:paraId="1CAD7BFE" w14:textId="77777777" w:rsidR="00170887" w:rsidRPr="00D14CD7" w:rsidRDefault="00170887" w:rsidP="00170887">
            <w:pPr>
              <w:jc w:val="right"/>
              <w:rPr>
                <w:rFonts w:eastAsia="Times New Roman"/>
                <w:color w:val="000000" w:themeColor="text1"/>
                <w:sz w:val="20"/>
                <w:szCs w:val="20"/>
              </w:rPr>
            </w:pPr>
            <w:r w:rsidRPr="00D14CD7">
              <w:rPr>
                <w:rFonts w:eastAsia="Times New Roman"/>
                <w:color w:val="000000" w:themeColor="text1"/>
                <w:sz w:val="20"/>
                <w:szCs w:val="20"/>
              </w:rPr>
              <w:t>-33.9</w:t>
            </w:r>
          </w:p>
        </w:tc>
      </w:tr>
      <w:tr w:rsidR="00D14CD7" w:rsidRPr="00D14CD7" w14:paraId="67EE4036" w14:textId="77777777" w:rsidTr="00170887">
        <w:tc>
          <w:tcPr>
            <w:tcW w:w="654" w:type="pct"/>
            <w:vMerge/>
            <w:tcBorders>
              <w:right w:val="double" w:sz="4" w:space="0" w:color="auto"/>
            </w:tcBorders>
            <w:vAlign w:val="center"/>
          </w:tcPr>
          <w:p w14:paraId="66933340" w14:textId="77777777" w:rsidR="00170887" w:rsidRPr="00D14CD7" w:rsidRDefault="00170887" w:rsidP="00170887">
            <w:pPr>
              <w:jc w:val="left"/>
              <w:rPr>
                <w:color w:val="000000" w:themeColor="text1"/>
                <w:sz w:val="20"/>
                <w:szCs w:val="20"/>
              </w:rPr>
            </w:pPr>
          </w:p>
        </w:tc>
        <w:tc>
          <w:tcPr>
            <w:tcW w:w="594" w:type="pct"/>
            <w:tcBorders>
              <w:left w:val="double" w:sz="4" w:space="0" w:color="auto"/>
            </w:tcBorders>
            <w:vAlign w:val="center"/>
          </w:tcPr>
          <w:p w14:paraId="38221097" w14:textId="77777777" w:rsidR="00170887" w:rsidRPr="00D14CD7" w:rsidRDefault="00170887" w:rsidP="00170887">
            <w:pPr>
              <w:jc w:val="left"/>
              <w:rPr>
                <w:color w:val="000000" w:themeColor="text1"/>
                <w:sz w:val="20"/>
                <w:szCs w:val="20"/>
              </w:rPr>
            </w:pPr>
            <w:r w:rsidRPr="00D14CD7">
              <w:rPr>
                <w:color w:val="000000" w:themeColor="text1"/>
                <w:sz w:val="20"/>
                <w:szCs w:val="20"/>
              </w:rPr>
              <w:t>Multiple unrelated adults</w:t>
            </w:r>
          </w:p>
        </w:tc>
        <w:tc>
          <w:tcPr>
            <w:tcW w:w="562" w:type="pct"/>
            <w:tcBorders>
              <w:right w:val="double" w:sz="4" w:space="0" w:color="auto"/>
            </w:tcBorders>
            <w:vAlign w:val="center"/>
          </w:tcPr>
          <w:p w14:paraId="0DE351BE" w14:textId="77777777" w:rsidR="00170887" w:rsidRPr="00D14CD7" w:rsidRDefault="00170887" w:rsidP="00170887">
            <w:pPr>
              <w:jc w:val="left"/>
              <w:rPr>
                <w:color w:val="000000" w:themeColor="text1"/>
                <w:sz w:val="20"/>
                <w:szCs w:val="20"/>
              </w:rPr>
            </w:pPr>
            <w:r w:rsidRPr="00D14CD7">
              <w:rPr>
                <w:color w:val="000000" w:themeColor="text1"/>
                <w:sz w:val="20"/>
                <w:szCs w:val="20"/>
              </w:rPr>
              <w:t>Multiple related adults without children</w:t>
            </w:r>
          </w:p>
        </w:tc>
        <w:tc>
          <w:tcPr>
            <w:tcW w:w="202" w:type="pct"/>
            <w:tcBorders>
              <w:left w:val="double" w:sz="4" w:space="0" w:color="auto"/>
            </w:tcBorders>
            <w:vAlign w:val="center"/>
          </w:tcPr>
          <w:p w14:paraId="64C3942D" w14:textId="77777777" w:rsidR="00170887" w:rsidRPr="00D14CD7" w:rsidRDefault="00170887" w:rsidP="00170887">
            <w:pPr>
              <w:jc w:val="right"/>
              <w:rPr>
                <w:color w:val="000000" w:themeColor="text1"/>
                <w:sz w:val="20"/>
                <w:szCs w:val="20"/>
              </w:rPr>
            </w:pPr>
            <w:r w:rsidRPr="00D14CD7">
              <w:rPr>
                <w:rFonts w:eastAsia="Times New Roman"/>
                <w:color w:val="000000" w:themeColor="text1"/>
                <w:sz w:val="20"/>
                <w:szCs w:val="20"/>
              </w:rPr>
              <w:t>5.53</w:t>
            </w:r>
          </w:p>
        </w:tc>
        <w:tc>
          <w:tcPr>
            <w:tcW w:w="218" w:type="pct"/>
            <w:vAlign w:val="center"/>
          </w:tcPr>
          <w:p w14:paraId="3E187E5B" w14:textId="2D5E8918" w:rsidR="00170887" w:rsidRPr="00D14CD7" w:rsidRDefault="00170887" w:rsidP="00170887">
            <w:pPr>
              <w:jc w:val="right"/>
              <w:rPr>
                <w:color w:val="000000" w:themeColor="text1"/>
                <w:sz w:val="20"/>
                <w:szCs w:val="20"/>
              </w:rPr>
            </w:pPr>
            <w:r w:rsidRPr="00D14CD7">
              <w:rPr>
                <w:rFonts w:eastAsia="Times New Roman"/>
                <w:color w:val="000000" w:themeColor="text1"/>
                <w:sz w:val="20"/>
                <w:szCs w:val="20"/>
              </w:rPr>
              <w:t>15.</w:t>
            </w:r>
            <w:r w:rsidR="00FC630C" w:rsidRPr="00D14CD7">
              <w:rPr>
                <w:rFonts w:eastAsia="Times New Roman"/>
                <w:color w:val="000000" w:themeColor="text1"/>
                <w:sz w:val="20"/>
                <w:szCs w:val="20"/>
              </w:rPr>
              <w:t>8</w:t>
            </w:r>
          </w:p>
        </w:tc>
        <w:tc>
          <w:tcPr>
            <w:tcW w:w="187" w:type="pct"/>
            <w:vAlign w:val="center"/>
          </w:tcPr>
          <w:p w14:paraId="4CB43423" w14:textId="77777777" w:rsidR="00170887" w:rsidRPr="00D14CD7" w:rsidRDefault="00170887" w:rsidP="00170887">
            <w:pPr>
              <w:jc w:val="right"/>
              <w:rPr>
                <w:color w:val="000000" w:themeColor="text1"/>
                <w:sz w:val="20"/>
                <w:szCs w:val="20"/>
              </w:rPr>
            </w:pPr>
            <w:r w:rsidRPr="00D14CD7">
              <w:rPr>
                <w:rFonts w:eastAsia="Times New Roman"/>
                <w:color w:val="000000" w:themeColor="text1"/>
                <w:sz w:val="20"/>
                <w:szCs w:val="20"/>
              </w:rPr>
              <w:t>6.1</w:t>
            </w:r>
          </w:p>
        </w:tc>
        <w:tc>
          <w:tcPr>
            <w:tcW w:w="218" w:type="pct"/>
            <w:vAlign w:val="center"/>
          </w:tcPr>
          <w:p w14:paraId="3840FCB4" w14:textId="77777777" w:rsidR="00170887" w:rsidRPr="00D14CD7" w:rsidRDefault="00170887" w:rsidP="00170887">
            <w:pPr>
              <w:jc w:val="right"/>
              <w:rPr>
                <w:color w:val="000000" w:themeColor="text1"/>
                <w:sz w:val="20"/>
                <w:szCs w:val="20"/>
              </w:rPr>
            </w:pPr>
            <w:r w:rsidRPr="00D14CD7">
              <w:rPr>
                <w:rFonts w:eastAsia="Times New Roman"/>
                <w:color w:val="000000" w:themeColor="text1"/>
                <w:sz w:val="20"/>
                <w:szCs w:val="20"/>
              </w:rPr>
              <w:t>67.2</w:t>
            </w:r>
          </w:p>
        </w:tc>
        <w:tc>
          <w:tcPr>
            <w:tcW w:w="187" w:type="pct"/>
            <w:tcBorders>
              <w:right w:val="double" w:sz="4" w:space="0" w:color="auto"/>
            </w:tcBorders>
            <w:vAlign w:val="center"/>
          </w:tcPr>
          <w:p w14:paraId="302B6500" w14:textId="77777777" w:rsidR="00170887" w:rsidRPr="00D14CD7" w:rsidRDefault="00170887" w:rsidP="00170887">
            <w:pPr>
              <w:jc w:val="right"/>
              <w:rPr>
                <w:color w:val="000000" w:themeColor="text1"/>
                <w:sz w:val="20"/>
                <w:szCs w:val="20"/>
              </w:rPr>
            </w:pPr>
            <w:r w:rsidRPr="00D14CD7">
              <w:rPr>
                <w:rFonts w:eastAsia="Times New Roman"/>
                <w:color w:val="000000" w:themeColor="text1"/>
                <w:sz w:val="20"/>
                <w:szCs w:val="20"/>
              </w:rPr>
              <w:t>10.9</w:t>
            </w:r>
          </w:p>
        </w:tc>
        <w:tc>
          <w:tcPr>
            <w:tcW w:w="187" w:type="pct"/>
            <w:tcBorders>
              <w:left w:val="double" w:sz="4" w:space="0" w:color="auto"/>
            </w:tcBorders>
            <w:vAlign w:val="center"/>
          </w:tcPr>
          <w:p w14:paraId="0BCE8227" w14:textId="2F4CA011" w:rsidR="00170887" w:rsidRPr="00D14CD7" w:rsidRDefault="00170887" w:rsidP="00170887">
            <w:pPr>
              <w:jc w:val="right"/>
              <w:rPr>
                <w:color w:val="000000" w:themeColor="text1"/>
                <w:sz w:val="20"/>
                <w:szCs w:val="20"/>
              </w:rPr>
            </w:pPr>
            <w:r w:rsidRPr="00D14CD7">
              <w:rPr>
                <w:rFonts w:eastAsia="Times New Roman"/>
                <w:color w:val="000000" w:themeColor="text1"/>
                <w:sz w:val="20"/>
                <w:szCs w:val="20"/>
              </w:rPr>
              <w:t>3.2</w:t>
            </w:r>
            <w:r w:rsidR="001D7C95" w:rsidRPr="00D14CD7">
              <w:rPr>
                <w:rFonts w:eastAsia="Times New Roman"/>
                <w:color w:val="000000" w:themeColor="text1"/>
                <w:sz w:val="20"/>
                <w:szCs w:val="20"/>
              </w:rPr>
              <w:t>5</w:t>
            </w:r>
          </w:p>
        </w:tc>
        <w:tc>
          <w:tcPr>
            <w:tcW w:w="218" w:type="pct"/>
            <w:vAlign w:val="center"/>
          </w:tcPr>
          <w:p w14:paraId="0C63BAC8" w14:textId="7DD16F62" w:rsidR="00170887" w:rsidRPr="00D14CD7" w:rsidRDefault="00170887" w:rsidP="00170887">
            <w:pPr>
              <w:jc w:val="right"/>
              <w:rPr>
                <w:color w:val="000000" w:themeColor="text1"/>
                <w:sz w:val="20"/>
                <w:szCs w:val="20"/>
              </w:rPr>
            </w:pPr>
            <w:r w:rsidRPr="00D14CD7">
              <w:rPr>
                <w:rFonts w:eastAsia="Times New Roman"/>
                <w:color w:val="000000" w:themeColor="text1"/>
                <w:sz w:val="20"/>
                <w:szCs w:val="20"/>
              </w:rPr>
              <w:t>1</w:t>
            </w:r>
            <w:r w:rsidR="00FC630C" w:rsidRPr="00D14CD7">
              <w:rPr>
                <w:rFonts w:eastAsia="Times New Roman"/>
                <w:color w:val="000000" w:themeColor="text1"/>
                <w:sz w:val="20"/>
                <w:szCs w:val="20"/>
              </w:rPr>
              <w:t>5</w:t>
            </w:r>
            <w:r w:rsidRPr="00D14CD7">
              <w:rPr>
                <w:rFonts w:eastAsia="Times New Roman"/>
                <w:color w:val="000000" w:themeColor="text1"/>
                <w:sz w:val="20"/>
                <w:szCs w:val="20"/>
              </w:rPr>
              <w:t>.</w:t>
            </w:r>
            <w:r w:rsidR="00FC630C" w:rsidRPr="00D14CD7">
              <w:rPr>
                <w:rFonts w:eastAsia="Times New Roman"/>
                <w:color w:val="000000" w:themeColor="text1"/>
                <w:sz w:val="20"/>
                <w:szCs w:val="20"/>
              </w:rPr>
              <w:t>0</w:t>
            </w:r>
          </w:p>
        </w:tc>
        <w:tc>
          <w:tcPr>
            <w:tcW w:w="187" w:type="pct"/>
            <w:vAlign w:val="center"/>
          </w:tcPr>
          <w:p w14:paraId="69014F5D" w14:textId="77777777" w:rsidR="00170887" w:rsidRPr="00D14CD7" w:rsidRDefault="00170887" w:rsidP="00170887">
            <w:pPr>
              <w:jc w:val="right"/>
              <w:rPr>
                <w:color w:val="000000" w:themeColor="text1"/>
                <w:sz w:val="20"/>
                <w:szCs w:val="20"/>
              </w:rPr>
            </w:pPr>
            <w:r w:rsidRPr="00D14CD7">
              <w:rPr>
                <w:rFonts w:eastAsia="Times New Roman"/>
                <w:color w:val="000000" w:themeColor="text1"/>
                <w:sz w:val="20"/>
                <w:szCs w:val="20"/>
              </w:rPr>
              <w:t>5.5</w:t>
            </w:r>
          </w:p>
        </w:tc>
        <w:tc>
          <w:tcPr>
            <w:tcW w:w="218" w:type="pct"/>
            <w:vAlign w:val="center"/>
          </w:tcPr>
          <w:p w14:paraId="724E9247" w14:textId="77777777" w:rsidR="00170887" w:rsidRPr="00D14CD7" w:rsidRDefault="00170887" w:rsidP="00170887">
            <w:pPr>
              <w:jc w:val="right"/>
              <w:rPr>
                <w:color w:val="000000" w:themeColor="text1"/>
                <w:sz w:val="20"/>
                <w:szCs w:val="20"/>
              </w:rPr>
            </w:pPr>
            <w:r w:rsidRPr="00D14CD7">
              <w:rPr>
                <w:rFonts w:eastAsia="Times New Roman"/>
                <w:color w:val="000000" w:themeColor="text1"/>
                <w:sz w:val="20"/>
                <w:szCs w:val="20"/>
              </w:rPr>
              <w:t>67.4</w:t>
            </w:r>
          </w:p>
        </w:tc>
        <w:tc>
          <w:tcPr>
            <w:tcW w:w="219" w:type="pct"/>
            <w:tcBorders>
              <w:right w:val="double" w:sz="4" w:space="0" w:color="auto"/>
            </w:tcBorders>
            <w:vAlign w:val="center"/>
          </w:tcPr>
          <w:p w14:paraId="4B4E926C" w14:textId="66AAFBC2" w:rsidR="00170887" w:rsidRPr="00D14CD7" w:rsidRDefault="00170887" w:rsidP="00170887">
            <w:pPr>
              <w:jc w:val="right"/>
              <w:rPr>
                <w:color w:val="000000" w:themeColor="text1"/>
                <w:sz w:val="20"/>
                <w:szCs w:val="20"/>
              </w:rPr>
            </w:pPr>
            <w:r w:rsidRPr="00D14CD7">
              <w:rPr>
                <w:rFonts w:eastAsia="Times New Roman"/>
                <w:color w:val="000000" w:themeColor="text1"/>
                <w:sz w:val="20"/>
                <w:szCs w:val="20"/>
              </w:rPr>
              <w:t>12.</w:t>
            </w:r>
            <w:r w:rsidR="00FC630C" w:rsidRPr="00D14CD7">
              <w:rPr>
                <w:rFonts w:eastAsia="Times New Roman"/>
                <w:color w:val="000000" w:themeColor="text1"/>
                <w:sz w:val="20"/>
                <w:szCs w:val="20"/>
              </w:rPr>
              <w:t>1</w:t>
            </w:r>
          </w:p>
        </w:tc>
        <w:tc>
          <w:tcPr>
            <w:tcW w:w="218" w:type="pct"/>
            <w:tcBorders>
              <w:left w:val="double" w:sz="4" w:space="0" w:color="auto"/>
            </w:tcBorders>
            <w:vAlign w:val="center"/>
          </w:tcPr>
          <w:p w14:paraId="205410FA" w14:textId="77777777" w:rsidR="00170887" w:rsidRPr="00D14CD7" w:rsidRDefault="00170887" w:rsidP="00170887">
            <w:pPr>
              <w:jc w:val="right"/>
              <w:rPr>
                <w:color w:val="000000" w:themeColor="text1"/>
                <w:sz w:val="20"/>
                <w:szCs w:val="20"/>
              </w:rPr>
            </w:pPr>
            <w:r w:rsidRPr="00D14CD7">
              <w:rPr>
                <w:rFonts w:eastAsia="Times New Roman"/>
                <w:color w:val="000000" w:themeColor="text1"/>
                <w:sz w:val="20"/>
                <w:szCs w:val="20"/>
              </w:rPr>
              <w:t>-41.2</w:t>
            </w:r>
          </w:p>
        </w:tc>
        <w:tc>
          <w:tcPr>
            <w:tcW w:w="218" w:type="pct"/>
            <w:vAlign w:val="center"/>
          </w:tcPr>
          <w:p w14:paraId="541C1532" w14:textId="77777777" w:rsidR="00170887" w:rsidRPr="00D14CD7" w:rsidRDefault="00170887" w:rsidP="00170887">
            <w:pPr>
              <w:jc w:val="right"/>
              <w:rPr>
                <w:rFonts w:eastAsia="Times New Roman"/>
                <w:color w:val="000000" w:themeColor="text1"/>
                <w:sz w:val="20"/>
                <w:szCs w:val="20"/>
              </w:rPr>
            </w:pPr>
            <w:r w:rsidRPr="00D14CD7">
              <w:rPr>
                <w:rFonts w:eastAsia="Times New Roman"/>
                <w:color w:val="000000" w:themeColor="text1"/>
                <w:sz w:val="20"/>
                <w:szCs w:val="20"/>
              </w:rPr>
              <w:t>-44.1</w:t>
            </w:r>
          </w:p>
        </w:tc>
        <w:tc>
          <w:tcPr>
            <w:tcW w:w="249" w:type="pct"/>
            <w:vAlign w:val="center"/>
          </w:tcPr>
          <w:p w14:paraId="5465F8DA" w14:textId="77777777" w:rsidR="00170887" w:rsidRPr="00D14CD7" w:rsidRDefault="00170887" w:rsidP="00170887">
            <w:pPr>
              <w:jc w:val="right"/>
              <w:rPr>
                <w:rFonts w:eastAsia="Times New Roman"/>
                <w:color w:val="000000" w:themeColor="text1"/>
                <w:sz w:val="20"/>
                <w:szCs w:val="20"/>
              </w:rPr>
            </w:pPr>
            <w:r w:rsidRPr="00D14CD7">
              <w:rPr>
                <w:rFonts w:eastAsia="Times New Roman"/>
                <w:color w:val="000000" w:themeColor="text1"/>
                <w:sz w:val="20"/>
                <w:szCs w:val="20"/>
              </w:rPr>
              <w:t>-46.8</w:t>
            </w:r>
          </w:p>
        </w:tc>
        <w:tc>
          <w:tcPr>
            <w:tcW w:w="218" w:type="pct"/>
            <w:vAlign w:val="center"/>
          </w:tcPr>
          <w:p w14:paraId="6708AD4B" w14:textId="77777777" w:rsidR="00170887" w:rsidRPr="00D14CD7" w:rsidRDefault="00170887" w:rsidP="00170887">
            <w:pPr>
              <w:jc w:val="right"/>
              <w:rPr>
                <w:rFonts w:eastAsia="Times New Roman"/>
                <w:color w:val="000000" w:themeColor="text1"/>
                <w:sz w:val="20"/>
                <w:szCs w:val="20"/>
              </w:rPr>
            </w:pPr>
            <w:r w:rsidRPr="00D14CD7">
              <w:rPr>
                <w:rFonts w:eastAsia="Times New Roman"/>
                <w:color w:val="000000" w:themeColor="text1"/>
                <w:sz w:val="20"/>
                <w:szCs w:val="20"/>
              </w:rPr>
              <w:t>-41.1</w:t>
            </w:r>
          </w:p>
        </w:tc>
        <w:tc>
          <w:tcPr>
            <w:tcW w:w="246" w:type="pct"/>
            <w:vAlign w:val="center"/>
          </w:tcPr>
          <w:p w14:paraId="52ECF7E0" w14:textId="77777777" w:rsidR="00170887" w:rsidRPr="00D14CD7" w:rsidRDefault="00170887" w:rsidP="00170887">
            <w:pPr>
              <w:jc w:val="right"/>
              <w:rPr>
                <w:rFonts w:eastAsia="Times New Roman"/>
                <w:color w:val="000000" w:themeColor="text1"/>
                <w:sz w:val="20"/>
                <w:szCs w:val="20"/>
              </w:rPr>
            </w:pPr>
            <w:r w:rsidRPr="00D14CD7">
              <w:rPr>
                <w:rFonts w:eastAsia="Times New Roman"/>
                <w:color w:val="000000" w:themeColor="text1"/>
                <w:sz w:val="20"/>
                <w:szCs w:val="20"/>
              </w:rPr>
              <w:t>-35.0</w:t>
            </w:r>
          </w:p>
        </w:tc>
      </w:tr>
      <w:tr w:rsidR="00D14CD7" w:rsidRPr="00D14CD7" w14:paraId="5A97B050" w14:textId="77777777" w:rsidTr="00170887">
        <w:tc>
          <w:tcPr>
            <w:tcW w:w="654" w:type="pct"/>
            <w:vMerge/>
            <w:tcBorders>
              <w:bottom w:val="single" w:sz="8" w:space="0" w:color="auto"/>
              <w:right w:val="double" w:sz="4" w:space="0" w:color="auto"/>
            </w:tcBorders>
            <w:vAlign w:val="center"/>
          </w:tcPr>
          <w:p w14:paraId="3A2250C7" w14:textId="77777777" w:rsidR="00170887" w:rsidRPr="00D14CD7" w:rsidRDefault="00170887" w:rsidP="00170887">
            <w:pPr>
              <w:jc w:val="left"/>
              <w:rPr>
                <w:color w:val="000000" w:themeColor="text1"/>
                <w:sz w:val="20"/>
                <w:szCs w:val="20"/>
              </w:rPr>
            </w:pPr>
          </w:p>
        </w:tc>
        <w:tc>
          <w:tcPr>
            <w:tcW w:w="594" w:type="pct"/>
            <w:tcBorders>
              <w:left w:val="double" w:sz="4" w:space="0" w:color="auto"/>
              <w:bottom w:val="single" w:sz="8" w:space="0" w:color="auto"/>
            </w:tcBorders>
            <w:vAlign w:val="center"/>
          </w:tcPr>
          <w:p w14:paraId="5181B11E" w14:textId="77777777" w:rsidR="00170887" w:rsidRPr="00D14CD7" w:rsidRDefault="00170887" w:rsidP="00170887">
            <w:pPr>
              <w:jc w:val="left"/>
              <w:rPr>
                <w:color w:val="000000" w:themeColor="text1"/>
                <w:sz w:val="20"/>
                <w:szCs w:val="20"/>
              </w:rPr>
            </w:pPr>
            <w:r w:rsidRPr="00D14CD7">
              <w:rPr>
                <w:color w:val="000000" w:themeColor="text1"/>
                <w:sz w:val="20"/>
                <w:szCs w:val="20"/>
              </w:rPr>
              <w:t>Multiple related adults without children</w:t>
            </w:r>
          </w:p>
        </w:tc>
        <w:tc>
          <w:tcPr>
            <w:tcW w:w="562" w:type="pct"/>
            <w:tcBorders>
              <w:bottom w:val="single" w:sz="8" w:space="0" w:color="auto"/>
              <w:right w:val="double" w:sz="4" w:space="0" w:color="auto"/>
            </w:tcBorders>
            <w:vAlign w:val="center"/>
          </w:tcPr>
          <w:p w14:paraId="7774A908" w14:textId="77777777" w:rsidR="00170887" w:rsidRPr="00D14CD7" w:rsidRDefault="00170887" w:rsidP="00170887">
            <w:pPr>
              <w:jc w:val="left"/>
              <w:rPr>
                <w:color w:val="000000" w:themeColor="text1"/>
                <w:sz w:val="20"/>
                <w:szCs w:val="20"/>
              </w:rPr>
            </w:pPr>
            <w:r w:rsidRPr="00D14CD7">
              <w:rPr>
                <w:color w:val="000000" w:themeColor="text1"/>
                <w:sz w:val="20"/>
                <w:szCs w:val="20"/>
              </w:rPr>
              <w:t>Multiple related adults with children</w:t>
            </w:r>
          </w:p>
        </w:tc>
        <w:tc>
          <w:tcPr>
            <w:tcW w:w="202" w:type="pct"/>
            <w:tcBorders>
              <w:left w:val="double" w:sz="4" w:space="0" w:color="auto"/>
              <w:bottom w:val="single" w:sz="8" w:space="0" w:color="auto"/>
            </w:tcBorders>
            <w:vAlign w:val="center"/>
          </w:tcPr>
          <w:p w14:paraId="51858FA4" w14:textId="77777777" w:rsidR="00170887" w:rsidRPr="00D14CD7" w:rsidRDefault="00170887" w:rsidP="00170887">
            <w:pPr>
              <w:jc w:val="right"/>
              <w:rPr>
                <w:color w:val="000000" w:themeColor="text1"/>
                <w:sz w:val="20"/>
                <w:szCs w:val="20"/>
              </w:rPr>
            </w:pPr>
            <w:r w:rsidRPr="00D14CD7">
              <w:rPr>
                <w:rFonts w:eastAsia="Times New Roman"/>
                <w:color w:val="000000" w:themeColor="text1"/>
                <w:sz w:val="20"/>
                <w:szCs w:val="20"/>
              </w:rPr>
              <w:t>3.25</w:t>
            </w:r>
          </w:p>
        </w:tc>
        <w:tc>
          <w:tcPr>
            <w:tcW w:w="218" w:type="pct"/>
            <w:tcBorders>
              <w:bottom w:val="single" w:sz="8" w:space="0" w:color="auto"/>
            </w:tcBorders>
            <w:vAlign w:val="center"/>
          </w:tcPr>
          <w:p w14:paraId="0BE46A9C" w14:textId="77777777" w:rsidR="00170887" w:rsidRPr="00D14CD7" w:rsidRDefault="00170887" w:rsidP="00170887">
            <w:pPr>
              <w:jc w:val="right"/>
              <w:rPr>
                <w:color w:val="000000" w:themeColor="text1"/>
                <w:sz w:val="20"/>
                <w:szCs w:val="20"/>
              </w:rPr>
            </w:pPr>
            <w:r w:rsidRPr="00D14CD7">
              <w:rPr>
                <w:rFonts w:eastAsia="Times New Roman"/>
                <w:color w:val="000000" w:themeColor="text1"/>
                <w:sz w:val="20"/>
                <w:szCs w:val="20"/>
              </w:rPr>
              <w:t>14.9</w:t>
            </w:r>
          </w:p>
        </w:tc>
        <w:tc>
          <w:tcPr>
            <w:tcW w:w="187" w:type="pct"/>
            <w:tcBorders>
              <w:bottom w:val="single" w:sz="8" w:space="0" w:color="auto"/>
            </w:tcBorders>
            <w:vAlign w:val="center"/>
          </w:tcPr>
          <w:p w14:paraId="54DAA8F4" w14:textId="77777777" w:rsidR="00170887" w:rsidRPr="00D14CD7" w:rsidRDefault="00170887" w:rsidP="00170887">
            <w:pPr>
              <w:jc w:val="right"/>
              <w:rPr>
                <w:color w:val="000000" w:themeColor="text1"/>
                <w:sz w:val="20"/>
                <w:szCs w:val="20"/>
              </w:rPr>
            </w:pPr>
            <w:r w:rsidRPr="00D14CD7">
              <w:rPr>
                <w:rFonts w:eastAsia="Times New Roman"/>
                <w:color w:val="000000" w:themeColor="text1"/>
                <w:sz w:val="20"/>
                <w:szCs w:val="20"/>
              </w:rPr>
              <w:t>5.5</w:t>
            </w:r>
          </w:p>
        </w:tc>
        <w:tc>
          <w:tcPr>
            <w:tcW w:w="218" w:type="pct"/>
            <w:tcBorders>
              <w:bottom w:val="single" w:sz="8" w:space="0" w:color="auto"/>
            </w:tcBorders>
            <w:vAlign w:val="center"/>
          </w:tcPr>
          <w:p w14:paraId="63908104" w14:textId="488936BD" w:rsidR="00170887" w:rsidRPr="00D14CD7" w:rsidRDefault="00170887" w:rsidP="00170887">
            <w:pPr>
              <w:jc w:val="right"/>
              <w:rPr>
                <w:color w:val="000000" w:themeColor="text1"/>
                <w:sz w:val="20"/>
                <w:szCs w:val="20"/>
              </w:rPr>
            </w:pPr>
            <w:r w:rsidRPr="00D14CD7">
              <w:rPr>
                <w:rFonts w:eastAsia="Times New Roman"/>
                <w:color w:val="000000" w:themeColor="text1"/>
                <w:sz w:val="20"/>
                <w:szCs w:val="20"/>
              </w:rPr>
              <w:t>67.</w:t>
            </w:r>
            <w:r w:rsidR="00FC630C" w:rsidRPr="00D14CD7">
              <w:rPr>
                <w:rFonts w:eastAsia="Times New Roman"/>
                <w:color w:val="000000" w:themeColor="text1"/>
                <w:sz w:val="20"/>
                <w:szCs w:val="20"/>
              </w:rPr>
              <w:t>5</w:t>
            </w:r>
          </w:p>
        </w:tc>
        <w:tc>
          <w:tcPr>
            <w:tcW w:w="187" w:type="pct"/>
            <w:tcBorders>
              <w:bottom w:val="single" w:sz="8" w:space="0" w:color="auto"/>
              <w:right w:val="double" w:sz="4" w:space="0" w:color="auto"/>
            </w:tcBorders>
            <w:vAlign w:val="center"/>
          </w:tcPr>
          <w:p w14:paraId="39B25144" w14:textId="5305D4C3" w:rsidR="00170887" w:rsidRPr="00D14CD7" w:rsidRDefault="00170887" w:rsidP="00170887">
            <w:pPr>
              <w:jc w:val="right"/>
              <w:rPr>
                <w:color w:val="000000" w:themeColor="text1"/>
                <w:sz w:val="20"/>
                <w:szCs w:val="20"/>
              </w:rPr>
            </w:pPr>
            <w:r w:rsidRPr="00D14CD7">
              <w:rPr>
                <w:rFonts w:eastAsia="Times New Roman"/>
                <w:color w:val="000000" w:themeColor="text1"/>
                <w:sz w:val="20"/>
                <w:szCs w:val="20"/>
              </w:rPr>
              <w:t>12.</w:t>
            </w:r>
            <w:r w:rsidR="00FC630C" w:rsidRPr="00D14CD7">
              <w:rPr>
                <w:rFonts w:eastAsia="Times New Roman"/>
                <w:color w:val="000000" w:themeColor="text1"/>
                <w:sz w:val="20"/>
                <w:szCs w:val="20"/>
              </w:rPr>
              <w:t>1</w:t>
            </w:r>
          </w:p>
        </w:tc>
        <w:tc>
          <w:tcPr>
            <w:tcW w:w="187" w:type="pct"/>
            <w:tcBorders>
              <w:left w:val="double" w:sz="4" w:space="0" w:color="auto"/>
              <w:bottom w:val="single" w:sz="8" w:space="0" w:color="auto"/>
            </w:tcBorders>
            <w:vAlign w:val="center"/>
          </w:tcPr>
          <w:p w14:paraId="08E47D3E" w14:textId="29A56F3D" w:rsidR="00170887" w:rsidRPr="00D14CD7" w:rsidRDefault="00170887" w:rsidP="00170887">
            <w:pPr>
              <w:jc w:val="right"/>
              <w:rPr>
                <w:color w:val="000000" w:themeColor="text1"/>
                <w:sz w:val="20"/>
                <w:szCs w:val="20"/>
              </w:rPr>
            </w:pPr>
            <w:r w:rsidRPr="00D14CD7">
              <w:rPr>
                <w:rFonts w:eastAsia="Times New Roman"/>
                <w:color w:val="000000" w:themeColor="text1"/>
                <w:sz w:val="20"/>
                <w:szCs w:val="20"/>
              </w:rPr>
              <w:t>2.8</w:t>
            </w:r>
            <w:r w:rsidR="001D7C95" w:rsidRPr="00D14CD7">
              <w:rPr>
                <w:rFonts w:eastAsia="Times New Roman"/>
                <w:color w:val="000000" w:themeColor="text1"/>
                <w:sz w:val="20"/>
                <w:szCs w:val="20"/>
              </w:rPr>
              <w:t>5</w:t>
            </w:r>
          </w:p>
        </w:tc>
        <w:tc>
          <w:tcPr>
            <w:tcW w:w="218" w:type="pct"/>
            <w:tcBorders>
              <w:bottom w:val="single" w:sz="8" w:space="0" w:color="auto"/>
            </w:tcBorders>
            <w:vAlign w:val="center"/>
          </w:tcPr>
          <w:p w14:paraId="40A55757" w14:textId="77777777" w:rsidR="00170887" w:rsidRPr="00D14CD7" w:rsidRDefault="00170887" w:rsidP="00170887">
            <w:pPr>
              <w:jc w:val="right"/>
              <w:rPr>
                <w:color w:val="000000" w:themeColor="text1"/>
                <w:sz w:val="20"/>
                <w:szCs w:val="20"/>
              </w:rPr>
            </w:pPr>
            <w:r w:rsidRPr="00D14CD7">
              <w:rPr>
                <w:rFonts w:eastAsia="Times New Roman"/>
                <w:color w:val="000000" w:themeColor="text1"/>
                <w:sz w:val="20"/>
                <w:szCs w:val="20"/>
              </w:rPr>
              <w:t>17.9</w:t>
            </w:r>
          </w:p>
        </w:tc>
        <w:tc>
          <w:tcPr>
            <w:tcW w:w="187" w:type="pct"/>
            <w:tcBorders>
              <w:bottom w:val="single" w:sz="8" w:space="0" w:color="auto"/>
            </w:tcBorders>
            <w:vAlign w:val="center"/>
          </w:tcPr>
          <w:p w14:paraId="221477B4" w14:textId="77777777" w:rsidR="00170887" w:rsidRPr="00D14CD7" w:rsidRDefault="00170887" w:rsidP="00170887">
            <w:pPr>
              <w:jc w:val="right"/>
              <w:rPr>
                <w:color w:val="000000" w:themeColor="text1"/>
                <w:sz w:val="20"/>
                <w:szCs w:val="20"/>
              </w:rPr>
            </w:pPr>
            <w:r w:rsidRPr="00D14CD7">
              <w:rPr>
                <w:rFonts w:eastAsia="Times New Roman"/>
                <w:color w:val="000000" w:themeColor="text1"/>
                <w:sz w:val="20"/>
                <w:szCs w:val="20"/>
              </w:rPr>
              <w:t>5.1</w:t>
            </w:r>
          </w:p>
        </w:tc>
        <w:tc>
          <w:tcPr>
            <w:tcW w:w="218" w:type="pct"/>
            <w:tcBorders>
              <w:bottom w:val="single" w:sz="8" w:space="0" w:color="auto"/>
            </w:tcBorders>
            <w:vAlign w:val="center"/>
          </w:tcPr>
          <w:p w14:paraId="0640F8BB" w14:textId="77777777" w:rsidR="00170887" w:rsidRPr="00D14CD7" w:rsidRDefault="00170887" w:rsidP="00170887">
            <w:pPr>
              <w:jc w:val="right"/>
              <w:rPr>
                <w:color w:val="000000" w:themeColor="text1"/>
                <w:sz w:val="20"/>
                <w:szCs w:val="20"/>
              </w:rPr>
            </w:pPr>
            <w:r w:rsidRPr="00D14CD7">
              <w:rPr>
                <w:rFonts w:eastAsia="Times New Roman"/>
                <w:color w:val="000000" w:themeColor="text1"/>
                <w:sz w:val="20"/>
                <w:szCs w:val="20"/>
              </w:rPr>
              <w:t>65.6</w:t>
            </w:r>
          </w:p>
        </w:tc>
        <w:tc>
          <w:tcPr>
            <w:tcW w:w="219" w:type="pct"/>
            <w:tcBorders>
              <w:bottom w:val="single" w:sz="8" w:space="0" w:color="auto"/>
              <w:right w:val="double" w:sz="4" w:space="0" w:color="auto"/>
            </w:tcBorders>
            <w:vAlign w:val="center"/>
          </w:tcPr>
          <w:p w14:paraId="0592C43A" w14:textId="21C03075" w:rsidR="00170887" w:rsidRPr="00D14CD7" w:rsidRDefault="00170887" w:rsidP="00170887">
            <w:pPr>
              <w:jc w:val="right"/>
              <w:rPr>
                <w:color w:val="000000" w:themeColor="text1"/>
                <w:sz w:val="20"/>
                <w:szCs w:val="20"/>
              </w:rPr>
            </w:pPr>
            <w:r w:rsidRPr="00D14CD7">
              <w:rPr>
                <w:rFonts w:eastAsia="Times New Roman"/>
                <w:color w:val="000000" w:themeColor="text1"/>
                <w:sz w:val="20"/>
                <w:szCs w:val="20"/>
              </w:rPr>
              <w:t>11.</w:t>
            </w:r>
            <w:r w:rsidR="00FC630C" w:rsidRPr="00D14CD7">
              <w:rPr>
                <w:rFonts w:eastAsia="Times New Roman"/>
                <w:color w:val="000000" w:themeColor="text1"/>
                <w:sz w:val="20"/>
                <w:szCs w:val="20"/>
              </w:rPr>
              <w:t>4</w:t>
            </w:r>
          </w:p>
        </w:tc>
        <w:tc>
          <w:tcPr>
            <w:tcW w:w="218" w:type="pct"/>
            <w:tcBorders>
              <w:left w:val="double" w:sz="4" w:space="0" w:color="auto"/>
              <w:bottom w:val="single" w:sz="8" w:space="0" w:color="auto"/>
            </w:tcBorders>
            <w:vAlign w:val="center"/>
          </w:tcPr>
          <w:p w14:paraId="6A7E9193" w14:textId="77777777" w:rsidR="00170887" w:rsidRPr="00D14CD7" w:rsidRDefault="00170887" w:rsidP="00170887">
            <w:pPr>
              <w:jc w:val="right"/>
              <w:rPr>
                <w:color w:val="000000" w:themeColor="text1"/>
                <w:sz w:val="20"/>
                <w:szCs w:val="20"/>
              </w:rPr>
            </w:pPr>
            <w:r w:rsidRPr="00D14CD7">
              <w:rPr>
                <w:rFonts w:eastAsia="Times New Roman"/>
                <w:color w:val="000000" w:themeColor="text1"/>
                <w:sz w:val="20"/>
                <w:szCs w:val="20"/>
              </w:rPr>
              <w:t>-12.3</w:t>
            </w:r>
          </w:p>
        </w:tc>
        <w:tc>
          <w:tcPr>
            <w:tcW w:w="218" w:type="pct"/>
            <w:tcBorders>
              <w:bottom w:val="single" w:sz="8" w:space="0" w:color="auto"/>
            </w:tcBorders>
            <w:vAlign w:val="center"/>
          </w:tcPr>
          <w:p w14:paraId="14A3B090" w14:textId="77777777" w:rsidR="00170887" w:rsidRPr="00D14CD7" w:rsidRDefault="00170887" w:rsidP="00170887">
            <w:pPr>
              <w:jc w:val="right"/>
              <w:rPr>
                <w:rFonts w:eastAsia="Times New Roman"/>
                <w:color w:val="000000" w:themeColor="text1"/>
                <w:sz w:val="20"/>
                <w:szCs w:val="20"/>
              </w:rPr>
            </w:pPr>
            <w:r w:rsidRPr="00D14CD7">
              <w:rPr>
                <w:rFonts w:eastAsia="Times New Roman"/>
                <w:color w:val="000000" w:themeColor="text1"/>
                <w:sz w:val="20"/>
                <w:szCs w:val="20"/>
              </w:rPr>
              <w:t>4.8</w:t>
            </w:r>
          </w:p>
        </w:tc>
        <w:tc>
          <w:tcPr>
            <w:tcW w:w="249" w:type="pct"/>
            <w:tcBorders>
              <w:bottom w:val="single" w:sz="8" w:space="0" w:color="auto"/>
            </w:tcBorders>
            <w:vAlign w:val="center"/>
          </w:tcPr>
          <w:p w14:paraId="66B936F6" w14:textId="77777777" w:rsidR="00170887" w:rsidRPr="00D14CD7" w:rsidRDefault="00170887" w:rsidP="00170887">
            <w:pPr>
              <w:jc w:val="right"/>
              <w:rPr>
                <w:rFonts w:eastAsia="Times New Roman"/>
                <w:color w:val="000000" w:themeColor="text1"/>
                <w:sz w:val="20"/>
                <w:szCs w:val="20"/>
              </w:rPr>
            </w:pPr>
            <w:r w:rsidRPr="00D14CD7">
              <w:rPr>
                <w:rFonts w:eastAsia="Times New Roman"/>
                <w:color w:val="000000" w:themeColor="text1"/>
                <w:sz w:val="20"/>
                <w:szCs w:val="20"/>
              </w:rPr>
              <w:t>-18.7</w:t>
            </w:r>
          </w:p>
        </w:tc>
        <w:tc>
          <w:tcPr>
            <w:tcW w:w="218" w:type="pct"/>
            <w:tcBorders>
              <w:bottom w:val="single" w:sz="8" w:space="0" w:color="auto"/>
            </w:tcBorders>
            <w:vAlign w:val="center"/>
          </w:tcPr>
          <w:p w14:paraId="6A7E737A" w14:textId="77777777" w:rsidR="00170887" w:rsidRPr="00D14CD7" w:rsidRDefault="00170887" w:rsidP="00170887">
            <w:pPr>
              <w:jc w:val="right"/>
              <w:rPr>
                <w:rFonts w:eastAsia="Times New Roman"/>
                <w:color w:val="000000" w:themeColor="text1"/>
                <w:sz w:val="20"/>
                <w:szCs w:val="20"/>
              </w:rPr>
            </w:pPr>
            <w:r w:rsidRPr="00D14CD7">
              <w:rPr>
                <w:rFonts w:eastAsia="Times New Roman"/>
                <w:color w:val="000000" w:themeColor="text1"/>
                <w:sz w:val="20"/>
                <w:szCs w:val="20"/>
              </w:rPr>
              <w:t>-14.6</w:t>
            </w:r>
          </w:p>
        </w:tc>
        <w:tc>
          <w:tcPr>
            <w:tcW w:w="246" w:type="pct"/>
            <w:tcBorders>
              <w:bottom w:val="single" w:sz="8" w:space="0" w:color="auto"/>
            </w:tcBorders>
            <w:vAlign w:val="center"/>
          </w:tcPr>
          <w:p w14:paraId="1020EFAE" w14:textId="77777777" w:rsidR="00170887" w:rsidRPr="00D14CD7" w:rsidRDefault="00170887" w:rsidP="00170887">
            <w:pPr>
              <w:jc w:val="right"/>
              <w:rPr>
                <w:rFonts w:eastAsia="Times New Roman"/>
                <w:color w:val="000000" w:themeColor="text1"/>
                <w:sz w:val="20"/>
                <w:szCs w:val="20"/>
              </w:rPr>
            </w:pPr>
            <w:r w:rsidRPr="00D14CD7">
              <w:rPr>
                <w:rFonts w:eastAsia="Times New Roman"/>
                <w:color w:val="000000" w:themeColor="text1"/>
                <w:sz w:val="20"/>
                <w:szCs w:val="20"/>
              </w:rPr>
              <w:t>-17.5</w:t>
            </w:r>
          </w:p>
        </w:tc>
      </w:tr>
      <w:tr w:rsidR="00D14CD7" w:rsidRPr="00D14CD7" w14:paraId="14B4130B" w14:textId="77777777" w:rsidTr="00170887">
        <w:tc>
          <w:tcPr>
            <w:tcW w:w="5000" w:type="pct"/>
            <w:gridSpan w:val="18"/>
            <w:tcBorders>
              <w:top w:val="single" w:sz="8" w:space="0" w:color="auto"/>
              <w:bottom w:val="single" w:sz="4" w:space="0" w:color="auto"/>
            </w:tcBorders>
            <w:vAlign w:val="center"/>
          </w:tcPr>
          <w:p w14:paraId="0853DF8F" w14:textId="77777777" w:rsidR="00170887" w:rsidRPr="00D14CD7" w:rsidRDefault="00170887" w:rsidP="00170887">
            <w:pPr>
              <w:jc w:val="left"/>
              <w:rPr>
                <w:b/>
                <w:color w:val="000000" w:themeColor="text1"/>
                <w:sz w:val="20"/>
                <w:szCs w:val="20"/>
              </w:rPr>
            </w:pPr>
            <w:r w:rsidRPr="00D14CD7">
              <w:rPr>
                <w:b/>
                <w:color w:val="000000" w:themeColor="text1"/>
                <w:sz w:val="20"/>
                <w:szCs w:val="20"/>
              </w:rPr>
              <w:t>Employment Status/Job Characteristics</w:t>
            </w:r>
          </w:p>
        </w:tc>
      </w:tr>
      <w:tr w:rsidR="00D14CD7" w:rsidRPr="00D14CD7" w14:paraId="06FB1E85" w14:textId="77777777" w:rsidTr="00170887">
        <w:trPr>
          <w:trHeight w:val="296"/>
        </w:trPr>
        <w:tc>
          <w:tcPr>
            <w:tcW w:w="654" w:type="pct"/>
            <w:vMerge w:val="restart"/>
            <w:tcBorders>
              <w:top w:val="single" w:sz="4" w:space="0" w:color="auto"/>
              <w:right w:val="double" w:sz="4" w:space="0" w:color="auto"/>
            </w:tcBorders>
            <w:vAlign w:val="center"/>
          </w:tcPr>
          <w:p w14:paraId="5B4B5946" w14:textId="77777777" w:rsidR="00170887" w:rsidRPr="00D14CD7" w:rsidRDefault="00170887" w:rsidP="0036147F">
            <w:pPr>
              <w:jc w:val="left"/>
              <w:rPr>
                <w:color w:val="000000" w:themeColor="text1"/>
                <w:sz w:val="20"/>
                <w:szCs w:val="20"/>
              </w:rPr>
            </w:pPr>
            <w:r w:rsidRPr="00D14CD7">
              <w:rPr>
                <w:color w:val="000000" w:themeColor="text1"/>
                <w:sz w:val="20"/>
                <w:szCs w:val="20"/>
              </w:rPr>
              <w:t>Employment status and workplace location</w:t>
            </w:r>
          </w:p>
        </w:tc>
        <w:tc>
          <w:tcPr>
            <w:tcW w:w="594" w:type="pct"/>
            <w:tcBorders>
              <w:top w:val="single" w:sz="4" w:space="0" w:color="auto"/>
              <w:left w:val="double" w:sz="4" w:space="0" w:color="auto"/>
            </w:tcBorders>
            <w:vAlign w:val="center"/>
          </w:tcPr>
          <w:p w14:paraId="74ACA8D2" w14:textId="77777777" w:rsidR="00170887" w:rsidRPr="00D14CD7" w:rsidRDefault="00170887">
            <w:pPr>
              <w:jc w:val="left"/>
              <w:rPr>
                <w:color w:val="000000" w:themeColor="text1"/>
                <w:sz w:val="20"/>
                <w:szCs w:val="20"/>
              </w:rPr>
            </w:pPr>
            <w:r w:rsidRPr="00D14CD7">
              <w:rPr>
                <w:color w:val="000000" w:themeColor="text1"/>
                <w:sz w:val="20"/>
                <w:szCs w:val="20"/>
              </w:rPr>
              <w:t>Unemployed</w:t>
            </w:r>
          </w:p>
        </w:tc>
        <w:tc>
          <w:tcPr>
            <w:tcW w:w="562" w:type="pct"/>
            <w:tcBorders>
              <w:top w:val="single" w:sz="4" w:space="0" w:color="auto"/>
              <w:right w:val="double" w:sz="4" w:space="0" w:color="auto"/>
            </w:tcBorders>
            <w:vAlign w:val="center"/>
          </w:tcPr>
          <w:p w14:paraId="1ED56AB1" w14:textId="77777777" w:rsidR="00170887" w:rsidRPr="00D14CD7" w:rsidRDefault="00170887">
            <w:pPr>
              <w:jc w:val="left"/>
              <w:rPr>
                <w:color w:val="000000" w:themeColor="text1"/>
                <w:sz w:val="20"/>
                <w:szCs w:val="20"/>
              </w:rPr>
            </w:pPr>
            <w:r w:rsidRPr="00D14CD7">
              <w:rPr>
                <w:color w:val="000000" w:themeColor="text1"/>
                <w:sz w:val="20"/>
                <w:szCs w:val="20"/>
              </w:rPr>
              <w:t>Full-time employees with no work from home</w:t>
            </w:r>
          </w:p>
        </w:tc>
        <w:tc>
          <w:tcPr>
            <w:tcW w:w="202" w:type="pct"/>
            <w:tcBorders>
              <w:top w:val="single" w:sz="4" w:space="0" w:color="auto"/>
              <w:left w:val="double" w:sz="4" w:space="0" w:color="auto"/>
            </w:tcBorders>
            <w:vAlign w:val="center"/>
          </w:tcPr>
          <w:p w14:paraId="7C6AB913" w14:textId="77777777" w:rsidR="00170887" w:rsidRPr="00D14CD7" w:rsidRDefault="00170887">
            <w:pPr>
              <w:jc w:val="right"/>
              <w:rPr>
                <w:color w:val="000000" w:themeColor="text1"/>
                <w:sz w:val="20"/>
                <w:szCs w:val="20"/>
              </w:rPr>
            </w:pPr>
            <w:r w:rsidRPr="00D14CD7">
              <w:rPr>
                <w:color w:val="000000" w:themeColor="text1"/>
                <w:sz w:val="20"/>
                <w:szCs w:val="20"/>
              </w:rPr>
              <w:t>2.29</w:t>
            </w:r>
          </w:p>
        </w:tc>
        <w:tc>
          <w:tcPr>
            <w:tcW w:w="218" w:type="pct"/>
            <w:tcBorders>
              <w:top w:val="single" w:sz="4" w:space="0" w:color="auto"/>
            </w:tcBorders>
            <w:vAlign w:val="center"/>
          </w:tcPr>
          <w:p w14:paraId="254B179F" w14:textId="650FB665" w:rsidR="00170887" w:rsidRPr="00D14CD7" w:rsidRDefault="00170887">
            <w:pPr>
              <w:jc w:val="right"/>
              <w:rPr>
                <w:color w:val="000000" w:themeColor="text1"/>
                <w:sz w:val="20"/>
                <w:szCs w:val="20"/>
              </w:rPr>
            </w:pPr>
            <w:r w:rsidRPr="00D14CD7">
              <w:rPr>
                <w:rFonts w:eastAsia="Times New Roman"/>
                <w:color w:val="000000" w:themeColor="text1"/>
                <w:sz w:val="20"/>
                <w:szCs w:val="20"/>
              </w:rPr>
              <w:t>13.</w:t>
            </w:r>
            <w:r w:rsidR="00FC630C" w:rsidRPr="00D14CD7">
              <w:rPr>
                <w:rFonts w:eastAsia="Times New Roman"/>
                <w:color w:val="000000" w:themeColor="text1"/>
                <w:sz w:val="20"/>
                <w:szCs w:val="20"/>
              </w:rPr>
              <w:t>6</w:t>
            </w:r>
          </w:p>
        </w:tc>
        <w:tc>
          <w:tcPr>
            <w:tcW w:w="187" w:type="pct"/>
            <w:tcBorders>
              <w:top w:val="single" w:sz="4" w:space="0" w:color="auto"/>
            </w:tcBorders>
            <w:vAlign w:val="center"/>
          </w:tcPr>
          <w:p w14:paraId="4CD60335" w14:textId="77777777" w:rsidR="00170887" w:rsidRPr="00D14CD7" w:rsidRDefault="00170887">
            <w:pPr>
              <w:jc w:val="right"/>
              <w:rPr>
                <w:color w:val="000000" w:themeColor="text1"/>
                <w:sz w:val="20"/>
                <w:szCs w:val="20"/>
              </w:rPr>
            </w:pPr>
            <w:r w:rsidRPr="00D14CD7">
              <w:rPr>
                <w:rFonts w:eastAsia="Times New Roman"/>
                <w:color w:val="000000" w:themeColor="text1"/>
                <w:sz w:val="20"/>
                <w:szCs w:val="20"/>
              </w:rPr>
              <w:t>3.1</w:t>
            </w:r>
          </w:p>
        </w:tc>
        <w:tc>
          <w:tcPr>
            <w:tcW w:w="218" w:type="pct"/>
            <w:tcBorders>
              <w:top w:val="single" w:sz="4" w:space="0" w:color="auto"/>
            </w:tcBorders>
            <w:vAlign w:val="center"/>
          </w:tcPr>
          <w:p w14:paraId="4945D6EE" w14:textId="26D51BE2" w:rsidR="00170887" w:rsidRPr="00D14CD7" w:rsidRDefault="00170887">
            <w:pPr>
              <w:jc w:val="right"/>
              <w:rPr>
                <w:color w:val="000000" w:themeColor="text1"/>
                <w:sz w:val="20"/>
                <w:szCs w:val="20"/>
              </w:rPr>
            </w:pPr>
            <w:r w:rsidRPr="00D14CD7">
              <w:rPr>
                <w:rFonts w:eastAsia="Times New Roman"/>
                <w:color w:val="000000" w:themeColor="text1"/>
                <w:sz w:val="20"/>
                <w:szCs w:val="20"/>
              </w:rPr>
              <w:t>70.</w:t>
            </w:r>
            <w:r w:rsidR="00FC630C" w:rsidRPr="00D14CD7">
              <w:rPr>
                <w:rFonts w:eastAsia="Times New Roman"/>
                <w:color w:val="000000" w:themeColor="text1"/>
                <w:sz w:val="20"/>
                <w:szCs w:val="20"/>
              </w:rPr>
              <w:t>1</w:t>
            </w:r>
          </w:p>
        </w:tc>
        <w:tc>
          <w:tcPr>
            <w:tcW w:w="187" w:type="pct"/>
            <w:tcBorders>
              <w:top w:val="single" w:sz="4" w:space="0" w:color="auto"/>
              <w:right w:val="double" w:sz="4" w:space="0" w:color="auto"/>
            </w:tcBorders>
            <w:vAlign w:val="center"/>
          </w:tcPr>
          <w:p w14:paraId="175337AA" w14:textId="77777777" w:rsidR="00170887" w:rsidRPr="00D14CD7" w:rsidRDefault="00170887">
            <w:pPr>
              <w:jc w:val="right"/>
              <w:rPr>
                <w:color w:val="000000" w:themeColor="text1"/>
                <w:sz w:val="20"/>
                <w:szCs w:val="20"/>
              </w:rPr>
            </w:pPr>
            <w:r w:rsidRPr="00D14CD7">
              <w:rPr>
                <w:rFonts w:eastAsia="Times New Roman"/>
                <w:color w:val="000000" w:themeColor="text1"/>
                <w:sz w:val="20"/>
                <w:szCs w:val="20"/>
              </w:rPr>
              <w:t>13.2</w:t>
            </w:r>
          </w:p>
        </w:tc>
        <w:tc>
          <w:tcPr>
            <w:tcW w:w="187" w:type="pct"/>
            <w:tcBorders>
              <w:top w:val="single" w:sz="4" w:space="0" w:color="auto"/>
              <w:left w:val="double" w:sz="4" w:space="0" w:color="auto"/>
            </w:tcBorders>
            <w:vAlign w:val="center"/>
          </w:tcPr>
          <w:p w14:paraId="6E8B2802" w14:textId="4AA94071" w:rsidR="00170887" w:rsidRPr="00D14CD7" w:rsidRDefault="00170887">
            <w:pPr>
              <w:jc w:val="right"/>
              <w:rPr>
                <w:color w:val="000000" w:themeColor="text1"/>
                <w:sz w:val="20"/>
                <w:szCs w:val="20"/>
              </w:rPr>
            </w:pPr>
            <w:r w:rsidRPr="00D14CD7">
              <w:rPr>
                <w:rFonts w:eastAsia="Times New Roman"/>
                <w:color w:val="000000" w:themeColor="text1"/>
                <w:sz w:val="20"/>
                <w:szCs w:val="20"/>
              </w:rPr>
              <w:t>3.8</w:t>
            </w:r>
            <w:r w:rsidR="001D7C95" w:rsidRPr="00D14CD7">
              <w:rPr>
                <w:rFonts w:eastAsia="Times New Roman"/>
                <w:color w:val="000000" w:themeColor="text1"/>
                <w:sz w:val="20"/>
                <w:szCs w:val="20"/>
              </w:rPr>
              <w:t>3</w:t>
            </w:r>
          </w:p>
        </w:tc>
        <w:tc>
          <w:tcPr>
            <w:tcW w:w="218" w:type="pct"/>
            <w:tcBorders>
              <w:top w:val="single" w:sz="4" w:space="0" w:color="auto"/>
            </w:tcBorders>
            <w:vAlign w:val="center"/>
          </w:tcPr>
          <w:p w14:paraId="6B8AB7DB" w14:textId="77777777" w:rsidR="00170887" w:rsidRPr="00D14CD7" w:rsidRDefault="00170887">
            <w:pPr>
              <w:jc w:val="right"/>
              <w:rPr>
                <w:color w:val="000000" w:themeColor="text1"/>
                <w:sz w:val="20"/>
                <w:szCs w:val="20"/>
              </w:rPr>
            </w:pPr>
            <w:r w:rsidRPr="00D14CD7">
              <w:rPr>
                <w:rFonts w:eastAsia="Times New Roman"/>
                <w:color w:val="000000" w:themeColor="text1"/>
                <w:sz w:val="20"/>
                <w:szCs w:val="20"/>
              </w:rPr>
              <w:t>15.6</w:t>
            </w:r>
          </w:p>
        </w:tc>
        <w:tc>
          <w:tcPr>
            <w:tcW w:w="187" w:type="pct"/>
            <w:tcBorders>
              <w:top w:val="single" w:sz="4" w:space="0" w:color="auto"/>
            </w:tcBorders>
            <w:vAlign w:val="center"/>
          </w:tcPr>
          <w:p w14:paraId="43BC3263" w14:textId="77777777" w:rsidR="00170887" w:rsidRPr="00D14CD7" w:rsidRDefault="00170887">
            <w:pPr>
              <w:jc w:val="right"/>
              <w:rPr>
                <w:color w:val="000000" w:themeColor="text1"/>
                <w:sz w:val="20"/>
                <w:szCs w:val="20"/>
              </w:rPr>
            </w:pPr>
            <w:r w:rsidRPr="00D14CD7">
              <w:rPr>
                <w:rFonts w:eastAsia="Times New Roman"/>
                <w:color w:val="000000" w:themeColor="text1"/>
                <w:sz w:val="20"/>
                <w:szCs w:val="20"/>
              </w:rPr>
              <w:t>6.1</w:t>
            </w:r>
          </w:p>
        </w:tc>
        <w:tc>
          <w:tcPr>
            <w:tcW w:w="218" w:type="pct"/>
            <w:tcBorders>
              <w:top w:val="single" w:sz="4" w:space="0" w:color="auto"/>
            </w:tcBorders>
            <w:vAlign w:val="center"/>
          </w:tcPr>
          <w:p w14:paraId="25E5D41C" w14:textId="589B62C0" w:rsidR="00170887" w:rsidRPr="00D14CD7" w:rsidRDefault="00170887">
            <w:pPr>
              <w:jc w:val="right"/>
              <w:rPr>
                <w:color w:val="000000" w:themeColor="text1"/>
                <w:sz w:val="20"/>
                <w:szCs w:val="20"/>
              </w:rPr>
            </w:pPr>
            <w:r w:rsidRPr="00D14CD7">
              <w:rPr>
                <w:rFonts w:eastAsia="Times New Roman"/>
                <w:color w:val="000000" w:themeColor="text1"/>
                <w:sz w:val="20"/>
                <w:szCs w:val="20"/>
              </w:rPr>
              <w:t>66.</w:t>
            </w:r>
            <w:r w:rsidR="00FC630C" w:rsidRPr="00D14CD7">
              <w:rPr>
                <w:rFonts w:eastAsia="Times New Roman"/>
                <w:color w:val="000000" w:themeColor="text1"/>
                <w:sz w:val="20"/>
                <w:szCs w:val="20"/>
              </w:rPr>
              <w:t>9</w:t>
            </w:r>
          </w:p>
        </w:tc>
        <w:tc>
          <w:tcPr>
            <w:tcW w:w="219" w:type="pct"/>
            <w:tcBorders>
              <w:top w:val="single" w:sz="4" w:space="0" w:color="auto"/>
              <w:right w:val="double" w:sz="4" w:space="0" w:color="auto"/>
            </w:tcBorders>
            <w:vAlign w:val="center"/>
          </w:tcPr>
          <w:p w14:paraId="7D070F55" w14:textId="5C283BB0" w:rsidR="00170887" w:rsidRPr="00D14CD7" w:rsidRDefault="00170887">
            <w:pPr>
              <w:jc w:val="right"/>
              <w:rPr>
                <w:color w:val="000000" w:themeColor="text1"/>
                <w:sz w:val="20"/>
                <w:szCs w:val="20"/>
              </w:rPr>
            </w:pPr>
            <w:r w:rsidRPr="00D14CD7">
              <w:rPr>
                <w:rFonts w:eastAsia="Times New Roman"/>
                <w:color w:val="000000" w:themeColor="text1"/>
                <w:sz w:val="20"/>
                <w:szCs w:val="20"/>
              </w:rPr>
              <w:t>11.</w:t>
            </w:r>
            <w:r w:rsidR="00FC630C" w:rsidRPr="00D14CD7">
              <w:rPr>
                <w:rFonts w:eastAsia="Times New Roman"/>
                <w:color w:val="000000" w:themeColor="text1"/>
                <w:sz w:val="20"/>
                <w:szCs w:val="20"/>
              </w:rPr>
              <w:t>4</w:t>
            </w:r>
          </w:p>
        </w:tc>
        <w:tc>
          <w:tcPr>
            <w:tcW w:w="218" w:type="pct"/>
            <w:tcBorders>
              <w:top w:val="single" w:sz="4" w:space="0" w:color="auto"/>
              <w:left w:val="double" w:sz="4" w:space="0" w:color="auto"/>
            </w:tcBorders>
            <w:vAlign w:val="center"/>
          </w:tcPr>
          <w:p w14:paraId="12E435EE" w14:textId="77777777" w:rsidR="00170887" w:rsidRPr="00D14CD7" w:rsidRDefault="00170887">
            <w:pPr>
              <w:jc w:val="right"/>
              <w:rPr>
                <w:color w:val="000000" w:themeColor="text1"/>
                <w:sz w:val="20"/>
                <w:szCs w:val="20"/>
              </w:rPr>
            </w:pPr>
            <w:r w:rsidRPr="00D14CD7">
              <w:rPr>
                <w:rFonts w:eastAsia="Times New Roman"/>
                <w:color w:val="000000" w:themeColor="text1"/>
                <w:sz w:val="20"/>
                <w:szCs w:val="20"/>
              </w:rPr>
              <w:t>67.4</w:t>
            </w:r>
          </w:p>
        </w:tc>
        <w:tc>
          <w:tcPr>
            <w:tcW w:w="218" w:type="pct"/>
            <w:tcBorders>
              <w:top w:val="single" w:sz="4" w:space="0" w:color="auto"/>
            </w:tcBorders>
            <w:vAlign w:val="center"/>
          </w:tcPr>
          <w:p w14:paraId="57F59D4A" w14:textId="77777777" w:rsidR="00170887" w:rsidRPr="00D14CD7" w:rsidRDefault="00170887">
            <w:pPr>
              <w:jc w:val="right"/>
              <w:rPr>
                <w:rFonts w:eastAsia="Times New Roman"/>
                <w:color w:val="000000" w:themeColor="text1"/>
                <w:sz w:val="20"/>
                <w:szCs w:val="20"/>
              </w:rPr>
            </w:pPr>
            <w:r w:rsidRPr="00D14CD7">
              <w:rPr>
                <w:rFonts w:eastAsia="Times New Roman"/>
                <w:color w:val="000000" w:themeColor="text1"/>
                <w:sz w:val="20"/>
                <w:szCs w:val="20"/>
              </w:rPr>
              <w:t>93.3</w:t>
            </w:r>
          </w:p>
        </w:tc>
        <w:tc>
          <w:tcPr>
            <w:tcW w:w="249" w:type="pct"/>
            <w:tcBorders>
              <w:top w:val="single" w:sz="4" w:space="0" w:color="auto"/>
            </w:tcBorders>
            <w:vAlign w:val="center"/>
          </w:tcPr>
          <w:p w14:paraId="049FF1B5" w14:textId="77777777" w:rsidR="00170887" w:rsidRPr="00D14CD7" w:rsidRDefault="00170887">
            <w:pPr>
              <w:jc w:val="right"/>
              <w:rPr>
                <w:rFonts w:eastAsia="Times New Roman"/>
                <w:color w:val="000000" w:themeColor="text1"/>
                <w:sz w:val="20"/>
                <w:szCs w:val="20"/>
              </w:rPr>
            </w:pPr>
            <w:r w:rsidRPr="00D14CD7">
              <w:rPr>
                <w:rFonts w:eastAsia="Times New Roman"/>
                <w:color w:val="000000" w:themeColor="text1"/>
                <w:sz w:val="20"/>
                <w:szCs w:val="20"/>
              </w:rPr>
              <w:t>225.1</w:t>
            </w:r>
          </w:p>
        </w:tc>
        <w:tc>
          <w:tcPr>
            <w:tcW w:w="218" w:type="pct"/>
            <w:tcBorders>
              <w:top w:val="single" w:sz="4" w:space="0" w:color="auto"/>
            </w:tcBorders>
            <w:vAlign w:val="center"/>
          </w:tcPr>
          <w:p w14:paraId="07086DB8" w14:textId="77777777" w:rsidR="00170887" w:rsidRPr="00D14CD7" w:rsidRDefault="00170887">
            <w:pPr>
              <w:jc w:val="right"/>
              <w:rPr>
                <w:rFonts w:eastAsia="Times New Roman"/>
                <w:color w:val="000000" w:themeColor="text1"/>
                <w:sz w:val="20"/>
                <w:szCs w:val="20"/>
              </w:rPr>
            </w:pPr>
            <w:r w:rsidRPr="00D14CD7">
              <w:rPr>
                <w:rFonts w:eastAsia="Times New Roman"/>
                <w:color w:val="000000" w:themeColor="text1"/>
                <w:sz w:val="20"/>
                <w:szCs w:val="20"/>
              </w:rPr>
              <w:t>59.8</w:t>
            </w:r>
          </w:p>
        </w:tc>
        <w:tc>
          <w:tcPr>
            <w:tcW w:w="246" w:type="pct"/>
            <w:tcBorders>
              <w:top w:val="single" w:sz="4" w:space="0" w:color="auto"/>
            </w:tcBorders>
            <w:vAlign w:val="center"/>
          </w:tcPr>
          <w:p w14:paraId="6965F1D3" w14:textId="77777777" w:rsidR="00170887" w:rsidRPr="00D14CD7" w:rsidRDefault="00170887">
            <w:pPr>
              <w:jc w:val="right"/>
              <w:rPr>
                <w:rFonts w:eastAsia="Times New Roman"/>
                <w:color w:val="000000" w:themeColor="text1"/>
                <w:sz w:val="20"/>
                <w:szCs w:val="20"/>
              </w:rPr>
            </w:pPr>
            <w:r w:rsidRPr="00D14CD7">
              <w:rPr>
                <w:rFonts w:eastAsia="Times New Roman"/>
                <w:color w:val="000000" w:themeColor="text1"/>
                <w:sz w:val="20"/>
                <w:szCs w:val="20"/>
              </w:rPr>
              <w:t>44.0</w:t>
            </w:r>
          </w:p>
        </w:tc>
      </w:tr>
      <w:tr w:rsidR="00D14CD7" w:rsidRPr="00D14CD7" w14:paraId="374E555A" w14:textId="77777777" w:rsidTr="00170887">
        <w:tc>
          <w:tcPr>
            <w:tcW w:w="654" w:type="pct"/>
            <w:vMerge/>
            <w:tcBorders>
              <w:right w:val="double" w:sz="4" w:space="0" w:color="auto"/>
            </w:tcBorders>
            <w:vAlign w:val="center"/>
          </w:tcPr>
          <w:p w14:paraId="6ACE9940" w14:textId="77777777" w:rsidR="00170887" w:rsidRPr="00D14CD7" w:rsidRDefault="00170887">
            <w:pPr>
              <w:jc w:val="left"/>
              <w:rPr>
                <w:color w:val="000000" w:themeColor="text1"/>
                <w:sz w:val="20"/>
                <w:szCs w:val="20"/>
              </w:rPr>
            </w:pPr>
          </w:p>
        </w:tc>
        <w:tc>
          <w:tcPr>
            <w:tcW w:w="594" w:type="pct"/>
            <w:tcBorders>
              <w:left w:val="double" w:sz="4" w:space="0" w:color="auto"/>
            </w:tcBorders>
            <w:vAlign w:val="center"/>
          </w:tcPr>
          <w:p w14:paraId="12DA0A4A" w14:textId="77777777" w:rsidR="00170887" w:rsidRPr="00D14CD7" w:rsidRDefault="00170887">
            <w:pPr>
              <w:jc w:val="left"/>
              <w:rPr>
                <w:color w:val="000000" w:themeColor="text1"/>
                <w:sz w:val="20"/>
                <w:szCs w:val="20"/>
              </w:rPr>
            </w:pPr>
            <w:r w:rsidRPr="00D14CD7">
              <w:rPr>
                <w:color w:val="000000" w:themeColor="text1"/>
                <w:sz w:val="20"/>
                <w:szCs w:val="20"/>
              </w:rPr>
              <w:t>Unemployed</w:t>
            </w:r>
          </w:p>
        </w:tc>
        <w:tc>
          <w:tcPr>
            <w:tcW w:w="562" w:type="pct"/>
            <w:tcBorders>
              <w:right w:val="double" w:sz="4" w:space="0" w:color="auto"/>
            </w:tcBorders>
            <w:vAlign w:val="center"/>
          </w:tcPr>
          <w:p w14:paraId="51C96ADC" w14:textId="77777777" w:rsidR="00170887" w:rsidRPr="00D14CD7" w:rsidRDefault="00170887">
            <w:pPr>
              <w:jc w:val="left"/>
              <w:rPr>
                <w:color w:val="000000" w:themeColor="text1"/>
                <w:sz w:val="20"/>
                <w:szCs w:val="20"/>
              </w:rPr>
            </w:pPr>
            <w:r w:rsidRPr="00D14CD7">
              <w:rPr>
                <w:color w:val="000000" w:themeColor="text1"/>
                <w:sz w:val="20"/>
                <w:szCs w:val="20"/>
              </w:rPr>
              <w:t>Full-time employees with 60% workdays from home</w:t>
            </w:r>
          </w:p>
        </w:tc>
        <w:tc>
          <w:tcPr>
            <w:tcW w:w="202" w:type="pct"/>
            <w:tcBorders>
              <w:left w:val="double" w:sz="4" w:space="0" w:color="auto"/>
            </w:tcBorders>
            <w:vAlign w:val="center"/>
          </w:tcPr>
          <w:p w14:paraId="371559AE" w14:textId="77777777" w:rsidR="00170887" w:rsidRPr="00D14CD7" w:rsidRDefault="00170887">
            <w:pPr>
              <w:jc w:val="right"/>
              <w:rPr>
                <w:color w:val="000000" w:themeColor="text1"/>
                <w:sz w:val="20"/>
                <w:szCs w:val="20"/>
              </w:rPr>
            </w:pPr>
            <w:r w:rsidRPr="00D14CD7">
              <w:rPr>
                <w:color w:val="000000" w:themeColor="text1"/>
                <w:sz w:val="20"/>
                <w:szCs w:val="20"/>
              </w:rPr>
              <w:t>2.29</w:t>
            </w:r>
          </w:p>
        </w:tc>
        <w:tc>
          <w:tcPr>
            <w:tcW w:w="218" w:type="pct"/>
            <w:vAlign w:val="center"/>
          </w:tcPr>
          <w:p w14:paraId="491E474B" w14:textId="0E86A3E9" w:rsidR="00170887" w:rsidRPr="00D14CD7" w:rsidRDefault="00170887">
            <w:pPr>
              <w:jc w:val="right"/>
              <w:rPr>
                <w:color w:val="000000" w:themeColor="text1"/>
                <w:sz w:val="20"/>
                <w:szCs w:val="20"/>
              </w:rPr>
            </w:pPr>
            <w:r w:rsidRPr="00D14CD7">
              <w:rPr>
                <w:rFonts w:eastAsia="Times New Roman"/>
                <w:color w:val="000000" w:themeColor="text1"/>
                <w:sz w:val="20"/>
                <w:szCs w:val="20"/>
              </w:rPr>
              <w:t>13.</w:t>
            </w:r>
            <w:r w:rsidR="00FC630C" w:rsidRPr="00D14CD7">
              <w:rPr>
                <w:rFonts w:eastAsia="Times New Roman"/>
                <w:color w:val="000000" w:themeColor="text1"/>
                <w:sz w:val="20"/>
                <w:szCs w:val="20"/>
              </w:rPr>
              <w:t>6</w:t>
            </w:r>
          </w:p>
        </w:tc>
        <w:tc>
          <w:tcPr>
            <w:tcW w:w="187" w:type="pct"/>
            <w:vAlign w:val="center"/>
          </w:tcPr>
          <w:p w14:paraId="29A1F558" w14:textId="77777777" w:rsidR="00170887" w:rsidRPr="00D14CD7" w:rsidRDefault="00170887">
            <w:pPr>
              <w:jc w:val="right"/>
              <w:rPr>
                <w:color w:val="000000" w:themeColor="text1"/>
                <w:sz w:val="20"/>
                <w:szCs w:val="20"/>
              </w:rPr>
            </w:pPr>
            <w:r w:rsidRPr="00D14CD7">
              <w:rPr>
                <w:rFonts w:eastAsia="Times New Roman"/>
                <w:color w:val="000000" w:themeColor="text1"/>
                <w:sz w:val="20"/>
                <w:szCs w:val="20"/>
              </w:rPr>
              <w:t>3.1</w:t>
            </w:r>
          </w:p>
        </w:tc>
        <w:tc>
          <w:tcPr>
            <w:tcW w:w="218" w:type="pct"/>
            <w:vAlign w:val="center"/>
          </w:tcPr>
          <w:p w14:paraId="454DF66D" w14:textId="5E4AD45F" w:rsidR="00170887" w:rsidRPr="00D14CD7" w:rsidRDefault="00170887">
            <w:pPr>
              <w:jc w:val="right"/>
              <w:rPr>
                <w:color w:val="000000" w:themeColor="text1"/>
                <w:sz w:val="20"/>
                <w:szCs w:val="20"/>
              </w:rPr>
            </w:pPr>
            <w:r w:rsidRPr="00D14CD7">
              <w:rPr>
                <w:rFonts w:eastAsia="Times New Roman"/>
                <w:color w:val="000000" w:themeColor="text1"/>
                <w:sz w:val="20"/>
                <w:szCs w:val="20"/>
              </w:rPr>
              <w:t>70.</w:t>
            </w:r>
            <w:r w:rsidR="00FC630C" w:rsidRPr="00D14CD7">
              <w:rPr>
                <w:rFonts w:eastAsia="Times New Roman"/>
                <w:color w:val="000000" w:themeColor="text1"/>
                <w:sz w:val="20"/>
                <w:szCs w:val="20"/>
              </w:rPr>
              <w:t>1</w:t>
            </w:r>
          </w:p>
        </w:tc>
        <w:tc>
          <w:tcPr>
            <w:tcW w:w="187" w:type="pct"/>
            <w:tcBorders>
              <w:right w:val="double" w:sz="4" w:space="0" w:color="auto"/>
            </w:tcBorders>
            <w:vAlign w:val="center"/>
          </w:tcPr>
          <w:p w14:paraId="5AF39C0C" w14:textId="77777777" w:rsidR="00170887" w:rsidRPr="00D14CD7" w:rsidRDefault="00170887">
            <w:pPr>
              <w:jc w:val="right"/>
              <w:rPr>
                <w:color w:val="000000" w:themeColor="text1"/>
                <w:sz w:val="20"/>
                <w:szCs w:val="20"/>
              </w:rPr>
            </w:pPr>
            <w:r w:rsidRPr="00D14CD7">
              <w:rPr>
                <w:rFonts w:eastAsia="Times New Roman"/>
                <w:color w:val="000000" w:themeColor="text1"/>
                <w:sz w:val="20"/>
                <w:szCs w:val="20"/>
              </w:rPr>
              <w:t>13.2</w:t>
            </w:r>
          </w:p>
        </w:tc>
        <w:tc>
          <w:tcPr>
            <w:tcW w:w="187" w:type="pct"/>
            <w:tcBorders>
              <w:left w:val="double" w:sz="4" w:space="0" w:color="auto"/>
            </w:tcBorders>
            <w:vAlign w:val="center"/>
          </w:tcPr>
          <w:p w14:paraId="4EB65A24" w14:textId="5A19FB40" w:rsidR="00170887" w:rsidRPr="00D14CD7" w:rsidRDefault="00170887">
            <w:pPr>
              <w:jc w:val="right"/>
              <w:rPr>
                <w:color w:val="000000" w:themeColor="text1"/>
                <w:sz w:val="20"/>
                <w:szCs w:val="20"/>
              </w:rPr>
            </w:pPr>
            <w:r w:rsidRPr="00D14CD7">
              <w:rPr>
                <w:rFonts w:eastAsia="Times New Roman"/>
                <w:color w:val="000000" w:themeColor="text1"/>
                <w:sz w:val="20"/>
                <w:szCs w:val="20"/>
              </w:rPr>
              <w:t>3.1</w:t>
            </w:r>
            <w:r w:rsidR="001D7C95" w:rsidRPr="00D14CD7">
              <w:rPr>
                <w:rFonts w:eastAsia="Times New Roman"/>
                <w:color w:val="000000" w:themeColor="text1"/>
                <w:sz w:val="20"/>
                <w:szCs w:val="20"/>
              </w:rPr>
              <w:t>0</w:t>
            </w:r>
          </w:p>
        </w:tc>
        <w:tc>
          <w:tcPr>
            <w:tcW w:w="218" w:type="pct"/>
            <w:vAlign w:val="center"/>
          </w:tcPr>
          <w:p w14:paraId="44ACF27E" w14:textId="77777777" w:rsidR="00170887" w:rsidRPr="00D14CD7" w:rsidRDefault="00170887">
            <w:pPr>
              <w:jc w:val="right"/>
              <w:rPr>
                <w:color w:val="000000" w:themeColor="text1"/>
                <w:sz w:val="20"/>
                <w:szCs w:val="20"/>
              </w:rPr>
            </w:pPr>
            <w:r w:rsidRPr="00D14CD7">
              <w:rPr>
                <w:rFonts w:eastAsia="Times New Roman"/>
                <w:color w:val="000000" w:themeColor="text1"/>
                <w:sz w:val="20"/>
                <w:szCs w:val="20"/>
              </w:rPr>
              <w:t>15.3</w:t>
            </w:r>
          </w:p>
        </w:tc>
        <w:tc>
          <w:tcPr>
            <w:tcW w:w="187" w:type="pct"/>
            <w:vAlign w:val="center"/>
          </w:tcPr>
          <w:p w14:paraId="39DF9654" w14:textId="77C21939" w:rsidR="00170887" w:rsidRPr="00D14CD7" w:rsidRDefault="00170887">
            <w:pPr>
              <w:jc w:val="right"/>
              <w:rPr>
                <w:color w:val="000000" w:themeColor="text1"/>
                <w:sz w:val="20"/>
                <w:szCs w:val="20"/>
              </w:rPr>
            </w:pPr>
            <w:r w:rsidRPr="00D14CD7">
              <w:rPr>
                <w:rFonts w:eastAsia="Times New Roman"/>
                <w:color w:val="000000" w:themeColor="text1"/>
                <w:sz w:val="20"/>
                <w:szCs w:val="20"/>
              </w:rPr>
              <w:t>6.</w:t>
            </w:r>
            <w:r w:rsidR="00FC630C" w:rsidRPr="00D14CD7">
              <w:rPr>
                <w:rFonts w:eastAsia="Times New Roman"/>
                <w:color w:val="000000" w:themeColor="text1"/>
                <w:sz w:val="20"/>
                <w:szCs w:val="20"/>
              </w:rPr>
              <w:t>1</w:t>
            </w:r>
          </w:p>
        </w:tc>
        <w:tc>
          <w:tcPr>
            <w:tcW w:w="218" w:type="pct"/>
            <w:vAlign w:val="center"/>
          </w:tcPr>
          <w:p w14:paraId="5196E417" w14:textId="6C4EA24E" w:rsidR="00170887" w:rsidRPr="00D14CD7" w:rsidRDefault="00170887">
            <w:pPr>
              <w:jc w:val="right"/>
              <w:rPr>
                <w:color w:val="000000" w:themeColor="text1"/>
                <w:sz w:val="20"/>
                <w:szCs w:val="20"/>
              </w:rPr>
            </w:pPr>
            <w:r w:rsidRPr="00D14CD7">
              <w:rPr>
                <w:rFonts w:eastAsia="Times New Roman"/>
                <w:color w:val="000000" w:themeColor="text1"/>
                <w:sz w:val="20"/>
                <w:szCs w:val="20"/>
              </w:rPr>
              <w:t>67.</w:t>
            </w:r>
            <w:r w:rsidR="00FC630C" w:rsidRPr="00D14CD7">
              <w:rPr>
                <w:rFonts w:eastAsia="Times New Roman"/>
                <w:color w:val="000000" w:themeColor="text1"/>
                <w:sz w:val="20"/>
                <w:szCs w:val="20"/>
              </w:rPr>
              <w:t>1</w:t>
            </w:r>
          </w:p>
        </w:tc>
        <w:tc>
          <w:tcPr>
            <w:tcW w:w="219" w:type="pct"/>
            <w:tcBorders>
              <w:right w:val="double" w:sz="4" w:space="0" w:color="auto"/>
            </w:tcBorders>
            <w:vAlign w:val="center"/>
          </w:tcPr>
          <w:p w14:paraId="24B91C73" w14:textId="77777777" w:rsidR="00170887" w:rsidRPr="00D14CD7" w:rsidRDefault="00170887">
            <w:pPr>
              <w:jc w:val="right"/>
              <w:rPr>
                <w:color w:val="000000" w:themeColor="text1"/>
                <w:sz w:val="20"/>
                <w:szCs w:val="20"/>
              </w:rPr>
            </w:pPr>
            <w:r w:rsidRPr="00D14CD7">
              <w:rPr>
                <w:rFonts w:eastAsia="Times New Roman"/>
                <w:color w:val="000000" w:themeColor="text1"/>
                <w:sz w:val="20"/>
                <w:szCs w:val="20"/>
              </w:rPr>
              <w:t>11.5</w:t>
            </w:r>
          </w:p>
        </w:tc>
        <w:tc>
          <w:tcPr>
            <w:tcW w:w="218" w:type="pct"/>
            <w:tcBorders>
              <w:left w:val="double" w:sz="4" w:space="0" w:color="auto"/>
            </w:tcBorders>
            <w:vAlign w:val="center"/>
          </w:tcPr>
          <w:p w14:paraId="6C85364D" w14:textId="77777777" w:rsidR="00170887" w:rsidRPr="00D14CD7" w:rsidRDefault="00170887">
            <w:pPr>
              <w:jc w:val="right"/>
              <w:rPr>
                <w:color w:val="000000" w:themeColor="text1"/>
                <w:sz w:val="20"/>
                <w:szCs w:val="20"/>
              </w:rPr>
            </w:pPr>
            <w:r w:rsidRPr="00D14CD7">
              <w:rPr>
                <w:rFonts w:eastAsia="Times New Roman"/>
                <w:color w:val="000000" w:themeColor="text1"/>
                <w:sz w:val="20"/>
                <w:szCs w:val="20"/>
              </w:rPr>
              <w:t>35.7</w:t>
            </w:r>
          </w:p>
        </w:tc>
        <w:tc>
          <w:tcPr>
            <w:tcW w:w="218" w:type="pct"/>
            <w:vAlign w:val="center"/>
          </w:tcPr>
          <w:p w14:paraId="4D810F99" w14:textId="77777777" w:rsidR="00170887" w:rsidRPr="00D14CD7" w:rsidRDefault="00170887">
            <w:pPr>
              <w:jc w:val="right"/>
              <w:rPr>
                <w:rFonts w:eastAsia="Times New Roman"/>
                <w:color w:val="000000" w:themeColor="text1"/>
                <w:sz w:val="20"/>
                <w:szCs w:val="20"/>
              </w:rPr>
            </w:pPr>
            <w:r w:rsidRPr="00D14CD7">
              <w:rPr>
                <w:rFonts w:eastAsia="Times New Roman"/>
                <w:color w:val="000000" w:themeColor="text1"/>
                <w:sz w:val="20"/>
                <w:szCs w:val="20"/>
              </w:rPr>
              <w:t>53.6</w:t>
            </w:r>
          </w:p>
        </w:tc>
        <w:tc>
          <w:tcPr>
            <w:tcW w:w="249" w:type="pct"/>
            <w:vAlign w:val="center"/>
          </w:tcPr>
          <w:p w14:paraId="6B404283" w14:textId="77777777" w:rsidR="00170887" w:rsidRPr="00D14CD7" w:rsidRDefault="00170887">
            <w:pPr>
              <w:jc w:val="right"/>
              <w:rPr>
                <w:rFonts w:eastAsia="Times New Roman"/>
                <w:color w:val="000000" w:themeColor="text1"/>
                <w:sz w:val="20"/>
                <w:szCs w:val="20"/>
              </w:rPr>
            </w:pPr>
            <w:r w:rsidRPr="00D14CD7">
              <w:rPr>
                <w:rFonts w:eastAsia="Times New Roman"/>
                <w:color w:val="000000" w:themeColor="text1"/>
                <w:sz w:val="20"/>
                <w:szCs w:val="20"/>
              </w:rPr>
              <w:t>161.4</w:t>
            </w:r>
          </w:p>
        </w:tc>
        <w:tc>
          <w:tcPr>
            <w:tcW w:w="218" w:type="pct"/>
            <w:vAlign w:val="center"/>
          </w:tcPr>
          <w:p w14:paraId="1B4484F1" w14:textId="77777777" w:rsidR="00170887" w:rsidRPr="00D14CD7" w:rsidRDefault="00170887">
            <w:pPr>
              <w:jc w:val="right"/>
              <w:rPr>
                <w:rFonts w:eastAsia="Times New Roman"/>
                <w:color w:val="000000" w:themeColor="text1"/>
                <w:sz w:val="20"/>
                <w:szCs w:val="20"/>
              </w:rPr>
            </w:pPr>
            <w:r w:rsidRPr="00D14CD7">
              <w:rPr>
                <w:rFonts w:eastAsia="Times New Roman"/>
                <w:color w:val="000000" w:themeColor="text1"/>
                <w:sz w:val="20"/>
                <w:szCs w:val="20"/>
              </w:rPr>
              <w:t>29.9</w:t>
            </w:r>
          </w:p>
        </w:tc>
        <w:tc>
          <w:tcPr>
            <w:tcW w:w="246" w:type="pct"/>
            <w:vAlign w:val="center"/>
          </w:tcPr>
          <w:p w14:paraId="2EACD403" w14:textId="77777777" w:rsidR="00170887" w:rsidRPr="00D14CD7" w:rsidRDefault="00170887">
            <w:pPr>
              <w:jc w:val="right"/>
              <w:rPr>
                <w:rFonts w:eastAsia="Times New Roman"/>
                <w:color w:val="000000" w:themeColor="text1"/>
                <w:sz w:val="20"/>
                <w:szCs w:val="20"/>
              </w:rPr>
            </w:pPr>
            <w:r w:rsidRPr="00D14CD7">
              <w:rPr>
                <w:rFonts w:eastAsia="Times New Roman"/>
                <w:color w:val="000000" w:themeColor="text1"/>
                <w:sz w:val="20"/>
                <w:szCs w:val="20"/>
              </w:rPr>
              <w:t>18.3</w:t>
            </w:r>
          </w:p>
        </w:tc>
      </w:tr>
      <w:tr w:rsidR="00D14CD7" w:rsidRPr="00D14CD7" w14:paraId="0D71A29A" w14:textId="77777777" w:rsidTr="006C0A51">
        <w:trPr>
          <w:trHeight w:val="64"/>
        </w:trPr>
        <w:tc>
          <w:tcPr>
            <w:tcW w:w="654" w:type="pct"/>
            <w:vMerge/>
            <w:tcBorders>
              <w:bottom w:val="double" w:sz="4" w:space="0" w:color="auto"/>
              <w:right w:val="double" w:sz="4" w:space="0" w:color="auto"/>
            </w:tcBorders>
            <w:vAlign w:val="center"/>
          </w:tcPr>
          <w:p w14:paraId="532D2480" w14:textId="77777777" w:rsidR="00170887" w:rsidRPr="00D14CD7" w:rsidRDefault="00170887">
            <w:pPr>
              <w:jc w:val="left"/>
              <w:rPr>
                <w:color w:val="000000" w:themeColor="text1"/>
                <w:sz w:val="20"/>
                <w:szCs w:val="20"/>
              </w:rPr>
            </w:pPr>
          </w:p>
        </w:tc>
        <w:tc>
          <w:tcPr>
            <w:tcW w:w="594" w:type="pct"/>
            <w:tcBorders>
              <w:left w:val="double" w:sz="4" w:space="0" w:color="auto"/>
              <w:bottom w:val="double" w:sz="4" w:space="0" w:color="auto"/>
            </w:tcBorders>
            <w:vAlign w:val="center"/>
          </w:tcPr>
          <w:p w14:paraId="05DE354B" w14:textId="77777777" w:rsidR="00170887" w:rsidRPr="00D14CD7" w:rsidRDefault="00170887">
            <w:pPr>
              <w:jc w:val="left"/>
              <w:rPr>
                <w:color w:val="000000" w:themeColor="text1"/>
                <w:sz w:val="20"/>
                <w:szCs w:val="20"/>
              </w:rPr>
            </w:pPr>
            <w:r w:rsidRPr="00D14CD7">
              <w:rPr>
                <w:color w:val="000000" w:themeColor="text1"/>
                <w:sz w:val="20"/>
                <w:szCs w:val="20"/>
              </w:rPr>
              <w:t>Unemployed</w:t>
            </w:r>
          </w:p>
        </w:tc>
        <w:tc>
          <w:tcPr>
            <w:tcW w:w="562" w:type="pct"/>
            <w:tcBorders>
              <w:bottom w:val="double" w:sz="4" w:space="0" w:color="auto"/>
              <w:right w:val="double" w:sz="4" w:space="0" w:color="auto"/>
            </w:tcBorders>
            <w:vAlign w:val="center"/>
          </w:tcPr>
          <w:p w14:paraId="38AF3C36" w14:textId="77777777" w:rsidR="00170887" w:rsidRPr="00D14CD7" w:rsidRDefault="00170887">
            <w:pPr>
              <w:jc w:val="left"/>
              <w:rPr>
                <w:color w:val="000000" w:themeColor="text1"/>
                <w:sz w:val="20"/>
                <w:szCs w:val="20"/>
              </w:rPr>
            </w:pPr>
            <w:r w:rsidRPr="00D14CD7">
              <w:rPr>
                <w:color w:val="000000" w:themeColor="text1"/>
                <w:sz w:val="20"/>
                <w:szCs w:val="20"/>
              </w:rPr>
              <w:t>Full-time employees with 100% workdays from home</w:t>
            </w:r>
          </w:p>
        </w:tc>
        <w:tc>
          <w:tcPr>
            <w:tcW w:w="202" w:type="pct"/>
            <w:tcBorders>
              <w:left w:val="double" w:sz="4" w:space="0" w:color="auto"/>
              <w:bottom w:val="double" w:sz="4" w:space="0" w:color="auto"/>
            </w:tcBorders>
            <w:vAlign w:val="center"/>
          </w:tcPr>
          <w:p w14:paraId="35A5C5C6" w14:textId="77777777" w:rsidR="00170887" w:rsidRPr="00D14CD7" w:rsidRDefault="00170887">
            <w:pPr>
              <w:jc w:val="right"/>
              <w:rPr>
                <w:color w:val="000000" w:themeColor="text1"/>
                <w:sz w:val="20"/>
                <w:szCs w:val="20"/>
              </w:rPr>
            </w:pPr>
            <w:r w:rsidRPr="00D14CD7">
              <w:rPr>
                <w:color w:val="000000" w:themeColor="text1"/>
                <w:sz w:val="20"/>
                <w:szCs w:val="20"/>
              </w:rPr>
              <w:t>2.29</w:t>
            </w:r>
          </w:p>
        </w:tc>
        <w:tc>
          <w:tcPr>
            <w:tcW w:w="218" w:type="pct"/>
            <w:tcBorders>
              <w:bottom w:val="double" w:sz="4" w:space="0" w:color="auto"/>
            </w:tcBorders>
            <w:vAlign w:val="center"/>
          </w:tcPr>
          <w:p w14:paraId="33A114D2" w14:textId="1FB57B41" w:rsidR="00170887" w:rsidRPr="00D14CD7" w:rsidRDefault="00170887">
            <w:pPr>
              <w:jc w:val="right"/>
              <w:rPr>
                <w:color w:val="000000" w:themeColor="text1"/>
                <w:sz w:val="20"/>
                <w:szCs w:val="20"/>
              </w:rPr>
            </w:pPr>
            <w:r w:rsidRPr="00D14CD7">
              <w:rPr>
                <w:rFonts w:eastAsia="Times New Roman"/>
                <w:color w:val="000000" w:themeColor="text1"/>
                <w:sz w:val="20"/>
                <w:szCs w:val="20"/>
              </w:rPr>
              <w:t>13.</w:t>
            </w:r>
            <w:r w:rsidR="00FC630C" w:rsidRPr="00D14CD7">
              <w:rPr>
                <w:rFonts w:eastAsia="Times New Roman"/>
                <w:color w:val="000000" w:themeColor="text1"/>
                <w:sz w:val="20"/>
                <w:szCs w:val="20"/>
              </w:rPr>
              <w:t>6</w:t>
            </w:r>
          </w:p>
        </w:tc>
        <w:tc>
          <w:tcPr>
            <w:tcW w:w="187" w:type="pct"/>
            <w:tcBorders>
              <w:bottom w:val="double" w:sz="4" w:space="0" w:color="auto"/>
            </w:tcBorders>
            <w:vAlign w:val="center"/>
          </w:tcPr>
          <w:p w14:paraId="45A8989A" w14:textId="77777777" w:rsidR="00170887" w:rsidRPr="00D14CD7" w:rsidRDefault="00170887">
            <w:pPr>
              <w:jc w:val="right"/>
              <w:rPr>
                <w:color w:val="000000" w:themeColor="text1"/>
                <w:sz w:val="20"/>
                <w:szCs w:val="20"/>
              </w:rPr>
            </w:pPr>
            <w:r w:rsidRPr="00D14CD7">
              <w:rPr>
                <w:rFonts w:eastAsia="Times New Roman"/>
                <w:color w:val="000000" w:themeColor="text1"/>
                <w:sz w:val="20"/>
                <w:szCs w:val="20"/>
              </w:rPr>
              <w:t>3.1</w:t>
            </w:r>
          </w:p>
        </w:tc>
        <w:tc>
          <w:tcPr>
            <w:tcW w:w="218" w:type="pct"/>
            <w:tcBorders>
              <w:bottom w:val="double" w:sz="4" w:space="0" w:color="auto"/>
            </w:tcBorders>
            <w:vAlign w:val="center"/>
          </w:tcPr>
          <w:p w14:paraId="6FF31D64" w14:textId="10463C44" w:rsidR="00170887" w:rsidRPr="00D14CD7" w:rsidRDefault="00170887">
            <w:pPr>
              <w:jc w:val="right"/>
              <w:rPr>
                <w:color w:val="000000" w:themeColor="text1"/>
                <w:sz w:val="20"/>
                <w:szCs w:val="20"/>
              </w:rPr>
            </w:pPr>
            <w:r w:rsidRPr="00D14CD7">
              <w:rPr>
                <w:rFonts w:eastAsia="Times New Roman"/>
                <w:color w:val="000000" w:themeColor="text1"/>
                <w:sz w:val="20"/>
                <w:szCs w:val="20"/>
              </w:rPr>
              <w:t>70.</w:t>
            </w:r>
            <w:r w:rsidR="00FC630C" w:rsidRPr="00D14CD7">
              <w:rPr>
                <w:rFonts w:eastAsia="Times New Roman"/>
                <w:color w:val="000000" w:themeColor="text1"/>
                <w:sz w:val="20"/>
                <w:szCs w:val="20"/>
              </w:rPr>
              <w:t>1</w:t>
            </w:r>
          </w:p>
        </w:tc>
        <w:tc>
          <w:tcPr>
            <w:tcW w:w="187" w:type="pct"/>
            <w:tcBorders>
              <w:bottom w:val="double" w:sz="4" w:space="0" w:color="auto"/>
              <w:right w:val="double" w:sz="4" w:space="0" w:color="auto"/>
            </w:tcBorders>
            <w:vAlign w:val="center"/>
          </w:tcPr>
          <w:p w14:paraId="5CBB702D" w14:textId="77777777" w:rsidR="00170887" w:rsidRPr="00D14CD7" w:rsidRDefault="00170887">
            <w:pPr>
              <w:jc w:val="right"/>
              <w:rPr>
                <w:color w:val="000000" w:themeColor="text1"/>
                <w:sz w:val="20"/>
                <w:szCs w:val="20"/>
              </w:rPr>
            </w:pPr>
            <w:r w:rsidRPr="00D14CD7">
              <w:rPr>
                <w:rFonts w:eastAsia="Times New Roman"/>
                <w:color w:val="000000" w:themeColor="text1"/>
                <w:sz w:val="20"/>
                <w:szCs w:val="20"/>
              </w:rPr>
              <w:t>13.2</w:t>
            </w:r>
          </w:p>
        </w:tc>
        <w:tc>
          <w:tcPr>
            <w:tcW w:w="187" w:type="pct"/>
            <w:tcBorders>
              <w:left w:val="double" w:sz="4" w:space="0" w:color="auto"/>
              <w:bottom w:val="double" w:sz="4" w:space="0" w:color="auto"/>
            </w:tcBorders>
            <w:vAlign w:val="center"/>
          </w:tcPr>
          <w:p w14:paraId="1DCB4917" w14:textId="31C8BC0A" w:rsidR="00170887" w:rsidRPr="00D14CD7" w:rsidRDefault="00170887">
            <w:pPr>
              <w:jc w:val="right"/>
              <w:rPr>
                <w:color w:val="000000" w:themeColor="text1"/>
                <w:sz w:val="20"/>
                <w:szCs w:val="20"/>
              </w:rPr>
            </w:pPr>
            <w:r w:rsidRPr="00D14CD7">
              <w:rPr>
                <w:rFonts w:eastAsia="Times New Roman"/>
                <w:color w:val="000000" w:themeColor="text1"/>
                <w:sz w:val="20"/>
                <w:szCs w:val="20"/>
              </w:rPr>
              <w:t>2.6</w:t>
            </w:r>
            <w:r w:rsidR="001D7C95" w:rsidRPr="00D14CD7">
              <w:rPr>
                <w:rFonts w:eastAsia="Times New Roman"/>
                <w:color w:val="000000" w:themeColor="text1"/>
                <w:sz w:val="20"/>
                <w:szCs w:val="20"/>
              </w:rPr>
              <w:t>7</w:t>
            </w:r>
          </w:p>
        </w:tc>
        <w:tc>
          <w:tcPr>
            <w:tcW w:w="218" w:type="pct"/>
            <w:tcBorders>
              <w:bottom w:val="double" w:sz="4" w:space="0" w:color="auto"/>
            </w:tcBorders>
            <w:vAlign w:val="center"/>
          </w:tcPr>
          <w:p w14:paraId="1ABFA98F" w14:textId="7182B366" w:rsidR="00170887" w:rsidRPr="00D14CD7" w:rsidRDefault="00170887">
            <w:pPr>
              <w:jc w:val="right"/>
              <w:rPr>
                <w:color w:val="000000" w:themeColor="text1"/>
                <w:sz w:val="20"/>
                <w:szCs w:val="20"/>
              </w:rPr>
            </w:pPr>
            <w:r w:rsidRPr="00D14CD7">
              <w:rPr>
                <w:rFonts w:eastAsia="Times New Roman"/>
                <w:color w:val="000000" w:themeColor="text1"/>
                <w:sz w:val="20"/>
                <w:szCs w:val="20"/>
              </w:rPr>
              <w:t>15.</w:t>
            </w:r>
            <w:r w:rsidR="00FC630C" w:rsidRPr="00D14CD7">
              <w:rPr>
                <w:rFonts w:eastAsia="Times New Roman"/>
                <w:color w:val="000000" w:themeColor="text1"/>
                <w:sz w:val="20"/>
                <w:szCs w:val="20"/>
              </w:rPr>
              <w:t>2</w:t>
            </w:r>
          </w:p>
        </w:tc>
        <w:tc>
          <w:tcPr>
            <w:tcW w:w="187" w:type="pct"/>
            <w:tcBorders>
              <w:bottom w:val="double" w:sz="4" w:space="0" w:color="auto"/>
            </w:tcBorders>
            <w:vAlign w:val="center"/>
          </w:tcPr>
          <w:p w14:paraId="45D8A140" w14:textId="77777777" w:rsidR="00170887" w:rsidRPr="00D14CD7" w:rsidRDefault="00170887">
            <w:pPr>
              <w:jc w:val="right"/>
              <w:rPr>
                <w:color w:val="000000" w:themeColor="text1"/>
                <w:sz w:val="20"/>
                <w:szCs w:val="20"/>
              </w:rPr>
            </w:pPr>
            <w:r w:rsidRPr="00D14CD7">
              <w:rPr>
                <w:rFonts w:eastAsia="Times New Roman"/>
                <w:color w:val="000000" w:themeColor="text1"/>
                <w:sz w:val="20"/>
                <w:szCs w:val="20"/>
              </w:rPr>
              <w:t>6.0</w:t>
            </w:r>
          </w:p>
        </w:tc>
        <w:tc>
          <w:tcPr>
            <w:tcW w:w="218" w:type="pct"/>
            <w:tcBorders>
              <w:bottom w:val="double" w:sz="4" w:space="0" w:color="auto"/>
            </w:tcBorders>
            <w:vAlign w:val="center"/>
          </w:tcPr>
          <w:p w14:paraId="22AEE6F9" w14:textId="3E2940D2" w:rsidR="00170887" w:rsidRPr="00D14CD7" w:rsidRDefault="00170887">
            <w:pPr>
              <w:jc w:val="right"/>
              <w:rPr>
                <w:color w:val="000000" w:themeColor="text1"/>
                <w:sz w:val="20"/>
                <w:szCs w:val="20"/>
              </w:rPr>
            </w:pPr>
            <w:r w:rsidRPr="00D14CD7">
              <w:rPr>
                <w:rFonts w:eastAsia="Times New Roman"/>
                <w:color w:val="000000" w:themeColor="text1"/>
                <w:sz w:val="20"/>
                <w:szCs w:val="20"/>
              </w:rPr>
              <w:t>67.</w:t>
            </w:r>
            <w:r w:rsidR="00FC630C" w:rsidRPr="00D14CD7">
              <w:rPr>
                <w:rFonts w:eastAsia="Times New Roman"/>
                <w:color w:val="000000" w:themeColor="text1"/>
                <w:sz w:val="20"/>
                <w:szCs w:val="20"/>
              </w:rPr>
              <w:t>2</w:t>
            </w:r>
          </w:p>
        </w:tc>
        <w:tc>
          <w:tcPr>
            <w:tcW w:w="219" w:type="pct"/>
            <w:tcBorders>
              <w:bottom w:val="double" w:sz="4" w:space="0" w:color="auto"/>
              <w:right w:val="double" w:sz="4" w:space="0" w:color="auto"/>
            </w:tcBorders>
            <w:vAlign w:val="center"/>
          </w:tcPr>
          <w:p w14:paraId="2ADFA651" w14:textId="77777777" w:rsidR="00170887" w:rsidRPr="00D14CD7" w:rsidRDefault="00170887">
            <w:pPr>
              <w:jc w:val="right"/>
              <w:rPr>
                <w:color w:val="000000" w:themeColor="text1"/>
                <w:sz w:val="20"/>
                <w:szCs w:val="20"/>
              </w:rPr>
            </w:pPr>
            <w:r w:rsidRPr="00D14CD7">
              <w:rPr>
                <w:rFonts w:eastAsia="Times New Roman"/>
                <w:color w:val="000000" w:themeColor="text1"/>
                <w:sz w:val="20"/>
                <w:szCs w:val="20"/>
              </w:rPr>
              <w:t>11.6</w:t>
            </w:r>
          </w:p>
        </w:tc>
        <w:tc>
          <w:tcPr>
            <w:tcW w:w="218" w:type="pct"/>
            <w:tcBorders>
              <w:left w:val="double" w:sz="4" w:space="0" w:color="auto"/>
              <w:bottom w:val="double" w:sz="4" w:space="0" w:color="auto"/>
            </w:tcBorders>
            <w:vAlign w:val="center"/>
          </w:tcPr>
          <w:p w14:paraId="60FC2C51" w14:textId="77777777" w:rsidR="00170887" w:rsidRPr="00D14CD7" w:rsidRDefault="00170887">
            <w:pPr>
              <w:jc w:val="right"/>
              <w:rPr>
                <w:color w:val="000000" w:themeColor="text1"/>
                <w:sz w:val="20"/>
                <w:szCs w:val="20"/>
              </w:rPr>
            </w:pPr>
            <w:r w:rsidRPr="00D14CD7">
              <w:rPr>
                <w:rFonts w:eastAsia="Times New Roman"/>
                <w:color w:val="000000" w:themeColor="text1"/>
                <w:sz w:val="20"/>
                <w:szCs w:val="20"/>
              </w:rPr>
              <w:t>17.0</w:t>
            </w:r>
          </w:p>
        </w:tc>
        <w:tc>
          <w:tcPr>
            <w:tcW w:w="218" w:type="pct"/>
            <w:tcBorders>
              <w:bottom w:val="double" w:sz="4" w:space="0" w:color="auto"/>
            </w:tcBorders>
            <w:vAlign w:val="center"/>
          </w:tcPr>
          <w:p w14:paraId="453D16C9" w14:textId="77777777" w:rsidR="00170887" w:rsidRPr="00D14CD7" w:rsidRDefault="00170887">
            <w:pPr>
              <w:jc w:val="right"/>
              <w:rPr>
                <w:rFonts w:eastAsia="Times New Roman"/>
                <w:color w:val="000000" w:themeColor="text1"/>
                <w:sz w:val="20"/>
                <w:szCs w:val="20"/>
              </w:rPr>
            </w:pPr>
            <w:r w:rsidRPr="00D14CD7">
              <w:rPr>
                <w:rFonts w:eastAsia="Times New Roman"/>
                <w:color w:val="000000" w:themeColor="text1"/>
                <w:sz w:val="20"/>
                <w:szCs w:val="20"/>
              </w:rPr>
              <w:t>31.1</w:t>
            </w:r>
          </w:p>
        </w:tc>
        <w:tc>
          <w:tcPr>
            <w:tcW w:w="249" w:type="pct"/>
            <w:tcBorders>
              <w:bottom w:val="double" w:sz="4" w:space="0" w:color="auto"/>
            </w:tcBorders>
            <w:vAlign w:val="center"/>
          </w:tcPr>
          <w:p w14:paraId="53A0046B" w14:textId="77777777" w:rsidR="00170887" w:rsidRPr="00D14CD7" w:rsidRDefault="00170887">
            <w:pPr>
              <w:jc w:val="right"/>
              <w:rPr>
                <w:rFonts w:eastAsia="Times New Roman"/>
                <w:color w:val="000000" w:themeColor="text1"/>
                <w:sz w:val="20"/>
                <w:szCs w:val="20"/>
              </w:rPr>
            </w:pPr>
            <w:r w:rsidRPr="00D14CD7">
              <w:rPr>
                <w:rFonts w:eastAsia="Times New Roman"/>
                <w:color w:val="000000" w:themeColor="text1"/>
                <w:sz w:val="20"/>
                <w:szCs w:val="20"/>
              </w:rPr>
              <w:t>124.5</w:t>
            </w:r>
          </w:p>
        </w:tc>
        <w:tc>
          <w:tcPr>
            <w:tcW w:w="218" w:type="pct"/>
            <w:tcBorders>
              <w:bottom w:val="double" w:sz="4" w:space="0" w:color="auto"/>
            </w:tcBorders>
            <w:vAlign w:val="center"/>
          </w:tcPr>
          <w:p w14:paraId="3CD67030" w14:textId="77777777" w:rsidR="00170887" w:rsidRPr="00D14CD7" w:rsidRDefault="00170887">
            <w:pPr>
              <w:jc w:val="right"/>
              <w:rPr>
                <w:rFonts w:eastAsia="Times New Roman"/>
                <w:color w:val="000000" w:themeColor="text1"/>
                <w:sz w:val="20"/>
                <w:szCs w:val="20"/>
              </w:rPr>
            </w:pPr>
            <w:r w:rsidRPr="00D14CD7">
              <w:rPr>
                <w:rFonts w:eastAsia="Times New Roman"/>
                <w:color w:val="000000" w:themeColor="text1"/>
                <w:sz w:val="20"/>
                <w:szCs w:val="20"/>
              </w:rPr>
              <w:t>12.1</w:t>
            </w:r>
          </w:p>
        </w:tc>
        <w:tc>
          <w:tcPr>
            <w:tcW w:w="246" w:type="pct"/>
            <w:tcBorders>
              <w:bottom w:val="double" w:sz="4" w:space="0" w:color="auto"/>
            </w:tcBorders>
            <w:vAlign w:val="center"/>
          </w:tcPr>
          <w:p w14:paraId="099AA9D2" w14:textId="77777777" w:rsidR="00170887" w:rsidRPr="00D14CD7" w:rsidRDefault="00170887">
            <w:pPr>
              <w:jc w:val="right"/>
              <w:rPr>
                <w:rFonts w:eastAsia="Times New Roman"/>
                <w:color w:val="000000" w:themeColor="text1"/>
                <w:sz w:val="20"/>
                <w:szCs w:val="20"/>
              </w:rPr>
            </w:pPr>
            <w:r w:rsidRPr="00D14CD7">
              <w:rPr>
                <w:rFonts w:eastAsia="Times New Roman"/>
                <w:color w:val="000000" w:themeColor="text1"/>
                <w:sz w:val="20"/>
                <w:szCs w:val="20"/>
              </w:rPr>
              <w:t>2.7</w:t>
            </w:r>
          </w:p>
        </w:tc>
      </w:tr>
    </w:tbl>
    <w:p w14:paraId="1255AB70" w14:textId="30BE275C" w:rsidR="00F57977" w:rsidRPr="00D14CD7" w:rsidRDefault="00BE151D" w:rsidP="00630A69">
      <w:pPr>
        <w:pStyle w:val="Caption"/>
        <w:keepNext/>
        <w:spacing w:after="120"/>
        <w:rPr>
          <w:color w:val="000000" w:themeColor="text1"/>
        </w:rPr>
      </w:pPr>
      <w:r w:rsidRPr="00D14CD7">
        <w:rPr>
          <w:b/>
          <w:i w:val="0"/>
          <w:color w:val="000000" w:themeColor="text1"/>
          <w:sz w:val="24"/>
          <w:szCs w:val="24"/>
        </w:rPr>
        <w:lastRenderedPageBreak/>
        <w:t>Table 9</w:t>
      </w:r>
      <w:r w:rsidR="00F57977" w:rsidRPr="00D14CD7">
        <w:rPr>
          <w:b/>
          <w:i w:val="0"/>
          <w:color w:val="000000" w:themeColor="text1"/>
          <w:sz w:val="24"/>
          <w:szCs w:val="24"/>
        </w:rPr>
        <w:t xml:space="preserve">. Average Treatment Effect (ATE) for all </w:t>
      </w:r>
      <w:r w:rsidR="00F6769E" w:rsidRPr="00D14CD7">
        <w:rPr>
          <w:b/>
          <w:i w:val="0"/>
          <w:color w:val="000000" w:themeColor="text1"/>
          <w:sz w:val="24"/>
          <w:szCs w:val="24"/>
        </w:rPr>
        <w:t xml:space="preserve">exogenous </w:t>
      </w:r>
      <w:r w:rsidR="00F57977" w:rsidRPr="00D14CD7">
        <w:rPr>
          <w:b/>
          <w:i w:val="0"/>
          <w:color w:val="000000" w:themeColor="text1"/>
          <w:sz w:val="24"/>
          <w:szCs w:val="24"/>
        </w:rPr>
        <w:t>variables (contd.)</w:t>
      </w:r>
    </w:p>
    <w:tbl>
      <w:tblPr>
        <w:tblStyle w:val="TableGrid"/>
        <w:tblW w:w="5000" w:type="pct"/>
        <w:tblBorders>
          <w:top w:val="double" w:sz="4" w:space="0" w:color="auto"/>
          <w:left w:val="double" w:sz="4" w:space="0" w:color="auto"/>
          <w:bottom w:val="double" w:sz="4" w:space="0" w:color="auto"/>
          <w:right w:val="double" w:sz="4" w:space="0" w:color="auto"/>
        </w:tblBorders>
        <w:tblCellMar>
          <w:left w:w="29" w:type="dxa"/>
          <w:right w:w="29" w:type="dxa"/>
        </w:tblCellMar>
        <w:tblLook w:val="04A0" w:firstRow="1" w:lastRow="0" w:firstColumn="1" w:lastColumn="0" w:noHBand="0" w:noVBand="1"/>
      </w:tblPr>
      <w:tblGrid>
        <w:gridCol w:w="1877"/>
        <w:gridCol w:w="1704"/>
        <w:gridCol w:w="1612"/>
        <w:gridCol w:w="581"/>
        <w:gridCol w:w="624"/>
        <w:gridCol w:w="534"/>
        <w:gridCol w:w="624"/>
        <w:gridCol w:w="534"/>
        <w:gridCol w:w="581"/>
        <w:gridCol w:w="624"/>
        <w:gridCol w:w="534"/>
        <w:gridCol w:w="624"/>
        <w:gridCol w:w="626"/>
        <w:gridCol w:w="624"/>
        <w:gridCol w:w="624"/>
        <w:gridCol w:w="713"/>
        <w:gridCol w:w="625"/>
        <w:gridCol w:w="705"/>
      </w:tblGrid>
      <w:tr w:rsidR="00D14CD7" w:rsidRPr="00D14CD7" w14:paraId="3DE810D8" w14:textId="77777777" w:rsidTr="009678B0">
        <w:trPr>
          <w:tblHeader/>
        </w:trPr>
        <w:tc>
          <w:tcPr>
            <w:tcW w:w="654" w:type="pct"/>
            <w:vMerge w:val="restart"/>
            <w:tcBorders>
              <w:top w:val="double" w:sz="4" w:space="0" w:color="auto"/>
              <w:left w:val="double" w:sz="4" w:space="0" w:color="auto"/>
              <w:bottom w:val="double" w:sz="4" w:space="0" w:color="auto"/>
              <w:right w:val="double" w:sz="4" w:space="0" w:color="auto"/>
            </w:tcBorders>
            <w:vAlign w:val="center"/>
          </w:tcPr>
          <w:p w14:paraId="2A2E1253" w14:textId="77777777" w:rsidR="00F57977" w:rsidRPr="00D14CD7" w:rsidRDefault="00F57977" w:rsidP="001D7C95">
            <w:pPr>
              <w:jc w:val="left"/>
              <w:rPr>
                <w:b/>
                <w:color w:val="000000" w:themeColor="text1"/>
                <w:sz w:val="20"/>
                <w:szCs w:val="20"/>
              </w:rPr>
            </w:pPr>
            <w:r w:rsidRPr="00D14CD7">
              <w:rPr>
                <w:b/>
                <w:color w:val="000000" w:themeColor="text1"/>
                <w:sz w:val="20"/>
                <w:szCs w:val="20"/>
              </w:rPr>
              <w:t>Variables</w:t>
            </w:r>
          </w:p>
        </w:tc>
        <w:tc>
          <w:tcPr>
            <w:tcW w:w="594" w:type="pct"/>
            <w:vMerge w:val="restart"/>
            <w:tcBorders>
              <w:top w:val="double" w:sz="4" w:space="0" w:color="auto"/>
              <w:left w:val="double" w:sz="4" w:space="0" w:color="auto"/>
              <w:bottom w:val="double" w:sz="4" w:space="0" w:color="auto"/>
              <w:right w:val="double" w:sz="4" w:space="0" w:color="auto"/>
            </w:tcBorders>
            <w:vAlign w:val="center"/>
          </w:tcPr>
          <w:p w14:paraId="4481CF7F" w14:textId="77777777" w:rsidR="00F57977" w:rsidRPr="00D14CD7" w:rsidRDefault="00F57977" w:rsidP="001D7C95">
            <w:pPr>
              <w:jc w:val="left"/>
              <w:rPr>
                <w:b/>
                <w:color w:val="000000" w:themeColor="text1"/>
                <w:sz w:val="20"/>
                <w:szCs w:val="20"/>
              </w:rPr>
            </w:pPr>
            <w:r w:rsidRPr="00D14CD7">
              <w:rPr>
                <w:b/>
                <w:color w:val="000000" w:themeColor="text1"/>
                <w:sz w:val="20"/>
                <w:szCs w:val="20"/>
              </w:rPr>
              <w:t>Base Level</w:t>
            </w:r>
          </w:p>
        </w:tc>
        <w:tc>
          <w:tcPr>
            <w:tcW w:w="562" w:type="pct"/>
            <w:vMerge w:val="restart"/>
            <w:tcBorders>
              <w:top w:val="double" w:sz="4" w:space="0" w:color="auto"/>
              <w:left w:val="double" w:sz="4" w:space="0" w:color="auto"/>
              <w:bottom w:val="double" w:sz="4" w:space="0" w:color="auto"/>
              <w:right w:val="double" w:sz="4" w:space="0" w:color="auto"/>
            </w:tcBorders>
            <w:vAlign w:val="center"/>
          </w:tcPr>
          <w:p w14:paraId="430210B4" w14:textId="77777777" w:rsidR="00F57977" w:rsidRPr="00D14CD7" w:rsidRDefault="00F57977" w:rsidP="001D7C95">
            <w:pPr>
              <w:jc w:val="left"/>
              <w:rPr>
                <w:b/>
                <w:color w:val="000000" w:themeColor="text1"/>
                <w:sz w:val="20"/>
                <w:szCs w:val="20"/>
              </w:rPr>
            </w:pPr>
            <w:r w:rsidRPr="00D14CD7">
              <w:rPr>
                <w:b/>
                <w:color w:val="000000" w:themeColor="text1"/>
                <w:sz w:val="20"/>
                <w:szCs w:val="20"/>
              </w:rPr>
              <w:t>Treatment Level</w:t>
            </w:r>
          </w:p>
        </w:tc>
        <w:tc>
          <w:tcPr>
            <w:tcW w:w="1012" w:type="pct"/>
            <w:gridSpan w:val="5"/>
            <w:tcBorders>
              <w:top w:val="double" w:sz="4" w:space="0" w:color="auto"/>
              <w:left w:val="double" w:sz="4" w:space="0" w:color="auto"/>
              <w:bottom w:val="single" w:sz="4" w:space="0" w:color="auto"/>
              <w:right w:val="double" w:sz="4" w:space="0" w:color="auto"/>
            </w:tcBorders>
            <w:vAlign w:val="center"/>
          </w:tcPr>
          <w:p w14:paraId="4147B3DD" w14:textId="77777777" w:rsidR="00F57977" w:rsidRPr="00D14CD7" w:rsidRDefault="00F57977" w:rsidP="001D7C95">
            <w:pPr>
              <w:jc w:val="center"/>
              <w:rPr>
                <w:color w:val="000000" w:themeColor="text1"/>
                <w:sz w:val="20"/>
                <w:szCs w:val="20"/>
              </w:rPr>
            </w:pPr>
            <w:r w:rsidRPr="00D14CD7">
              <w:rPr>
                <w:rFonts w:eastAsia="Times New Roman"/>
                <w:b/>
                <w:bCs/>
                <w:color w:val="000000" w:themeColor="text1"/>
                <w:sz w:val="20"/>
                <w:szCs w:val="20"/>
              </w:rPr>
              <w:t>Base level</w:t>
            </w:r>
          </w:p>
        </w:tc>
        <w:tc>
          <w:tcPr>
            <w:tcW w:w="1029" w:type="pct"/>
            <w:gridSpan w:val="5"/>
            <w:tcBorders>
              <w:top w:val="double" w:sz="4" w:space="0" w:color="auto"/>
              <w:left w:val="double" w:sz="4" w:space="0" w:color="auto"/>
              <w:bottom w:val="single" w:sz="4" w:space="0" w:color="auto"/>
              <w:right w:val="double" w:sz="4" w:space="0" w:color="auto"/>
            </w:tcBorders>
            <w:vAlign w:val="center"/>
          </w:tcPr>
          <w:p w14:paraId="76CC0364" w14:textId="4FA8A05D" w:rsidR="00F57977" w:rsidRPr="00D14CD7" w:rsidRDefault="00F57977" w:rsidP="001D7C95">
            <w:pPr>
              <w:jc w:val="center"/>
              <w:rPr>
                <w:color w:val="000000" w:themeColor="text1"/>
                <w:sz w:val="20"/>
                <w:szCs w:val="20"/>
              </w:rPr>
            </w:pPr>
            <w:r w:rsidRPr="00D14CD7">
              <w:rPr>
                <w:rFonts w:eastAsia="Times New Roman"/>
                <w:b/>
                <w:bCs/>
                <w:color w:val="000000" w:themeColor="text1"/>
                <w:sz w:val="20"/>
                <w:szCs w:val="20"/>
              </w:rPr>
              <w:t xml:space="preserve">Treatment level </w:t>
            </w:r>
          </w:p>
        </w:tc>
        <w:tc>
          <w:tcPr>
            <w:tcW w:w="1150" w:type="pct"/>
            <w:gridSpan w:val="5"/>
            <w:tcBorders>
              <w:top w:val="double" w:sz="4" w:space="0" w:color="auto"/>
              <w:left w:val="double" w:sz="4" w:space="0" w:color="auto"/>
              <w:bottom w:val="single" w:sz="4" w:space="0" w:color="auto"/>
              <w:right w:val="double" w:sz="4" w:space="0" w:color="auto"/>
            </w:tcBorders>
            <w:vAlign w:val="center"/>
          </w:tcPr>
          <w:p w14:paraId="0BAB18EE" w14:textId="77777777" w:rsidR="00F57977" w:rsidRPr="00D14CD7" w:rsidRDefault="00F57977" w:rsidP="001D7C95">
            <w:pPr>
              <w:jc w:val="center"/>
              <w:rPr>
                <w:color w:val="000000" w:themeColor="text1"/>
                <w:sz w:val="20"/>
                <w:szCs w:val="20"/>
              </w:rPr>
            </w:pPr>
            <w:r w:rsidRPr="00D14CD7">
              <w:rPr>
                <w:rFonts w:eastAsia="Times New Roman"/>
                <w:b/>
                <w:bCs/>
                <w:color w:val="000000" w:themeColor="text1"/>
                <w:sz w:val="20"/>
                <w:szCs w:val="20"/>
              </w:rPr>
              <w:t>ATE (% shift)</w:t>
            </w:r>
          </w:p>
        </w:tc>
      </w:tr>
      <w:tr w:rsidR="00D14CD7" w:rsidRPr="00D14CD7" w14:paraId="47C52498" w14:textId="77777777" w:rsidTr="009678B0">
        <w:trPr>
          <w:tblHeader/>
        </w:trPr>
        <w:tc>
          <w:tcPr>
            <w:tcW w:w="654" w:type="pct"/>
            <w:vMerge/>
            <w:tcBorders>
              <w:top w:val="double" w:sz="4" w:space="0" w:color="auto"/>
              <w:left w:val="double" w:sz="4" w:space="0" w:color="auto"/>
              <w:bottom w:val="double" w:sz="4" w:space="0" w:color="auto"/>
              <w:right w:val="double" w:sz="4" w:space="0" w:color="auto"/>
            </w:tcBorders>
          </w:tcPr>
          <w:p w14:paraId="0ADAF2A8" w14:textId="77777777" w:rsidR="00F57977" w:rsidRPr="00D14CD7" w:rsidRDefault="00F57977" w:rsidP="001D7C95">
            <w:pPr>
              <w:jc w:val="left"/>
              <w:rPr>
                <w:color w:val="000000" w:themeColor="text1"/>
                <w:sz w:val="20"/>
                <w:szCs w:val="20"/>
              </w:rPr>
            </w:pPr>
          </w:p>
        </w:tc>
        <w:tc>
          <w:tcPr>
            <w:tcW w:w="594" w:type="pct"/>
            <w:vMerge/>
            <w:tcBorders>
              <w:top w:val="single" w:sz="4" w:space="0" w:color="auto"/>
              <w:left w:val="double" w:sz="4" w:space="0" w:color="auto"/>
              <w:bottom w:val="double" w:sz="4" w:space="0" w:color="auto"/>
              <w:right w:val="double" w:sz="4" w:space="0" w:color="auto"/>
            </w:tcBorders>
          </w:tcPr>
          <w:p w14:paraId="0C9BD5C0" w14:textId="77777777" w:rsidR="00F57977" w:rsidRPr="00D14CD7" w:rsidRDefault="00F57977" w:rsidP="001D7C95">
            <w:pPr>
              <w:jc w:val="left"/>
              <w:rPr>
                <w:color w:val="000000" w:themeColor="text1"/>
                <w:sz w:val="20"/>
                <w:szCs w:val="20"/>
              </w:rPr>
            </w:pPr>
          </w:p>
        </w:tc>
        <w:tc>
          <w:tcPr>
            <w:tcW w:w="562" w:type="pct"/>
            <w:vMerge/>
            <w:tcBorders>
              <w:top w:val="single" w:sz="4" w:space="0" w:color="auto"/>
              <w:left w:val="double" w:sz="4" w:space="0" w:color="auto"/>
              <w:bottom w:val="double" w:sz="4" w:space="0" w:color="auto"/>
              <w:right w:val="double" w:sz="4" w:space="0" w:color="auto"/>
            </w:tcBorders>
          </w:tcPr>
          <w:p w14:paraId="5163DB80" w14:textId="77777777" w:rsidR="00F57977" w:rsidRPr="00D14CD7" w:rsidRDefault="00F57977" w:rsidP="001D7C95">
            <w:pPr>
              <w:jc w:val="left"/>
              <w:rPr>
                <w:color w:val="000000" w:themeColor="text1"/>
                <w:sz w:val="20"/>
                <w:szCs w:val="20"/>
              </w:rPr>
            </w:pPr>
          </w:p>
        </w:tc>
        <w:tc>
          <w:tcPr>
            <w:tcW w:w="202" w:type="pct"/>
            <w:vMerge w:val="restart"/>
            <w:tcBorders>
              <w:top w:val="single" w:sz="4" w:space="0" w:color="auto"/>
              <w:left w:val="double" w:sz="4" w:space="0" w:color="auto"/>
              <w:bottom w:val="single" w:sz="4" w:space="0" w:color="auto"/>
            </w:tcBorders>
            <w:vAlign w:val="center"/>
          </w:tcPr>
          <w:p w14:paraId="7EE8928A" w14:textId="77777777" w:rsidR="00F57977" w:rsidRPr="00D14CD7" w:rsidRDefault="00F57977" w:rsidP="001D7C95">
            <w:pPr>
              <w:jc w:val="center"/>
              <w:rPr>
                <w:b/>
                <w:color w:val="000000" w:themeColor="text1"/>
                <w:sz w:val="20"/>
                <w:szCs w:val="20"/>
              </w:rPr>
            </w:pPr>
            <w:r w:rsidRPr="00D14CD7">
              <w:rPr>
                <w:b/>
                <w:color w:val="000000" w:themeColor="text1"/>
                <w:sz w:val="20"/>
                <w:szCs w:val="20"/>
              </w:rPr>
              <w:t>Total eat-outs per capita</w:t>
            </w:r>
          </w:p>
        </w:tc>
        <w:tc>
          <w:tcPr>
            <w:tcW w:w="810" w:type="pct"/>
            <w:gridSpan w:val="4"/>
            <w:tcBorders>
              <w:top w:val="single" w:sz="4" w:space="0" w:color="auto"/>
              <w:bottom w:val="single" w:sz="4" w:space="0" w:color="auto"/>
              <w:right w:val="double" w:sz="4" w:space="0" w:color="auto"/>
            </w:tcBorders>
            <w:vAlign w:val="center"/>
          </w:tcPr>
          <w:p w14:paraId="3B4ABE8E" w14:textId="77777777" w:rsidR="00F57977" w:rsidRPr="00D14CD7" w:rsidRDefault="00F57977" w:rsidP="001D7C95">
            <w:pPr>
              <w:jc w:val="center"/>
              <w:rPr>
                <w:b/>
                <w:color w:val="000000" w:themeColor="text1"/>
                <w:sz w:val="20"/>
                <w:szCs w:val="20"/>
              </w:rPr>
            </w:pPr>
            <w:r w:rsidRPr="00D14CD7">
              <w:rPr>
                <w:b/>
                <w:color w:val="000000" w:themeColor="text1"/>
                <w:sz w:val="20"/>
                <w:szCs w:val="20"/>
              </w:rPr>
              <w:t>Allocation to restaurant segment (%)</w:t>
            </w:r>
          </w:p>
        </w:tc>
        <w:tc>
          <w:tcPr>
            <w:tcW w:w="187" w:type="pct"/>
            <w:vMerge w:val="restart"/>
            <w:tcBorders>
              <w:top w:val="single" w:sz="4" w:space="0" w:color="auto"/>
              <w:left w:val="double" w:sz="4" w:space="0" w:color="auto"/>
              <w:bottom w:val="single" w:sz="4" w:space="0" w:color="auto"/>
            </w:tcBorders>
            <w:vAlign w:val="center"/>
          </w:tcPr>
          <w:p w14:paraId="3D7D2255" w14:textId="61739664" w:rsidR="00F57977" w:rsidRPr="00D14CD7" w:rsidRDefault="00F57977" w:rsidP="001D7C95">
            <w:pPr>
              <w:jc w:val="center"/>
              <w:rPr>
                <w:b/>
                <w:color w:val="000000" w:themeColor="text1"/>
                <w:sz w:val="20"/>
                <w:szCs w:val="20"/>
              </w:rPr>
            </w:pPr>
            <w:r w:rsidRPr="00D14CD7">
              <w:rPr>
                <w:b/>
                <w:color w:val="000000" w:themeColor="text1"/>
                <w:sz w:val="20"/>
                <w:szCs w:val="20"/>
              </w:rPr>
              <w:t>Total eat-outs</w:t>
            </w:r>
            <w:r w:rsidR="001D7C95" w:rsidRPr="00D14CD7">
              <w:rPr>
                <w:b/>
                <w:color w:val="000000" w:themeColor="text1"/>
                <w:sz w:val="20"/>
                <w:szCs w:val="20"/>
              </w:rPr>
              <w:t xml:space="preserve"> per capita</w:t>
            </w:r>
          </w:p>
        </w:tc>
        <w:tc>
          <w:tcPr>
            <w:tcW w:w="842" w:type="pct"/>
            <w:gridSpan w:val="4"/>
            <w:tcBorders>
              <w:top w:val="single" w:sz="4" w:space="0" w:color="auto"/>
              <w:bottom w:val="single" w:sz="4" w:space="0" w:color="auto"/>
              <w:right w:val="double" w:sz="4" w:space="0" w:color="auto"/>
            </w:tcBorders>
            <w:vAlign w:val="center"/>
          </w:tcPr>
          <w:p w14:paraId="049ADB11" w14:textId="77777777" w:rsidR="00F57977" w:rsidRPr="00D14CD7" w:rsidRDefault="00F57977" w:rsidP="001D7C95">
            <w:pPr>
              <w:jc w:val="center"/>
              <w:rPr>
                <w:b/>
                <w:color w:val="000000" w:themeColor="text1"/>
                <w:sz w:val="20"/>
                <w:szCs w:val="20"/>
              </w:rPr>
            </w:pPr>
            <w:r w:rsidRPr="00D14CD7">
              <w:rPr>
                <w:b/>
                <w:color w:val="000000" w:themeColor="text1"/>
                <w:sz w:val="20"/>
                <w:szCs w:val="20"/>
              </w:rPr>
              <w:t>Allocation to restaurant segment (%)</w:t>
            </w:r>
          </w:p>
        </w:tc>
        <w:tc>
          <w:tcPr>
            <w:tcW w:w="218" w:type="pct"/>
            <w:vMerge w:val="restart"/>
            <w:tcBorders>
              <w:top w:val="single" w:sz="4" w:space="0" w:color="auto"/>
              <w:left w:val="double" w:sz="4" w:space="0" w:color="auto"/>
              <w:bottom w:val="single" w:sz="4" w:space="0" w:color="auto"/>
            </w:tcBorders>
            <w:vAlign w:val="center"/>
          </w:tcPr>
          <w:p w14:paraId="43D2D9E4" w14:textId="77777777" w:rsidR="00F57977" w:rsidRPr="00D14CD7" w:rsidRDefault="00F57977" w:rsidP="001D7C95">
            <w:pPr>
              <w:jc w:val="center"/>
              <w:rPr>
                <w:b/>
                <w:color w:val="000000" w:themeColor="text1"/>
                <w:sz w:val="20"/>
                <w:szCs w:val="20"/>
              </w:rPr>
            </w:pPr>
            <w:r w:rsidRPr="00D14CD7">
              <w:rPr>
                <w:b/>
                <w:color w:val="000000" w:themeColor="text1"/>
                <w:sz w:val="20"/>
                <w:szCs w:val="20"/>
              </w:rPr>
              <w:t>Total eat-outs per capita</w:t>
            </w:r>
          </w:p>
        </w:tc>
        <w:tc>
          <w:tcPr>
            <w:tcW w:w="931" w:type="pct"/>
            <w:gridSpan w:val="4"/>
            <w:tcBorders>
              <w:top w:val="single" w:sz="4" w:space="0" w:color="auto"/>
              <w:bottom w:val="single" w:sz="4" w:space="0" w:color="auto"/>
              <w:right w:val="double" w:sz="4" w:space="0" w:color="auto"/>
            </w:tcBorders>
            <w:vAlign w:val="center"/>
          </w:tcPr>
          <w:p w14:paraId="0AFDDAF2" w14:textId="77777777" w:rsidR="00F57977" w:rsidRPr="00D14CD7" w:rsidRDefault="00F57977" w:rsidP="001D7C95">
            <w:pPr>
              <w:jc w:val="center"/>
              <w:rPr>
                <w:b/>
                <w:color w:val="000000" w:themeColor="text1"/>
                <w:sz w:val="20"/>
                <w:szCs w:val="20"/>
              </w:rPr>
            </w:pPr>
            <w:r w:rsidRPr="00D14CD7">
              <w:rPr>
                <w:b/>
                <w:color w:val="000000" w:themeColor="text1"/>
                <w:sz w:val="20"/>
                <w:szCs w:val="20"/>
              </w:rPr>
              <w:t>Number of visits to restaurant segment</w:t>
            </w:r>
          </w:p>
        </w:tc>
      </w:tr>
      <w:tr w:rsidR="00D14CD7" w:rsidRPr="00D14CD7" w14:paraId="3BC46C83" w14:textId="77777777" w:rsidTr="009678B0">
        <w:trPr>
          <w:tblHeader/>
        </w:trPr>
        <w:tc>
          <w:tcPr>
            <w:tcW w:w="654" w:type="pct"/>
            <w:vMerge/>
            <w:tcBorders>
              <w:top w:val="double" w:sz="4" w:space="0" w:color="auto"/>
              <w:left w:val="double" w:sz="4" w:space="0" w:color="auto"/>
              <w:bottom w:val="double" w:sz="4" w:space="0" w:color="auto"/>
              <w:right w:val="double" w:sz="4" w:space="0" w:color="auto"/>
            </w:tcBorders>
          </w:tcPr>
          <w:p w14:paraId="7119BB46" w14:textId="77777777" w:rsidR="00F57977" w:rsidRPr="00D14CD7" w:rsidRDefault="00F57977" w:rsidP="001D7C95">
            <w:pPr>
              <w:jc w:val="left"/>
              <w:rPr>
                <w:color w:val="000000" w:themeColor="text1"/>
                <w:sz w:val="20"/>
                <w:szCs w:val="20"/>
              </w:rPr>
            </w:pPr>
          </w:p>
        </w:tc>
        <w:tc>
          <w:tcPr>
            <w:tcW w:w="594" w:type="pct"/>
            <w:vMerge/>
            <w:tcBorders>
              <w:top w:val="single" w:sz="4" w:space="0" w:color="auto"/>
              <w:left w:val="double" w:sz="4" w:space="0" w:color="auto"/>
              <w:bottom w:val="double" w:sz="4" w:space="0" w:color="auto"/>
              <w:right w:val="double" w:sz="4" w:space="0" w:color="auto"/>
            </w:tcBorders>
          </w:tcPr>
          <w:p w14:paraId="03326764" w14:textId="77777777" w:rsidR="00F57977" w:rsidRPr="00D14CD7" w:rsidRDefault="00F57977" w:rsidP="001D7C95">
            <w:pPr>
              <w:jc w:val="left"/>
              <w:rPr>
                <w:color w:val="000000" w:themeColor="text1"/>
                <w:sz w:val="20"/>
                <w:szCs w:val="20"/>
              </w:rPr>
            </w:pPr>
          </w:p>
        </w:tc>
        <w:tc>
          <w:tcPr>
            <w:tcW w:w="562" w:type="pct"/>
            <w:vMerge/>
            <w:tcBorders>
              <w:top w:val="single" w:sz="4" w:space="0" w:color="auto"/>
              <w:left w:val="double" w:sz="4" w:space="0" w:color="auto"/>
              <w:bottom w:val="double" w:sz="4" w:space="0" w:color="auto"/>
              <w:right w:val="double" w:sz="4" w:space="0" w:color="auto"/>
            </w:tcBorders>
          </w:tcPr>
          <w:p w14:paraId="3FB51DA7" w14:textId="77777777" w:rsidR="00F57977" w:rsidRPr="00D14CD7" w:rsidRDefault="00F57977" w:rsidP="001D7C95">
            <w:pPr>
              <w:jc w:val="left"/>
              <w:rPr>
                <w:color w:val="000000" w:themeColor="text1"/>
                <w:sz w:val="20"/>
                <w:szCs w:val="20"/>
              </w:rPr>
            </w:pPr>
          </w:p>
        </w:tc>
        <w:tc>
          <w:tcPr>
            <w:tcW w:w="202" w:type="pct"/>
            <w:vMerge/>
            <w:tcBorders>
              <w:top w:val="single" w:sz="4" w:space="0" w:color="auto"/>
              <w:left w:val="double" w:sz="4" w:space="0" w:color="auto"/>
              <w:bottom w:val="double" w:sz="4" w:space="0" w:color="auto"/>
            </w:tcBorders>
            <w:vAlign w:val="center"/>
          </w:tcPr>
          <w:p w14:paraId="223F5D99" w14:textId="77777777" w:rsidR="00F57977" w:rsidRPr="00D14CD7" w:rsidRDefault="00F57977" w:rsidP="001D7C95">
            <w:pPr>
              <w:jc w:val="center"/>
              <w:rPr>
                <w:b/>
                <w:color w:val="000000" w:themeColor="text1"/>
                <w:sz w:val="20"/>
                <w:szCs w:val="20"/>
              </w:rPr>
            </w:pPr>
          </w:p>
        </w:tc>
        <w:tc>
          <w:tcPr>
            <w:tcW w:w="218" w:type="pct"/>
            <w:tcBorders>
              <w:top w:val="single" w:sz="4" w:space="0" w:color="auto"/>
              <w:bottom w:val="double" w:sz="4" w:space="0" w:color="auto"/>
            </w:tcBorders>
            <w:vAlign w:val="center"/>
          </w:tcPr>
          <w:p w14:paraId="73F67D76" w14:textId="77777777" w:rsidR="00F57977" w:rsidRPr="00D14CD7" w:rsidRDefault="00F57977" w:rsidP="001D7C95">
            <w:pPr>
              <w:jc w:val="center"/>
              <w:rPr>
                <w:b/>
                <w:color w:val="000000" w:themeColor="text1"/>
                <w:sz w:val="20"/>
                <w:szCs w:val="20"/>
              </w:rPr>
            </w:pPr>
            <w:r w:rsidRPr="00D14CD7">
              <w:rPr>
                <w:b/>
                <w:color w:val="000000" w:themeColor="text1"/>
                <w:sz w:val="20"/>
                <w:szCs w:val="20"/>
              </w:rPr>
              <w:t>QSR</w:t>
            </w:r>
          </w:p>
        </w:tc>
        <w:tc>
          <w:tcPr>
            <w:tcW w:w="187" w:type="pct"/>
            <w:tcBorders>
              <w:top w:val="single" w:sz="4" w:space="0" w:color="auto"/>
              <w:bottom w:val="double" w:sz="4" w:space="0" w:color="auto"/>
            </w:tcBorders>
            <w:vAlign w:val="center"/>
          </w:tcPr>
          <w:p w14:paraId="523811A0" w14:textId="77777777" w:rsidR="00F57977" w:rsidRPr="00D14CD7" w:rsidRDefault="00F57977" w:rsidP="001D7C95">
            <w:pPr>
              <w:jc w:val="center"/>
              <w:rPr>
                <w:b/>
                <w:color w:val="000000" w:themeColor="text1"/>
                <w:sz w:val="20"/>
                <w:szCs w:val="20"/>
              </w:rPr>
            </w:pPr>
            <w:r w:rsidRPr="00D14CD7">
              <w:rPr>
                <w:b/>
                <w:color w:val="000000" w:themeColor="text1"/>
                <w:sz w:val="20"/>
                <w:szCs w:val="20"/>
              </w:rPr>
              <w:t>CH</w:t>
            </w:r>
          </w:p>
        </w:tc>
        <w:tc>
          <w:tcPr>
            <w:tcW w:w="218" w:type="pct"/>
            <w:tcBorders>
              <w:top w:val="single" w:sz="4" w:space="0" w:color="auto"/>
              <w:bottom w:val="double" w:sz="4" w:space="0" w:color="auto"/>
            </w:tcBorders>
            <w:vAlign w:val="center"/>
          </w:tcPr>
          <w:p w14:paraId="4C090768" w14:textId="77777777" w:rsidR="00F57977" w:rsidRPr="00D14CD7" w:rsidRDefault="00F57977" w:rsidP="001D7C95">
            <w:pPr>
              <w:jc w:val="center"/>
              <w:rPr>
                <w:b/>
                <w:color w:val="000000" w:themeColor="text1"/>
                <w:sz w:val="20"/>
                <w:szCs w:val="20"/>
              </w:rPr>
            </w:pPr>
            <w:r w:rsidRPr="00D14CD7">
              <w:rPr>
                <w:b/>
                <w:color w:val="000000" w:themeColor="text1"/>
                <w:sz w:val="20"/>
                <w:szCs w:val="20"/>
              </w:rPr>
              <w:t>CSR</w:t>
            </w:r>
          </w:p>
        </w:tc>
        <w:tc>
          <w:tcPr>
            <w:tcW w:w="187" w:type="pct"/>
            <w:tcBorders>
              <w:top w:val="single" w:sz="4" w:space="0" w:color="auto"/>
              <w:bottom w:val="double" w:sz="4" w:space="0" w:color="auto"/>
              <w:right w:val="double" w:sz="4" w:space="0" w:color="auto"/>
            </w:tcBorders>
            <w:vAlign w:val="center"/>
          </w:tcPr>
          <w:p w14:paraId="116E0A49" w14:textId="77777777" w:rsidR="00F57977" w:rsidRPr="00D14CD7" w:rsidRDefault="00F57977" w:rsidP="001D7C95">
            <w:pPr>
              <w:jc w:val="center"/>
              <w:rPr>
                <w:b/>
                <w:color w:val="000000" w:themeColor="text1"/>
                <w:sz w:val="20"/>
                <w:szCs w:val="20"/>
              </w:rPr>
            </w:pPr>
            <w:r w:rsidRPr="00D14CD7">
              <w:rPr>
                <w:b/>
                <w:color w:val="000000" w:themeColor="text1"/>
                <w:sz w:val="20"/>
                <w:szCs w:val="20"/>
              </w:rPr>
              <w:t>FSR</w:t>
            </w:r>
          </w:p>
        </w:tc>
        <w:tc>
          <w:tcPr>
            <w:tcW w:w="187" w:type="pct"/>
            <w:vMerge/>
            <w:tcBorders>
              <w:top w:val="single" w:sz="4" w:space="0" w:color="auto"/>
              <w:left w:val="double" w:sz="4" w:space="0" w:color="auto"/>
              <w:bottom w:val="double" w:sz="4" w:space="0" w:color="auto"/>
            </w:tcBorders>
            <w:vAlign w:val="center"/>
          </w:tcPr>
          <w:p w14:paraId="458D3C68" w14:textId="77777777" w:rsidR="00F57977" w:rsidRPr="00D14CD7" w:rsidRDefault="00F57977" w:rsidP="001D7C95">
            <w:pPr>
              <w:jc w:val="center"/>
              <w:rPr>
                <w:b/>
                <w:color w:val="000000" w:themeColor="text1"/>
                <w:sz w:val="20"/>
                <w:szCs w:val="20"/>
              </w:rPr>
            </w:pPr>
          </w:p>
        </w:tc>
        <w:tc>
          <w:tcPr>
            <w:tcW w:w="218" w:type="pct"/>
            <w:tcBorders>
              <w:top w:val="single" w:sz="4" w:space="0" w:color="auto"/>
              <w:bottom w:val="double" w:sz="4" w:space="0" w:color="auto"/>
            </w:tcBorders>
            <w:vAlign w:val="center"/>
          </w:tcPr>
          <w:p w14:paraId="565329DC" w14:textId="77777777" w:rsidR="00F57977" w:rsidRPr="00D14CD7" w:rsidRDefault="00F57977" w:rsidP="001D7C95">
            <w:pPr>
              <w:jc w:val="center"/>
              <w:rPr>
                <w:b/>
                <w:color w:val="000000" w:themeColor="text1"/>
                <w:sz w:val="20"/>
                <w:szCs w:val="20"/>
              </w:rPr>
            </w:pPr>
            <w:r w:rsidRPr="00D14CD7">
              <w:rPr>
                <w:b/>
                <w:color w:val="000000" w:themeColor="text1"/>
                <w:sz w:val="20"/>
                <w:szCs w:val="20"/>
              </w:rPr>
              <w:t>QSR</w:t>
            </w:r>
          </w:p>
        </w:tc>
        <w:tc>
          <w:tcPr>
            <w:tcW w:w="187" w:type="pct"/>
            <w:tcBorders>
              <w:top w:val="single" w:sz="4" w:space="0" w:color="auto"/>
              <w:bottom w:val="double" w:sz="4" w:space="0" w:color="auto"/>
            </w:tcBorders>
            <w:vAlign w:val="center"/>
          </w:tcPr>
          <w:p w14:paraId="4F79D315" w14:textId="77777777" w:rsidR="00F57977" w:rsidRPr="00D14CD7" w:rsidRDefault="00F57977" w:rsidP="001D7C95">
            <w:pPr>
              <w:jc w:val="center"/>
              <w:rPr>
                <w:b/>
                <w:color w:val="000000" w:themeColor="text1"/>
                <w:sz w:val="20"/>
                <w:szCs w:val="20"/>
              </w:rPr>
            </w:pPr>
            <w:r w:rsidRPr="00D14CD7">
              <w:rPr>
                <w:b/>
                <w:color w:val="000000" w:themeColor="text1"/>
                <w:sz w:val="20"/>
                <w:szCs w:val="20"/>
              </w:rPr>
              <w:t>CH</w:t>
            </w:r>
          </w:p>
        </w:tc>
        <w:tc>
          <w:tcPr>
            <w:tcW w:w="218" w:type="pct"/>
            <w:tcBorders>
              <w:top w:val="single" w:sz="4" w:space="0" w:color="auto"/>
              <w:bottom w:val="double" w:sz="4" w:space="0" w:color="auto"/>
            </w:tcBorders>
            <w:vAlign w:val="center"/>
          </w:tcPr>
          <w:p w14:paraId="0FA3B7A1" w14:textId="77777777" w:rsidR="00F57977" w:rsidRPr="00D14CD7" w:rsidRDefault="00F57977" w:rsidP="001D7C95">
            <w:pPr>
              <w:jc w:val="center"/>
              <w:rPr>
                <w:b/>
                <w:color w:val="000000" w:themeColor="text1"/>
                <w:sz w:val="20"/>
                <w:szCs w:val="20"/>
              </w:rPr>
            </w:pPr>
            <w:r w:rsidRPr="00D14CD7">
              <w:rPr>
                <w:b/>
                <w:color w:val="000000" w:themeColor="text1"/>
                <w:sz w:val="20"/>
                <w:szCs w:val="20"/>
              </w:rPr>
              <w:t>CSR</w:t>
            </w:r>
          </w:p>
        </w:tc>
        <w:tc>
          <w:tcPr>
            <w:tcW w:w="219" w:type="pct"/>
            <w:tcBorders>
              <w:top w:val="single" w:sz="4" w:space="0" w:color="auto"/>
              <w:bottom w:val="double" w:sz="4" w:space="0" w:color="auto"/>
              <w:right w:val="double" w:sz="4" w:space="0" w:color="auto"/>
            </w:tcBorders>
            <w:vAlign w:val="center"/>
          </w:tcPr>
          <w:p w14:paraId="16C85DA7" w14:textId="77777777" w:rsidR="00F57977" w:rsidRPr="00D14CD7" w:rsidRDefault="00F57977" w:rsidP="001D7C95">
            <w:pPr>
              <w:jc w:val="center"/>
              <w:rPr>
                <w:b/>
                <w:color w:val="000000" w:themeColor="text1"/>
                <w:sz w:val="20"/>
                <w:szCs w:val="20"/>
              </w:rPr>
            </w:pPr>
            <w:r w:rsidRPr="00D14CD7">
              <w:rPr>
                <w:b/>
                <w:color w:val="000000" w:themeColor="text1"/>
                <w:sz w:val="20"/>
                <w:szCs w:val="20"/>
              </w:rPr>
              <w:t>FSR</w:t>
            </w:r>
          </w:p>
        </w:tc>
        <w:tc>
          <w:tcPr>
            <w:tcW w:w="218" w:type="pct"/>
            <w:vMerge/>
            <w:tcBorders>
              <w:top w:val="single" w:sz="4" w:space="0" w:color="auto"/>
              <w:left w:val="double" w:sz="4" w:space="0" w:color="auto"/>
              <w:bottom w:val="double" w:sz="4" w:space="0" w:color="auto"/>
            </w:tcBorders>
            <w:vAlign w:val="center"/>
          </w:tcPr>
          <w:p w14:paraId="1FBD920F" w14:textId="77777777" w:rsidR="00F57977" w:rsidRPr="00D14CD7" w:rsidRDefault="00F57977" w:rsidP="001D7C95">
            <w:pPr>
              <w:jc w:val="center"/>
              <w:rPr>
                <w:b/>
                <w:color w:val="000000" w:themeColor="text1"/>
                <w:sz w:val="20"/>
                <w:szCs w:val="20"/>
              </w:rPr>
            </w:pPr>
          </w:p>
        </w:tc>
        <w:tc>
          <w:tcPr>
            <w:tcW w:w="218" w:type="pct"/>
            <w:tcBorders>
              <w:top w:val="single" w:sz="4" w:space="0" w:color="auto"/>
              <w:bottom w:val="double" w:sz="4" w:space="0" w:color="auto"/>
            </w:tcBorders>
            <w:vAlign w:val="center"/>
          </w:tcPr>
          <w:p w14:paraId="4698FA61" w14:textId="77777777" w:rsidR="00F57977" w:rsidRPr="00D14CD7" w:rsidRDefault="00F57977" w:rsidP="001D7C95">
            <w:pPr>
              <w:jc w:val="center"/>
              <w:rPr>
                <w:b/>
                <w:color w:val="000000" w:themeColor="text1"/>
                <w:sz w:val="20"/>
                <w:szCs w:val="20"/>
              </w:rPr>
            </w:pPr>
            <w:r w:rsidRPr="00D14CD7">
              <w:rPr>
                <w:b/>
                <w:color w:val="000000" w:themeColor="text1"/>
                <w:sz w:val="20"/>
                <w:szCs w:val="20"/>
              </w:rPr>
              <w:t>QSR</w:t>
            </w:r>
          </w:p>
        </w:tc>
        <w:tc>
          <w:tcPr>
            <w:tcW w:w="249" w:type="pct"/>
            <w:tcBorders>
              <w:top w:val="single" w:sz="4" w:space="0" w:color="auto"/>
              <w:bottom w:val="double" w:sz="4" w:space="0" w:color="auto"/>
            </w:tcBorders>
            <w:vAlign w:val="center"/>
          </w:tcPr>
          <w:p w14:paraId="75CA262A" w14:textId="77777777" w:rsidR="00F57977" w:rsidRPr="00D14CD7" w:rsidRDefault="00F57977" w:rsidP="001D7C95">
            <w:pPr>
              <w:jc w:val="center"/>
              <w:rPr>
                <w:b/>
                <w:color w:val="000000" w:themeColor="text1"/>
                <w:sz w:val="20"/>
                <w:szCs w:val="20"/>
              </w:rPr>
            </w:pPr>
            <w:r w:rsidRPr="00D14CD7">
              <w:rPr>
                <w:b/>
                <w:color w:val="000000" w:themeColor="text1"/>
                <w:sz w:val="20"/>
                <w:szCs w:val="20"/>
              </w:rPr>
              <w:t>CH</w:t>
            </w:r>
          </w:p>
        </w:tc>
        <w:tc>
          <w:tcPr>
            <w:tcW w:w="218" w:type="pct"/>
            <w:tcBorders>
              <w:top w:val="single" w:sz="4" w:space="0" w:color="auto"/>
              <w:bottom w:val="double" w:sz="4" w:space="0" w:color="auto"/>
            </w:tcBorders>
            <w:vAlign w:val="center"/>
          </w:tcPr>
          <w:p w14:paraId="67270BAC" w14:textId="77777777" w:rsidR="00F57977" w:rsidRPr="00D14CD7" w:rsidRDefault="00F57977" w:rsidP="001D7C95">
            <w:pPr>
              <w:jc w:val="center"/>
              <w:rPr>
                <w:b/>
                <w:color w:val="000000" w:themeColor="text1"/>
                <w:sz w:val="20"/>
                <w:szCs w:val="20"/>
              </w:rPr>
            </w:pPr>
            <w:r w:rsidRPr="00D14CD7">
              <w:rPr>
                <w:b/>
                <w:color w:val="000000" w:themeColor="text1"/>
                <w:sz w:val="20"/>
                <w:szCs w:val="20"/>
              </w:rPr>
              <w:t>CSR</w:t>
            </w:r>
          </w:p>
        </w:tc>
        <w:tc>
          <w:tcPr>
            <w:tcW w:w="246" w:type="pct"/>
            <w:tcBorders>
              <w:top w:val="single" w:sz="4" w:space="0" w:color="auto"/>
              <w:bottom w:val="double" w:sz="4" w:space="0" w:color="auto"/>
              <w:right w:val="double" w:sz="4" w:space="0" w:color="auto"/>
            </w:tcBorders>
            <w:vAlign w:val="center"/>
          </w:tcPr>
          <w:p w14:paraId="5FF7AD69" w14:textId="77777777" w:rsidR="00F57977" w:rsidRPr="00D14CD7" w:rsidRDefault="00F57977" w:rsidP="001D7C95">
            <w:pPr>
              <w:jc w:val="center"/>
              <w:rPr>
                <w:b/>
                <w:color w:val="000000" w:themeColor="text1"/>
                <w:sz w:val="20"/>
                <w:szCs w:val="20"/>
              </w:rPr>
            </w:pPr>
            <w:r w:rsidRPr="00D14CD7">
              <w:rPr>
                <w:b/>
                <w:color w:val="000000" w:themeColor="text1"/>
                <w:sz w:val="20"/>
                <w:szCs w:val="20"/>
              </w:rPr>
              <w:t>FSR</w:t>
            </w:r>
          </w:p>
        </w:tc>
      </w:tr>
      <w:tr w:rsidR="00D14CD7" w:rsidRPr="00D14CD7" w14:paraId="17925CBF" w14:textId="77777777" w:rsidTr="009678B0">
        <w:tc>
          <w:tcPr>
            <w:tcW w:w="5000" w:type="pct"/>
            <w:gridSpan w:val="18"/>
            <w:tcBorders>
              <w:top w:val="single" w:sz="8" w:space="0" w:color="auto"/>
              <w:left w:val="double" w:sz="4" w:space="0" w:color="auto"/>
              <w:bottom w:val="single" w:sz="4" w:space="0" w:color="auto"/>
              <w:right w:val="double" w:sz="4" w:space="0" w:color="auto"/>
            </w:tcBorders>
            <w:vAlign w:val="center"/>
          </w:tcPr>
          <w:p w14:paraId="5B77A218" w14:textId="77777777" w:rsidR="00170887" w:rsidRPr="00D14CD7" w:rsidRDefault="00170887" w:rsidP="00170887">
            <w:pPr>
              <w:jc w:val="left"/>
              <w:rPr>
                <w:b/>
                <w:color w:val="000000" w:themeColor="text1"/>
                <w:sz w:val="20"/>
                <w:szCs w:val="20"/>
              </w:rPr>
            </w:pPr>
            <w:r w:rsidRPr="00D14CD7">
              <w:rPr>
                <w:b/>
                <w:color w:val="000000" w:themeColor="text1"/>
                <w:sz w:val="20"/>
                <w:szCs w:val="20"/>
              </w:rPr>
              <w:t>Residential Location BE Factors</w:t>
            </w:r>
          </w:p>
        </w:tc>
      </w:tr>
      <w:tr w:rsidR="00D14CD7" w:rsidRPr="00D14CD7" w14:paraId="63BD8590" w14:textId="77777777" w:rsidTr="009678B0">
        <w:tc>
          <w:tcPr>
            <w:tcW w:w="654" w:type="pct"/>
            <w:tcBorders>
              <w:top w:val="single" w:sz="4" w:space="0" w:color="auto"/>
              <w:left w:val="double" w:sz="4" w:space="0" w:color="auto"/>
              <w:right w:val="double" w:sz="4" w:space="0" w:color="auto"/>
            </w:tcBorders>
            <w:vAlign w:val="center"/>
          </w:tcPr>
          <w:p w14:paraId="64FCBFAF" w14:textId="77777777" w:rsidR="00170887" w:rsidRPr="00D14CD7" w:rsidRDefault="00170887" w:rsidP="00170887">
            <w:pPr>
              <w:jc w:val="left"/>
              <w:rPr>
                <w:color w:val="000000" w:themeColor="text1"/>
                <w:sz w:val="20"/>
                <w:szCs w:val="20"/>
              </w:rPr>
            </w:pPr>
            <w:r w:rsidRPr="00D14CD7">
              <w:rPr>
                <w:color w:val="000000" w:themeColor="text1"/>
                <w:sz w:val="20"/>
                <w:szCs w:val="20"/>
              </w:rPr>
              <w:t>Land-use mix index</w:t>
            </w:r>
          </w:p>
        </w:tc>
        <w:tc>
          <w:tcPr>
            <w:tcW w:w="594" w:type="pct"/>
            <w:tcBorders>
              <w:top w:val="single" w:sz="4" w:space="0" w:color="auto"/>
              <w:left w:val="double" w:sz="4" w:space="0" w:color="auto"/>
            </w:tcBorders>
            <w:vAlign w:val="center"/>
          </w:tcPr>
          <w:p w14:paraId="4F529489" w14:textId="6009D3E8" w:rsidR="00170887" w:rsidRPr="00D14CD7" w:rsidRDefault="00170887" w:rsidP="00170887">
            <w:pPr>
              <w:jc w:val="left"/>
              <w:rPr>
                <w:color w:val="000000" w:themeColor="text1"/>
                <w:sz w:val="20"/>
                <w:szCs w:val="20"/>
              </w:rPr>
            </w:pPr>
            <w:r w:rsidRPr="00D14CD7">
              <w:rPr>
                <w:color w:val="000000" w:themeColor="text1"/>
                <w:sz w:val="20"/>
                <w:szCs w:val="20"/>
              </w:rPr>
              <w:t>0.40 (10th percentile)</w:t>
            </w:r>
          </w:p>
        </w:tc>
        <w:tc>
          <w:tcPr>
            <w:tcW w:w="562" w:type="pct"/>
            <w:tcBorders>
              <w:top w:val="single" w:sz="4" w:space="0" w:color="auto"/>
              <w:right w:val="double" w:sz="4" w:space="0" w:color="auto"/>
            </w:tcBorders>
            <w:vAlign w:val="center"/>
          </w:tcPr>
          <w:p w14:paraId="2E191E31" w14:textId="77777777" w:rsidR="00170887" w:rsidRPr="00D14CD7" w:rsidRDefault="00170887" w:rsidP="00170887">
            <w:pPr>
              <w:jc w:val="left"/>
              <w:rPr>
                <w:color w:val="000000" w:themeColor="text1"/>
                <w:sz w:val="20"/>
                <w:szCs w:val="20"/>
              </w:rPr>
            </w:pPr>
            <w:r w:rsidRPr="00D14CD7">
              <w:rPr>
                <w:color w:val="000000" w:themeColor="text1"/>
                <w:sz w:val="20"/>
                <w:szCs w:val="20"/>
              </w:rPr>
              <w:t>0.80 (90th percentile)</w:t>
            </w:r>
          </w:p>
        </w:tc>
        <w:tc>
          <w:tcPr>
            <w:tcW w:w="202" w:type="pct"/>
            <w:tcBorders>
              <w:top w:val="single" w:sz="4" w:space="0" w:color="auto"/>
              <w:left w:val="double" w:sz="4" w:space="0" w:color="auto"/>
            </w:tcBorders>
            <w:vAlign w:val="center"/>
          </w:tcPr>
          <w:p w14:paraId="14A81026" w14:textId="77777777" w:rsidR="00170887" w:rsidRPr="00D14CD7" w:rsidRDefault="00170887" w:rsidP="00170887">
            <w:pPr>
              <w:jc w:val="right"/>
              <w:rPr>
                <w:color w:val="000000" w:themeColor="text1"/>
                <w:sz w:val="20"/>
                <w:szCs w:val="20"/>
              </w:rPr>
            </w:pPr>
            <w:r w:rsidRPr="00D14CD7">
              <w:rPr>
                <w:rFonts w:eastAsia="Times New Roman"/>
                <w:color w:val="000000" w:themeColor="text1"/>
                <w:sz w:val="20"/>
                <w:szCs w:val="20"/>
              </w:rPr>
              <w:t>4.88</w:t>
            </w:r>
          </w:p>
        </w:tc>
        <w:tc>
          <w:tcPr>
            <w:tcW w:w="218" w:type="pct"/>
            <w:tcBorders>
              <w:top w:val="single" w:sz="4" w:space="0" w:color="auto"/>
            </w:tcBorders>
            <w:vAlign w:val="center"/>
          </w:tcPr>
          <w:p w14:paraId="0E804D30" w14:textId="77777777" w:rsidR="00170887" w:rsidRPr="00D14CD7" w:rsidRDefault="00170887" w:rsidP="00170887">
            <w:pPr>
              <w:jc w:val="right"/>
              <w:rPr>
                <w:color w:val="000000" w:themeColor="text1"/>
                <w:sz w:val="20"/>
                <w:szCs w:val="20"/>
              </w:rPr>
            </w:pPr>
            <w:r w:rsidRPr="00D14CD7">
              <w:rPr>
                <w:rFonts w:eastAsia="Times New Roman"/>
                <w:color w:val="000000" w:themeColor="text1"/>
                <w:sz w:val="20"/>
                <w:szCs w:val="20"/>
              </w:rPr>
              <w:t>15.7</w:t>
            </w:r>
          </w:p>
        </w:tc>
        <w:tc>
          <w:tcPr>
            <w:tcW w:w="187" w:type="pct"/>
            <w:tcBorders>
              <w:top w:val="single" w:sz="4" w:space="0" w:color="auto"/>
            </w:tcBorders>
            <w:vAlign w:val="center"/>
          </w:tcPr>
          <w:p w14:paraId="6B1DD392" w14:textId="131CF517" w:rsidR="00170887" w:rsidRPr="00D14CD7" w:rsidRDefault="00170887" w:rsidP="00170887">
            <w:pPr>
              <w:jc w:val="right"/>
              <w:rPr>
                <w:color w:val="000000" w:themeColor="text1"/>
                <w:sz w:val="20"/>
                <w:szCs w:val="20"/>
              </w:rPr>
            </w:pPr>
            <w:r w:rsidRPr="00D14CD7">
              <w:rPr>
                <w:rFonts w:eastAsia="Times New Roman"/>
                <w:color w:val="000000" w:themeColor="text1"/>
                <w:sz w:val="20"/>
                <w:szCs w:val="20"/>
              </w:rPr>
              <w:t>5.</w:t>
            </w:r>
            <w:r w:rsidR="00FC630C" w:rsidRPr="00D14CD7">
              <w:rPr>
                <w:rFonts w:eastAsia="Times New Roman"/>
                <w:color w:val="000000" w:themeColor="text1"/>
                <w:sz w:val="20"/>
                <w:szCs w:val="20"/>
              </w:rPr>
              <w:t>5</w:t>
            </w:r>
          </w:p>
        </w:tc>
        <w:tc>
          <w:tcPr>
            <w:tcW w:w="218" w:type="pct"/>
            <w:tcBorders>
              <w:top w:val="single" w:sz="4" w:space="0" w:color="auto"/>
            </w:tcBorders>
            <w:vAlign w:val="center"/>
          </w:tcPr>
          <w:p w14:paraId="724A7D86" w14:textId="77777777" w:rsidR="00170887" w:rsidRPr="00D14CD7" w:rsidRDefault="00170887" w:rsidP="00170887">
            <w:pPr>
              <w:jc w:val="right"/>
              <w:rPr>
                <w:color w:val="000000" w:themeColor="text1"/>
                <w:sz w:val="20"/>
                <w:szCs w:val="20"/>
              </w:rPr>
            </w:pPr>
            <w:r w:rsidRPr="00D14CD7">
              <w:rPr>
                <w:rFonts w:eastAsia="Times New Roman"/>
                <w:color w:val="000000" w:themeColor="text1"/>
                <w:sz w:val="20"/>
                <w:szCs w:val="20"/>
              </w:rPr>
              <w:t>67.3</w:t>
            </w:r>
          </w:p>
        </w:tc>
        <w:tc>
          <w:tcPr>
            <w:tcW w:w="187" w:type="pct"/>
            <w:tcBorders>
              <w:top w:val="single" w:sz="4" w:space="0" w:color="auto"/>
              <w:right w:val="double" w:sz="4" w:space="0" w:color="auto"/>
            </w:tcBorders>
            <w:vAlign w:val="center"/>
          </w:tcPr>
          <w:p w14:paraId="2EBE76B1" w14:textId="77777777" w:rsidR="00170887" w:rsidRPr="00D14CD7" w:rsidRDefault="00170887" w:rsidP="00170887">
            <w:pPr>
              <w:jc w:val="right"/>
              <w:rPr>
                <w:color w:val="000000" w:themeColor="text1"/>
                <w:sz w:val="20"/>
                <w:szCs w:val="20"/>
              </w:rPr>
            </w:pPr>
            <w:r w:rsidRPr="00D14CD7">
              <w:rPr>
                <w:rFonts w:eastAsia="Times New Roman"/>
                <w:color w:val="000000" w:themeColor="text1"/>
                <w:sz w:val="20"/>
                <w:szCs w:val="20"/>
              </w:rPr>
              <w:t>11.5</w:t>
            </w:r>
          </w:p>
        </w:tc>
        <w:tc>
          <w:tcPr>
            <w:tcW w:w="187" w:type="pct"/>
            <w:tcBorders>
              <w:top w:val="single" w:sz="4" w:space="0" w:color="auto"/>
              <w:left w:val="double" w:sz="4" w:space="0" w:color="auto"/>
            </w:tcBorders>
            <w:vAlign w:val="center"/>
          </w:tcPr>
          <w:p w14:paraId="5BDC2543" w14:textId="77777777" w:rsidR="00170887" w:rsidRPr="00D14CD7" w:rsidRDefault="00170887" w:rsidP="00170887">
            <w:pPr>
              <w:jc w:val="right"/>
              <w:rPr>
                <w:color w:val="000000" w:themeColor="text1"/>
                <w:sz w:val="20"/>
                <w:szCs w:val="20"/>
              </w:rPr>
            </w:pPr>
            <w:r w:rsidRPr="00D14CD7">
              <w:rPr>
                <w:color w:val="000000" w:themeColor="text1"/>
                <w:sz w:val="20"/>
                <w:szCs w:val="20"/>
              </w:rPr>
              <w:t>3.17</w:t>
            </w:r>
          </w:p>
        </w:tc>
        <w:tc>
          <w:tcPr>
            <w:tcW w:w="218" w:type="pct"/>
            <w:tcBorders>
              <w:top w:val="single" w:sz="4" w:space="0" w:color="auto"/>
            </w:tcBorders>
            <w:vAlign w:val="center"/>
          </w:tcPr>
          <w:p w14:paraId="278E67B0" w14:textId="58F33D02" w:rsidR="00170887" w:rsidRPr="00D14CD7" w:rsidRDefault="00170887" w:rsidP="00170887">
            <w:pPr>
              <w:jc w:val="right"/>
              <w:rPr>
                <w:color w:val="000000" w:themeColor="text1"/>
                <w:sz w:val="20"/>
                <w:szCs w:val="20"/>
              </w:rPr>
            </w:pPr>
            <w:r w:rsidRPr="00D14CD7">
              <w:rPr>
                <w:rFonts w:eastAsia="Times New Roman"/>
                <w:color w:val="000000" w:themeColor="text1"/>
                <w:sz w:val="20"/>
                <w:szCs w:val="20"/>
              </w:rPr>
              <w:t>15.</w:t>
            </w:r>
            <w:r w:rsidR="00FC630C" w:rsidRPr="00D14CD7">
              <w:rPr>
                <w:rFonts w:eastAsia="Times New Roman"/>
                <w:color w:val="000000" w:themeColor="text1"/>
                <w:sz w:val="20"/>
                <w:szCs w:val="20"/>
              </w:rPr>
              <w:t>4</w:t>
            </w:r>
          </w:p>
        </w:tc>
        <w:tc>
          <w:tcPr>
            <w:tcW w:w="187" w:type="pct"/>
            <w:tcBorders>
              <w:top w:val="single" w:sz="4" w:space="0" w:color="auto"/>
            </w:tcBorders>
            <w:vAlign w:val="center"/>
          </w:tcPr>
          <w:p w14:paraId="1D2C9771" w14:textId="77777777" w:rsidR="00170887" w:rsidRPr="00D14CD7" w:rsidRDefault="00170887" w:rsidP="00170887">
            <w:pPr>
              <w:jc w:val="right"/>
              <w:rPr>
                <w:color w:val="000000" w:themeColor="text1"/>
                <w:sz w:val="20"/>
                <w:szCs w:val="20"/>
              </w:rPr>
            </w:pPr>
            <w:r w:rsidRPr="00D14CD7">
              <w:rPr>
                <w:rFonts w:eastAsia="Times New Roman"/>
                <w:color w:val="000000" w:themeColor="text1"/>
                <w:sz w:val="20"/>
                <w:szCs w:val="20"/>
              </w:rPr>
              <w:t>5.6</w:t>
            </w:r>
          </w:p>
        </w:tc>
        <w:tc>
          <w:tcPr>
            <w:tcW w:w="218" w:type="pct"/>
            <w:tcBorders>
              <w:top w:val="single" w:sz="4" w:space="0" w:color="auto"/>
            </w:tcBorders>
            <w:vAlign w:val="center"/>
          </w:tcPr>
          <w:p w14:paraId="52BA8EFC" w14:textId="067864C6" w:rsidR="00170887" w:rsidRPr="00D14CD7" w:rsidRDefault="00170887" w:rsidP="00170887">
            <w:pPr>
              <w:jc w:val="right"/>
              <w:rPr>
                <w:color w:val="000000" w:themeColor="text1"/>
                <w:sz w:val="20"/>
                <w:szCs w:val="20"/>
              </w:rPr>
            </w:pPr>
            <w:r w:rsidRPr="00D14CD7">
              <w:rPr>
                <w:rFonts w:eastAsia="Times New Roman"/>
                <w:color w:val="000000" w:themeColor="text1"/>
                <w:sz w:val="20"/>
                <w:szCs w:val="20"/>
              </w:rPr>
              <w:t>67.</w:t>
            </w:r>
            <w:r w:rsidR="00FC630C" w:rsidRPr="00D14CD7">
              <w:rPr>
                <w:rFonts w:eastAsia="Times New Roman"/>
                <w:color w:val="000000" w:themeColor="text1"/>
                <w:sz w:val="20"/>
                <w:szCs w:val="20"/>
              </w:rPr>
              <w:t>3</w:t>
            </w:r>
          </w:p>
        </w:tc>
        <w:tc>
          <w:tcPr>
            <w:tcW w:w="219" w:type="pct"/>
            <w:tcBorders>
              <w:top w:val="single" w:sz="4" w:space="0" w:color="auto"/>
              <w:right w:val="double" w:sz="4" w:space="0" w:color="auto"/>
            </w:tcBorders>
            <w:vAlign w:val="center"/>
          </w:tcPr>
          <w:p w14:paraId="5A0C3795" w14:textId="77777777" w:rsidR="00170887" w:rsidRPr="00D14CD7" w:rsidRDefault="00170887" w:rsidP="00170887">
            <w:pPr>
              <w:jc w:val="right"/>
              <w:rPr>
                <w:color w:val="000000" w:themeColor="text1"/>
                <w:sz w:val="20"/>
                <w:szCs w:val="20"/>
              </w:rPr>
            </w:pPr>
            <w:r w:rsidRPr="00D14CD7">
              <w:rPr>
                <w:rFonts w:eastAsia="Times New Roman"/>
                <w:color w:val="000000" w:themeColor="text1"/>
                <w:sz w:val="20"/>
                <w:szCs w:val="20"/>
              </w:rPr>
              <w:t>11.8</w:t>
            </w:r>
          </w:p>
        </w:tc>
        <w:tc>
          <w:tcPr>
            <w:tcW w:w="218" w:type="pct"/>
            <w:tcBorders>
              <w:top w:val="single" w:sz="4" w:space="0" w:color="auto"/>
              <w:left w:val="double" w:sz="4" w:space="0" w:color="auto"/>
            </w:tcBorders>
            <w:vAlign w:val="center"/>
          </w:tcPr>
          <w:p w14:paraId="21BD2766" w14:textId="77777777" w:rsidR="00170887" w:rsidRPr="00D14CD7" w:rsidRDefault="00170887" w:rsidP="00170887">
            <w:pPr>
              <w:jc w:val="right"/>
              <w:rPr>
                <w:color w:val="000000" w:themeColor="text1"/>
                <w:sz w:val="20"/>
                <w:szCs w:val="20"/>
              </w:rPr>
            </w:pPr>
            <w:r w:rsidRPr="00D14CD7">
              <w:rPr>
                <w:rFonts w:eastAsia="Times New Roman"/>
                <w:color w:val="000000" w:themeColor="text1"/>
                <w:sz w:val="20"/>
                <w:szCs w:val="20"/>
              </w:rPr>
              <w:t>-1.7</w:t>
            </w:r>
          </w:p>
        </w:tc>
        <w:tc>
          <w:tcPr>
            <w:tcW w:w="218" w:type="pct"/>
            <w:tcBorders>
              <w:top w:val="single" w:sz="4" w:space="0" w:color="auto"/>
            </w:tcBorders>
            <w:vAlign w:val="center"/>
          </w:tcPr>
          <w:p w14:paraId="709D267B" w14:textId="77777777" w:rsidR="00170887" w:rsidRPr="00D14CD7" w:rsidRDefault="00170887" w:rsidP="00170887">
            <w:pPr>
              <w:jc w:val="right"/>
              <w:rPr>
                <w:rFonts w:eastAsia="Times New Roman"/>
                <w:color w:val="000000" w:themeColor="text1"/>
                <w:sz w:val="20"/>
                <w:szCs w:val="20"/>
              </w:rPr>
            </w:pPr>
            <w:r w:rsidRPr="00D14CD7">
              <w:rPr>
                <w:rFonts w:eastAsia="Times New Roman"/>
                <w:color w:val="000000" w:themeColor="text1"/>
                <w:sz w:val="20"/>
                <w:szCs w:val="20"/>
              </w:rPr>
              <w:t>-4.0</w:t>
            </w:r>
          </w:p>
        </w:tc>
        <w:tc>
          <w:tcPr>
            <w:tcW w:w="249" w:type="pct"/>
            <w:tcBorders>
              <w:top w:val="single" w:sz="4" w:space="0" w:color="auto"/>
            </w:tcBorders>
            <w:vAlign w:val="center"/>
          </w:tcPr>
          <w:p w14:paraId="57DA1FE3" w14:textId="77777777" w:rsidR="00170887" w:rsidRPr="00D14CD7" w:rsidRDefault="00170887" w:rsidP="00170887">
            <w:pPr>
              <w:jc w:val="right"/>
              <w:rPr>
                <w:rFonts w:eastAsia="Times New Roman"/>
                <w:color w:val="000000" w:themeColor="text1"/>
                <w:sz w:val="20"/>
                <w:szCs w:val="20"/>
              </w:rPr>
            </w:pPr>
            <w:r w:rsidRPr="00D14CD7">
              <w:rPr>
                <w:rFonts w:eastAsia="Times New Roman"/>
                <w:color w:val="000000" w:themeColor="text1"/>
                <w:sz w:val="20"/>
                <w:szCs w:val="20"/>
              </w:rPr>
              <w:t>2.6</w:t>
            </w:r>
          </w:p>
        </w:tc>
        <w:tc>
          <w:tcPr>
            <w:tcW w:w="218" w:type="pct"/>
            <w:tcBorders>
              <w:top w:val="single" w:sz="4" w:space="0" w:color="auto"/>
            </w:tcBorders>
            <w:vAlign w:val="center"/>
          </w:tcPr>
          <w:p w14:paraId="6606342F" w14:textId="77777777" w:rsidR="00170887" w:rsidRPr="00D14CD7" w:rsidRDefault="00170887" w:rsidP="00170887">
            <w:pPr>
              <w:jc w:val="right"/>
              <w:rPr>
                <w:rFonts w:eastAsia="Times New Roman"/>
                <w:color w:val="000000" w:themeColor="text1"/>
                <w:sz w:val="20"/>
                <w:szCs w:val="20"/>
              </w:rPr>
            </w:pPr>
            <w:r w:rsidRPr="00D14CD7">
              <w:rPr>
                <w:rFonts w:eastAsia="Times New Roman"/>
                <w:color w:val="000000" w:themeColor="text1"/>
                <w:sz w:val="20"/>
                <w:szCs w:val="20"/>
              </w:rPr>
              <w:t>-2.0</w:t>
            </w:r>
          </w:p>
        </w:tc>
        <w:tc>
          <w:tcPr>
            <w:tcW w:w="246" w:type="pct"/>
            <w:tcBorders>
              <w:top w:val="single" w:sz="4" w:space="0" w:color="auto"/>
              <w:right w:val="double" w:sz="4" w:space="0" w:color="auto"/>
            </w:tcBorders>
            <w:vAlign w:val="center"/>
          </w:tcPr>
          <w:p w14:paraId="170CDE6C" w14:textId="77777777" w:rsidR="00170887" w:rsidRPr="00D14CD7" w:rsidRDefault="00170887" w:rsidP="00170887">
            <w:pPr>
              <w:jc w:val="right"/>
              <w:rPr>
                <w:rFonts w:eastAsia="Times New Roman"/>
                <w:color w:val="000000" w:themeColor="text1"/>
                <w:sz w:val="20"/>
                <w:szCs w:val="20"/>
              </w:rPr>
            </w:pPr>
            <w:r w:rsidRPr="00D14CD7">
              <w:rPr>
                <w:rFonts w:eastAsia="Times New Roman"/>
                <w:color w:val="000000" w:themeColor="text1"/>
                <w:sz w:val="20"/>
                <w:szCs w:val="20"/>
              </w:rPr>
              <w:t>0.9</w:t>
            </w:r>
          </w:p>
        </w:tc>
      </w:tr>
      <w:tr w:rsidR="00D14CD7" w:rsidRPr="00D14CD7" w14:paraId="4B3366FD" w14:textId="77777777" w:rsidTr="009678B0">
        <w:tc>
          <w:tcPr>
            <w:tcW w:w="654" w:type="pct"/>
            <w:tcBorders>
              <w:left w:val="double" w:sz="4" w:space="0" w:color="auto"/>
              <w:right w:val="double" w:sz="4" w:space="0" w:color="auto"/>
            </w:tcBorders>
            <w:vAlign w:val="center"/>
          </w:tcPr>
          <w:p w14:paraId="78B9C538" w14:textId="77777777" w:rsidR="00170887" w:rsidRPr="00D14CD7" w:rsidRDefault="00170887" w:rsidP="00170887">
            <w:pPr>
              <w:jc w:val="left"/>
              <w:rPr>
                <w:color w:val="000000" w:themeColor="text1"/>
                <w:sz w:val="20"/>
                <w:szCs w:val="20"/>
              </w:rPr>
            </w:pPr>
            <w:r w:rsidRPr="00D14CD7">
              <w:rPr>
                <w:rFonts w:eastAsia="Times New Roman"/>
                <w:color w:val="000000" w:themeColor="text1"/>
                <w:sz w:val="20"/>
                <w:szCs w:val="20"/>
              </w:rPr>
              <w:t>Fraction of QSR restaurants</w:t>
            </w:r>
          </w:p>
        </w:tc>
        <w:tc>
          <w:tcPr>
            <w:tcW w:w="594" w:type="pct"/>
            <w:tcBorders>
              <w:left w:val="double" w:sz="4" w:space="0" w:color="auto"/>
            </w:tcBorders>
            <w:vAlign w:val="center"/>
          </w:tcPr>
          <w:p w14:paraId="09CFE25E" w14:textId="74135B25" w:rsidR="00170887" w:rsidRPr="00D14CD7" w:rsidRDefault="00170887" w:rsidP="00170887">
            <w:pPr>
              <w:jc w:val="left"/>
              <w:rPr>
                <w:color w:val="000000" w:themeColor="text1"/>
                <w:sz w:val="20"/>
                <w:szCs w:val="20"/>
              </w:rPr>
            </w:pPr>
            <w:r w:rsidRPr="00D14CD7">
              <w:rPr>
                <w:color w:val="000000" w:themeColor="text1"/>
                <w:sz w:val="20"/>
                <w:szCs w:val="20"/>
              </w:rPr>
              <w:t>0.00 (10th percentile)</w:t>
            </w:r>
          </w:p>
        </w:tc>
        <w:tc>
          <w:tcPr>
            <w:tcW w:w="562" w:type="pct"/>
            <w:tcBorders>
              <w:right w:val="double" w:sz="4" w:space="0" w:color="auto"/>
            </w:tcBorders>
            <w:vAlign w:val="center"/>
          </w:tcPr>
          <w:p w14:paraId="072BEEB8" w14:textId="77777777" w:rsidR="00170887" w:rsidRPr="00D14CD7" w:rsidRDefault="00170887" w:rsidP="00170887">
            <w:pPr>
              <w:jc w:val="left"/>
              <w:rPr>
                <w:color w:val="000000" w:themeColor="text1"/>
                <w:sz w:val="20"/>
                <w:szCs w:val="20"/>
              </w:rPr>
            </w:pPr>
            <w:r w:rsidRPr="00D14CD7">
              <w:rPr>
                <w:color w:val="000000" w:themeColor="text1"/>
                <w:sz w:val="20"/>
                <w:szCs w:val="20"/>
              </w:rPr>
              <w:t>0.30 (90th percentile)</w:t>
            </w:r>
          </w:p>
        </w:tc>
        <w:tc>
          <w:tcPr>
            <w:tcW w:w="202" w:type="pct"/>
            <w:tcBorders>
              <w:left w:val="double" w:sz="4" w:space="0" w:color="auto"/>
            </w:tcBorders>
            <w:vAlign w:val="center"/>
          </w:tcPr>
          <w:p w14:paraId="3B71AFA8" w14:textId="77777777" w:rsidR="00170887" w:rsidRPr="00D14CD7" w:rsidRDefault="00170887" w:rsidP="00170887">
            <w:pPr>
              <w:jc w:val="right"/>
              <w:rPr>
                <w:color w:val="000000" w:themeColor="text1"/>
                <w:sz w:val="20"/>
                <w:szCs w:val="20"/>
              </w:rPr>
            </w:pPr>
            <w:r w:rsidRPr="00D14CD7">
              <w:rPr>
                <w:rFonts w:eastAsia="Times New Roman"/>
                <w:color w:val="000000" w:themeColor="text1"/>
                <w:sz w:val="20"/>
                <w:szCs w:val="20"/>
              </w:rPr>
              <w:t>3.10</w:t>
            </w:r>
          </w:p>
        </w:tc>
        <w:tc>
          <w:tcPr>
            <w:tcW w:w="218" w:type="pct"/>
            <w:vAlign w:val="center"/>
          </w:tcPr>
          <w:p w14:paraId="136C9D52" w14:textId="77777777" w:rsidR="00170887" w:rsidRPr="00D14CD7" w:rsidRDefault="00170887" w:rsidP="00170887">
            <w:pPr>
              <w:jc w:val="right"/>
              <w:rPr>
                <w:color w:val="000000" w:themeColor="text1"/>
                <w:sz w:val="20"/>
                <w:szCs w:val="20"/>
              </w:rPr>
            </w:pPr>
            <w:r w:rsidRPr="00D14CD7">
              <w:rPr>
                <w:rFonts w:eastAsia="Times New Roman"/>
                <w:color w:val="000000" w:themeColor="text1"/>
                <w:sz w:val="20"/>
                <w:szCs w:val="20"/>
              </w:rPr>
              <w:t>12.9</w:t>
            </w:r>
          </w:p>
        </w:tc>
        <w:tc>
          <w:tcPr>
            <w:tcW w:w="187" w:type="pct"/>
            <w:vAlign w:val="center"/>
          </w:tcPr>
          <w:p w14:paraId="48DC0BBC" w14:textId="77777777" w:rsidR="00170887" w:rsidRPr="00D14CD7" w:rsidRDefault="00170887" w:rsidP="00170887">
            <w:pPr>
              <w:jc w:val="right"/>
              <w:rPr>
                <w:color w:val="000000" w:themeColor="text1"/>
                <w:sz w:val="20"/>
                <w:szCs w:val="20"/>
              </w:rPr>
            </w:pPr>
            <w:r w:rsidRPr="00D14CD7">
              <w:rPr>
                <w:rFonts w:eastAsia="Times New Roman"/>
                <w:color w:val="000000" w:themeColor="text1"/>
                <w:sz w:val="20"/>
                <w:szCs w:val="20"/>
              </w:rPr>
              <w:t>5.8</w:t>
            </w:r>
          </w:p>
        </w:tc>
        <w:tc>
          <w:tcPr>
            <w:tcW w:w="218" w:type="pct"/>
            <w:vAlign w:val="center"/>
          </w:tcPr>
          <w:p w14:paraId="3CBB06EF" w14:textId="570F21C7" w:rsidR="00170887" w:rsidRPr="00D14CD7" w:rsidRDefault="00170887" w:rsidP="00170887">
            <w:pPr>
              <w:jc w:val="right"/>
              <w:rPr>
                <w:color w:val="000000" w:themeColor="text1"/>
                <w:sz w:val="20"/>
                <w:szCs w:val="20"/>
              </w:rPr>
            </w:pPr>
            <w:r w:rsidRPr="00D14CD7">
              <w:rPr>
                <w:rFonts w:eastAsia="Times New Roman"/>
                <w:color w:val="000000" w:themeColor="text1"/>
                <w:sz w:val="20"/>
                <w:szCs w:val="20"/>
              </w:rPr>
              <w:t>6</w:t>
            </w:r>
            <w:r w:rsidR="00FC630C" w:rsidRPr="00D14CD7">
              <w:rPr>
                <w:rFonts w:eastAsia="Times New Roman"/>
                <w:color w:val="000000" w:themeColor="text1"/>
                <w:sz w:val="20"/>
                <w:szCs w:val="20"/>
              </w:rPr>
              <w:t>9</w:t>
            </w:r>
            <w:r w:rsidRPr="00D14CD7">
              <w:rPr>
                <w:rFonts w:eastAsia="Times New Roman"/>
                <w:color w:val="000000" w:themeColor="text1"/>
                <w:sz w:val="20"/>
                <w:szCs w:val="20"/>
              </w:rPr>
              <w:t>.</w:t>
            </w:r>
            <w:r w:rsidR="00FC630C" w:rsidRPr="00D14CD7">
              <w:rPr>
                <w:rFonts w:eastAsia="Times New Roman"/>
                <w:color w:val="000000" w:themeColor="text1"/>
                <w:sz w:val="20"/>
                <w:szCs w:val="20"/>
              </w:rPr>
              <w:t>0</w:t>
            </w:r>
          </w:p>
        </w:tc>
        <w:tc>
          <w:tcPr>
            <w:tcW w:w="187" w:type="pct"/>
            <w:tcBorders>
              <w:right w:val="double" w:sz="4" w:space="0" w:color="auto"/>
            </w:tcBorders>
            <w:vAlign w:val="center"/>
          </w:tcPr>
          <w:p w14:paraId="6E05DE48" w14:textId="7A8FBAD0" w:rsidR="00170887" w:rsidRPr="00D14CD7" w:rsidRDefault="00170887" w:rsidP="00170887">
            <w:pPr>
              <w:jc w:val="right"/>
              <w:rPr>
                <w:color w:val="000000" w:themeColor="text1"/>
                <w:sz w:val="20"/>
                <w:szCs w:val="20"/>
              </w:rPr>
            </w:pPr>
            <w:r w:rsidRPr="00D14CD7">
              <w:rPr>
                <w:rFonts w:eastAsia="Times New Roman"/>
                <w:color w:val="000000" w:themeColor="text1"/>
                <w:sz w:val="20"/>
                <w:szCs w:val="20"/>
              </w:rPr>
              <w:t>12.</w:t>
            </w:r>
            <w:r w:rsidR="00FC630C" w:rsidRPr="00D14CD7">
              <w:rPr>
                <w:rFonts w:eastAsia="Times New Roman"/>
                <w:color w:val="000000" w:themeColor="text1"/>
                <w:sz w:val="20"/>
                <w:szCs w:val="20"/>
              </w:rPr>
              <w:t>3</w:t>
            </w:r>
          </w:p>
        </w:tc>
        <w:tc>
          <w:tcPr>
            <w:tcW w:w="187" w:type="pct"/>
            <w:tcBorders>
              <w:left w:val="double" w:sz="4" w:space="0" w:color="auto"/>
            </w:tcBorders>
            <w:vAlign w:val="center"/>
          </w:tcPr>
          <w:p w14:paraId="722D59BA" w14:textId="2A5D6B52" w:rsidR="00170887" w:rsidRPr="00D14CD7" w:rsidRDefault="00170887" w:rsidP="00170887">
            <w:pPr>
              <w:jc w:val="right"/>
              <w:rPr>
                <w:color w:val="000000" w:themeColor="text1"/>
                <w:sz w:val="20"/>
                <w:szCs w:val="20"/>
              </w:rPr>
            </w:pPr>
            <w:r w:rsidRPr="00D14CD7">
              <w:rPr>
                <w:rFonts w:eastAsia="Times New Roman"/>
                <w:color w:val="000000" w:themeColor="text1"/>
                <w:sz w:val="20"/>
                <w:szCs w:val="20"/>
              </w:rPr>
              <w:t>3.3</w:t>
            </w:r>
            <w:r w:rsidR="001D7C95" w:rsidRPr="00D14CD7">
              <w:rPr>
                <w:rFonts w:eastAsia="Times New Roman"/>
                <w:color w:val="000000" w:themeColor="text1"/>
                <w:sz w:val="20"/>
                <w:szCs w:val="20"/>
              </w:rPr>
              <w:t>1</w:t>
            </w:r>
          </w:p>
        </w:tc>
        <w:tc>
          <w:tcPr>
            <w:tcW w:w="218" w:type="pct"/>
            <w:vAlign w:val="center"/>
          </w:tcPr>
          <w:p w14:paraId="50D83239" w14:textId="76FEB080" w:rsidR="00170887" w:rsidRPr="00D14CD7" w:rsidRDefault="00170887" w:rsidP="00170887">
            <w:pPr>
              <w:jc w:val="right"/>
              <w:rPr>
                <w:color w:val="000000" w:themeColor="text1"/>
                <w:sz w:val="20"/>
                <w:szCs w:val="20"/>
              </w:rPr>
            </w:pPr>
            <w:r w:rsidRPr="00D14CD7">
              <w:rPr>
                <w:rFonts w:eastAsia="Times New Roman"/>
                <w:color w:val="000000" w:themeColor="text1"/>
                <w:sz w:val="20"/>
                <w:szCs w:val="20"/>
              </w:rPr>
              <w:t>17.</w:t>
            </w:r>
            <w:r w:rsidR="00FC630C" w:rsidRPr="00D14CD7">
              <w:rPr>
                <w:rFonts w:eastAsia="Times New Roman"/>
                <w:color w:val="000000" w:themeColor="text1"/>
                <w:sz w:val="20"/>
                <w:szCs w:val="20"/>
              </w:rPr>
              <w:t>9</w:t>
            </w:r>
          </w:p>
        </w:tc>
        <w:tc>
          <w:tcPr>
            <w:tcW w:w="187" w:type="pct"/>
            <w:vAlign w:val="center"/>
          </w:tcPr>
          <w:p w14:paraId="110BA614" w14:textId="77777777" w:rsidR="00170887" w:rsidRPr="00D14CD7" w:rsidRDefault="00170887" w:rsidP="00170887">
            <w:pPr>
              <w:jc w:val="right"/>
              <w:rPr>
                <w:color w:val="000000" w:themeColor="text1"/>
                <w:sz w:val="20"/>
                <w:szCs w:val="20"/>
              </w:rPr>
            </w:pPr>
            <w:r w:rsidRPr="00D14CD7">
              <w:rPr>
                <w:rFonts w:eastAsia="Times New Roman"/>
                <w:color w:val="000000" w:themeColor="text1"/>
                <w:sz w:val="20"/>
                <w:szCs w:val="20"/>
              </w:rPr>
              <w:t>5.2</w:t>
            </w:r>
          </w:p>
        </w:tc>
        <w:tc>
          <w:tcPr>
            <w:tcW w:w="218" w:type="pct"/>
            <w:vAlign w:val="center"/>
          </w:tcPr>
          <w:p w14:paraId="06EEF9ED" w14:textId="77777777" w:rsidR="00170887" w:rsidRPr="00D14CD7" w:rsidRDefault="00170887" w:rsidP="00170887">
            <w:pPr>
              <w:jc w:val="right"/>
              <w:rPr>
                <w:color w:val="000000" w:themeColor="text1"/>
                <w:sz w:val="20"/>
                <w:szCs w:val="20"/>
              </w:rPr>
            </w:pPr>
            <w:r w:rsidRPr="00D14CD7">
              <w:rPr>
                <w:rFonts w:eastAsia="Times New Roman"/>
                <w:color w:val="000000" w:themeColor="text1"/>
                <w:sz w:val="20"/>
                <w:szCs w:val="20"/>
              </w:rPr>
              <w:t>66.0</w:t>
            </w:r>
          </w:p>
        </w:tc>
        <w:tc>
          <w:tcPr>
            <w:tcW w:w="219" w:type="pct"/>
            <w:tcBorders>
              <w:right w:val="double" w:sz="4" w:space="0" w:color="auto"/>
            </w:tcBorders>
            <w:vAlign w:val="center"/>
          </w:tcPr>
          <w:p w14:paraId="18F6B677" w14:textId="77777777" w:rsidR="00170887" w:rsidRPr="00D14CD7" w:rsidRDefault="00170887" w:rsidP="00170887">
            <w:pPr>
              <w:jc w:val="right"/>
              <w:rPr>
                <w:color w:val="000000" w:themeColor="text1"/>
                <w:sz w:val="20"/>
                <w:szCs w:val="20"/>
              </w:rPr>
            </w:pPr>
            <w:r w:rsidRPr="00D14CD7">
              <w:rPr>
                <w:rFonts w:eastAsia="Times New Roman"/>
                <w:color w:val="000000" w:themeColor="text1"/>
                <w:sz w:val="20"/>
                <w:szCs w:val="20"/>
              </w:rPr>
              <w:t>10.9</w:t>
            </w:r>
          </w:p>
        </w:tc>
        <w:tc>
          <w:tcPr>
            <w:tcW w:w="218" w:type="pct"/>
            <w:tcBorders>
              <w:left w:val="double" w:sz="4" w:space="0" w:color="auto"/>
            </w:tcBorders>
            <w:vAlign w:val="center"/>
          </w:tcPr>
          <w:p w14:paraId="4BC2C401" w14:textId="77777777" w:rsidR="00170887" w:rsidRPr="00D14CD7" w:rsidRDefault="00170887" w:rsidP="00170887">
            <w:pPr>
              <w:jc w:val="right"/>
              <w:rPr>
                <w:color w:val="000000" w:themeColor="text1"/>
                <w:sz w:val="20"/>
                <w:szCs w:val="20"/>
              </w:rPr>
            </w:pPr>
            <w:r w:rsidRPr="00D14CD7">
              <w:rPr>
                <w:rFonts w:eastAsia="Times New Roman"/>
                <w:color w:val="000000" w:themeColor="text1"/>
                <w:sz w:val="20"/>
                <w:szCs w:val="20"/>
              </w:rPr>
              <w:t>6.5</w:t>
            </w:r>
          </w:p>
        </w:tc>
        <w:tc>
          <w:tcPr>
            <w:tcW w:w="218" w:type="pct"/>
            <w:vAlign w:val="center"/>
          </w:tcPr>
          <w:p w14:paraId="09E62CDD" w14:textId="77777777" w:rsidR="00170887" w:rsidRPr="00D14CD7" w:rsidRDefault="00170887" w:rsidP="00170887">
            <w:pPr>
              <w:jc w:val="right"/>
              <w:rPr>
                <w:rFonts w:eastAsia="Times New Roman"/>
                <w:color w:val="000000" w:themeColor="text1"/>
                <w:sz w:val="20"/>
                <w:szCs w:val="20"/>
              </w:rPr>
            </w:pPr>
            <w:r w:rsidRPr="00D14CD7">
              <w:rPr>
                <w:rFonts w:eastAsia="Times New Roman"/>
                <w:color w:val="000000" w:themeColor="text1"/>
                <w:sz w:val="20"/>
                <w:szCs w:val="20"/>
              </w:rPr>
              <w:t>46.7</w:t>
            </w:r>
          </w:p>
        </w:tc>
        <w:tc>
          <w:tcPr>
            <w:tcW w:w="249" w:type="pct"/>
            <w:vAlign w:val="center"/>
          </w:tcPr>
          <w:p w14:paraId="5E53CD3C" w14:textId="77777777" w:rsidR="00170887" w:rsidRPr="00D14CD7" w:rsidRDefault="00170887" w:rsidP="00170887">
            <w:pPr>
              <w:jc w:val="right"/>
              <w:rPr>
                <w:rFonts w:eastAsia="Times New Roman"/>
                <w:color w:val="000000" w:themeColor="text1"/>
                <w:sz w:val="20"/>
                <w:szCs w:val="20"/>
              </w:rPr>
            </w:pPr>
            <w:r w:rsidRPr="00D14CD7">
              <w:rPr>
                <w:rFonts w:eastAsia="Times New Roman"/>
                <w:color w:val="000000" w:themeColor="text1"/>
                <w:sz w:val="20"/>
                <w:szCs w:val="20"/>
              </w:rPr>
              <w:t>-4.8</w:t>
            </w:r>
          </w:p>
        </w:tc>
        <w:tc>
          <w:tcPr>
            <w:tcW w:w="218" w:type="pct"/>
            <w:vAlign w:val="center"/>
          </w:tcPr>
          <w:p w14:paraId="4FF5646B" w14:textId="77777777" w:rsidR="00170887" w:rsidRPr="00D14CD7" w:rsidRDefault="00170887" w:rsidP="00170887">
            <w:pPr>
              <w:jc w:val="right"/>
              <w:rPr>
                <w:rFonts w:eastAsia="Times New Roman"/>
                <w:color w:val="000000" w:themeColor="text1"/>
                <w:sz w:val="20"/>
                <w:szCs w:val="20"/>
              </w:rPr>
            </w:pPr>
            <w:r w:rsidRPr="00D14CD7">
              <w:rPr>
                <w:rFonts w:eastAsia="Times New Roman"/>
                <w:color w:val="000000" w:themeColor="text1"/>
                <w:sz w:val="20"/>
                <w:szCs w:val="20"/>
              </w:rPr>
              <w:t>2.0</w:t>
            </w:r>
          </w:p>
        </w:tc>
        <w:tc>
          <w:tcPr>
            <w:tcW w:w="246" w:type="pct"/>
            <w:tcBorders>
              <w:right w:val="double" w:sz="4" w:space="0" w:color="auto"/>
            </w:tcBorders>
            <w:vAlign w:val="center"/>
          </w:tcPr>
          <w:p w14:paraId="141A2CBF" w14:textId="77777777" w:rsidR="00170887" w:rsidRPr="00D14CD7" w:rsidRDefault="00170887" w:rsidP="00170887">
            <w:pPr>
              <w:jc w:val="right"/>
              <w:rPr>
                <w:rFonts w:eastAsia="Times New Roman"/>
                <w:color w:val="000000" w:themeColor="text1"/>
                <w:sz w:val="20"/>
                <w:szCs w:val="20"/>
              </w:rPr>
            </w:pPr>
            <w:r w:rsidRPr="00D14CD7">
              <w:rPr>
                <w:rFonts w:eastAsia="Times New Roman"/>
                <w:color w:val="000000" w:themeColor="text1"/>
                <w:sz w:val="20"/>
                <w:szCs w:val="20"/>
              </w:rPr>
              <w:t>-5.0</w:t>
            </w:r>
          </w:p>
        </w:tc>
      </w:tr>
      <w:tr w:rsidR="00D14CD7" w:rsidRPr="00D14CD7" w14:paraId="7A7E54DE" w14:textId="77777777" w:rsidTr="009678B0">
        <w:tc>
          <w:tcPr>
            <w:tcW w:w="654" w:type="pct"/>
            <w:tcBorders>
              <w:left w:val="double" w:sz="4" w:space="0" w:color="auto"/>
              <w:bottom w:val="single" w:sz="8" w:space="0" w:color="auto"/>
              <w:right w:val="double" w:sz="4" w:space="0" w:color="auto"/>
            </w:tcBorders>
            <w:vAlign w:val="center"/>
          </w:tcPr>
          <w:p w14:paraId="0E02DC51" w14:textId="77777777" w:rsidR="00170887" w:rsidRPr="00D14CD7" w:rsidRDefault="00170887" w:rsidP="00170887">
            <w:pPr>
              <w:jc w:val="left"/>
              <w:rPr>
                <w:color w:val="000000" w:themeColor="text1"/>
                <w:sz w:val="20"/>
                <w:szCs w:val="20"/>
              </w:rPr>
            </w:pPr>
            <w:r w:rsidRPr="00D14CD7">
              <w:rPr>
                <w:rFonts w:eastAsia="Times New Roman"/>
                <w:color w:val="000000" w:themeColor="text1"/>
                <w:sz w:val="20"/>
                <w:szCs w:val="20"/>
              </w:rPr>
              <w:t>Restaurant density (number of restaurants/100 square acres)</w:t>
            </w:r>
          </w:p>
        </w:tc>
        <w:tc>
          <w:tcPr>
            <w:tcW w:w="594" w:type="pct"/>
            <w:tcBorders>
              <w:left w:val="double" w:sz="4" w:space="0" w:color="auto"/>
              <w:bottom w:val="single" w:sz="8" w:space="0" w:color="auto"/>
            </w:tcBorders>
            <w:vAlign w:val="center"/>
          </w:tcPr>
          <w:p w14:paraId="1ECAD230" w14:textId="77777777" w:rsidR="00170887" w:rsidRPr="00D14CD7" w:rsidRDefault="00170887" w:rsidP="00170887">
            <w:pPr>
              <w:jc w:val="left"/>
              <w:rPr>
                <w:color w:val="000000" w:themeColor="text1"/>
                <w:sz w:val="20"/>
                <w:szCs w:val="20"/>
              </w:rPr>
            </w:pPr>
            <w:r w:rsidRPr="00D14CD7">
              <w:rPr>
                <w:color w:val="000000" w:themeColor="text1"/>
                <w:sz w:val="20"/>
                <w:szCs w:val="20"/>
              </w:rPr>
              <w:t>0.00 (10th percentile)</w:t>
            </w:r>
          </w:p>
        </w:tc>
        <w:tc>
          <w:tcPr>
            <w:tcW w:w="562" w:type="pct"/>
            <w:tcBorders>
              <w:bottom w:val="single" w:sz="8" w:space="0" w:color="auto"/>
              <w:right w:val="double" w:sz="4" w:space="0" w:color="auto"/>
            </w:tcBorders>
            <w:vAlign w:val="center"/>
          </w:tcPr>
          <w:p w14:paraId="65EE4F35" w14:textId="77777777" w:rsidR="00170887" w:rsidRPr="00D14CD7" w:rsidRDefault="00170887" w:rsidP="00170887">
            <w:pPr>
              <w:jc w:val="left"/>
              <w:rPr>
                <w:color w:val="000000" w:themeColor="text1"/>
                <w:sz w:val="20"/>
                <w:szCs w:val="20"/>
              </w:rPr>
            </w:pPr>
            <w:r w:rsidRPr="00D14CD7">
              <w:rPr>
                <w:color w:val="000000" w:themeColor="text1"/>
                <w:sz w:val="20"/>
                <w:szCs w:val="20"/>
              </w:rPr>
              <w:t>0.03 (90th percentile)</w:t>
            </w:r>
          </w:p>
        </w:tc>
        <w:tc>
          <w:tcPr>
            <w:tcW w:w="202" w:type="pct"/>
            <w:tcBorders>
              <w:left w:val="double" w:sz="4" w:space="0" w:color="auto"/>
              <w:bottom w:val="single" w:sz="8" w:space="0" w:color="auto"/>
            </w:tcBorders>
            <w:vAlign w:val="center"/>
          </w:tcPr>
          <w:p w14:paraId="026180F2" w14:textId="77777777" w:rsidR="00170887" w:rsidRPr="00D14CD7" w:rsidRDefault="00170887" w:rsidP="00170887">
            <w:pPr>
              <w:jc w:val="right"/>
              <w:rPr>
                <w:color w:val="000000" w:themeColor="text1"/>
                <w:sz w:val="20"/>
                <w:szCs w:val="20"/>
              </w:rPr>
            </w:pPr>
            <w:r w:rsidRPr="00D14CD7">
              <w:rPr>
                <w:rFonts w:eastAsia="Times New Roman"/>
                <w:color w:val="000000" w:themeColor="text1"/>
                <w:sz w:val="20"/>
                <w:szCs w:val="20"/>
              </w:rPr>
              <w:t>3.09</w:t>
            </w:r>
          </w:p>
        </w:tc>
        <w:tc>
          <w:tcPr>
            <w:tcW w:w="218" w:type="pct"/>
            <w:tcBorders>
              <w:bottom w:val="single" w:sz="8" w:space="0" w:color="auto"/>
            </w:tcBorders>
            <w:vAlign w:val="center"/>
          </w:tcPr>
          <w:p w14:paraId="719C6B79" w14:textId="23C610EB" w:rsidR="00170887" w:rsidRPr="00D14CD7" w:rsidRDefault="00170887" w:rsidP="00170887">
            <w:pPr>
              <w:jc w:val="right"/>
              <w:rPr>
                <w:color w:val="000000" w:themeColor="text1"/>
                <w:sz w:val="20"/>
                <w:szCs w:val="20"/>
              </w:rPr>
            </w:pPr>
            <w:r w:rsidRPr="00D14CD7">
              <w:rPr>
                <w:rFonts w:eastAsia="Times New Roman"/>
                <w:color w:val="000000" w:themeColor="text1"/>
                <w:sz w:val="20"/>
                <w:szCs w:val="20"/>
              </w:rPr>
              <w:t>15.</w:t>
            </w:r>
            <w:r w:rsidR="00FC630C" w:rsidRPr="00D14CD7">
              <w:rPr>
                <w:rFonts w:eastAsia="Times New Roman"/>
                <w:color w:val="000000" w:themeColor="text1"/>
                <w:sz w:val="20"/>
                <w:szCs w:val="20"/>
              </w:rPr>
              <w:t>5</w:t>
            </w:r>
          </w:p>
        </w:tc>
        <w:tc>
          <w:tcPr>
            <w:tcW w:w="187" w:type="pct"/>
            <w:tcBorders>
              <w:bottom w:val="single" w:sz="8" w:space="0" w:color="auto"/>
            </w:tcBorders>
            <w:vAlign w:val="center"/>
          </w:tcPr>
          <w:p w14:paraId="18D3FD91" w14:textId="0083C8F0" w:rsidR="00170887" w:rsidRPr="00D14CD7" w:rsidRDefault="00FC630C" w:rsidP="00170887">
            <w:pPr>
              <w:jc w:val="right"/>
              <w:rPr>
                <w:color w:val="000000" w:themeColor="text1"/>
                <w:sz w:val="20"/>
                <w:szCs w:val="20"/>
              </w:rPr>
            </w:pPr>
            <w:r w:rsidRPr="00D14CD7">
              <w:rPr>
                <w:rFonts w:eastAsia="Times New Roman"/>
                <w:color w:val="000000" w:themeColor="text1"/>
                <w:sz w:val="20"/>
                <w:szCs w:val="20"/>
              </w:rPr>
              <w:t>5.</w:t>
            </w:r>
            <w:r w:rsidR="00170887" w:rsidRPr="00D14CD7">
              <w:rPr>
                <w:rFonts w:eastAsia="Times New Roman"/>
                <w:color w:val="000000" w:themeColor="text1"/>
                <w:sz w:val="20"/>
                <w:szCs w:val="20"/>
              </w:rPr>
              <w:t>4</w:t>
            </w:r>
          </w:p>
        </w:tc>
        <w:tc>
          <w:tcPr>
            <w:tcW w:w="218" w:type="pct"/>
            <w:tcBorders>
              <w:bottom w:val="single" w:sz="8" w:space="0" w:color="auto"/>
            </w:tcBorders>
            <w:vAlign w:val="center"/>
          </w:tcPr>
          <w:p w14:paraId="17B370C8" w14:textId="1ED139B3" w:rsidR="00170887" w:rsidRPr="00D14CD7" w:rsidRDefault="00170887" w:rsidP="00170887">
            <w:pPr>
              <w:jc w:val="right"/>
              <w:rPr>
                <w:color w:val="000000" w:themeColor="text1"/>
                <w:sz w:val="20"/>
                <w:szCs w:val="20"/>
              </w:rPr>
            </w:pPr>
            <w:r w:rsidRPr="00D14CD7">
              <w:rPr>
                <w:rFonts w:eastAsia="Times New Roman"/>
                <w:color w:val="000000" w:themeColor="text1"/>
                <w:sz w:val="20"/>
                <w:szCs w:val="20"/>
              </w:rPr>
              <w:t>6</w:t>
            </w:r>
            <w:r w:rsidR="00FC630C" w:rsidRPr="00D14CD7">
              <w:rPr>
                <w:rFonts w:eastAsia="Times New Roman"/>
                <w:color w:val="000000" w:themeColor="text1"/>
                <w:sz w:val="20"/>
                <w:szCs w:val="20"/>
              </w:rPr>
              <w:t>7</w:t>
            </w:r>
            <w:r w:rsidRPr="00D14CD7">
              <w:rPr>
                <w:rFonts w:eastAsia="Times New Roman"/>
                <w:color w:val="000000" w:themeColor="text1"/>
                <w:sz w:val="20"/>
                <w:szCs w:val="20"/>
              </w:rPr>
              <w:t>.</w:t>
            </w:r>
            <w:r w:rsidR="00FC630C" w:rsidRPr="00D14CD7">
              <w:rPr>
                <w:rFonts w:eastAsia="Times New Roman"/>
                <w:color w:val="000000" w:themeColor="text1"/>
                <w:sz w:val="20"/>
                <w:szCs w:val="20"/>
              </w:rPr>
              <w:t>5</w:t>
            </w:r>
          </w:p>
        </w:tc>
        <w:tc>
          <w:tcPr>
            <w:tcW w:w="187" w:type="pct"/>
            <w:tcBorders>
              <w:bottom w:val="single" w:sz="8" w:space="0" w:color="auto"/>
              <w:right w:val="double" w:sz="4" w:space="0" w:color="auto"/>
            </w:tcBorders>
            <w:vAlign w:val="center"/>
          </w:tcPr>
          <w:p w14:paraId="59FA589C" w14:textId="0B831E72" w:rsidR="00170887" w:rsidRPr="00D14CD7" w:rsidRDefault="00170887" w:rsidP="00170887">
            <w:pPr>
              <w:jc w:val="right"/>
              <w:rPr>
                <w:color w:val="000000" w:themeColor="text1"/>
                <w:sz w:val="20"/>
                <w:szCs w:val="20"/>
              </w:rPr>
            </w:pPr>
            <w:r w:rsidRPr="00D14CD7">
              <w:rPr>
                <w:rFonts w:eastAsia="Times New Roman"/>
                <w:color w:val="000000" w:themeColor="text1"/>
                <w:sz w:val="20"/>
                <w:szCs w:val="20"/>
              </w:rPr>
              <w:t>1</w:t>
            </w:r>
            <w:r w:rsidR="00FC630C" w:rsidRPr="00D14CD7">
              <w:rPr>
                <w:rFonts w:eastAsia="Times New Roman"/>
                <w:color w:val="000000" w:themeColor="text1"/>
                <w:sz w:val="20"/>
                <w:szCs w:val="20"/>
              </w:rPr>
              <w:t>1</w:t>
            </w:r>
            <w:r w:rsidRPr="00D14CD7">
              <w:rPr>
                <w:rFonts w:eastAsia="Times New Roman"/>
                <w:color w:val="000000" w:themeColor="text1"/>
                <w:sz w:val="20"/>
                <w:szCs w:val="20"/>
              </w:rPr>
              <w:t>.</w:t>
            </w:r>
            <w:r w:rsidR="00FC630C" w:rsidRPr="00D14CD7">
              <w:rPr>
                <w:rFonts w:eastAsia="Times New Roman"/>
                <w:color w:val="000000" w:themeColor="text1"/>
                <w:sz w:val="20"/>
                <w:szCs w:val="20"/>
              </w:rPr>
              <w:t>6</w:t>
            </w:r>
          </w:p>
        </w:tc>
        <w:tc>
          <w:tcPr>
            <w:tcW w:w="187" w:type="pct"/>
            <w:tcBorders>
              <w:left w:val="double" w:sz="4" w:space="0" w:color="auto"/>
              <w:bottom w:val="single" w:sz="8" w:space="0" w:color="auto"/>
            </w:tcBorders>
            <w:vAlign w:val="center"/>
          </w:tcPr>
          <w:p w14:paraId="74263C19" w14:textId="5CEAFF54" w:rsidR="00170887" w:rsidRPr="00D14CD7" w:rsidRDefault="00170887" w:rsidP="00170887">
            <w:pPr>
              <w:jc w:val="right"/>
              <w:rPr>
                <w:color w:val="000000" w:themeColor="text1"/>
                <w:sz w:val="20"/>
                <w:szCs w:val="20"/>
              </w:rPr>
            </w:pPr>
            <w:r w:rsidRPr="00D14CD7">
              <w:rPr>
                <w:rFonts w:eastAsia="Times New Roman"/>
                <w:color w:val="000000" w:themeColor="text1"/>
                <w:sz w:val="20"/>
                <w:szCs w:val="20"/>
              </w:rPr>
              <w:t>3.2</w:t>
            </w:r>
            <w:r w:rsidR="001D7C95" w:rsidRPr="00D14CD7">
              <w:rPr>
                <w:rFonts w:eastAsia="Times New Roman"/>
                <w:color w:val="000000" w:themeColor="text1"/>
                <w:sz w:val="20"/>
                <w:szCs w:val="20"/>
              </w:rPr>
              <w:t>6</w:t>
            </w:r>
          </w:p>
        </w:tc>
        <w:tc>
          <w:tcPr>
            <w:tcW w:w="218" w:type="pct"/>
            <w:tcBorders>
              <w:bottom w:val="single" w:sz="8" w:space="0" w:color="auto"/>
            </w:tcBorders>
            <w:vAlign w:val="center"/>
          </w:tcPr>
          <w:p w14:paraId="79DC8CB4" w14:textId="77777777" w:rsidR="00170887" w:rsidRPr="00D14CD7" w:rsidRDefault="00170887" w:rsidP="00170887">
            <w:pPr>
              <w:jc w:val="right"/>
              <w:rPr>
                <w:color w:val="000000" w:themeColor="text1"/>
                <w:sz w:val="20"/>
                <w:szCs w:val="20"/>
              </w:rPr>
            </w:pPr>
            <w:r w:rsidRPr="00D14CD7">
              <w:rPr>
                <w:rFonts w:eastAsia="Times New Roman"/>
                <w:color w:val="000000" w:themeColor="text1"/>
                <w:sz w:val="20"/>
                <w:szCs w:val="20"/>
              </w:rPr>
              <w:t>15.5</w:t>
            </w:r>
          </w:p>
        </w:tc>
        <w:tc>
          <w:tcPr>
            <w:tcW w:w="187" w:type="pct"/>
            <w:tcBorders>
              <w:bottom w:val="single" w:sz="8" w:space="0" w:color="auto"/>
            </w:tcBorders>
            <w:vAlign w:val="center"/>
          </w:tcPr>
          <w:p w14:paraId="1D0EDEE3" w14:textId="1B16A380" w:rsidR="00170887" w:rsidRPr="00D14CD7" w:rsidRDefault="00FC630C" w:rsidP="00170887">
            <w:pPr>
              <w:jc w:val="right"/>
              <w:rPr>
                <w:color w:val="000000" w:themeColor="text1"/>
                <w:sz w:val="20"/>
                <w:szCs w:val="20"/>
              </w:rPr>
            </w:pPr>
            <w:r w:rsidRPr="00D14CD7">
              <w:rPr>
                <w:rFonts w:eastAsia="Times New Roman"/>
                <w:color w:val="000000" w:themeColor="text1"/>
                <w:sz w:val="20"/>
                <w:szCs w:val="20"/>
              </w:rPr>
              <w:t>5</w:t>
            </w:r>
            <w:r w:rsidR="00170887" w:rsidRPr="00D14CD7">
              <w:rPr>
                <w:rFonts w:eastAsia="Times New Roman"/>
                <w:color w:val="000000" w:themeColor="text1"/>
                <w:sz w:val="20"/>
                <w:szCs w:val="20"/>
              </w:rPr>
              <w:t>.</w:t>
            </w:r>
            <w:r w:rsidRPr="00D14CD7">
              <w:rPr>
                <w:rFonts w:eastAsia="Times New Roman"/>
                <w:color w:val="000000" w:themeColor="text1"/>
                <w:sz w:val="20"/>
                <w:szCs w:val="20"/>
              </w:rPr>
              <w:t>4</w:t>
            </w:r>
          </w:p>
        </w:tc>
        <w:tc>
          <w:tcPr>
            <w:tcW w:w="218" w:type="pct"/>
            <w:tcBorders>
              <w:bottom w:val="single" w:sz="8" w:space="0" w:color="auto"/>
            </w:tcBorders>
            <w:vAlign w:val="center"/>
          </w:tcPr>
          <w:p w14:paraId="5E8969ED" w14:textId="4E8B2D35" w:rsidR="00170887" w:rsidRPr="00D14CD7" w:rsidRDefault="00FC630C" w:rsidP="00170887">
            <w:pPr>
              <w:jc w:val="right"/>
              <w:rPr>
                <w:color w:val="000000" w:themeColor="text1"/>
                <w:sz w:val="20"/>
                <w:szCs w:val="20"/>
              </w:rPr>
            </w:pPr>
            <w:r w:rsidRPr="00D14CD7">
              <w:rPr>
                <w:rFonts w:eastAsia="Times New Roman"/>
                <w:color w:val="000000" w:themeColor="text1"/>
                <w:sz w:val="20"/>
                <w:szCs w:val="20"/>
              </w:rPr>
              <w:t>67.5</w:t>
            </w:r>
            <w:r w:rsidR="00170887" w:rsidRPr="00D14CD7">
              <w:rPr>
                <w:rFonts w:eastAsia="Times New Roman"/>
                <w:color w:val="000000" w:themeColor="text1"/>
                <w:sz w:val="20"/>
                <w:szCs w:val="20"/>
              </w:rPr>
              <w:t>.5</w:t>
            </w:r>
          </w:p>
        </w:tc>
        <w:tc>
          <w:tcPr>
            <w:tcW w:w="219" w:type="pct"/>
            <w:tcBorders>
              <w:bottom w:val="single" w:sz="8" w:space="0" w:color="auto"/>
              <w:right w:val="double" w:sz="4" w:space="0" w:color="auto"/>
            </w:tcBorders>
            <w:vAlign w:val="center"/>
          </w:tcPr>
          <w:p w14:paraId="58B1A388" w14:textId="054569A5" w:rsidR="00170887" w:rsidRPr="00D14CD7" w:rsidRDefault="00170887" w:rsidP="00170887">
            <w:pPr>
              <w:jc w:val="right"/>
              <w:rPr>
                <w:color w:val="000000" w:themeColor="text1"/>
                <w:sz w:val="20"/>
                <w:szCs w:val="20"/>
              </w:rPr>
            </w:pPr>
            <w:r w:rsidRPr="00D14CD7">
              <w:rPr>
                <w:rFonts w:eastAsia="Times New Roman"/>
                <w:color w:val="000000" w:themeColor="text1"/>
                <w:sz w:val="20"/>
                <w:szCs w:val="20"/>
              </w:rPr>
              <w:t>1</w:t>
            </w:r>
            <w:r w:rsidR="00FC630C" w:rsidRPr="00D14CD7">
              <w:rPr>
                <w:rFonts w:eastAsia="Times New Roman"/>
                <w:color w:val="000000" w:themeColor="text1"/>
                <w:sz w:val="20"/>
                <w:szCs w:val="20"/>
              </w:rPr>
              <w:t>1</w:t>
            </w:r>
            <w:r w:rsidRPr="00D14CD7">
              <w:rPr>
                <w:rFonts w:eastAsia="Times New Roman"/>
                <w:color w:val="000000" w:themeColor="text1"/>
                <w:sz w:val="20"/>
                <w:szCs w:val="20"/>
              </w:rPr>
              <w:t>.</w:t>
            </w:r>
            <w:r w:rsidR="00FC630C" w:rsidRPr="00D14CD7">
              <w:rPr>
                <w:rFonts w:eastAsia="Times New Roman"/>
                <w:color w:val="000000" w:themeColor="text1"/>
                <w:sz w:val="20"/>
                <w:szCs w:val="20"/>
              </w:rPr>
              <w:t>6</w:t>
            </w:r>
          </w:p>
        </w:tc>
        <w:tc>
          <w:tcPr>
            <w:tcW w:w="218" w:type="pct"/>
            <w:tcBorders>
              <w:left w:val="double" w:sz="4" w:space="0" w:color="auto"/>
              <w:bottom w:val="single" w:sz="8" w:space="0" w:color="auto"/>
            </w:tcBorders>
            <w:vAlign w:val="center"/>
          </w:tcPr>
          <w:p w14:paraId="31DB6A9B" w14:textId="77777777" w:rsidR="00170887" w:rsidRPr="00D14CD7" w:rsidRDefault="00170887" w:rsidP="00170887">
            <w:pPr>
              <w:jc w:val="right"/>
              <w:rPr>
                <w:color w:val="000000" w:themeColor="text1"/>
                <w:sz w:val="20"/>
                <w:szCs w:val="20"/>
              </w:rPr>
            </w:pPr>
            <w:r w:rsidRPr="00D14CD7">
              <w:rPr>
                <w:rFonts w:eastAsia="Times New Roman"/>
                <w:color w:val="000000" w:themeColor="text1"/>
                <w:sz w:val="20"/>
                <w:szCs w:val="20"/>
              </w:rPr>
              <w:t>5.5</w:t>
            </w:r>
          </w:p>
        </w:tc>
        <w:tc>
          <w:tcPr>
            <w:tcW w:w="218" w:type="pct"/>
            <w:tcBorders>
              <w:bottom w:val="single" w:sz="8" w:space="0" w:color="auto"/>
            </w:tcBorders>
            <w:vAlign w:val="center"/>
          </w:tcPr>
          <w:p w14:paraId="499579C0" w14:textId="77777777" w:rsidR="00170887" w:rsidRPr="00D14CD7" w:rsidRDefault="00170887" w:rsidP="00170887">
            <w:pPr>
              <w:jc w:val="right"/>
              <w:rPr>
                <w:rFonts w:eastAsia="Times New Roman"/>
                <w:color w:val="000000" w:themeColor="text1"/>
                <w:sz w:val="20"/>
                <w:szCs w:val="20"/>
              </w:rPr>
            </w:pPr>
            <w:r w:rsidRPr="00D14CD7">
              <w:rPr>
                <w:rFonts w:eastAsia="Times New Roman"/>
                <w:color w:val="000000" w:themeColor="text1"/>
                <w:sz w:val="20"/>
                <w:szCs w:val="20"/>
              </w:rPr>
              <w:t>6.0</w:t>
            </w:r>
          </w:p>
        </w:tc>
        <w:tc>
          <w:tcPr>
            <w:tcW w:w="249" w:type="pct"/>
            <w:tcBorders>
              <w:bottom w:val="single" w:sz="8" w:space="0" w:color="auto"/>
            </w:tcBorders>
            <w:vAlign w:val="center"/>
          </w:tcPr>
          <w:p w14:paraId="066C927F" w14:textId="77777777" w:rsidR="00170887" w:rsidRPr="00D14CD7" w:rsidRDefault="00170887" w:rsidP="00170887">
            <w:pPr>
              <w:jc w:val="right"/>
              <w:rPr>
                <w:rFonts w:eastAsia="Times New Roman"/>
                <w:color w:val="000000" w:themeColor="text1"/>
                <w:sz w:val="20"/>
                <w:szCs w:val="20"/>
              </w:rPr>
            </w:pPr>
            <w:r w:rsidRPr="00D14CD7">
              <w:rPr>
                <w:rFonts w:eastAsia="Times New Roman"/>
                <w:color w:val="000000" w:themeColor="text1"/>
                <w:sz w:val="20"/>
                <w:szCs w:val="20"/>
              </w:rPr>
              <w:t>5.5</w:t>
            </w:r>
          </w:p>
        </w:tc>
        <w:tc>
          <w:tcPr>
            <w:tcW w:w="218" w:type="pct"/>
            <w:tcBorders>
              <w:bottom w:val="single" w:sz="8" w:space="0" w:color="auto"/>
            </w:tcBorders>
            <w:vAlign w:val="center"/>
          </w:tcPr>
          <w:p w14:paraId="0E3CBA27" w14:textId="77777777" w:rsidR="00170887" w:rsidRPr="00D14CD7" w:rsidRDefault="00170887" w:rsidP="00170887">
            <w:pPr>
              <w:jc w:val="right"/>
              <w:rPr>
                <w:rFonts w:eastAsia="Times New Roman"/>
                <w:color w:val="000000" w:themeColor="text1"/>
                <w:sz w:val="20"/>
                <w:szCs w:val="20"/>
              </w:rPr>
            </w:pPr>
            <w:r w:rsidRPr="00D14CD7">
              <w:rPr>
                <w:rFonts w:eastAsia="Times New Roman"/>
                <w:color w:val="000000" w:themeColor="text1"/>
                <w:sz w:val="20"/>
                <w:szCs w:val="20"/>
              </w:rPr>
              <w:t>5.5</w:t>
            </w:r>
          </w:p>
        </w:tc>
        <w:tc>
          <w:tcPr>
            <w:tcW w:w="246" w:type="pct"/>
            <w:tcBorders>
              <w:bottom w:val="single" w:sz="8" w:space="0" w:color="auto"/>
              <w:right w:val="double" w:sz="4" w:space="0" w:color="auto"/>
            </w:tcBorders>
            <w:vAlign w:val="center"/>
          </w:tcPr>
          <w:p w14:paraId="4ABE1D7E" w14:textId="77777777" w:rsidR="00170887" w:rsidRPr="00D14CD7" w:rsidRDefault="00170887" w:rsidP="00170887">
            <w:pPr>
              <w:jc w:val="right"/>
              <w:rPr>
                <w:rFonts w:eastAsia="Times New Roman"/>
                <w:color w:val="000000" w:themeColor="text1"/>
                <w:sz w:val="20"/>
                <w:szCs w:val="20"/>
              </w:rPr>
            </w:pPr>
            <w:r w:rsidRPr="00D14CD7">
              <w:rPr>
                <w:rFonts w:eastAsia="Times New Roman"/>
                <w:color w:val="000000" w:themeColor="text1"/>
                <w:sz w:val="20"/>
                <w:szCs w:val="20"/>
              </w:rPr>
              <w:t>5.2</w:t>
            </w:r>
          </w:p>
        </w:tc>
      </w:tr>
      <w:tr w:rsidR="00D14CD7" w:rsidRPr="00D14CD7" w14:paraId="7773177D" w14:textId="77777777" w:rsidTr="009678B0">
        <w:trPr>
          <w:trHeight w:val="79"/>
        </w:trPr>
        <w:tc>
          <w:tcPr>
            <w:tcW w:w="5000" w:type="pct"/>
            <w:gridSpan w:val="18"/>
            <w:tcBorders>
              <w:top w:val="single" w:sz="8" w:space="0" w:color="auto"/>
              <w:left w:val="double" w:sz="4" w:space="0" w:color="auto"/>
              <w:bottom w:val="single" w:sz="4" w:space="0" w:color="auto"/>
              <w:right w:val="double" w:sz="4" w:space="0" w:color="auto"/>
            </w:tcBorders>
            <w:vAlign w:val="center"/>
          </w:tcPr>
          <w:p w14:paraId="5B8AD0A4" w14:textId="77777777" w:rsidR="00170887" w:rsidRPr="00D14CD7" w:rsidRDefault="00170887" w:rsidP="00170887">
            <w:pPr>
              <w:jc w:val="left"/>
              <w:rPr>
                <w:b/>
                <w:color w:val="000000" w:themeColor="text1"/>
                <w:sz w:val="20"/>
                <w:szCs w:val="20"/>
              </w:rPr>
            </w:pPr>
            <w:r w:rsidRPr="00D14CD7">
              <w:rPr>
                <w:b/>
                <w:color w:val="000000" w:themeColor="text1"/>
                <w:sz w:val="20"/>
                <w:szCs w:val="20"/>
              </w:rPr>
              <w:t>COVID-19 Perspectives</w:t>
            </w:r>
          </w:p>
        </w:tc>
      </w:tr>
      <w:tr w:rsidR="00D14CD7" w:rsidRPr="00D14CD7" w14:paraId="17805DCF" w14:textId="77777777" w:rsidTr="009678B0">
        <w:tc>
          <w:tcPr>
            <w:tcW w:w="654" w:type="pct"/>
            <w:tcBorders>
              <w:top w:val="single" w:sz="4" w:space="0" w:color="auto"/>
              <w:left w:val="double" w:sz="4" w:space="0" w:color="auto"/>
              <w:right w:val="double" w:sz="4" w:space="0" w:color="auto"/>
            </w:tcBorders>
            <w:vAlign w:val="center"/>
          </w:tcPr>
          <w:p w14:paraId="1559168A" w14:textId="083A5522" w:rsidR="00170887" w:rsidRPr="00D14CD7" w:rsidRDefault="00170887" w:rsidP="00170887">
            <w:pPr>
              <w:jc w:val="left"/>
              <w:rPr>
                <w:rFonts w:eastAsia="Times New Roman"/>
                <w:color w:val="000000" w:themeColor="text1"/>
                <w:sz w:val="20"/>
                <w:szCs w:val="20"/>
              </w:rPr>
            </w:pPr>
            <w:r w:rsidRPr="00D14CD7">
              <w:rPr>
                <w:rFonts w:eastAsia="Times New Roman"/>
                <w:color w:val="000000" w:themeColor="text1"/>
                <w:sz w:val="20"/>
                <w:szCs w:val="20"/>
              </w:rPr>
              <w:t xml:space="preserve">I or </w:t>
            </w:r>
            <w:r w:rsidR="004A7AFD">
              <w:rPr>
                <w:rFonts w:eastAsia="Times New Roman"/>
                <w:color w:val="000000" w:themeColor="text1"/>
                <w:sz w:val="20"/>
                <w:szCs w:val="20"/>
              </w:rPr>
              <w:t>s</w:t>
            </w:r>
            <w:r w:rsidRPr="00D14CD7">
              <w:rPr>
                <w:rFonts w:eastAsia="Times New Roman"/>
                <w:color w:val="000000" w:themeColor="text1"/>
                <w:sz w:val="20"/>
                <w:szCs w:val="20"/>
              </w:rPr>
              <w:t>omeone I live with or frequently visit is immunocompromised</w:t>
            </w:r>
          </w:p>
        </w:tc>
        <w:tc>
          <w:tcPr>
            <w:tcW w:w="594" w:type="pct"/>
            <w:tcBorders>
              <w:top w:val="single" w:sz="4" w:space="0" w:color="auto"/>
              <w:left w:val="double" w:sz="4" w:space="0" w:color="auto"/>
            </w:tcBorders>
            <w:vAlign w:val="center"/>
          </w:tcPr>
          <w:p w14:paraId="15C276FD" w14:textId="77777777" w:rsidR="00170887" w:rsidRPr="00D14CD7" w:rsidRDefault="00170887" w:rsidP="00170887">
            <w:pPr>
              <w:jc w:val="left"/>
              <w:rPr>
                <w:color w:val="000000" w:themeColor="text1"/>
                <w:sz w:val="20"/>
                <w:szCs w:val="20"/>
              </w:rPr>
            </w:pPr>
            <w:r w:rsidRPr="00D14CD7">
              <w:rPr>
                <w:color w:val="000000" w:themeColor="text1"/>
                <w:sz w:val="20"/>
                <w:szCs w:val="20"/>
              </w:rPr>
              <w:t>No</w:t>
            </w:r>
          </w:p>
        </w:tc>
        <w:tc>
          <w:tcPr>
            <w:tcW w:w="562" w:type="pct"/>
            <w:tcBorders>
              <w:top w:val="single" w:sz="4" w:space="0" w:color="auto"/>
              <w:right w:val="double" w:sz="4" w:space="0" w:color="auto"/>
            </w:tcBorders>
            <w:vAlign w:val="center"/>
          </w:tcPr>
          <w:p w14:paraId="605B8CFE" w14:textId="77777777" w:rsidR="00170887" w:rsidRPr="00D14CD7" w:rsidRDefault="00170887" w:rsidP="00170887">
            <w:pPr>
              <w:jc w:val="left"/>
              <w:rPr>
                <w:color w:val="000000" w:themeColor="text1"/>
                <w:sz w:val="20"/>
                <w:szCs w:val="20"/>
              </w:rPr>
            </w:pPr>
            <w:r w:rsidRPr="00D14CD7">
              <w:rPr>
                <w:color w:val="000000" w:themeColor="text1"/>
                <w:sz w:val="20"/>
                <w:szCs w:val="20"/>
              </w:rPr>
              <w:t>Yes</w:t>
            </w:r>
          </w:p>
        </w:tc>
        <w:tc>
          <w:tcPr>
            <w:tcW w:w="202" w:type="pct"/>
            <w:tcBorders>
              <w:top w:val="single" w:sz="4" w:space="0" w:color="auto"/>
              <w:left w:val="double" w:sz="4" w:space="0" w:color="auto"/>
            </w:tcBorders>
            <w:vAlign w:val="center"/>
          </w:tcPr>
          <w:p w14:paraId="333CD83F" w14:textId="77777777" w:rsidR="00170887" w:rsidRPr="00D14CD7" w:rsidRDefault="00170887" w:rsidP="00170887">
            <w:pPr>
              <w:jc w:val="right"/>
              <w:rPr>
                <w:color w:val="000000" w:themeColor="text1"/>
                <w:sz w:val="20"/>
                <w:szCs w:val="20"/>
              </w:rPr>
            </w:pPr>
            <w:r w:rsidRPr="00D14CD7">
              <w:rPr>
                <w:rFonts w:eastAsia="Times New Roman"/>
                <w:color w:val="000000" w:themeColor="text1"/>
                <w:sz w:val="20"/>
                <w:szCs w:val="20"/>
              </w:rPr>
              <w:t>3.41</w:t>
            </w:r>
          </w:p>
        </w:tc>
        <w:tc>
          <w:tcPr>
            <w:tcW w:w="218" w:type="pct"/>
            <w:tcBorders>
              <w:top w:val="single" w:sz="4" w:space="0" w:color="auto"/>
            </w:tcBorders>
            <w:vAlign w:val="center"/>
          </w:tcPr>
          <w:p w14:paraId="4040B8E9" w14:textId="77777777" w:rsidR="00170887" w:rsidRPr="00D14CD7" w:rsidRDefault="00170887" w:rsidP="00170887">
            <w:pPr>
              <w:jc w:val="right"/>
              <w:rPr>
                <w:rFonts w:eastAsia="Times New Roman"/>
                <w:color w:val="000000" w:themeColor="text1"/>
                <w:sz w:val="20"/>
                <w:szCs w:val="20"/>
              </w:rPr>
            </w:pPr>
            <w:r w:rsidRPr="00D14CD7">
              <w:rPr>
                <w:color w:val="000000" w:themeColor="text1"/>
                <w:sz w:val="20"/>
                <w:szCs w:val="20"/>
              </w:rPr>
              <w:t>15.2</w:t>
            </w:r>
          </w:p>
        </w:tc>
        <w:tc>
          <w:tcPr>
            <w:tcW w:w="187" w:type="pct"/>
            <w:tcBorders>
              <w:top w:val="single" w:sz="4" w:space="0" w:color="auto"/>
            </w:tcBorders>
            <w:vAlign w:val="center"/>
          </w:tcPr>
          <w:p w14:paraId="0E029C30" w14:textId="77777777" w:rsidR="00170887" w:rsidRPr="00D14CD7" w:rsidRDefault="00170887" w:rsidP="00170887">
            <w:pPr>
              <w:jc w:val="right"/>
              <w:rPr>
                <w:rFonts w:eastAsia="Times New Roman"/>
                <w:color w:val="000000" w:themeColor="text1"/>
                <w:sz w:val="20"/>
                <w:szCs w:val="20"/>
              </w:rPr>
            </w:pPr>
            <w:r w:rsidRPr="00D14CD7">
              <w:rPr>
                <w:color w:val="000000" w:themeColor="text1"/>
                <w:sz w:val="20"/>
                <w:szCs w:val="20"/>
              </w:rPr>
              <w:t>6.4</w:t>
            </w:r>
          </w:p>
        </w:tc>
        <w:tc>
          <w:tcPr>
            <w:tcW w:w="218" w:type="pct"/>
            <w:tcBorders>
              <w:top w:val="single" w:sz="4" w:space="0" w:color="auto"/>
            </w:tcBorders>
            <w:vAlign w:val="center"/>
          </w:tcPr>
          <w:p w14:paraId="152E933D" w14:textId="77777777" w:rsidR="00170887" w:rsidRPr="00D14CD7" w:rsidRDefault="00170887" w:rsidP="00170887">
            <w:pPr>
              <w:jc w:val="right"/>
              <w:rPr>
                <w:rFonts w:eastAsia="Times New Roman"/>
                <w:color w:val="000000" w:themeColor="text1"/>
                <w:sz w:val="20"/>
                <w:szCs w:val="20"/>
              </w:rPr>
            </w:pPr>
            <w:r w:rsidRPr="00D14CD7">
              <w:rPr>
                <w:color w:val="000000" w:themeColor="text1"/>
                <w:sz w:val="20"/>
                <w:szCs w:val="20"/>
              </w:rPr>
              <w:t>67.1</w:t>
            </w:r>
          </w:p>
        </w:tc>
        <w:tc>
          <w:tcPr>
            <w:tcW w:w="187" w:type="pct"/>
            <w:tcBorders>
              <w:top w:val="single" w:sz="4" w:space="0" w:color="auto"/>
              <w:right w:val="double" w:sz="4" w:space="0" w:color="auto"/>
            </w:tcBorders>
            <w:vAlign w:val="center"/>
          </w:tcPr>
          <w:p w14:paraId="36D34EAC" w14:textId="77777777" w:rsidR="00170887" w:rsidRPr="00D14CD7" w:rsidRDefault="00170887" w:rsidP="00170887">
            <w:pPr>
              <w:jc w:val="right"/>
              <w:rPr>
                <w:rFonts w:eastAsia="Times New Roman"/>
                <w:color w:val="000000" w:themeColor="text1"/>
                <w:sz w:val="20"/>
                <w:szCs w:val="20"/>
              </w:rPr>
            </w:pPr>
            <w:r w:rsidRPr="00D14CD7">
              <w:rPr>
                <w:color w:val="000000" w:themeColor="text1"/>
                <w:sz w:val="20"/>
                <w:szCs w:val="20"/>
              </w:rPr>
              <w:t>11.2</w:t>
            </w:r>
          </w:p>
        </w:tc>
        <w:tc>
          <w:tcPr>
            <w:tcW w:w="187" w:type="pct"/>
            <w:tcBorders>
              <w:top w:val="single" w:sz="4" w:space="0" w:color="auto"/>
              <w:left w:val="double" w:sz="4" w:space="0" w:color="auto"/>
            </w:tcBorders>
            <w:vAlign w:val="center"/>
          </w:tcPr>
          <w:p w14:paraId="637DE936" w14:textId="3E5231DA" w:rsidR="00170887" w:rsidRPr="00D14CD7" w:rsidRDefault="00170887" w:rsidP="00170887">
            <w:pPr>
              <w:jc w:val="right"/>
              <w:rPr>
                <w:color w:val="000000" w:themeColor="text1"/>
                <w:sz w:val="20"/>
                <w:szCs w:val="20"/>
              </w:rPr>
            </w:pPr>
            <w:r w:rsidRPr="00D14CD7">
              <w:rPr>
                <w:rFonts w:eastAsia="Times New Roman"/>
                <w:color w:val="000000" w:themeColor="text1"/>
                <w:sz w:val="20"/>
                <w:szCs w:val="20"/>
              </w:rPr>
              <w:t>2.8</w:t>
            </w:r>
            <w:r w:rsidR="001D7C95" w:rsidRPr="00D14CD7">
              <w:rPr>
                <w:rFonts w:eastAsia="Times New Roman"/>
                <w:color w:val="000000" w:themeColor="text1"/>
                <w:sz w:val="20"/>
                <w:szCs w:val="20"/>
              </w:rPr>
              <w:t>0</w:t>
            </w:r>
          </w:p>
        </w:tc>
        <w:tc>
          <w:tcPr>
            <w:tcW w:w="218" w:type="pct"/>
            <w:tcBorders>
              <w:top w:val="single" w:sz="4" w:space="0" w:color="auto"/>
            </w:tcBorders>
            <w:vAlign w:val="center"/>
          </w:tcPr>
          <w:p w14:paraId="70689674" w14:textId="77777777" w:rsidR="00170887" w:rsidRPr="00D14CD7" w:rsidRDefault="00170887" w:rsidP="00170887">
            <w:pPr>
              <w:jc w:val="right"/>
              <w:rPr>
                <w:rFonts w:eastAsia="Times New Roman"/>
                <w:color w:val="000000" w:themeColor="text1"/>
                <w:sz w:val="20"/>
                <w:szCs w:val="20"/>
              </w:rPr>
            </w:pPr>
            <w:r w:rsidRPr="00D14CD7">
              <w:rPr>
                <w:color w:val="000000" w:themeColor="text1"/>
                <w:sz w:val="20"/>
                <w:szCs w:val="20"/>
              </w:rPr>
              <w:t>15.9</w:t>
            </w:r>
          </w:p>
        </w:tc>
        <w:tc>
          <w:tcPr>
            <w:tcW w:w="187" w:type="pct"/>
            <w:tcBorders>
              <w:top w:val="single" w:sz="4" w:space="0" w:color="auto"/>
            </w:tcBorders>
            <w:vAlign w:val="center"/>
          </w:tcPr>
          <w:p w14:paraId="7760D82C" w14:textId="77777777" w:rsidR="00170887" w:rsidRPr="00D14CD7" w:rsidRDefault="00170887" w:rsidP="00170887">
            <w:pPr>
              <w:jc w:val="right"/>
              <w:rPr>
                <w:rFonts w:eastAsia="Times New Roman"/>
                <w:color w:val="000000" w:themeColor="text1"/>
                <w:sz w:val="20"/>
                <w:szCs w:val="20"/>
              </w:rPr>
            </w:pPr>
            <w:r w:rsidRPr="00D14CD7">
              <w:rPr>
                <w:color w:val="000000" w:themeColor="text1"/>
                <w:sz w:val="20"/>
                <w:szCs w:val="20"/>
              </w:rPr>
              <w:t>3.6</w:t>
            </w:r>
          </w:p>
        </w:tc>
        <w:tc>
          <w:tcPr>
            <w:tcW w:w="218" w:type="pct"/>
            <w:tcBorders>
              <w:top w:val="single" w:sz="4" w:space="0" w:color="auto"/>
            </w:tcBorders>
            <w:vAlign w:val="center"/>
          </w:tcPr>
          <w:p w14:paraId="59520FE3" w14:textId="52F29F3B" w:rsidR="00170887" w:rsidRPr="00D14CD7" w:rsidRDefault="00170887" w:rsidP="00170887">
            <w:pPr>
              <w:jc w:val="right"/>
              <w:rPr>
                <w:rFonts w:eastAsia="Times New Roman"/>
                <w:color w:val="000000" w:themeColor="text1"/>
                <w:sz w:val="20"/>
                <w:szCs w:val="20"/>
              </w:rPr>
            </w:pPr>
            <w:r w:rsidRPr="00D14CD7">
              <w:rPr>
                <w:color w:val="000000" w:themeColor="text1"/>
                <w:sz w:val="20"/>
                <w:szCs w:val="20"/>
              </w:rPr>
              <w:t>68.</w:t>
            </w:r>
            <w:r w:rsidR="00FC630C" w:rsidRPr="00D14CD7">
              <w:rPr>
                <w:color w:val="000000" w:themeColor="text1"/>
                <w:sz w:val="20"/>
                <w:szCs w:val="20"/>
              </w:rPr>
              <w:t>3</w:t>
            </w:r>
          </w:p>
        </w:tc>
        <w:tc>
          <w:tcPr>
            <w:tcW w:w="219" w:type="pct"/>
            <w:tcBorders>
              <w:top w:val="single" w:sz="4" w:space="0" w:color="auto"/>
              <w:right w:val="double" w:sz="4" w:space="0" w:color="auto"/>
            </w:tcBorders>
            <w:vAlign w:val="center"/>
          </w:tcPr>
          <w:p w14:paraId="3C3853B4" w14:textId="40D36E6E" w:rsidR="00170887" w:rsidRPr="00D14CD7" w:rsidRDefault="00170887" w:rsidP="00170887">
            <w:pPr>
              <w:jc w:val="right"/>
              <w:rPr>
                <w:rFonts w:eastAsia="Times New Roman"/>
                <w:color w:val="000000" w:themeColor="text1"/>
                <w:sz w:val="20"/>
                <w:szCs w:val="20"/>
              </w:rPr>
            </w:pPr>
            <w:r w:rsidRPr="00D14CD7">
              <w:rPr>
                <w:color w:val="000000" w:themeColor="text1"/>
                <w:sz w:val="20"/>
                <w:szCs w:val="20"/>
              </w:rPr>
              <w:t>12.</w:t>
            </w:r>
            <w:r w:rsidR="00FC630C" w:rsidRPr="00D14CD7">
              <w:rPr>
                <w:color w:val="000000" w:themeColor="text1"/>
                <w:sz w:val="20"/>
                <w:szCs w:val="20"/>
              </w:rPr>
              <w:t>2</w:t>
            </w:r>
          </w:p>
        </w:tc>
        <w:tc>
          <w:tcPr>
            <w:tcW w:w="218" w:type="pct"/>
            <w:tcBorders>
              <w:top w:val="single" w:sz="4" w:space="0" w:color="auto"/>
              <w:left w:val="double" w:sz="4" w:space="0" w:color="auto"/>
            </w:tcBorders>
            <w:vAlign w:val="center"/>
          </w:tcPr>
          <w:p w14:paraId="57EFEADE" w14:textId="77777777" w:rsidR="00170887" w:rsidRPr="00D14CD7" w:rsidRDefault="00170887" w:rsidP="00170887">
            <w:pPr>
              <w:jc w:val="right"/>
              <w:rPr>
                <w:rFonts w:eastAsia="Times New Roman"/>
                <w:color w:val="000000" w:themeColor="text1"/>
                <w:sz w:val="20"/>
                <w:szCs w:val="20"/>
              </w:rPr>
            </w:pPr>
            <w:r w:rsidRPr="00D14CD7">
              <w:rPr>
                <w:color w:val="000000" w:themeColor="text1"/>
                <w:sz w:val="20"/>
                <w:szCs w:val="20"/>
              </w:rPr>
              <w:t>-17.8</w:t>
            </w:r>
          </w:p>
        </w:tc>
        <w:tc>
          <w:tcPr>
            <w:tcW w:w="218" w:type="pct"/>
            <w:tcBorders>
              <w:top w:val="single" w:sz="4" w:space="0" w:color="auto"/>
            </w:tcBorders>
            <w:vAlign w:val="center"/>
          </w:tcPr>
          <w:p w14:paraId="2A12359E" w14:textId="77777777" w:rsidR="00170887" w:rsidRPr="00D14CD7" w:rsidRDefault="00170887" w:rsidP="00170887">
            <w:pPr>
              <w:jc w:val="right"/>
              <w:rPr>
                <w:rFonts w:eastAsia="Times New Roman"/>
                <w:color w:val="000000" w:themeColor="text1"/>
                <w:sz w:val="20"/>
                <w:szCs w:val="20"/>
              </w:rPr>
            </w:pPr>
            <w:r w:rsidRPr="00D14CD7">
              <w:rPr>
                <w:rFonts w:eastAsia="Times New Roman"/>
                <w:color w:val="000000" w:themeColor="text1"/>
                <w:sz w:val="20"/>
                <w:szCs w:val="20"/>
              </w:rPr>
              <w:t>-14.0</w:t>
            </w:r>
          </w:p>
        </w:tc>
        <w:tc>
          <w:tcPr>
            <w:tcW w:w="249" w:type="pct"/>
            <w:tcBorders>
              <w:top w:val="single" w:sz="4" w:space="0" w:color="auto"/>
            </w:tcBorders>
            <w:vAlign w:val="center"/>
          </w:tcPr>
          <w:p w14:paraId="179FC89D" w14:textId="77777777" w:rsidR="00170887" w:rsidRPr="00D14CD7" w:rsidRDefault="00170887" w:rsidP="00170887">
            <w:pPr>
              <w:jc w:val="right"/>
              <w:rPr>
                <w:rFonts w:eastAsia="Times New Roman"/>
                <w:color w:val="000000" w:themeColor="text1"/>
                <w:sz w:val="20"/>
                <w:szCs w:val="20"/>
              </w:rPr>
            </w:pPr>
            <w:r w:rsidRPr="00D14CD7">
              <w:rPr>
                <w:rFonts w:eastAsia="Times New Roman"/>
                <w:color w:val="000000" w:themeColor="text1"/>
                <w:sz w:val="20"/>
                <w:szCs w:val="20"/>
              </w:rPr>
              <w:t>-53.5</w:t>
            </w:r>
          </w:p>
        </w:tc>
        <w:tc>
          <w:tcPr>
            <w:tcW w:w="218" w:type="pct"/>
            <w:tcBorders>
              <w:top w:val="single" w:sz="4" w:space="0" w:color="auto"/>
            </w:tcBorders>
            <w:vAlign w:val="center"/>
          </w:tcPr>
          <w:p w14:paraId="67DFFD2F" w14:textId="77777777" w:rsidR="00170887" w:rsidRPr="00D14CD7" w:rsidRDefault="00170887" w:rsidP="00170887">
            <w:pPr>
              <w:jc w:val="right"/>
              <w:rPr>
                <w:rFonts w:eastAsia="Times New Roman"/>
                <w:color w:val="000000" w:themeColor="text1"/>
                <w:sz w:val="20"/>
                <w:szCs w:val="20"/>
              </w:rPr>
            </w:pPr>
            <w:r w:rsidRPr="00D14CD7">
              <w:rPr>
                <w:rFonts w:eastAsia="Times New Roman"/>
                <w:color w:val="000000" w:themeColor="text1"/>
                <w:sz w:val="20"/>
                <w:szCs w:val="20"/>
              </w:rPr>
              <w:t>-16.3</w:t>
            </w:r>
          </w:p>
        </w:tc>
        <w:tc>
          <w:tcPr>
            <w:tcW w:w="246" w:type="pct"/>
            <w:tcBorders>
              <w:top w:val="single" w:sz="4" w:space="0" w:color="auto"/>
              <w:right w:val="double" w:sz="4" w:space="0" w:color="auto"/>
            </w:tcBorders>
            <w:vAlign w:val="center"/>
          </w:tcPr>
          <w:p w14:paraId="1700DF39" w14:textId="77777777" w:rsidR="00170887" w:rsidRPr="00D14CD7" w:rsidRDefault="00170887" w:rsidP="00170887">
            <w:pPr>
              <w:jc w:val="right"/>
              <w:rPr>
                <w:rFonts w:eastAsia="Times New Roman"/>
                <w:color w:val="000000" w:themeColor="text1"/>
                <w:sz w:val="20"/>
                <w:szCs w:val="20"/>
              </w:rPr>
            </w:pPr>
            <w:r w:rsidRPr="00D14CD7">
              <w:rPr>
                <w:rFonts w:eastAsia="Times New Roman"/>
                <w:color w:val="000000" w:themeColor="text1"/>
                <w:sz w:val="20"/>
                <w:szCs w:val="20"/>
              </w:rPr>
              <w:t>-10.9</w:t>
            </w:r>
          </w:p>
        </w:tc>
      </w:tr>
      <w:tr w:rsidR="00D14CD7" w:rsidRPr="00D14CD7" w14:paraId="3FB1BEFE" w14:textId="77777777" w:rsidTr="009678B0">
        <w:tc>
          <w:tcPr>
            <w:tcW w:w="654" w:type="pct"/>
            <w:vMerge w:val="restart"/>
            <w:tcBorders>
              <w:top w:val="single" w:sz="4" w:space="0" w:color="auto"/>
              <w:left w:val="double" w:sz="4" w:space="0" w:color="auto"/>
              <w:right w:val="double" w:sz="4" w:space="0" w:color="auto"/>
            </w:tcBorders>
            <w:vAlign w:val="center"/>
          </w:tcPr>
          <w:p w14:paraId="329B8858" w14:textId="77777777" w:rsidR="00170887" w:rsidRPr="00D14CD7" w:rsidRDefault="00170887" w:rsidP="00170887">
            <w:pPr>
              <w:jc w:val="left"/>
              <w:rPr>
                <w:color w:val="000000" w:themeColor="text1"/>
                <w:sz w:val="20"/>
                <w:szCs w:val="20"/>
              </w:rPr>
            </w:pPr>
            <w:r w:rsidRPr="00D14CD7">
              <w:rPr>
                <w:rFonts w:eastAsia="Times New Roman"/>
                <w:color w:val="000000" w:themeColor="text1"/>
                <w:sz w:val="20"/>
                <w:szCs w:val="20"/>
              </w:rPr>
              <w:t>My personal well-being was or still is at risk during the pandemic</w:t>
            </w:r>
          </w:p>
        </w:tc>
        <w:tc>
          <w:tcPr>
            <w:tcW w:w="594" w:type="pct"/>
            <w:tcBorders>
              <w:top w:val="single" w:sz="4" w:space="0" w:color="auto"/>
              <w:left w:val="double" w:sz="4" w:space="0" w:color="auto"/>
            </w:tcBorders>
          </w:tcPr>
          <w:p w14:paraId="13CA7003" w14:textId="77777777" w:rsidR="00170887" w:rsidRPr="00D14CD7" w:rsidRDefault="00170887" w:rsidP="00170887">
            <w:pPr>
              <w:jc w:val="left"/>
              <w:rPr>
                <w:color w:val="000000" w:themeColor="text1"/>
                <w:sz w:val="20"/>
                <w:szCs w:val="20"/>
              </w:rPr>
            </w:pPr>
            <w:r w:rsidRPr="00D14CD7">
              <w:rPr>
                <w:color w:val="000000" w:themeColor="text1"/>
                <w:sz w:val="20"/>
                <w:szCs w:val="20"/>
              </w:rPr>
              <w:t>No and age is less than 50 years</w:t>
            </w:r>
          </w:p>
        </w:tc>
        <w:tc>
          <w:tcPr>
            <w:tcW w:w="562" w:type="pct"/>
            <w:tcBorders>
              <w:top w:val="single" w:sz="4" w:space="0" w:color="auto"/>
              <w:right w:val="double" w:sz="4" w:space="0" w:color="auto"/>
            </w:tcBorders>
          </w:tcPr>
          <w:p w14:paraId="5837E6F9" w14:textId="77777777" w:rsidR="00170887" w:rsidRPr="00D14CD7" w:rsidRDefault="00170887" w:rsidP="00170887">
            <w:pPr>
              <w:jc w:val="left"/>
              <w:rPr>
                <w:color w:val="000000" w:themeColor="text1"/>
                <w:sz w:val="20"/>
                <w:szCs w:val="20"/>
              </w:rPr>
            </w:pPr>
            <w:r w:rsidRPr="00D14CD7">
              <w:rPr>
                <w:color w:val="000000" w:themeColor="text1"/>
                <w:sz w:val="20"/>
                <w:szCs w:val="20"/>
              </w:rPr>
              <w:t>Yes and age is less than 50 years</w:t>
            </w:r>
          </w:p>
        </w:tc>
        <w:tc>
          <w:tcPr>
            <w:tcW w:w="202" w:type="pct"/>
            <w:tcBorders>
              <w:top w:val="single" w:sz="4" w:space="0" w:color="auto"/>
              <w:left w:val="double" w:sz="4" w:space="0" w:color="auto"/>
            </w:tcBorders>
            <w:vAlign w:val="center"/>
          </w:tcPr>
          <w:p w14:paraId="73A4CE06" w14:textId="77777777" w:rsidR="00170887" w:rsidRPr="00D14CD7" w:rsidRDefault="00170887" w:rsidP="00170887">
            <w:pPr>
              <w:jc w:val="right"/>
              <w:rPr>
                <w:color w:val="000000" w:themeColor="text1"/>
                <w:sz w:val="20"/>
                <w:szCs w:val="20"/>
              </w:rPr>
            </w:pPr>
            <w:r w:rsidRPr="00D14CD7">
              <w:rPr>
                <w:rFonts w:eastAsia="Times New Roman"/>
                <w:color w:val="000000" w:themeColor="text1"/>
                <w:sz w:val="20"/>
                <w:szCs w:val="20"/>
              </w:rPr>
              <w:t>3.50</w:t>
            </w:r>
          </w:p>
        </w:tc>
        <w:tc>
          <w:tcPr>
            <w:tcW w:w="218" w:type="pct"/>
            <w:tcBorders>
              <w:top w:val="single" w:sz="4" w:space="0" w:color="auto"/>
            </w:tcBorders>
            <w:vAlign w:val="center"/>
          </w:tcPr>
          <w:p w14:paraId="1480A7C8" w14:textId="77777777" w:rsidR="00170887" w:rsidRPr="00D14CD7" w:rsidRDefault="00170887" w:rsidP="00170887">
            <w:pPr>
              <w:jc w:val="right"/>
              <w:rPr>
                <w:color w:val="000000" w:themeColor="text1"/>
                <w:sz w:val="20"/>
                <w:szCs w:val="20"/>
              </w:rPr>
            </w:pPr>
            <w:r w:rsidRPr="00D14CD7">
              <w:rPr>
                <w:rFonts w:eastAsia="Times New Roman"/>
                <w:color w:val="000000" w:themeColor="text1"/>
                <w:sz w:val="20"/>
                <w:szCs w:val="20"/>
              </w:rPr>
              <w:t>24.2</w:t>
            </w:r>
          </w:p>
        </w:tc>
        <w:tc>
          <w:tcPr>
            <w:tcW w:w="187" w:type="pct"/>
            <w:tcBorders>
              <w:top w:val="single" w:sz="4" w:space="0" w:color="auto"/>
            </w:tcBorders>
            <w:vAlign w:val="center"/>
          </w:tcPr>
          <w:p w14:paraId="26B150D7" w14:textId="77777777" w:rsidR="00170887" w:rsidRPr="00D14CD7" w:rsidRDefault="00170887" w:rsidP="00170887">
            <w:pPr>
              <w:jc w:val="right"/>
              <w:rPr>
                <w:color w:val="000000" w:themeColor="text1"/>
                <w:sz w:val="20"/>
                <w:szCs w:val="20"/>
              </w:rPr>
            </w:pPr>
            <w:r w:rsidRPr="00D14CD7">
              <w:rPr>
                <w:rFonts w:eastAsia="Times New Roman"/>
                <w:color w:val="000000" w:themeColor="text1"/>
                <w:sz w:val="20"/>
                <w:szCs w:val="20"/>
              </w:rPr>
              <w:t>16.8</w:t>
            </w:r>
          </w:p>
        </w:tc>
        <w:tc>
          <w:tcPr>
            <w:tcW w:w="218" w:type="pct"/>
            <w:tcBorders>
              <w:top w:val="single" w:sz="4" w:space="0" w:color="auto"/>
            </w:tcBorders>
            <w:vAlign w:val="center"/>
          </w:tcPr>
          <w:p w14:paraId="7B770FE2" w14:textId="77777777" w:rsidR="00170887" w:rsidRPr="00D14CD7" w:rsidRDefault="00170887" w:rsidP="00170887">
            <w:pPr>
              <w:jc w:val="right"/>
              <w:rPr>
                <w:color w:val="000000" w:themeColor="text1"/>
                <w:sz w:val="20"/>
                <w:szCs w:val="20"/>
              </w:rPr>
            </w:pPr>
            <w:r w:rsidRPr="00D14CD7">
              <w:rPr>
                <w:rFonts w:eastAsia="Times New Roman"/>
                <w:color w:val="000000" w:themeColor="text1"/>
                <w:sz w:val="20"/>
                <w:szCs w:val="20"/>
              </w:rPr>
              <w:t>44.8</w:t>
            </w:r>
          </w:p>
        </w:tc>
        <w:tc>
          <w:tcPr>
            <w:tcW w:w="187" w:type="pct"/>
            <w:tcBorders>
              <w:top w:val="single" w:sz="4" w:space="0" w:color="auto"/>
              <w:right w:val="double" w:sz="4" w:space="0" w:color="auto"/>
            </w:tcBorders>
            <w:vAlign w:val="center"/>
          </w:tcPr>
          <w:p w14:paraId="21A951C1" w14:textId="0A403D31" w:rsidR="00170887" w:rsidRPr="00D14CD7" w:rsidRDefault="00170887" w:rsidP="00170887">
            <w:pPr>
              <w:jc w:val="right"/>
              <w:rPr>
                <w:color w:val="000000" w:themeColor="text1"/>
                <w:sz w:val="20"/>
                <w:szCs w:val="20"/>
              </w:rPr>
            </w:pPr>
            <w:r w:rsidRPr="00D14CD7">
              <w:rPr>
                <w:rFonts w:eastAsia="Times New Roman"/>
                <w:color w:val="000000" w:themeColor="text1"/>
                <w:sz w:val="20"/>
                <w:szCs w:val="20"/>
              </w:rPr>
              <w:t>14.</w:t>
            </w:r>
            <w:r w:rsidR="00FC630C" w:rsidRPr="00D14CD7">
              <w:rPr>
                <w:rFonts w:eastAsia="Times New Roman"/>
                <w:color w:val="000000" w:themeColor="text1"/>
                <w:sz w:val="20"/>
                <w:szCs w:val="20"/>
              </w:rPr>
              <w:t>2</w:t>
            </w:r>
          </w:p>
        </w:tc>
        <w:tc>
          <w:tcPr>
            <w:tcW w:w="187" w:type="pct"/>
            <w:tcBorders>
              <w:top w:val="single" w:sz="4" w:space="0" w:color="auto"/>
              <w:left w:val="double" w:sz="4" w:space="0" w:color="auto"/>
            </w:tcBorders>
            <w:vAlign w:val="center"/>
          </w:tcPr>
          <w:p w14:paraId="77B22E4E" w14:textId="724F4718" w:rsidR="00170887" w:rsidRPr="00D14CD7" w:rsidRDefault="00170887" w:rsidP="00170887">
            <w:pPr>
              <w:jc w:val="right"/>
              <w:rPr>
                <w:color w:val="000000" w:themeColor="text1"/>
                <w:sz w:val="20"/>
                <w:szCs w:val="20"/>
              </w:rPr>
            </w:pPr>
            <w:r w:rsidRPr="00D14CD7">
              <w:rPr>
                <w:rFonts w:eastAsia="Times New Roman"/>
                <w:color w:val="000000" w:themeColor="text1"/>
                <w:sz w:val="20"/>
                <w:szCs w:val="20"/>
              </w:rPr>
              <w:t>2.5</w:t>
            </w:r>
            <w:r w:rsidR="001D7C95" w:rsidRPr="00D14CD7">
              <w:rPr>
                <w:rFonts w:eastAsia="Times New Roman"/>
                <w:color w:val="000000" w:themeColor="text1"/>
                <w:sz w:val="20"/>
                <w:szCs w:val="20"/>
              </w:rPr>
              <w:t>0</w:t>
            </w:r>
          </w:p>
        </w:tc>
        <w:tc>
          <w:tcPr>
            <w:tcW w:w="218" w:type="pct"/>
            <w:tcBorders>
              <w:top w:val="single" w:sz="4" w:space="0" w:color="auto"/>
            </w:tcBorders>
            <w:vAlign w:val="center"/>
          </w:tcPr>
          <w:p w14:paraId="09A75456" w14:textId="5D78425D" w:rsidR="00170887" w:rsidRPr="00D14CD7" w:rsidRDefault="00170887" w:rsidP="00170887">
            <w:pPr>
              <w:jc w:val="right"/>
              <w:rPr>
                <w:color w:val="000000" w:themeColor="text1"/>
                <w:sz w:val="20"/>
                <w:szCs w:val="20"/>
              </w:rPr>
            </w:pPr>
            <w:r w:rsidRPr="00D14CD7">
              <w:rPr>
                <w:rFonts w:eastAsia="Times New Roman"/>
                <w:color w:val="000000" w:themeColor="text1"/>
                <w:sz w:val="20"/>
                <w:szCs w:val="20"/>
              </w:rPr>
              <w:t>19.</w:t>
            </w:r>
            <w:r w:rsidR="00FC630C" w:rsidRPr="00D14CD7">
              <w:rPr>
                <w:rFonts w:eastAsia="Times New Roman"/>
                <w:color w:val="000000" w:themeColor="text1"/>
                <w:sz w:val="20"/>
                <w:szCs w:val="20"/>
              </w:rPr>
              <w:t>6</w:t>
            </w:r>
          </w:p>
        </w:tc>
        <w:tc>
          <w:tcPr>
            <w:tcW w:w="187" w:type="pct"/>
            <w:tcBorders>
              <w:top w:val="single" w:sz="4" w:space="0" w:color="auto"/>
            </w:tcBorders>
            <w:vAlign w:val="center"/>
          </w:tcPr>
          <w:p w14:paraId="735B0D3A" w14:textId="77777777" w:rsidR="00170887" w:rsidRPr="00D14CD7" w:rsidRDefault="00170887" w:rsidP="00170887">
            <w:pPr>
              <w:jc w:val="right"/>
              <w:rPr>
                <w:color w:val="000000" w:themeColor="text1"/>
                <w:sz w:val="20"/>
                <w:szCs w:val="20"/>
              </w:rPr>
            </w:pPr>
            <w:r w:rsidRPr="00D14CD7">
              <w:rPr>
                <w:rFonts w:eastAsia="Times New Roman"/>
                <w:color w:val="000000" w:themeColor="text1"/>
                <w:sz w:val="20"/>
                <w:szCs w:val="20"/>
              </w:rPr>
              <w:t>14.6</w:t>
            </w:r>
          </w:p>
        </w:tc>
        <w:tc>
          <w:tcPr>
            <w:tcW w:w="218" w:type="pct"/>
            <w:tcBorders>
              <w:top w:val="single" w:sz="4" w:space="0" w:color="auto"/>
            </w:tcBorders>
            <w:vAlign w:val="center"/>
          </w:tcPr>
          <w:p w14:paraId="07176DCC" w14:textId="77777777" w:rsidR="00170887" w:rsidRPr="00D14CD7" w:rsidRDefault="00170887" w:rsidP="00170887">
            <w:pPr>
              <w:jc w:val="right"/>
              <w:rPr>
                <w:color w:val="000000" w:themeColor="text1"/>
                <w:sz w:val="20"/>
                <w:szCs w:val="20"/>
              </w:rPr>
            </w:pPr>
            <w:r w:rsidRPr="00D14CD7">
              <w:rPr>
                <w:rFonts w:eastAsia="Times New Roman"/>
                <w:color w:val="000000" w:themeColor="text1"/>
                <w:sz w:val="20"/>
                <w:szCs w:val="20"/>
              </w:rPr>
              <w:t>53.3</w:t>
            </w:r>
          </w:p>
        </w:tc>
        <w:tc>
          <w:tcPr>
            <w:tcW w:w="219" w:type="pct"/>
            <w:tcBorders>
              <w:top w:val="single" w:sz="4" w:space="0" w:color="auto"/>
              <w:right w:val="double" w:sz="4" w:space="0" w:color="auto"/>
            </w:tcBorders>
            <w:vAlign w:val="center"/>
          </w:tcPr>
          <w:p w14:paraId="28DBEB2D" w14:textId="77777777" w:rsidR="00170887" w:rsidRPr="00D14CD7" w:rsidRDefault="00170887" w:rsidP="00170887">
            <w:pPr>
              <w:jc w:val="right"/>
              <w:rPr>
                <w:color w:val="000000" w:themeColor="text1"/>
                <w:sz w:val="20"/>
                <w:szCs w:val="20"/>
              </w:rPr>
            </w:pPr>
            <w:r w:rsidRPr="00D14CD7">
              <w:rPr>
                <w:rFonts w:eastAsia="Times New Roman"/>
                <w:color w:val="000000" w:themeColor="text1"/>
                <w:sz w:val="20"/>
                <w:szCs w:val="20"/>
              </w:rPr>
              <w:t>12.5</w:t>
            </w:r>
          </w:p>
        </w:tc>
        <w:tc>
          <w:tcPr>
            <w:tcW w:w="218" w:type="pct"/>
            <w:tcBorders>
              <w:top w:val="single" w:sz="4" w:space="0" w:color="auto"/>
              <w:left w:val="double" w:sz="4" w:space="0" w:color="auto"/>
            </w:tcBorders>
            <w:vAlign w:val="center"/>
          </w:tcPr>
          <w:p w14:paraId="17D9DC71" w14:textId="77777777" w:rsidR="00170887" w:rsidRPr="00D14CD7" w:rsidRDefault="00170887" w:rsidP="00170887">
            <w:pPr>
              <w:jc w:val="right"/>
              <w:rPr>
                <w:color w:val="000000" w:themeColor="text1"/>
                <w:sz w:val="20"/>
                <w:szCs w:val="20"/>
              </w:rPr>
            </w:pPr>
            <w:r w:rsidRPr="00D14CD7">
              <w:rPr>
                <w:rFonts w:eastAsia="Times New Roman"/>
                <w:color w:val="000000" w:themeColor="text1"/>
                <w:sz w:val="20"/>
                <w:szCs w:val="20"/>
              </w:rPr>
              <w:t>-28.3</w:t>
            </w:r>
          </w:p>
        </w:tc>
        <w:tc>
          <w:tcPr>
            <w:tcW w:w="218" w:type="pct"/>
            <w:tcBorders>
              <w:top w:val="single" w:sz="4" w:space="0" w:color="auto"/>
            </w:tcBorders>
            <w:vAlign w:val="center"/>
          </w:tcPr>
          <w:p w14:paraId="1BEA8C48" w14:textId="77777777" w:rsidR="00170887" w:rsidRPr="00D14CD7" w:rsidRDefault="00170887" w:rsidP="00170887">
            <w:pPr>
              <w:jc w:val="right"/>
              <w:rPr>
                <w:rFonts w:eastAsia="Times New Roman"/>
                <w:color w:val="000000" w:themeColor="text1"/>
                <w:sz w:val="20"/>
                <w:szCs w:val="20"/>
              </w:rPr>
            </w:pPr>
            <w:r w:rsidRPr="00D14CD7">
              <w:rPr>
                <w:rFonts w:eastAsia="Times New Roman"/>
                <w:color w:val="000000" w:themeColor="text1"/>
                <w:sz w:val="20"/>
                <w:szCs w:val="20"/>
              </w:rPr>
              <w:t>-42.2</w:t>
            </w:r>
          </w:p>
        </w:tc>
        <w:tc>
          <w:tcPr>
            <w:tcW w:w="249" w:type="pct"/>
            <w:tcBorders>
              <w:top w:val="single" w:sz="4" w:space="0" w:color="auto"/>
            </w:tcBorders>
            <w:vAlign w:val="center"/>
          </w:tcPr>
          <w:p w14:paraId="10146699" w14:textId="77777777" w:rsidR="00170887" w:rsidRPr="00D14CD7" w:rsidRDefault="00170887" w:rsidP="00170887">
            <w:pPr>
              <w:jc w:val="right"/>
              <w:rPr>
                <w:rFonts w:eastAsia="Times New Roman"/>
                <w:color w:val="000000" w:themeColor="text1"/>
                <w:sz w:val="20"/>
                <w:szCs w:val="20"/>
              </w:rPr>
            </w:pPr>
            <w:r w:rsidRPr="00D14CD7">
              <w:rPr>
                <w:rFonts w:eastAsia="Times New Roman"/>
                <w:color w:val="000000" w:themeColor="text1"/>
                <w:sz w:val="20"/>
                <w:szCs w:val="20"/>
              </w:rPr>
              <w:t>-37.6</w:t>
            </w:r>
          </w:p>
        </w:tc>
        <w:tc>
          <w:tcPr>
            <w:tcW w:w="218" w:type="pct"/>
            <w:tcBorders>
              <w:top w:val="single" w:sz="4" w:space="0" w:color="auto"/>
            </w:tcBorders>
            <w:vAlign w:val="center"/>
          </w:tcPr>
          <w:p w14:paraId="79B0B726" w14:textId="77777777" w:rsidR="00170887" w:rsidRPr="00D14CD7" w:rsidRDefault="00170887" w:rsidP="00170887">
            <w:pPr>
              <w:jc w:val="right"/>
              <w:rPr>
                <w:rFonts w:eastAsia="Times New Roman"/>
                <w:color w:val="000000" w:themeColor="text1"/>
                <w:sz w:val="20"/>
                <w:szCs w:val="20"/>
              </w:rPr>
            </w:pPr>
            <w:r w:rsidRPr="00D14CD7">
              <w:rPr>
                <w:rFonts w:eastAsia="Times New Roman"/>
                <w:color w:val="000000" w:themeColor="text1"/>
                <w:sz w:val="20"/>
                <w:szCs w:val="20"/>
              </w:rPr>
              <w:t>-14.8</w:t>
            </w:r>
          </w:p>
        </w:tc>
        <w:tc>
          <w:tcPr>
            <w:tcW w:w="246" w:type="pct"/>
            <w:tcBorders>
              <w:top w:val="single" w:sz="4" w:space="0" w:color="auto"/>
              <w:right w:val="double" w:sz="4" w:space="0" w:color="auto"/>
            </w:tcBorders>
            <w:vAlign w:val="center"/>
          </w:tcPr>
          <w:p w14:paraId="0B6F1628" w14:textId="77777777" w:rsidR="00170887" w:rsidRPr="00D14CD7" w:rsidRDefault="00170887" w:rsidP="00170887">
            <w:pPr>
              <w:jc w:val="right"/>
              <w:rPr>
                <w:rFonts w:eastAsia="Times New Roman"/>
                <w:color w:val="000000" w:themeColor="text1"/>
                <w:sz w:val="20"/>
                <w:szCs w:val="20"/>
              </w:rPr>
            </w:pPr>
            <w:r w:rsidRPr="00D14CD7">
              <w:rPr>
                <w:rFonts w:eastAsia="Times New Roman"/>
                <w:color w:val="000000" w:themeColor="text1"/>
                <w:sz w:val="20"/>
                <w:szCs w:val="20"/>
              </w:rPr>
              <w:t>-36.4</w:t>
            </w:r>
          </w:p>
        </w:tc>
      </w:tr>
      <w:tr w:rsidR="00D14CD7" w:rsidRPr="00D14CD7" w14:paraId="666BBCDC" w14:textId="77777777" w:rsidTr="009678B0">
        <w:tc>
          <w:tcPr>
            <w:tcW w:w="654" w:type="pct"/>
            <w:vMerge/>
            <w:tcBorders>
              <w:left w:val="double" w:sz="4" w:space="0" w:color="auto"/>
              <w:bottom w:val="double" w:sz="4" w:space="0" w:color="auto"/>
              <w:right w:val="double" w:sz="4" w:space="0" w:color="auto"/>
            </w:tcBorders>
            <w:vAlign w:val="center"/>
          </w:tcPr>
          <w:p w14:paraId="20F8F489" w14:textId="77777777" w:rsidR="00170887" w:rsidRPr="00D14CD7" w:rsidRDefault="00170887" w:rsidP="00170887">
            <w:pPr>
              <w:jc w:val="left"/>
              <w:rPr>
                <w:rFonts w:eastAsia="Times New Roman"/>
                <w:color w:val="000000" w:themeColor="text1"/>
                <w:sz w:val="20"/>
                <w:szCs w:val="20"/>
              </w:rPr>
            </w:pPr>
          </w:p>
        </w:tc>
        <w:tc>
          <w:tcPr>
            <w:tcW w:w="594" w:type="pct"/>
            <w:tcBorders>
              <w:left w:val="double" w:sz="4" w:space="0" w:color="auto"/>
              <w:bottom w:val="double" w:sz="4" w:space="0" w:color="auto"/>
            </w:tcBorders>
          </w:tcPr>
          <w:p w14:paraId="09C9F295" w14:textId="77777777" w:rsidR="00170887" w:rsidRPr="00D14CD7" w:rsidRDefault="00170887" w:rsidP="00170887">
            <w:pPr>
              <w:jc w:val="left"/>
              <w:rPr>
                <w:color w:val="000000" w:themeColor="text1"/>
                <w:sz w:val="20"/>
                <w:szCs w:val="20"/>
              </w:rPr>
            </w:pPr>
            <w:r w:rsidRPr="00D14CD7">
              <w:rPr>
                <w:color w:val="000000" w:themeColor="text1"/>
                <w:sz w:val="20"/>
                <w:szCs w:val="20"/>
              </w:rPr>
              <w:t>No and age is more than 50 years</w:t>
            </w:r>
          </w:p>
        </w:tc>
        <w:tc>
          <w:tcPr>
            <w:tcW w:w="562" w:type="pct"/>
            <w:tcBorders>
              <w:bottom w:val="double" w:sz="4" w:space="0" w:color="auto"/>
              <w:right w:val="double" w:sz="4" w:space="0" w:color="auto"/>
            </w:tcBorders>
          </w:tcPr>
          <w:p w14:paraId="236BE432" w14:textId="77777777" w:rsidR="00170887" w:rsidRPr="00D14CD7" w:rsidRDefault="00170887" w:rsidP="00170887">
            <w:pPr>
              <w:jc w:val="left"/>
              <w:rPr>
                <w:color w:val="000000" w:themeColor="text1"/>
                <w:sz w:val="20"/>
                <w:szCs w:val="20"/>
              </w:rPr>
            </w:pPr>
            <w:r w:rsidRPr="00D14CD7">
              <w:rPr>
                <w:color w:val="000000" w:themeColor="text1"/>
                <w:sz w:val="20"/>
                <w:szCs w:val="20"/>
              </w:rPr>
              <w:t>Yes and age is more than 50 years</w:t>
            </w:r>
          </w:p>
        </w:tc>
        <w:tc>
          <w:tcPr>
            <w:tcW w:w="202" w:type="pct"/>
            <w:tcBorders>
              <w:left w:val="double" w:sz="4" w:space="0" w:color="auto"/>
              <w:bottom w:val="double" w:sz="4" w:space="0" w:color="auto"/>
            </w:tcBorders>
            <w:vAlign w:val="center"/>
          </w:tcPr>
          <w:p w14:paraId="7D1E1020" w14:textId="77777777" w:rsidR="00170887" w:rsidRPr="00D14CD7" w:rsidRDefault="00170887" w:rsidP="00170887">
            <w:pPr>
              <w:jc w:val="right"/>
              <w:rPr>
                <w:color w:val="000000" w:themeColor="text1"/>
                <w:sz w:val="20"/>
                <w:szCs w:val="20"/>
              </w:rPr>
            </w:pPr>
            <w:r w:rsidRPr="00D14CD7">
              <w:rPr>
                <w:rFonts w:eastAsia="Times New Roman"/>
                <w:color w:val="000000" w:themeColor="text1"/>
                <w:sz w:val="20"/>
                <w:szCs w:val="20"/>
              </w:rPr>
              <w:t>3.23</w:t>
            </w:r>
          </w:p>
        </w:tc>
        <w:tc>
          <w:tcPr>
            <w:tcW w:w="218" w:type="pct"/>
            <w:tcBorders>
              <w:bottom w:val="double" w:sz="4" w:space="0" w:color="auto"/>
            </w:tcBorders>
            <w:vAlign w:val="center"/>
          </w:tcPr>
          <w:p w14:paraId="055DA426" w14:textId="77777777" w:rsidR="00170887" w:rsidRPr="00D14CD7" w:rsidRDefault="00170887" w:rsidP="00170887">
            <w:pPr>
              <w:jc w:val="right"/>
              <w:rPr>
                <w:color w:val="000000" w:themeColor="text1"/>
                <w:sz w:val="20"/>
                <w:szCs w:val="20"/>
              </w:rPr>
            </w:pPr>
            <w:r w:rsidRPr="00D14CD7">
              <w:rPr>
                <w:rFonts w:eastAsia="Times New Roman"/>
                <w:color w:val="000000" w:themeColor="text1"/>
                <w:sz w:val="20"/>
                <w:szCs w:val="20"/>
              </w:rPr>
              <w:t>11.4</w:t>
            </w:r>
          </w:p>
        </w:tc>
        <w:tc>
          <w:tcPr>
            <w:tcW w:w="187" w:type="pct"/>
            <w:tcBorders>
              <w:bottom w:val="double" w:sz="4" w:space="0" w:color="auto"/>
            </w:tcBorders>
            <w:vAlign w:val="center"/>
          </w:tcPr>
          <w:p w14:paraId="746EF77B" w14:textId="77777777" w:rsidR="00170887" w:rsidRPr="00D14CD7" w:rsidRDefault="00170887" w:rsidP="00170887">
            <w:pPr>
              <w:jc w:val="right"/>
              <w:rPr>
                <w:color w:val="000000" w:themeColor="text1"/>
                <w:sz w:val="20"/>
                <w:szCs w:val="20"/>
              </w:rPr>
            </w:pPr>
            <w:r w:rsidRPr="00D14CD7">
              <w:rPr>
                <w:rFonts w:eastAsia="Times New Roman"/>
                <w:color w:val="000000" w:themeColor="text1"/>
                <w:sz w:val="20"/>
                <w:szCs w:val="20"/>
              </w:rPr>
              <w:t>4.3</w:t>
            </w:r>
          </w:p>
        </w:tc>
        <w:tc>
          <w:tcPr>
            <w:tcW w:w="218" w:type="pct"/>
            <w:tcBorders>
              <w:bottom w:val="double" w:sz="4" w:space="0" w:color="auto"/>
            </w:tcBorders>
            <w:vAlign w:val="center"/>
          </w:tcPr>
          <w:p w14:paraId="601913EE" w14:textId="577CC710" w:rsidR="00170887" w:rsidRPr="00D14CD7" w:rsidRDefault="00170887" w:rsidP="00170887">
            <w:pPr>
              <w:jc w:val="right"/>
              <w:rPr>
                <w:color w:val="000000" w:themeColor="text1"/>
                <w:sz w:val="20"/>
                <w:szCs w:val="20"/>
              </w:rPr>
            </w:pPr>
            <w:r w:rsidRPr="00D14CD7">
              <w:rPr>
                <w:rFonts w:eastAsia="Times New Roman"/>
                <w:color w:val="000000" w:themeColor="text1"/>
                <w:sz w:val="20"/>
                <w:szCs w:val="20"/>
              </w:rPr>
              <w:t>68</w:t>
            </w:r>
            <w:r w:rsidR="00FC630C" w:rsidRPr="00D14CD7">
              <w:rPr>
                <w:rFonts w:eastAsia="Times New Roman"/>
                <w:color w:val="000000" w:themeColor="text1"/>
                <w:sz w:val="20"/>
                <w:szCs w:val="20"/>
              </w:rPr>
              <w:t>9</w:t>
            </w:r>
          </w:p>
        </w:tc>
        <w:tc>
          <w:tcPr>
            <w:tcW w:w="187" w:type="pct"/>
            <w:tcBorders>
              <w:bottom w:val="double" w:sz="4" w:space="0" w:color="auto"/>
              <w:right w:val="double" w:sz="4" w:space="0" w:color="auto"/>
            </w:tcBorders>
            <w:vAlign w:val="center"/>
          </w:tcPr>
          <w:p w14:paraId="3D1E812E" w14:textId="68ED9F1B" w:rsidR="00170887" w:rsidRPr="00D14CD7" w:rsidRDefault="00170887" w:rsidP="00170887">
            <w:pPr>
              <w:jc w:val="right"/>
              <w:rPr>
                <w:color w:val="000000" w:themeColor="text1"/>
                <w:sz w:val="20"/>
                <w:szCs w:val="20"/>
              </w:rPr>
            </w:pPr>
            <w:r w:rsidRPr="00D14CD7">
              <w:rPr>
                <w:rFonts w:eastAsia="Times New Roman"/>
                <w:color w:val="000000" w:themeColor="text1"/>
                <w:sz w:val="20"/>
                <w:szCs w:val="20"/>
              </w:rPr>
              <w:t>15.</w:t>
            </w:r>
            <w:r w:rsidR="00FC630C" w:rsidRPr="00D14CD7">
              <w:rPr>
                <w:rFonts w:eastAsia="Times New Roman"/>
                <w:color w:val="000000" w:themeColor="text1"/>
                <w:sz w:val="20"/>
                <w:szCs w:val="20"/>
              </w:rPr>
              <w:t>4</w:t>
            </w:r>
          </w:p>
        </w:tc>
        <w:tc>
          <w:tcPr>
            <w:tcW w:w="187" w:type="pct"/>
            <w:tcBorders>
              <w:left w:val="double" w:sz="4" w:space="0" w:color="auto"/>
              <w:bottom w:val="double" w:sz="4" w:space="0" w:color="auto"/>
            </w:tcBorders>
            <w:vAlign w:val="center"/>
          </w:tcPr>
          <w:p w14:paraId="564E94E1" w14:textId="666747D2" w:rsidR="00170887" w:rsidRPr="00D14CD7" w:rsidRDefault="00170887" w:rsidP="00170887">
            <w:pPr>
              <w:jc w:val="right"/>
              <w:rPr>
                <w:color w:val="000000" w:themeColor="text1"/>
                <w:sz w:val="20"/>
                <w:szCs w:val="20"/>
              </w:rPr>
            </w:pPr>
            <w:r w:rsidRPr="00D14CD7">
              <w:rPr>
                <w:rFonts w:eastAsia="Times New Roman"/>
                <w:color w:val="000000" w:themeColor="text1"/>
                <w:sz w:val="20"/>
                <w:szCs w:val="20"/>
              </w:rPr>
              <w:t>2.7</w:t>
            </w:r>
            <w:r w:rsidR="001D7C95" w:rsidRPr="00D14CD7">
              <w:rPr>
                <w:rFonts w:eastAsia="Times New Roman"/>
                <w:color w:val="000000" w:themeColor="text1"/>
                <w:sz w:val="20"/>
                <w:szCs w:val="20"/>
              </w:rPr>
              <w:t>8</w:t>
            </w:r>
          </w:p>
        </w:tc>
        <w:tc>
          <w:tcPr>
            <w:tcW w:w="218" w:type="pct"/>
            <w:tcBorders>
              <w:bottom w:val="double" w:sz="4" w:space="0" w:color="auto"/>
            </w:tcBorders>
            <w:vAlign w:val="center"/>
          </w:tcPr>
          <w:p w14:paraId="1FB26D68" w14:textId="7EFDB708" w:rsidR="00170887" w:rsidRPr="00D14CD7" w:rsidRDefault="00170887" w:rsidP="00170887">
            <w:pPr>
              <w:jc w:val="right"/>
              <w:rPr>
                <w:color w:val="000000" w:themeColor="text1"/>
                <w:sz w:val="20"/>
                <w:szCs w:val="20"/>
              </w:rPr>
            </w:pPr>
            <w:r w:rsidRPr="00D14CD7">
              <w:rPr>
                <w:rFonts w:eastAsia="Times New Roman"/>
                <w:color w:val="000000" w:themeColor="text1"/>
                <w:sz w:val="20"/>
                <w:szCs w:val="20"/>
              </w:rPr>
              <w:t>9.</w:t>
            </w:r>
            <w:r w:rsidR="00FC630C" w:rsidRPr="00D14CD7">
              <w:rPr>
                <w:rFonts w:eastAsia="Times New Roman"/>
                <w:color w:val="000000" w:themeColor="text1"/>
                <w:sz w:val="20"/>
                <w:szCs w:val="20"/>
              </w:rPr>
              <w:t>5</w:t>
            </w:r>
          </w:p>
        </w:tc>
        <w:tc>
          <w:tcPr>
            <w:tcW w:w="187" w:type="pct"/>
            <w:tcBorders>
              <w:bottom w:val="double" w:sz="4" w:space="0" w:color="auto"/>
            </w:tcBorders>
            <w:vAlign w:val="center"/>
          </w:tcPr>
          <w:p w14:paraId="1B1BF750" w14:textId="1729F05F" w:rsidR="00170887" w:rsidRPr="00D14CD7" w:rsidRDefault="00FC630C" w:rsidP="00170887">
            <w:pPr>
              <w:jc w:val="right"/>
              <w:rPr>
                <w:color w:val="000000" w:themeColor="text1"/>
                <w:sz w:val="20"/>
                <w:szCs w:val="20"/>
              </w:rPr>
            </w:pPr>
            <w:r w:rsidRPr="00D14CD7">
              <w:rPr>
                <w:rFonts w:eastAsia="Times New Roman"/>
                <w:color w:val="000000" w:themeColor="text1"/>
                <w:sz w:val="20"/>
                <w:szCs w:val="20"/>
              </w:rPr>
              <w:t>4</w:t>
            </w:r>
            <w:r w:rsidR="00170887" w:rsidRPr="00D14CD7">
              <w:rPr>
                <w:rFonts w:eastAsia="Times New Roman"/>
                <w:color w:val="000000" w:themeColor="text1"/>
                <w:sz w:val="20"/>
                <w:szCs w:val="20"/>
              </w:rPr>
              <w:t>.</w:t>
            </w:r>
            <w:r w:rsidRPr="00D14CD7">
              <w:rPr>
                <w:rFonts w:eastAsia="Times New Roman"/>
                <w:color w:val="000000" w:themeColor="text1"/>
                <w:sz w:val="20"/>
                <w:szCs w:val="20"/>
              </w:rPr>
              <w:t>0</w:t>
            </w:r>
          </w:p>
        </w:tc>
        <w:tc>
          <w:tcPr>
            <w:tcW w:w="218" w:type="pct"/>
            <w:tcBorders>
              <w:bottom w:val="double" w:sz="4" w:space="0" w:color="auto"/>
            </w:tcBorders>
            <w:vAlign w:val="center"/>
          </w:tcPr>
          <w:p w14:paraId="1AEB8B4F" w14:textId="77777777" w:rsidR="00170887" w:rsidRPr="00D14CD7" w:rsidRDefault="00170887" w:rsidP="00170887">
            <w:pPr>
              <w:jc w:val="right"/>
              <w:rPr>
                <w:color w:val="000000" w:themeColor="text1"/>
                <w:sz w:val="20"/>
                <w:szCs w:val="20"/>
              </w:rPr>
            </w:pPr>
            <w:r w:rsidRPr="00D14CD7">
              <w:rPr>
                <w:rFonts w:eastAsia="Times New Roman"/>
                <w:color w:val="000000" w:themeColor="text1"/>
                <w:sz w:val="20"/>
                <w:szCs w:val="20"/>
              </w:rPr>
              <w:t>72.7</w:t>
            </w:r>
          </w:p>
        </w:tc>
        <w:tc>
          <w:tcPr>
            <w:tcW w:w="219" w:type="pct"/>
            <w:tcBorders>
              <w:bottom w:val="double" w:sz="4" w:space="0" w:color="auto"/>
              <w:right w:val="double" w:sz="4" w:space="0" w:color="auto"/>
            </w:tcBorders>
            <w:vAlign w:val="center"/>
          </w:tcPr>
          <w:p w14:paraId="594C27F8" w14:textId="77777777" w:rsidR="00170887" w:rsidRPr="00D14CD7" w:rsidRDefault="00170887" w:rsidP="00170887">
            <w:pPr>
              <w:jc w:val="right"/>
              <w:rPr>
                <w:color w:val="000000" w:themeColor="text1"/>
                <w:sz w:val="20"/>
                <w:szCs w:val="20"/>
              </w:rPr>
            </w:pPr>
            <w:r w:rsidRPr="00D14CD7">
              <w:rPr>
                <w:rFonts w:eastAsia="Times New Roman"/>
                <w:color w:val="000000" w:themeColor="text1"/>
                <w:sz w:val="20"/>
                <w:szCs w:val="20"/>
              </w:rPr>
              <w:t>13.8</w:t>
            </w:r>
          </w:p>
        </w:tc>
        <w:tc>
          <w:tcPr>
            <w:tcW w:w="218" w:type="pct"/>
            <w:tcBorders>
              <w:left w:val="double" w:sz="4" w:space="0" w:color="auto"/>
              <w:bottom w:val="double" w:sz="4" w:space="0" w:color="auto"/>
            </w:tcBorders>
            <w:vAlign w:val="center"/>
          </w:tcPr>
          <w:p w14:paraId="59A63FDE" w14:textId="77777777" w:rsidR="00170887" w:rsidRPr="00D14CD7" w:rsidRDefault="00170887" w:rsidP="00170887">
            <w:pPr>
              <w:jc w:val="right"/>
              <w:rPr>
                <w:color w:val="000000" w:themeColor="text1"/>
                <w:sz w:val="20"/>
                <w:szCs w:val="20"/>
              </w:rPr>
            </w:pPr>
            <w:r w:rsidRPr="00D14CD7">
              <w:rPr>
                <w:rFonts w:eastAsia="Times New Roman"/>
                <w:color w:val="000000" w:themeColor="text1"/>
                <w:sz w:val="20"/>
                <w:szCs w:val="20"/>
              </w:rPr>
              <w:t>-13.8</w:t>
            </w:r>
          </w:p>
        </w:tc>
        <w:tc>
          <w:tcPr>
            <w:tcW w:w="218" w:type="pct"/>
            <w:tcBorders>
              <w:bottom w:val="double" w:sz="4" w:space="0" w:color="auto"/>
            </w:tcBorders>
            <w:vAlign w:val="center"/>
          </w:tcPr>
          <w:p w14:paraId="59ECFB44" w14:textId="77777777" w:rsidR="00170887" w:rsidRPr="00D14CD7" w:rsidRDefault="00170887" w:rsidP="00170887">
            <w:pPr>
              <w:jc w:val="right"/>
              <w:rPr>
                <w:rFonts w:eastAsia="Times New Roman"/>
                <w:color w:val="000000" w:themeColor="text1"/>
                <w:sz w:val="20"/>
                <w:szCs w:val="20"/>
              </w:rPr>
            </w:pPr>
            <w:r w:rsidRPr="00D14CD7">
              <w:rPr>
                <w:rFonts w:eastAsia="Times New Roman"/>
                <w:color w:val="000000" w:themeColor="text1"/>
                <w:sz w:val="20"/>
                <w:szCs w:val="20"/>
              </w:rPr>
              <w:t>-28.3</w:t>
            </w:r>
          </w:p>
        </w:tc>
        <w:tc>
          <w:tcPr>
            <w:tcW w:w="249" w:type="pct"/>
            <w:tcBorders>
              <w:bottom w:val="double" w:sz="4" w:space="0" w:color="auto"/>
            </w:tcBorders>
            <w:vAlign w:val="center"/>
          </w:tcPr>
          <w:p w14:paraId="737054D0" w14:textId="77777777" w:rsidR="00170887" w:rsidRPr="00D14CD7" w:rsidRDefault="00170887" w:rsidP="00170887">
            <w:pPr>
              <w:jc w:val="right"/>
              <w:rPr>
                <w:rFonts w:eastAsia="Times New Roman"/>
                <w:color w:val="000000" w:themeColor="text1"/>
                <w:sz w:val="20"/>
                <w:szCs w:val="20"/>
              </w:rPr>
            </w:pPr>
            <w:r w:rsidRPr="00D14CD7">
              <w:rPr>
                <w:rFonts w:eastAsia="Times New Roman"/>
                <w:color w:val="000000" w:themeColor="text1"/>
                <w:sz w:val="20"/>
                <w:szCs w:val="20"/>
              </w:rPr>
              <w:t>-22.2</w:t>
            </w:r>
          </w:p>
        </w:tc>
        <w:tc>
          <w:tcPr>
            <w:tcW w:w="218" w:type="pct"/>
            <w:tcBorders>
              <w:bottom w:val="double" w:sz="4" w:space="0" w:color="auto"/>
            </w:tcBorders>
            <w:vAlign w:val="center"/>
          </w:tcPr>
          <w:p w14:paraId="3772AC18" w14:textId="77777777" w:rsidR="00170887" w:rsidRPr="00D14CD7" w:rsidRDefault="00170887" w:rsidP="00170887">
            <w:pPr>
              <w:jc w:val="right"/>
              <w:rPr>
                <w:rFonts w:eastAsia="Times New Roman"/>
                <w:color w:val="000000" w:themeColor="text1"/>
                <w:sz w:val="20"/>
                <w:szCs w:val="20"/>
              </w:rPr>
            </w:pPr>
            <w:r w:rsidRPr="00D14CD7">
              <w:rPr>
                <w:rFonts w:eastAsia="Times New Roman"/>
                <w:color w:val="000000" w:themeColor="text1"/>
                <w:sz w:val="20"/>
                <w:szCs w:val="20"/>
              </w:rPr>
              <w:t>-8.9</w:t>
            </w:r>
          </w:p>
        </w:tc>
        <w:tc>
          <w:tcPr>
            <w:tcW w:w="246" w:type="pct"/>
            <w:tcBorders>
              <w:bottom w:val="double" w:sz="4" w:space="0" w:color="auto"/>
              <w:right w:val="double" w:sz="4" w:space="0" w:color="auto"/>
            </w:tcBorders>
            <w:vAlign w:val="center"/>
          </w:tcPr>
          <w:p w14:paraId="4540EA5D" w14:textId="77777777" w:rsidR="00170887" w:rsidRPr="00D14CD7" w:rsidRDefault="00170887" w:rsidP="00170887">
            <w:pPr>
              <w:jc w:val="right"/>
              <w:rPr>
                <w:rFonts w:eastAsia="Times New Roman"/>
                <w:color w:val="000000" w:themeColor="text1"/>
                <w:sz w:val="20"/>
                <w:szCs w:val="20"/>
              </w:rPr>
            </w:pPr>
            <w:r w:rsidRPr="00D14CD7">
              <w:rPr>
                <w:rFonts w:eastAsia="Times New Roman"/>
                <w:color w:val="000000" w:themeColor="text1"/>
                <w:sz w:val="20"/>
                <w:szCs w:val="20"/>
              </w:rPr>
              <w:t>-22.3</w:t>
            </w:r>
          </w:p>
        </w:tc>
      </w:tr>
    </w:tbl>
    <w:p w14:paraId="418E0D25" w14:textId="4E394446" w:rsidR="00170887" w:rsidRPr="00D14CD7" w:rsidRDefault="00170887" w:rsidP="00170887">
      <w:pPr>
        <w:rPr>
          <w:color w:val="000000" w:themeColor="text1"/>
        </w:rPr>
      </w:pPr>
    </w:p>
    <w:p w14:paraId="05FD110B" w14:textId="2F832B7F" w:rsidR="00BE151D" w:rsidRPr="00D14CD7" w:rsidRDefault="00BE151D">
      <w:pPr>
        <w:jc w:val="left"/>
        <w:rPr>
          <w:color w:val="000000" w:themeColor="text1"/>
        </w:rPr>
      </w:pPr>
      <w:r w:rsidRPr="00D14CD7">
        <w:rPr>
          <w:color w:val="000000" w:themeColor="text1"/>
        </w:rPr>
        <w:br w:type="page"/>
      </w:r>
    </w:p>
    <w:p w14:paraId="5628631E" w14:textId="3C3C50FB" w:rsidR="00170887" w:rsidRPr="00D14CD7" w:rsidRDefault="00BE151D" w:rsidP="00630A69">
      <w:pPr>
        <w:rPr>
          <w:b/>
          <w:bCs/>
          <w:color w:val="000000" w:themeColor="text1"/>
        </w:rPr>
      </w:pPr>
      <w:r w:rsidRPr="00D14CD7">
        <w:rPr>
          <w:b/>
          <w:bCs/>
          <w:color w:val="000000" w:themeColor="text1"/>
        </w:rPr>
        <w:lastRenderedPageBreak/>
        <w:t>Appendix A.</w:t>
      </w:r>
    </w:p>
    <w:p w14:paraId="46272599" w14:textId="6C54DF87" w:rsidR="00F90322" w:rsidRPr="00D14CD7" w:rsidRDefault="00BE151D" w:rsidP="00A4347B">
      <w:pPr>
        <w:rPr>
          <w:color w:val="000000" w:themeColor="text1"/>
        </w:rPr>
      </w:pPr>
      <w:r w:rsidRPr="00D14CD7">
        <w:rPr>
          <w:b/>
          <w:color w:val="000000" w:themeColor="text1"/>
        </w:rPr>
        <w:t>Table A.1. Unlinked model estimation results</w:t>
      </w:r>
    </w:p>
    <w:tbl>
      <w:tblPr>
        <w:tblW w:w="5000" w:type="pct"/>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CellMar>
          <w:left w:w="29" w:type="dxa"/>
          <w:right w:w="29" w:type="dxa"/>
        </w:tblCellMar>
        <w:tblLook w:val="04A0" w:firstRow="1" w:lastRow="0" w:firstColumn="1" w:lastColumn="0" w:noHBand="0" w:noVBand="1"/>
      </w:tblPr>
      <w:tblGrid>
        <w:gridCol w:w="4912"/>
        <w:gridCol w:w="651"/>
        <w:gridCol w:w="572"/>
        <w:gridCol w:w="529"/>
        <w:gridCol w:w="532"/>
        <w:gridCol w:w="529"/>
        <w:gridCol w:w="540"/>
        <w:gridCol w:w="540"/>
        <w:gridCol w:w="420"/>
        <w:gridCol w:w="529"/>
        <w:gridCol w:w="529"/>
        <w:gridCol w:w="529"/>
        <w:gridCol w:w="532"/>
        <w:gridCol w:w="532"/>
        <w:gridCol w:w="532"/>
        <w:gridCol w:w="448"/>
        <w:gridCol w:w="451"/>
        <w:gridCol w:w="537"/>
        <w:gridCol w:w="526"/>
      </w:tblGrid>
      <w:tr w:rsidR="00D14CD7" w:rsidRPr="00D14CD7" w14:paraId="02716529" w14:textId="77777777" w:rsidTr="00567BE9">
        <w:trPr>
          <w:trHeight w:val="72"/>
        </w:trPr>
        <w:tc>
          <w:tcPr>
            <w:tcW w:w="1709" w:type="pct"/>
            <w:vMerge w:val="restart"/>
            <w:tcBorders>
              <w:top w:val="double" w:sz="4" w:space="0" w:color="auto"/>
              <w:bottom w:val="double" w:sz="4" w:space="0" w:color="auto"/>
              <w:right w:val="double" w:sz="4" w:space="0" w:color="auto"/>
            </w:tcBorders>
            <w:shd w:val="clear" w:color="auto" w:fill="auto"/>
            <w:noWrap/>
            <w:vAlign w:val="center"/>
            <w:hideMark/>
          </w:tcPr>
          <w:p w14:paraId="427DA49D" w14:textId="77777777" w:rsidR="00BE151D" w:rsidRPr="00D14CD7" w:rsidRDefault="00BE151D" w:rsidP="00567BE9">
            <w:pPr>
              <w:spacing w:after="0" w:line="240" w:lineRule="auto"/>
              <w:rPr>
                <w:rFonts w:eastAsia="Times New Roman"/>
                <w:b/>
                <w:bCs/>
                <w:color w:val="000000" w:themeColor="text1"/>
                <w:sz w:val="16"/>
                <w:szCs w:val="16"/>
              </w:rPr>
            </w:pPr>
            <w:r w:rsidRPr="00D14CD7">
              <w:rPr>
                <w:rFonts w:eastAsia="Times New Roman"/>
                <w:b/>
                <w:bCs/>
                <w:color w:val="000000" w:themeColor="text1"/>
                <w:sz w:val="16"/>
              </w:rPr>
              <w:t>Variables</w:t>
            </w:r>
          </w:p>
        </w:tc>
        <w:tc>
          <w:tcPr>
            <w:tcW w:w="1501" w:type="pct"/>
            <w:gridSpan w:val="8"/>
            <w:tcBorders>
              <w:top w:val="double" w:sz="4" w:space="0" w:color="auto"/>
              <w:left w:val="double" w:sz="4" w:space="0" w:color="auto"/>
              <w:bottom w:val="single" w:sz="4" w:space="0" w:color="auto"/>
              <w:right w:val="double" w:sz="4" w:space="0" w:color="auto"/>
            </w:tcBorders>
            <w:shd w:val="clear" w:color="auto" w:fill="auto"/>
            <w:noWrap/>
            <w:vAlign w:val="center"/>
            <w:hideMark/>
          </w:tcPr>
          <w:p w14:paraId="6920E97C" w14:textId="77777777" w:rsidR="00BE151D" w:rsidRPr="00D14CD7" w:rsidRDefault="00BE151D" w:rsidP="00567BE9">
            <w:pPr>
              <w:spacing w:after="0" w:line="240" w:lineRule="auto"/>
              <w:jc w:val="center"/>
              <w:rPr>
                <w:rFonts w:eastAsia="Times New Roman"/>
                <w:b/>
                <w:bCs/>
                <w:color w:val="000000" w:themeColor="text1"/>
                <w:sz w:val="16"/>
                <w:szCs w:val="16"/>
              </w:rPr>
            </w:pPr>
            <w:r w:rsidRPr="00D14CD7">
              <w:rPr>
                <w:rFonts w:eastAsia="Times New Roman"/>
                <w:b/>
                <w:bCs/>
                <w:color w:val="000000" w:themeColor="text1"/>
                <w:sz w:val="16"/>
              </w:rPr>
              <w:t>Baseline Marginal Utility Component of MDC Model</w:t>
            </w:r>
          </w:p>
        </w:tc>
        <w:tc>
          <w:tcPr>
            <w:tcW w:w="1420" w:type="pct"/>
            <w:gridSpan w:val="8"/>
            <w:tcBorders>
              <w:top w:val="double" w:sz="4" w:space="0" w:color="auto"/>
              <w:left w:val="double" w:sz="4" w:space="0" w:color="auto"/>
              <w:bottom w:val="single" w:sz="4" w:space="0" w:color="auto"/>
              <w:right w:val="double" w:sz="4" w:space="0" w:color="auto"/>
            </w:tcBorders>
            <w:shd w:val="clear" w:color="auto" w:fill="auto"/>
            <w:noWrap/>
            <w:vAlign w:val="center"/>
            <w:hideMark/>
          </w:tcPr>
          <w:p w14:paraId="2EAA1AB5" w14:textId="77777777" w:rsidR="00BE151D" w:rsidRPr="00D14CD7" w:rsidRDefault="00BE151D" w:rsidP="00567BE9">
            <w:pPr>
              <w:spacing w:after="0" w:line="240" w:lineRule="auto"/>
              <w:jc w:val="center"/>
              <w:rPr>
                <w:rFonts w:eastAsia="Times New Roman"/>
                <w:b/>
                <w:bCs/>
                <w:color w:val="000000" w:themeColor="text1"/>
                <w:sz w:val="16"/>
                <w:szCs w:val="16"/>
              </w:rPr>
            </w:pPr>
            <w:r w:rsidRPr="00D14CD7">
              <w:rPr>
                <w:rFonts w:eastAsia="Times New Roman"/>
                <w:b/>
                <w:bCs/>
                <w:color w:val="000000" w:themeColor="text1"/>
                <w:sz w:val="16"/>
              </w:rPr>
              <w:t>Satiation Component of MDC Model</w:t>
            </w:r>
          </w:p>
        </w:tc>
        <w:tc>
          <w:tcPr>
            <w:tcW w:w="370" w:type="pct"/>
            <w:gridSpan w:val="2"/>
            <w:tcBorders>
              <w:top w:val="double" w:sz="4" w:space="0" w:color="auto"/>
              <w:left w:val="double" w:sz="4" w:space="0" w:color="auto"/>
              <w:bottom w:val="single" w:sz="4" w:space="0" w:color="auto"/>
            </w:tcBorders>
            <w:shd w:val="clear" w:color="auto" w:fill="auto"/>
            <w:noWrap/>
            <w:vAlign w:val="center"/>
            <w:hideMark/>
          </w:tcPr>
          <w:p w14:paraId="4ECF515E" w14:textId="77777777" w:rsidR="00BE151D" w:rsidRPr="00D14CD7" w:rsidRDefault="00BE151D" w:rsidP="00567BE9">
            <w:pPr>
              <w:spacing w:after="0" w:line="240" w:lineRule="auto"/>
              <w:jc w:val="center"/>
              <w:rPr>
                <w:rFonts w:eastAsia="Times New Roman"/>
                <w:b/>
                <w:bCs/>
                <w:color w:val="000000" w:themeColor="text1"/>
                <w:sz w:val="16"/>
                <w:szCs w:val="16"/>
              </w:rPr>
            </w:pPr>
            <w:r w:rsidRPr="00D14CD7">
              <w:rPr>
                <w:rFonts w:eastAsia="Times New Roman"/>
                <w:b/>
                <w:bCs/>
                <w:color w:val="000000" w:themeColor="text1"/>
                <w:sz w:val="16"/>
              </w:rPr>
              <w:t>Count Model</w:t>
            </w:r>
          </w:p>
        </w:tc>
      </w:tr>
      <w:tr w:rsidR="00D14CD7" w:rsidRPr="00D14CD7" w14:paraId="53E31853" w14:textId="77777777" w:rsidTr="00567BE9">
        <w:trPr>
          <w:trHeight w:val="72"/>
        </w:trPr>
        <w:tc>
          <w:tcPr>
            <w:tcW w:w="1709" w:type="pct"/>
            <w:vMerge/>
            <w:tcBorders>
              <w:top w:val="single" w:sz="4" w:space="0" w:color="auto"/>
              <w:bottom w:val="double" w:sz="4" w:space="0" w:color="auto"/>
              <w:right w:val="double" w:sz="4" w:space="0" w:color="auto"/>
            </w:tcBorders>
            <w:vAlign w:val="center"/>
            <w:hideMark/>
          </w:tcPr>
          <w:p w14:paraId="5342797C" w14:textId="77777777" w:rsidR="00BE151D" w:rsidRPr="00D14CD7" w:rsidRDefault="00BE151D" w:rsidP="00567BE9">
            <w:pPr>
              <w:spacing w:after="0" w:line="240" w:lineRule="auto"/>
              <w:rPr>
                <w:rFonts w:eastAsia="Times New Roman"/>
                <w:b/>
                <w:bCs/>
                <w:color w:val="000000" w:themeColor="text1"/>
                <w:sz w:val="16"/>
                <w:szCs w:val="16"/>
              </w:rPr>
            </w:pPr>
          </w:p>
        </w:tc>
        <w:tc>
          <w:tcPr>
            <w:tcW w:w="426" w:type="pct"/>
            <w:gridSpan w:val="2"/>
            <w:tcBorders>
              <w:top w:val="single" w:sz="4" w:space="0" w:color="auto"/>
              <w:left w:val="double" w:sz="4" w:space="0" w:color="auto"/>
              <w:bottom w:val="single" w:sz="4" w:space="0" w:color="auto"/>
              <w:right w:val="single" w:sz="8" w:space="0" w:color="auto"/>
            </w:tcBorders>
            <w:shd w:val="clear" w:color="auto" w:fill="auto"/>
            <w:noWrap/>
            <w:vAlign w:val="center"/>
            <w:hideMark/>
          </w:tcPr>
          <w:p w14:paraId="383B6E9B" w14:textId="77777777" w:rsidR="00BE151D" w:rsidRPr="00D14CD7" w:rsidRDefault="00BE151D" w:rsidP="00567BE9">
            <w:pPr>
              <w:spacing w:after="0" w:line="240" w:lineRule="auto"/>
              <w:jc w:val="center"/>
              <w:rPr>
                <w:rFonts w:eastAsia="Times New Roman"/>
                <w:b/>
                <w:bCs/>
                <w:color w:val="000000" w:themeColor="text1"/>
                <w:sz w:val="16"/>
                <w:szCs w:val="16"/>
              </w:rPr>
            </w:pPr>
            <w:r w:rsidRPr="00D14CD7">
              <w:rPr>
                <w:rFonts w:eastAsia="Times New Roman"/>
                <w:b/>
                <w:bCs/>
                <w:color w:val="000000" w:themeColor="text1"/>
                <w:sz w:val="16"/>
              </w:rPr>
              <w:t>QSR</w:t>
            </w:r>
          </w:p>
        </w:tc>
        <w:tc>
          <w:tcPr>
            <w:tcW w:w="369" w:type="pct"/>
            <w:gridSpan w:val="2"/>
            <w:tcBorders>
              <w:top w:val="single" w:sz="4" w:space="0" w:color="auto"/>
              <w:left w:val="single" w:sz="8" w:space="0" w:color="auto"/>
              <w:bottom w:val="single" w:sz="4" w:space="0" w:color="auto"/>
            </w:tcBorders>
            <w:shd w:val="clear" w:color="auto" w:fill="auto"/>
            <w:noWrap/>
            <w:vAlign w:val="center"/>
            <w:hideMark/>
          </w:tcPr>
          <w:p w14:paraId="5B0EF1A5" w14:textId="77777777" w:rsidR="00BE151D" w:rsidRPr="00D14CD7" w:rsidRDefault="00BE151D" w:rsidP="00567BE9">
            <w:pPr>
              <w:spacing w:after="0" w:line="240" w:lineRule="auto"/>
              <w:jc w:val="center"/>
              <w:rPr>
                <w:rFonts w:eastAsia="Times New Roman"/>
                <w:b/>
                <w:bCs/>
                <w:color w:val="000000" w:themeColor="text1"/>
                <w:sz w:val="16"/>
                <w:szCs w:val="16"/>
              </w:rPr>
            </w:pPr>
            <w:r w:rsidRPr="00D14CD7">
              <w:rPr>
                <w:rFonts w:eastAsia="Times New Roman"/>
                <w:b/>
                <w:bCs/>
                <w:color w:val="000000" w:themeColor="text1"/>
                <w:sz w:val="16"/>
              </w:rPr>
              <w:t>CH</w:t>
            </w:r>
          </w:p>
        </w:tc>
        <w:tc>
          <w:tcPr>
            <w:tcW w:w="372" w:type="pct"/>
            <w:gridSpan w:val="2"/>
            <w:tcBorders>
              <w:top w:val="single" w:sz="4" w:space="0" w:color="auto"/>
              <w:bottom w:val="single" w:sz="4" w:space="0" w:color="auto"/>
            </w:tcBorders>
            <w:shd w:val="clear" w:color="auto" w:fill="auto"/>
            <w:noWrap/>
            <w:vAlign w:val="center"/>
            <w:hideMark/>
          </w:tcPr>
          <w:p w14:paraId="67592FC4" w14:textId="77777777" w:rsidR="00BE151D" w:rsidRPr="00D14CD7" w:rsidRDefault="00BE151D" w:rsidP="00567BE9">
            <w:pPr>
              <w:spacing w:after="0" w:line="240" w:lineRule="auto"/>
              <w:jc w:val="center"/>
              <w:rPr>
                <w:rFonts w:eastAsia="Times New Roman"/>
                <w:b/>
                <w:bCs/>
                <w:color w:val="000000" w:themeColor="text1"/>
                <w:sz w:val="16"/>
                <w:szCs w:val="16"/>
              </w:rPr>
            </w:pPr>
            <w:r w:rsidRPr="00D14CD7">
              <w:rPr>
                <w:rFonts w:eastAsia="Times New Roman"/>
                <w:b/>
                <w:bCs/>
                <w:color w:val="000000" w:themeColor="text1"/>
                <w:sz w:val="16"/>
              </w:rPr>
              <w:t>CSR</w:t>
            </w:r>
          </w:p>
        </w:tc>
        <w:tc>
          <w:tcPr>
            <w:tcW w:w="334" w:type="pct"/>
            <w:gridSpan w:val="2"/>
            <w:tcBorders>
              <w:top w:val="single" w:sz="4" w:space="0" w:color="auto"/>
              <w:bottom w:val="single" w:sz="4" w:space="0" w:color="auto"/>
              <w:right w:val="double" w:sz="4" w:space="0" w:color="auto"/>
            </w:tcBorders>
            <w:shd w:val="clear" w:color="auto" w:fill="auto"/>
            <w:noWrap/>
            <w:vAlign w:val="center"/>
            <w:hideMark/>
          </w:tcPr>
          <w:p w14:paraId="638A5076" w14:textId="77777777" w:rsidR="00BE151D" w:rsidRPr="00D14CD7" w:rsidRDefault="00BE151D" w:rsidP="00567BE9">
            <w:pPr>
              <w:spacing w:after="0" w:line="240" w:lineRule="auto"/>
              <w:jc w:val="center"/>
              <w:rPr>
                <w:rFonts w:eastAsia="Times New Roman"/>
                <w:b/>
                <w:bCs/>
                <w:color w:val="000000" w:themeColor="text1"/>
                <w:sz w:val="16"/>
                <w:szCs w:val="16"/>
              </w:rPr>
            </w:pPr>
            <w:r w:rsidRPr="00D14CD7">
              <w:rPr>
                <w:rFonts w:eastAsia="Times New Roman"/>
                <w:b/>
                <w:bCs/>
                <w:color w:val="000000" w:themeColor="text1"/>
                <w:sz w:val="16"/>
              </w:rPr>
              <w:t>FSR</w:t>
            </w:r>
          </w:p>
        </w:tc>
        <w:tc>
          <w:tcPr>
            <w:tcW w:w="368" w:type="pct"/>
            <w:gridSpan w:val="2"/>
            <w:tcBorders>
              <w:top w:val="single" w:sz="4" w:space="0" w:color="auto"/>
              <w:left w:val="double" w:sz="4" w:space="0" w:color="auto"/>
              <w:bottom w:val="single" w:sz="4" w:space="0" w:color="auto"/>
            </w:tcBorders>
            <w:shd w:val="clear" w:color="auto" w:fill="auto"/>
            <w:noWrap/>
            <w:vAlign w:val="center"/>
            <w:hideMark/>
          </w:tcPr>
          <w:p w14:paraId="4C3DAC0A" w14:textId="77777777" w:rsidR="00BE151D" w:rsidRPr="00D14CD7" w:rsidRDefault="00BE151D" w:rsidP="00567BE9">
            <w:pPr>
              <w:spacing w:after="0" w:line="240" w:lineRule="auto"/>
              <w:jc w:val="center"/>
              <w:rPr>
                <w:rFonts w:eastAsia="Times New Roman"/>
                <w:b/>
                <w:bCs/>
                <w:color w:val="000000" w:themeColor="text1"/>
                <w:sz w:val="16"/>
                <w:szCs w:val="16"/>
              </w:rPr>
            </w:pPr>
            <w:r w:rsidRPr="00D14CD7">
              <w:rPr>
                <w:rFonts w:eastAsia="Times New Roman"/>
                <w:b/>
                <w:bCs/>
                <w:color w:val="000000" w:themeColor="text1"/>
                <w:sz w:val="16"/>
              </w:rPr>
              <w:t>QSR</w:t>
            </w:r>
          </w:p>
        </w:tc>
        <w:tc>
          <w:tcPr>
            <w:tcW w:w="369" w:type="pct"/>
            <w:gridSpan w:val="2"/>
            <w:tcBorders>
              <w:top w:val="single" w:sz="4" w:space="0" w:color="auto"/>
              <w:bottom w:val="single" w:sz="4" w:space="0" w:color="auto"/>
            </w:tcBorders>
            <w:shd w:val="clear" w:color="auto" w:fill="auto"/>
            <w:noWrap/>
            <w:vAlign w:val="center"/>
            <w:hideMark/>
          </w:tcPr>
          <w:p w14:paraId="74FDC80F" w14:textId="77777777" w:rsidR="00BE151D" w:rsidRPr="00D14CD7" w:rsidRDefault="00BE151D" w:rsidP="00567BE9">
            <w:pPr>
              <w:spacing w:after="0" w:line="240" w:lineRule="auto"/>
              <w:jc w:val="center"/>
              <w:rPr>
                <w:rFonts w:eastAsia="Times New Roman"/>
                <w:b/>
                <w:bCs/>
                <w:color w:val="000000" w:themeColor="text1"/>
                <w:sz w:val="16"/>
                <w:szCs w:val="16"/>
              </w:rPr>
            </w:pPr>
            <w:r w:rsidRPr="00D14CD7">
              <w:rPr>
                <w:rFonts w:eastAsia="Times New Roman"/>
                <w:b/>
                <w:bCs/>
                <w:color w:val="000000" w:themeColor="text1"/>
                <w:sz w:val="16"/>
              </w:rPr>
              <w:t>CH</w:t>
            </w:r>
          </w:p>
        </w:tc>
        <w:tc>
          <w:tcPr>
            <w:tcW w:w="370" w:type="pct"/>
            <w:gridSpan w:val="2"/>
            <w:tcBorders>
              <w:top w:val="single" w:sz="4" w:space="0" w:color="auto"/>
              <w:bottom w:val="single" w:sz="4" w:space="0" w:color="auto"/>
            </w:tcBorders>
            <w:shd w:val="clear" w:color="auto" w:fill="auto"/>
            <w:noWrap/>
            <w:vAlign w:val="center"/>
            <w:hideMark/>
          </w:tcPr>
          <w:p w14:paraId="46F0CBC7" w14:textId="77777777" w:rsidR="00BE151D" w:rsidRPr="00D14CD7" w:rsidRDefault="00BE151D" w:rsidP="00567BE9">
            <w:pPr>
              <w:spacing w:after="0" w:line="240" w:lineRule="auto"/>
              <w:jc w:val="center"/>
              <w:rPr>
                <w:rFonts w:eastAsia="Times New Roman"/>
                <w:b/>
                <w:bCs/>
                <w:color w:val="000000" w:themeColor="text1"/>
                <w:sz w:val="16"/>
                <w:szCs w:val="16"/>
              </w:rPr>
            </w:pPr>
            <w:r w:rsidRPr="00D14CD7">
              <w:rPr>
                <w:rFonts w:eastAsia="Times New Roman"/>
                <w:b/>
                <w:bCs/>
                <w:color w:val="000000" w:themeColor="text1"/>
                <w:sz w:val="16"/>
              </w:rPr>
              <w:t>CSR</w:t>
            </w:r>
          </w:p>
        </w:tc>
        <w:tc>
          <w:tcPr>
            <w:tcW w:w="313" w:type="pct"/>
            <w:gridSpan w:val="2"/>
            <w:tcBorders>
              <w:top w:val="single" w:sz="4" w:space="0" w:color="auto"/>
              <w:bottom w:val="single" w:sz="4" w:space="0" w:color="auto"/>
              <w:right w:val="double" w:sz="4" w:space="0" w:color="auto"/>
            </w:tcBorders>
            <w:shd w:val="clear" w:color="auto" w:fill="auto"/>
            <w:noWrap/>
            <w:vAlign w:val="center"/>
            <w:hideMark/>
          </w:tcPr>
          <w:p w14:paraId="1EC67387" w14:textId="77777777" w:rsidR="00BE151D" w:rsidRPr="00D14CD7" w:rsidRDefault="00BE151D" w:rsidP="00567BE9">
            <w:pPr>
              <w:spacing w:after="0" w:line="240" w:lineRule="auto"/>
              <w:jc w:val="center"/>
              <w:rPr>
                <w:rFonts w:eastAsia="Times New Roman"/>
                <w:b/>
                <w:bCs/>
                <w:color w:val="000000" w:themeColor="text1"/>
                <w:sz w:val="16"/>
                <w:szCs w:val="16"/>
              </w:rPr>
            </w:pPr>
            <w:r w:rsidRPr="00D14CD7">
              <w:rPr>
                <w:rFonts w:eastAsia="Times New Roman"/>
                <w:b/>
                <w:bCs/>
                <w:color w:val="000000" w:themeColor="text1"/>
                <w:sz w:val="16"/>
              </w:rPr>
              <w:t>FSR</w:t>
            </w:r>
          </w:p>
        </w:tc>
        <w:tc>
          <w:tcPr>
            <w:tcW w:w="370" w:type="pct"/>
            <w:gridSpan w:val="2"/>
            <w:tcBorders>
              <w:top w:val="single" w:sz="4" w:space="0" w:color="auto"/>
              <w:left w:val="double" w:sz="4" w:space="0" w:color="auto"/>
              <w:bottom w:val="single" w:sz="4" w:space="0" w:color="auto"/>
            </w:tcBorders>
            <w:shd w:val="clear" w:color="auto" w:fill="auto"/>
            <w:noWrap/>
            <w:vAlign w:val="center"/>
            <w:hideMark/>
          </w:tcPr>
          <w:p w14:paraId="3E4ABA8A" w14:textId="77777777" w:rsidR="00BE151D" w:rsidRPr="00D14CD7" w:rsidRDefault="00BE151D" w:rsidP="00567BE9">
            <w:pPr>
              <w:spacing w:after="0" w:line="240" w:lineRule="auto"/>
              <w:jc w:val="center"/>
              <w:rPr>
                <w:rFonts w:eastAsia="Times New Roman"/>
                <w:b/>
                <w:bCs/>
                <w:color w:val="000000" w:themeColor="text1"/>
                <w:sz w:val="16"/>
                <w:szCs w:val="16"/>
              </w:rPr>
            </w:pPr>
            <w:r w:rsidRPr="00D14CD7">
              <w:rPr>
                <w:rFonts w:eastAsia="Times New Roman"/>
                <w:b/>
                <w:bCs/>
                <w:color w:val="000000" w:themeColor="text1"/>
                <w:sz w:val="16"/>
              </w:rPr>
              <w:t>Eat out</w:t>
            </w:r>
          </w:p>
        </w:tc>
      </w:tr>
      <w:tr w:rsidR="00D14CD7" w:rsidRPr="00D14CD7" w14:paraId="4C58887F" w14:textId="77777777" w:rsidTr="00567BE9">
        <w:trPr>
          <w:trHeight w:val="503"/>
        </w:trPr>
        <w:tc>
          <w:tcPr>
            <w:tcW w:w="1709" w:type="pct"/>
            <w:vMerge/>
            <w:tcBorders>
              <w:top w:val="single" w:sz="4" w:space="0" w:color="auto"/>
              <w:bottom w:val="double" w:sz="4" w:space="0" w:color="auto"/>
              <w:right w:val="double" w:sz="4" w:space="0" w:color="auto"/>
            </w:tcBorders>
            <w:vAlign w:val="center"/>
            <w:hideMark/>
          </w:tcPr>
          <w:p w14:paraId="4A28F9F9" w14:textId="77777777" w:rsidR="00BE151D" w:rsidRPr="00D14CD7" w:rsidRDefault="00BE151D" w:rsidP="00567BE9">
            <w:pPr>
              <w:spacing w:after="0" w:line="240" w:lineRule="auto"/>
              <w:rPr>
                <w:rFonts w:eastAsia="Times New Roman"/>
                <w:b/>
                <w:bCs/>
                <w:color w:val="000000" w:themeColor="text1"/>
                <w:sz w:val="16"/>
                <w:szCs w:val="16"/>
              </w:rPr>
            </w:pPr>
          </w:p>
        </w:tc>
        <w:tc>
          <w:tcPr>
            <w:tcW w:w="227" w:type="pct"/>
            <w:tcBorders>
              <w:top w:val="single" w:sz="4" w:space="0" w:color="auto"/>
              <w:left w:val="double" w:sz="4" w:space="0" w:color="auto"/>
              <w:bottom w:val="double" w:sz="4" w:space="0" w:color="auto"/>
            </w:tcBorders>
            <w:shd w:val="clear" w:color="auto" w:fill="auto"/>
            <w:noWrap/>
            <w:textDirection w:val="btLr"/>
            <w:vAlign w:val="center"/>
            <w:hideMark/>
          </w:tcPr>
          <w:p w14:paraId="210AACC9" w14:textId="77777777" w:rsidR="00BE151D" w:rsidRPr="00D14CD7" w:rsidRDefault="00BE151D" w:rsidP="00567BE9">
            <w:pPr>
              <w:spacing w:after="0" w:line="240" w:lineRule="auto"/>
              <w:jc w:val="center"/>
              <w:rPr>
                <w:rFonts w:eastAsia="Times New Roman"/>
                <w:b/>
                <w:bCs/>
                <w:color w:val="000000" w:themeColor="text1"/>
                <w:sz w:val="16"/>
                <w:szCs w:val="16"/>
              </w:rPr>
            </w:pPr>
            <w:r w:rsidRPr="00D14CD7">
              <w:rPr>
                <w:rFonts w:eastAsia="Times New Roman"/>
                <w:b/>
                <w:bCs/>
                <w:color w:val="000000" w:themeColor="text1"/>
                <w:sz w:val="16"/>
              </w:rPr>
              <w:t>Coef.</w:t>
            </w:r>
          </w:p>
        </w:tc>
        <w:tc>
          <w:tcPr>
            <w:tcW w:w="199" w:type="pct"/>
            <w:tcBorders>
              <w:top w:val="single" w:sz="4" w:space="0" w:color="auto"/>
              <w:bottom w:val="double" w:sz="4" w:space="0" w:color="auto"/>
              <w:right w:val="single" w:sz="8" w:space="0" w:color="auto"/>
            </w:tcBorders>
            <w:shd w:val="clear" w:color="auto" w:fill="auto"/>
            <w:noWrap/>
            <w:textDirection w:val="btLr"/>
            <w:vAlign w:val="center"/>
            <w:hideMark/>
          </w:tcPr>
          <w:p w14:paraId="31936101" w14:textId="77777777" w:rsidR="00BE151D" w:rsidRPr="00D14CD7" w:rsidRDefault="00BE151D" w:rsidP="00567BE9">
            <w:pPr>
              <w:spacing w:after="0" w:line="240" w:lineRule="auto"/>
              <w:jc w:val="center"/>
              <w:rPr>
                <w:rFonts w:eastAsia="Times New Roman"/>
                <w:b/>
                <w:bCs/>
                <w:color w:val="000000" w:themeColor="text1"/>
                <w:sz w:val="16"/>
                <w:szCs w:val="16"/>
              </w:rPr>
            </w:pPr>
            <w:r w:rsidRPr="00D14CD7">
              <w:rPr>
                <w:rFonts w:eastAsia="Times New Roman"/>
                <w:b/>
                <w:bCs/>
                <w:color w:val="000000" w:themeColor="text1"/>
                <w:sz w:val="16"/>
              </w:rPr>
              <w:t>t-stat</w:t>
            </w:r>
          </w:p>
        </w:tc>
        <w:tc>
          <w:tcPr>
            <w:tcW w:w="184" w:type="pct"/>
            <w:tcBorders>
              <w:top w:val="single" w:sz="4" w:space="0" w:color="auto"/>
              <w:left w:val="single" w:sz="8" w:space="0" w:color="auto"/>
              <w:bottom w:val="double" w:sz="4" w:space="0" w:color="auto"/>
            </w:tcBorders>
            <w:shd w:val="clear" w:color="auto" w:fill="auto"/>
            <w:noWrap/>
            <w:textDirection w:val="btLr"/>
            <w:vAlign w:val="center"/>
            <w:hideMark/>
          </w:tcPr>
          <w:p w14:paraId="7DFD2FDD" w14:textId="77777777" w:rsidR="00BE151D" w:rsidRPr="00D14CD7" w:rsidRDefault="00BE151D" w:rsidP="00567BE9">
            <w:pPr>
              <w:spacing w:after="0" w:line="240" w:lineRule="auto"/>
              <w:jc w:val="center"/>
              <w:rPr>
                <w:rFonts w:eastAsia="Times New Roman"/>
                <w:b/>
                <w:bCs/>
                <w:color w:val="000000" w:themeColor="text1"/>
                <w:sz w:val="16"/>
                <w:szCs w:val="16"/>
              </w:rPr>
            </w:pPr>
            <w:r w:rsidRPr="00D14CD7">
              <w:rPr>
                <w:rFonts w:eastAsia="Times New Roman"/>
                <w:b/>
                <w:bCs/>
                <w:color w:val="000000" w:themeColor="text1"/>
                <w:sz w:val="16"/>
              </w:rPr>
              <w:t>Coef.</w:t>
            </w:r>
          </w:p>
        </w:tc>
        <w:tc>
          <w:tcPr>
            <w:tcW w:w="185" w:type="pct"/>
            <w:tcBorders>
              <w:top w:val="single" w:sz="4" w:space="0" w:color="auto"/>
              <w:bottom w:val="double" w:sz="4" w:space="0" w:color="auto"/>
            </w:tcBorders>
            <w:shd w:val="clear" w:color="auto" w:fill="auto"/>
            <w:noWrap/>
            <w:textDirection w:val="btLr"/>
            <w:vAlign w:val="center"/>
            <w:hideMark/>
          </w:tcPr>
          <w:p w14:paraId="75221C94" w14:textId="77777777" w:rsidR="00BE151D" w:rsidRPr="00D14CD7" w:rsidRDefault="00BE151D" w:rsidP="00567BE9">
            <w:pPr>
              <w:spacing w:after="0" w:line="240" w:lineRule="auto"/>
              <w:jc w:val="center"/>
              <w:rPr>
                <w:rFonts w:eastAsia="Times New Roman"/>
                <w:b/>
                <w:bCs/>
                <w:color w:val="000000" w:themeColor="text1"/>
                <w:sz w:val="16"/>
                <w:szCs w:val="16"/>
              </w:rPr>
            </w:pPr>
            <w:r w:rsidRPr="00D14CD7">
              <w:rPr>
                <w:rFonts w:eastAsia="Times New Roman"/>
                <w:b/>
                <w:bCs/>
                <w:color w:val="000000" w:themeColor="text1"/>
                <w:sz w:val="16"/>
              </w:rPr>
              <w:t>t-stat</w:t>
            </w:r>
          </w:p>
        </w:tc>
        <w:tc>
          <w:tcPr>
            <w:tcW w:w="184" w:type="pct"/>
            <w:tcBorders>
              <w:top w:val="single" w:sz="4" w:space="0" w:color="auto"/>
              <w:bottom w:val="double" w:sz="4" w:space="0" w:color="auto"/>
            </w:tcBorders>
            <w:shd w:val="clear" w:color="auto" w:fill="auto"/>
            <w:noWrap/>
            <w:textDirection w:val="btLr"/>
            <w:vAlign w:val="center"/>
            <w:hideMark/>
          </w:tcPr>
          <w:p w14:paraId="38AF5E2A" w14:textId="77777777" w:rsidR="00BE151D" w:rsidRPr="00D14CD7" w:rsidRDefault="00BE151D" w:rsidP="00567BE9">
            <w:pPr>
              <w:spacing w:after="0" w:line="240" w:lineRule="auto"/>
              <w:jc w:val="center"/>
              <w:rPr>
                <w:rFonts w:eastAsia="Times New Roman"/>
                <w:b/>
                <w:bCs/>
                <w:color w:val="000000" w:themeColor="text1"/>
                <w:sz w:val="16"/>
                <w:szCs w:val="16"/>
              </w:rPr>
            </w:pPr>
            <w:r w:rsidRPr="00D14CD7">
              <w:rPr>
                <w:rFonts w:eastAsia="Times New Roman"/>
                <w:b/>
                <w:bCs/>
                <w:color w:val="000000" w:themeColor="text1"/>
                <w:sz w:val="16"/>
              </w:rPr>
              <w:t>Coef.</w:t>
            </w:r>
          </w:p>
        </w:tc>
        <w:tc>
          <w:tcPr>
            <w:tcW w:w="188" w:type="pct"/>
            <w:tcBorders>
              <w:top w:val="single" w:sz="4" w:space="0" w:color="auto"/>
              <w:bottom w:val="double" w:sz="4" w:space="0" w:color="auto"/>
            </w:tcBorders>
            <w:shd w:val="clear" w:color="auto" w:fill="auto"/>
            <w:noWrap/>
            <w:textDirection w:val="btLr"/>
            <w:vAlign w:val="center"/>
            <w:hideMark/>
          </w:tcPr>
          <w:p w14:paraId="3ABC4999" w14:textId="77777777" w:rsidR="00BE151D" w:rsidRPr="00D14CD7" w:rsidRDefault="00BE151D" w:rsidP="00567BE9">
            <w:pPr>
              <w:spacing w:after="0" w:line="240" w:lineRule="auto"/>
              <w:jc w:val="center"/>
              <w:rPr>
                <w:rFonts w:eastAsia="Times New Roman"/>
                <w:b/>
                <w:bCs/>
                <w:color w:val="000000" w:themeColor="text1"/>
                <w:sz w:val="16"/>
                <w:szCs w:val="16"/>
              </w:rPr>
            </w:pPr>
            <w:r w:rsidRPr="00D14CD7">
              <w:rPr>
                <w:rFonts w:eastAsia="Times New Roman"/>
                <w:b/>
                <w:bCs/>
                <w:color w:val="000000" w:themeColor="text1"/>
                <w:sz w:val="16"/>
              </w:rPr>
              <w:t>t-stat</w:t>
            </w:r>
          </w:p>
        </w:tc>
        <w:tc>
          <w:tcPr>
            <w:tcW w:w="188" w:type="pct"/>
            <w:tcBorders>
              <w:top w:val="single" w:sz="4" w:space="0" w:color="auto"/>
              <w:bottom w:val="double" w:sz="4" w:space="0" w:color="auto"/>
            </w:tcBorders>
            <w:shd w:val="clear" w:color="auto" w:fill="auto"/>
            <w:noWrap/>
            <w:textDirection w:val="btLr"/>
            <w:vAlign w:val="center"/>
            <w:hideMark/>
          </w:tcPr>
          <w:p w14:paraId="64605257" w14:textId="77777777" w:rsidR="00BE151D" w:rsidRPr="00D14CD7" w:rsidRDefault="00BE151D" w:rsidP="00567BE9">
            <w:pPr>
              <w:spacing w:after="0" w:line="240" w:lineRule="auto"/>
              <w:jc w:val="center"/>
              <w:rPr>
                <w:rFonts w:eastAsia="Times New Roman"/>
                <w:b/>
                <w:bCs/>
                <w:color w:val="000000" w:themeColor="text1"/>
                <w:sz w:val="16"/>
                <w:szCs w:val="16"/>
              </w:rPr>
            </w:pPr>
            <w:r w:rsidRPr="00D14CD7">
              <w:rPr>
                <w:rFonts w:eastAsia="Times New Roman"/>
                <w:b/>
                <w:bCs/>
                <w:color w:val="000000" w:themeColor="text1"/>
                <w:sz w:val="16"/>
              </w:rPr>
              <w:t>Coef.</w:t>
            </w:r>
          </w:p>
        </w:tc>
        <w:tc>
          <w:tcPr>
            <w:tcW w:w="146" w:type="pct"/>
            <w:tcBorders>
              <w:top w:val="single" w:sz="4" w:space="0" w:color="auto"/>
              <w:bottom w:val="double" w:sz="4" w:space="0" w:color="auto"/>
              <w:right w:val="double" w:sz="4" w:space="0" w:color="auto"/>
            </w:tcBorders>
            <w:shd w:val="clear" w:color="auto" w:fill="auto"/>
            <w:noWrap/>
            <w:textDirection w:val="btLr"/>
            <w:vAlign w:val="center"/>
            <w:hideMark/>
          </w:tcPr>
          <w:p w14:paraId="5E43B2B0" w14:textId="77777777" w:rsidR="00BE151D" w:rsidRPr="00D14CD7" w:rsidRDefault="00BE151D" w:rsidP="00567BE9">
            <w:pPr>
              <w:spacing w:after="0" w:line="240" w:lineRule="auto"/>
              <w:jc w:val="center"/>
              <w:rPr>
                <w:rFonts w:eastAsia="Times New Roman"/>
                <w:b/>
                <w:bCs/>
                <w:color w:val="000000" w:themeColor="text1"/>
                <w:sz w:val="16"/>
                <w:szCs w:val="16"/>
              </w:rPr>
            </w:pPr>
            <w:r w:rsidRPr="00D14CD7">
              <w:rPr>
                <w:rFonts w:eastAsia="Times New Roman"/>
                <w:b/>
                <w:bCs/>
                <w:color w:val="000000" w:themeColor="text1"/>
                <w:sz w:val="16"/>
              </w:rPr>
              <w:t>t-stat</w:t>
            </w:r>
          </w:p>
        </w:tc>
        <w:tc>
          <w:tcPr>
            <w:tcW w:w="184" w:type="pct"/>
            <w:tcBorders>
              <w:top w:val="single" w:sz="4" w:space="0" w:color="auto"/>
              <w:left w:val="double" w:sz="4" w:space="0" w:color="auto"/>
              <w:bottom w:val="double" w:sz="4" w:space="0" w:color="auto"/>
            </w:tcBorders>
            <w:shd w:val="clear" w:color="auto" w:fill="auto"/>
            <w:noWrap/>
            <w:textDirection w:val="btLr"/>
            <w:vAlign w:val="center"/>
            <w:hideMark/>
          </w:tcPr>
          <w:p w14:paraId="662AF708" w14:textId="77777777" w:rsidR="00BE151D" w:rsidRPr="00D14CD7" w:rsidRDefault="00BE151D" w:rsidP="00567BE9">
            <w:pPr>
              <w:spacing w:after="0" w:line="240" w:lineRule="auto"/>
              <w:jc w:val="center"/>
              <w:rPr>
                <w:rFonts w:eastAsia="Times New Roman"/>
                <w:b/>
                <w:bCs/>
                <w:color w:val="000000" w:themeColor="text1"/>
                <w:sz w:val="16"/>
                <w:szCs w:val="16"/>
              </w:rPr>
            </w:pPr>
            <w:r w:rsidRPr="00D14CD7">
              <w:rPr>
                <w:rFonts w:eastAsia="Times New Roman"/>
                <w:b/>
                <w:bCs/>
                <w:color w:val="000000" w:themeColor="text1"/>
                <w:sz w:val="16"/>
              </w:rPr>
              <w:t>Coef.</w:t>
            </w:r>
          </w:p>
        </w:tc>
        <w:tc>
          <w:tcPr>
            <w:tcW w:w="184" w:type="pct"/>
            <w:tcBorders>
              <w:top w:val="single" w:sz="4" w:space="0" w:color="auto"/>
              <w:bottom w:val="double" w:sz="4" w:space="0" w:color="auto"/>
            </w:tcBorders>
            <w:shd w:val="clear" w:color="auto" w:fill="auto"/>
            <w:noWrap/>
            <w:textDirection w:val="btLr"/>
            <w:vAlign w:val="center"/>
            <w:hideMark/>
          </w:tcPr>
          <w:p w14:paraId="1953D9BB" w14:textId="77777777" w:rsidR="00BE151D" w:rsidRPr="00D14CD7" w:rsidRDefault="00BE151D" w:rsidP="00567BE9">
            <w:pPr>
              <w:spacing w:after="0" w:line="240" w:lineRule="auto"/>
              <w:jc w:val="center"/>
              <w:rPr>
                <w:rFonts w:eastAsia="Times New Roman"/>
                <w:b/>
                <w:bCs/>
                <w:color w:val="000000" w:themeColor="text1"/>
                <w:sz w:val="16"/>
                <w:szCs w:val="16"/>
              </w:rPr>
            </w:pPr>
            <w:r w:rsidRPr="00D14CD7">
              <w:rPr>
                <w:rFonts w:eastAsia="Times New Roman"/>
                <w:b/>
                <w:bCs/>
                <w:color w:val="000000" w:themeColor="text1"/>
                <w:sz w:val="16"/>
              </w:rPr>
              <w:t>t-stat</w:t>
            </w:r>
          </w:p>
        </w:tc>
        <w:tc>
          <w:tcPr>
            <w:tcW w:w="184" w:type="pct"/>
            <w:tcBorders>
              <w:top w:val="single" w:sz="4" w:space="0" w:color="auto"/>
              <w:bottom w:val="double" w:sz="4" w:space="0" w:color="auto"/>
            </w:tcBorders>
            <w:shd w:val="clear" w:color="auto" w:fill="auto"/>
            <w:noWrap/>
            <w:textDirection w:val="btLr"/>
            <w:vAlign w:val="center"/>
            <w:hideMark/>
          </w:tcPr>
          <w:p w14:paraId="40D49D05" w14:textId="77777777" w:rsidR="00BE151D" w:rsidRPr="00D14CD7" w:rsidRDefault="00BE151D" w:rsidP="00567BE9">
            <w:pPr>
              <w:spacing w:after="0" w:line="240" w:lineRule="auto"/>
              <w:jc w:val="center"/>
              <w:rPr>
                <w:rFonts w:eastAsia="Times New Roman"/>
                <w:b/>
                <w:bCs/>
                <w:color w:val="000000" w:themeColor="text1"/>
                <w:sz w:val="16"/>
                <w:szCs w:val="16"/>
              </w:rPr>
            </w:pPr>
            <w:r w:rsidRPr="00D14CD7">
              <w:rPr>
                <w:rFonts w:eastAsia="Times New Roman"/>
                <w:b/>
                <w:bCs/>
                <w:color w:val="000000" w:themeColor="text1"/>
                <w:sz w:val="16"/>
              </w:rPr>
              <w:t>Coef.</w:t>
            </w:r>
          </w:p>
        </w:tc>
        <w:tc>
          <w:tcPr>
            <w:tcW w:w="185" w:type="pct"/>
            <w:tcBorders>
              <w:top w:val="single" w:sz="4" w:space="0" w:color="auto"/>
              <w:bottom w:val="double" w:sz="4" w:space="0" w:color="auto"/>
            </w:tcBorders>
            <w:shd w:val="clear" w:color="auto" w:fill="auto"/>
            <w:noWrap/>
            <w:textDirection w:val="btLr"/>
            <w:vAlign w:val="center"/>
            <w:hideMark/>
          </w:tcPr>
          <w:p w14:paraId="3798AA99" w14:textId="77777777" w:rsidR="00BE151D" w:rsidRPr="00D14CD7" w:rsidRDefault="00BE151D" w:rsidP="00567BE9">
            <w:pPr>
              <w:spacing w:after="0" w:line="240" w:lineRule="auto"/>
              <w:jc w:val="center"/>
              <w:rPr>
                <w:rFonts w:eastAsia="Times New Roman"/>
                <w:b/>
                <w:bCs/>
                <w:color w:val="000000" w:themeColor="text1"/>
                <w:sz w:val="16"/>
                <w:szCs w:val="16"/>
              </w:rPr>
            </w:pPr>
            <w:r w:rsidRPr="00D14CD7">
              <w:rPr>
                <w:rFonts w:eastAsia="Times New Roman"/>
                <w:b/>
                <w:bCs/>
                <w:color w:val="000000" w:themeColor="text1"/>
                <w:sz w:val="16"/>
              </w:rPr>
              <w:t>t-stat</w:t>
            </w:r>
          </w:p>
        </w:tc>
        <w:tc>
          <w:tcPr>
            <w:tcW w:w="185" w:type="pct"/>
            <w:tcBorders>
              <w:top w:val="single" w:sz="4" w:space="0" w:color="auto"/>
              <w:bottom w:val="double" w:sz="4" w:space="0" w:color="auto"/>
            </w:tcBorders>
            <w:shd w:val="clear" w:color="auto" w:fill="auto"/>
            <w:noWrap/>
            <w:textDirection w:val="btLr"/>
            <w:vAlign w:val="center"/>
            <w:hideMark/>
          </w:tcPr>
          <w:p w14:paraId="76D58AFE" w14:textId="77777777" w:rsidR="00BE151D" w:rsidRPr="00D14CD7" w:rsidRDefault="00BE151D" w:rsidP="00567BE9">
            <w:pPr>
              <w:spacing w:after="0" w:line="240" w:lineRule="auto"/>
              <w:jc w:val="center"/>
              <w:rPr>
                <w:rFonts w:eastAsia="Times New Roman"/>
                <w:b/>
                <w:bCs/>
                <w:color w:val="000000" w:themeColor="text1"/>
                <w:sz w:val="16"/>
                <w:szCs w:val="16"/>
              </w:rPr>
            </w:pPr>
            <w:r w:rsidRPr="00D14CD7">
              <w:rPr>
                <w:rFonts w:eastAsia="Times New Roman"/>
                <w:b/>
                <w:bCs/>
                <w:color w:val="000000" w:themeColor="text1"/>
                <w:sz w:val="16"/>
              </w:rPr>
              <w:t>Coef.</w:t>
            </w:r>
          </w:p>
        </w:tc>
        <w:tc>
          <w:tcPr>
            <w:tcW w:w="185" w:type="pct"/>
            <w:tcBorders>
              <w:top w:val="single" w:sz="4" w:space="0" w:color="auto"/>
              <w:bottom w:val="double" w:sz="4" w:space="0" w:color="auto"/>
            </w:tcBorders>
            <w:shd w:val="clear" w:color="auto" w:fill="auto"/>
            <w:noWrap/>
            <w:textDirection w:val="btLr"/>
            <w:vAlign w:val="center"/>
            <w:hideMark/>
          </w:tcPr>
          <w:p w14:paraId="79422330" w14:textId="77777777" w:rsidR="00BE151D" w:rsidRPr="00D14CD7" w:rsidRDefault="00BE151D" w:rsidP="00567BE9">
            <w:pPr>
              <w:spacing w:after="0" w:line="240" w:lineRule="auto"/>
              <w:jc w:val="center"/>
              <w:rPr>
                <w:rFonts w:eastAsia="Times New Roman"/>
                <w:b/>
                <w:bCs/>
                <w:color w:val="000000" w:themeColor="text1"/>
                <w:sz w:val="16"/>
                <w:szCs w:val="16"/>
              </w:rPr>
            </w:pPr>
            <w:r w:rsidRPr="00D14CD7">
              <w:rPr>
                <w:rFonts w:eastAsia="Times New Roman"/>
                <w:b/>
                <w:bCs/>
                <w:color w:val="000000" w:themeColor="text1"/>
                <w:sz w:val="16"/>
              </w:rPr>
              <w:t>t-stat</w:t>
            </w:r>
          </w:p>
        </w:tc>
        <w:tc>
          <w:tcPr>
            <w:tcW w:w="156" w:type="pct"/>
            <w:tcBorders>
              <w:top w:val="single" w:sz="4" w:space="0" w:color="auto"/>
              <w:bottom w:val="double" w:sz="4" w:space="0" w:color="auto"/>
            </w:tcBorders>
            <w:shd w:val="clear" w:color="auto" w:fill="auto"/>
            <w:noWrap/>
            <w:textDirection w:val="btLr"/>
            <w:vAlign w:val="center"/>
            <w:hideMark/>
          </w:tcPr>
          <w:p w14:paraId="794CDE72" w14:textId="77777777" w:rsidR="00BE151D" w:rsidRPr="00D14CD7" w:rsidRDefault="00BE151D" w:rsidP="00567BE9">
            <w:pPr>
              <w:spacing w:after="0" w:line="240" w:lineRule="auto"/>
              <w:jc w:val="center"/>
              <w:rPr>
                <w:rFonts w:eastAsia="Times New Roman"/>
                <w:b/>
                <w:bCs/>
                <w:color w:val="000000" w:themeColor="text1"/>
                <w:sz w:val="16"/>
                <w:szCs w:val="16"/>
              </w:rPr>
            </w:pPr>
            <w:r w:rsidRPr="00D14CD7">
              <w:rPr>
                <w:rFonts w:eastAsia="Times New Roman"/>
                <w:b/>
                <w:bCs/>
                <w:color w:val="000000" w:themeColor="text1"/>
                <w:sz w:val="16"/>
              </w:rPr>
              <w:t>Coef.</w:t>
            </w:r>
          </w:p>
        </w:tc>
        <w:tc>
          <w:tcPr>
            <w:tcW w:w="157" w:type="pct"/>
            <w:tcBorders>
              <w:top w:val="single" w:sz="4" w:space="0" w:color="auto"/>
              <w:bottom w:val="double" w:sz="4" w:space="0" w:color="auto"/>
              <w:right w:val="double" w:sz="4" w:space="0" w:color="auto"/>
            </w:tcBorders>
            <w:shd w:val="clear" w:color="auto" w:fill="auto"/>
            <w:noWrap/>
            <w:textDirection w:val="btLr"/>
            <w:vAlign w:val="center"/>
            <w:hideMark/>
          </w:tcPr>
          <w:p w14:paraId="14FEBEEB" w14:textId="77777777" w:rsidR="00BE151D" w:rsidRPr="00D14CD7" w:rsidRDefault="00BE151D" w:rsidP="00567BE9">
            <w:pPr>
              <w:spacing w:after="0" w:line="240" w:lineRule="auto"/>
              <w:jc w:val="center"/>
              <w:rPr>
                <w:rFonts w:eastAsia="Times New Roman"/>
                <w:b/>
                <w:bCs/>
                <w:color w:val="000000" w:themeColor="text1"/>
                <w:sz w:val="16"/>
                <w:szCs w:val="16"/>
              </w:rPr>
            </w:pPr>
            <w:r w:rsidRPr="00D14CD7">
              <w:rPr>
                <w:rFonts w:eastAsia="Times New Roman"/>
                <w:b/>
                <w:bCs/>
                <w:color w:val="000000" w:themeColor="text1"/>
                <w:sz w:val="16"/>
              </w:rPr>
              <w:t>t-stat</w:t>
            </w:r>
          </w:p>
        </w:tc>
        <w:tc>
          <w:tcPr>
            <w:tcW w:w="187" w:type="pct"/>
            <w:tcBorders>
              <w:top w:val="single" w:sz="4" w:space="0" w:color="auto"/>
              <w:left w:val="double" w:sz="4" w:space="0" w:color="auto"/>
              <w:bottom w:val="double" w:sz="4" w:space="0" w:color="auto"/>
            </w:tcBorders>
            <w:shd w:val="clear" w:color="auto" w:fill="auto"/>
            <w:noWrap/>
            <w:textDirection w:val="btLr"/>
            <w:vAlign w:val="center"/>
            <w:hideMark/>
          </w:tcPr>
          <w:p w14:paraId="0BEEE875" w14:textId="77777777" w:rsidR="00BE151D" w:rsidRPr="00D14CD7" w:rsidRDefault="00BE151D" w:rsidP="00567BE9">
            <w:pPr>
              <w:spacing w:after="0" w:line="240" w:lineRule="auto"/>
              <w:jc w:val="center"/>
              <w:rPr>
                <w:rFonts w:eastAsia="Times New Roman"/>
                <w:b/>
                <w:bCs/>
                <w:color w:val="000000" w:themeColor="text1"/>
                <w:sz w:val="16"/>
                <w:szCs w:val="16"/>
              </w:rPr>
            </w:pPr>
            <w:r w:rsidRPr="00D14CD7">
              <w:rPr>
                <w:rFonts w:eastAsia="Times New Roman"/>
                <w:b/>
                <w:bCs/>
                <w:color w:val="000000" w:themeColor="text1"/>
                <w:sz w:val="16"/>
              </w:rPr>
              <w:t>Coef.</w:t>
            </w:r>
          </w:p>
        </w:tc>
        <w:tc>
          <w:tcPr>
            <w:tcW w:w="183" w:type="pct"/>
            <w:tcBorders>
              <w:top w:val="single" w:sz="4" w:space="0" w:color="auto"/>
              <w:bottom w:val="double" w:sz="4" w:space="0" w:color="auto"/>
            </w:tcBorders>
            <w:shd w:val="clear" w:color="auto" w:fill="auto"/>
            <w:noWrap/>
            <w:textDirection w:val="btLr"/>
            <w:vAlign w:val="center"/>
            <w:hideMark/>
          </w:tcPr>
          <w:p w14:paraId="675894FC" w14:textId="77777777" w:rsidR="00BE151D" w:rsidRPr="00D14CD7" w:rsidRDefault="00BE151D" w:rsidP="00567BE9">
            <w:pPr>
              <w:spacing w:after="0" w:line="240" w:lineRule="auto"/>
              <w:jc w:val="center"/>
              <w:rPr>
                <w:rFonts w:eastAsia="Times New Roman"/>
                <w:b/>
                <w:bCs/>
                <w:color w:val="000000" w:themeColor="text1"/>
                <w:sz w:val="16"/>
                <w:szCs w:val="16"/>
              </w:rPr>
            </w:pPr>
            <w:r w:rsidRPr="00D14CD7">
              <w:rPr>
                <w:rFonts w:eastAsia="Times New Roman"/>
                <w:b/>
                <w:bCs/>
                <w:color w:val="000000" w:themeColor="text1"/>
                <w:sz w:val="16"/>
              </w:rPr>
              <w:t>t-stat</w:t>
            </w:r>
          </w:p>
        </w:tc>
      </w:tr>
      <w:tr w:rsidR="00D14CD7" w:rsidRPr="00D14CD7" w14:paraId="7A900587" w14:textId="77777777" w:rsidTr="00567BE9">
        <w:trPr>
          <w:trHeight w:val="72"/>
        </w:trPr>
        <w:tc>
          <w:tcPr>
            <w:tcW w:w="5000" w:type="pct"/>
            <w:gridSpan w:val="19"/>
            <w:tcBorders>
              <w:top w:val="single" w:sz="4" w:space="0" w:color="auto"/>
              <w:bottom w:val="single" w:sz="8" w:space="0" w:color="auto"/>
            </w:tcBorders>
            <w:shd w:val="clear" w:color="auto" w:fill="auto"/>
            <w:noWrap/>
            <w:vAlign w:val="center"/>
            <w:hideMark/>
          </w:tcPr>
          <w:p w14:paraId="7B796120" w14:textId="77777777" w:rsidR="00BE151D" w:rsidRPr="00D14CD7" w:rsidRDefault="00BE151D" w:rsidP="00567BE9">
            <w:pPr>
              <w:spacing w:after="0" w:line="240" w:lineRule="auto"/>
              <w:rPr>
                <w:rFonts w:eastAsia="Times New Roman"/>
                <w:color w:val="000000" w:themeColor="text1"/>
                <w:sz w:val="20"/>
                <w:szCs w:val="20"/>
              </w:rPr>
            </w:pPr>
            <w:r w:rsidRPr="00D14CD7">
              <w:rPr>
                <w:rFonts w:eastAsia="Times New Roman"/>
                <w:b/>
                <w:bCs/>
                <w:color w:val="000000" w:themeColor="text1"/>
                <w:sz w:val="16"/>
              </w:rPr>
              <w:t>Exogenous Variables</w:t>
            </w:r>
          </w:p>
        </w:tc>
      </w:tr>
      <w:tr w:rsidR="00D14CD7" w:rsidRPr="00D14CD7" w14:paraId="2D84AC16" w14:textId="77777777" w:rsidTr="00567BE9">
        <w:trPr>
          <w:trHeight w:val="72"/>
        </w:trPr>
        <w:tc>
          <w:tcPr>
            <w:tcW w:w="5000" w:type="pct"/>
            <w:gridSpan w:val="19"/>
            <w:tcBorders>
              <w:top w:val="single" w:sz="8" w:space="0" w:color="auto"/>
              <w:bottom w:val="single" w:sz="8" w:space="0" w:color="auto"/>
            </w:tcBorders>
            <w:shd w:val="clear" w:color="auto" w:fill="auto"/>
            <w:noWrap/>
            <w:vAlign w:val="center"/>
            <w:hideMark/>
          </w:tcPr>
          <w:p w14:paraId="02310475" w14:textId="77777777" w:rsidR="00BE151D" w:rsidRPr="00D14CD7" w:rsidRDefault="00BE151D" w:rsidP="00567BE9">
            <w:pPr>
              <w:spacing w:after="0" w:line="240" w:lineRule="auto"/>
              <w:rPr>
                <w:rFonts w:eastAsia="Times New Roman"/>
                <w:color w:val="000000" w:themeColor="text1"/>
                <w:sz w:val="20"/>
                <w:szCs w:val="20"/>
              </w:rPr>
            </w:pPr>
            <w:r w:rsidRPr="00D14CD7">
              <w:rPr>
                <w:rFonts w:eastAsia="Times New Roman"/>
                <w:b/>
                <w:bCs/>
                <w:color w:val="000000" w:themeColor="text1"/>
                <w:sz w:val="16"/>
              </w:rPr>
              <w:t>Individual Demographics</w:t>
            </w:r>
          </w:p>
        </w:tc>
      </w:tr>
      <w:tr w:rsidR="00D14CD7" w:rsidRPr="00D14CD7" w14:paraId="55E69CA3" w14:textId="77777777" w:rsidTr="00567BE9">
        <w:trPr>
          <w:trHeight w:val="72"/>
        </w:trPr>
        <w:tc>
          <w:tcPr>
            <w:tcW w:w="5000" w:type="pct"/>
            <w:gridSpan w:val="19"/>
            <w:tcBorders>
              <w:top w:val="single" w:sz="8" w:space="0" w:color="auto"/>
              <w:bottom w:val="single" w:sz="4" w:space="0" w:color="auto"/>
            </w:tcBorders>
            <w:shd w:val="clear" w:color="auto" w:fill="auto"/>
            <w:noWrap/>
            <w:vAlign w:val="center"/>
            <w:hideMark/>
          </w:tcPr>
          <w:p w14:paraId="55CA8895" w14:textId="77777777" w:rsidR="00BE151D" w:rsidRPr="00D14CD7" w:rsidRDefault="00BE151D" w:rsidP="00567BE9">
            <w:pPr>
              <w:spacing w:after="0" w:line="240" w:lineRule="auto"/>
              <w:rPr>
                <w:rFonts w:eastAsia="Times New Roman"/>
                <w:color w:val="000000" w:themeColor="text1"/>
                <w:sz w:val="20"/>
                <w:szCs w:val="20"/>
              </w:rPr>
            </w:pPr>
            <w:r w:rsidRPr="00D14CD7">
              <w:rPr>
                <w:rFonts w:eastAsia="Times New Roman"/>
                <w:b/>
                <w:bCs/>
                <w:i/>
                <w:iCs/>
                <w:color w:val="000000" w:themeColor="text1"/>
                <w:sz w:val="16"/>
                <w:szCs w:val="16"/>
              </w:rPr>
              <w:t>Age (base: 18 to 29 years old)</w:t>
            </w:r>
          </w:p>
        </w:tc>
      </w:tr>
      <w:tr w:rsidR="00D14CD7" w:rsidRPr="00D14CD7" w14:paraId="43170861" w14:textId="77777777" w:rsidTr="00567BE9">
        <w:trPr>
          <w:trHeight w:val="72"/>
        </w:trPr>
        <w:tc>
          <w:tcPr>
            <w:tcW w:w="1709" w:type="pct"/>
            <w:tcBorders>
              <w:top w:val="single" w:sz="4" w:space="0" w:color="auto"/>
              <w:bottom w:val="single" w:sz="4" w:space="0" w:color="auto"/>
              <w:right w:val="double" w:sz="4" w:space="0" w:color="auto"/>
            </w:tcBorders>
            <w:shd w:val="clear" w:color="auto" w:fill="auto"/>
            <w:noWrap/>
            <w:vAlign w:val="center"/>
            <w:hideMark/>
          </w:tcPr>
          <w:p w14:paraId="0B13F142" w14:textId="77777777" w:rsidR="00BE151D" w:rsidRPr="00D14CD7" w:rsidRDefault="00BE151D" w:rsidP="00567BE9">
            <w:pPr>
              <w:spacing w:after="0" w:line="240" w:lineRule="auto"/>
              <w:ind w:firstLine="140"/>
              <w:rPr>
                <w:rFonts w:eastAsia="Times New Roman"/>
                <w:color w:val="000000" w:themeColor="text1"/>
                <w:sz w:val="16"/>
                <w:szCs w:val="16"/>
              </w:rPr>
            </w:pPr>
            <w:r w:rsidRPr="00D14CD7">
              <w:rPr>
                <w:rFonts w:eastAsia="Times New Roman"/>
                <w:color w:val="000000" w:themeColor="text1"/>
                <w:sz w:val="16"/>
              </w:rPr>
              <w:t>30 to 49 years old</w:t>
            </w:r>
          </w:p>
        </w:tc>
        <w:tc>
          <w:tcPr>
            <w:tcW w:w="227" w:type="pct"/>
            <w:tcBorders>
              <w:top w:val="single" w:sz="4" w:space="0" w:color="auto"/>
              <w:left w:val="double" w:sz="4" w:space="0" w:color="auto"/>
              <w:bottom w:val="single" w:sz="4" w:space="0" w:color="auto"/>
            </w:tcBorders>
            <w:shd w:val="clear" w:color="auto" w:fill="auto"/>
            <w:noWrap/>
            <w:vAlign w:val="center"/>
            <w:hideMark/>
          </w:tcPr>
          <w:p w14:paraId="171B34DD" w14:textId="77777777" w:rsidR="00BE151D" w:rsidRPr="00D14CD7" w:rsidRDefault="00BE151D" w:rsidP="00567BE9">
            <w:pPr>
              <w:spacing w:after="0" w:line="240" w:lineRule="auto"/>
              <w:jc w:val="right"/>
              <w:rPr>
                <w:rFonts w:eastAsia="Times New Roman"/>
                <w:color w:val="000000" w:themeColor="text1"/>
                <w:sz w:val="16"/>
                <w:szCs w:val="16"/>
              </w:rPr>
            </w:pPr>
            <w:r w:rsidRPr="00D14CD7">
              <w:rPr>
                <w:rFonts w:eastAsia="Times New Roman"/>
                <w:color w:val="000000" w:themeColor="text1"/>
                <w:sz w:val="16"/>
              </w:rPr>
              <w:t>—</w:t>
            </w:r>
          </w:p>
        </w:tc>
        <w:tc>
          <w:tcPr>
            <w:tcW w:w="199" w:type="pct"/>
            <w:tcBorders>
              <w:top w:val="single" w:sz="4" w:space="0" w:color="auto"/>
              <w:bottom w:val="single" w:sz="4" w:space="0" w:color="auto"/>
              <w:right w:val="single" w:sz="8" w:space="0" w:color="auto"/>
            </w:tcBorders>
            <w:shd w:val="clear" w:color="auto" w:fill="auto"/>
            <w:noWrap/>
            <w:vAlign w:val="center"/>
            <w:hideMark/>
          </w:tcPr>
          <w:p w14:paraId="09C7CB7E" w14:textId="77777777" w:rsidR="00BE151D" w:rsidRPr="00D14CD7" w:rsidRDefault="00BE151D" w:rsidP="00567BE9">
            <w:pPr>
              <w:spacing w:after="0" w:line="240" w:lineRule="auto"/>
              <w:jc w:val="right"/>
              <w:rPr>
                <w:rFonts w:eastAsia="Times New Roman"/>
                <w:color w:val="000000" w:themeColor="text1"/>
                <w:sz w:val="16"/>
                <w:szCs w:val="16"/>
              </w:rPr>
            </w:pPr>
            <w:r w:rsidRPr="00D14CD7">
              <w:rPr>
                <w:rFonts w:eastAsia="Times New Roman"/>
                <w:color w:val="000000" w:themeColor="text1"/>
                <w:sz w:val="16"/>
              </w:rPr>
              <w:t>—</w:t>
            </w:r>
          </w:p>
        </w:tc>
        <w:tc>
          <w:tcPr>
            <w:tcW w:w="184" w:type="pct"/>
            <w:tcBorders>
              <w:top w:val="single" w:sz="4" w:space="0" w:color="auto"/>
              <w:left w:val="single" w:sz="8" w:space="0" w:color="auto"/>
              <w:bottom w:val="single" w:sz="4" w:space="0" w:color="auto"/>
            </w:tcBorders>
            <w:shd w:val="clear" w:color="auto" w:fill="auto"/>
            <w:noWrap/>
            <w:vAlign w:val="bottom"/>
          </w:tcPr>
          <w:p w14:paraId="50D66602" w14:textId="77777777" w:rsidR="00BE151D" w:rsidRPr="00D14CD7" w:rsidRDefault="00BE151D" w:rsidP="00567BE9">
            <w:pPr>
              <w:spacing w:after="0" w:line="240" w:lineRule="auto"/>
              <w:jc w:val="right"/>
              <w:rPr>
                <w:rFonts w:eastAsia="Times New Roman"/>
                <w:color w:val="000000" w:themeColor="text1"/>
                <w:sz w:val="16"/>
                <w:szCs w:val="16"/>
              </w:rPr>
            </w:pPr>
            <w:r w:rsidRPr="00D14CD7">
              <w:rPr>
                <w:color w:val="000000" w:themeColor="text1"/>
                <w:sz w:val="16"/>
                <w:szCs w:val="16"/>
              </w:rPr>
              <w:t>-0.888</w:t>
            </w:r>
          </w:p>
        </w:tc>
        <w:tc>
          <w:tcPr>
            <w:tcW w:w="185" w:type="pct"/>
            <w:tcBorders>
              <w:top w:val="single" w:sz="4" w:space="0" w:color="auto"/>
              <w:bottom w:val="single" w:sz="4" w:space="0" w:color="auto"/>
              <w:right w:val="single" w:sz="8" w:space="0" w:color="auto"/>
            </w:tcBorders>
            <w:shd w:val="clear" w:color="auto" w:fill="auto"/>
            <w:noWrap/>
            <w:vAlign w:val="bottom"/>
          </w:tcPr>
          <w:p w14:paraId="4C142E45" w14:textId="77777777" w:rsidR="00BE151D" w:rsidRPr="00D14CD7" w:rsidRDefault="00BE151D" w:rsidP="00567BE9">
            <w:pPr>
              <w:spacing w:after="0" w:line="240" w:lineRule="auto"/>
              <w:jc w:val="right"/>
              <w:rPr>
                <w:rFonts w:eastAsia="Times New Roman"/>
                <w:color w:val="000000" w:themeColor="text1"/>
                <w:sz w:val="16"/>
                <w:szCs w:val="16"/>
              </w:rPr>
            </w:pPr>
            <w:r w:rsidRPr="00D14CD7">
              <w:rPr>
                <w:color w:val="000000" w:themeColor="text1"/>
                <w:sz w:val="16"/>
                <w:szCs w:val="16"/>
              </w:rPr>
              <w:t>-4.50</w:t>
            </w:r>
          </w:p>
        </w:tc>
        <w:tc>
          <w:tcPr>
            <w:tcW w:w="184" w:type="pct"/>
            <w:tcBorders>
              <w:top w:val="single" w:sz="4" w:space="0" w:color="auto"/>
              <w:left w:val="single" w:sz="8" w:space="0" w:color="auto"/>
              <w:bottom w:val="single" w:sz="4" w:space="0" w:color="auto"/>
            </w:tcBorders>
            <w:shd w:val="clear" w:color="auto" w:fill="auto"/>
            <w:noWrap/>
            <w:vAlign w:val="center"/>
            <w:hideMark/>
          </w:tcPr>
          <w:p w14:paraId="3D3FFB36" w14:textId="77777777" w:rsidR="00BE151D" w:rsidRPr="00D14CD7" w:rsidRDefault="00BE151D" w:rsidP="00567BE9">
            <w:pPr>
              <w:spacing w:after="0" w:line="240" w:lineRule="auto"/>
              <w:jc w:val="right"/>
              <w:rPr>
                <w:rFonts w:eastAsia="Times New Roman"/>
                <w:color w:val="000000" w:themeColor="text1"/>
                <w:sz w:val="16"/>
                <w:szCs w:val="16"/>
              </w:rPr>
            </w:pPr>
            <w:r w:rsidRPr="00D14CD7">
              <w:rPr>
                <w:rFonts w:eastAsia="Times New Roman"/>
                <w:color w:val="000000" w:themeColor="text1"/>
                <w:sz w:val="16"/>
              </w:rPr>
              <w:t>—</w:t>
            </w:r>
          </w:p>
        </w:tc>
        <w:tc>
          <w:tcPr>
            <w:tcW w:w="188" w:type="pct"/>
            <w:tcBorders>
              <w:top w:val="single" w:sz="4" w:space="0" w:color="auto"/>
              <w:bottom w:val="single" w:sz="4" w:space="0" w:color="auto"/>
              <w:right w:val="single" w:sz="8" w:space="0" w:color="auto"/>
            </w:tcBorders>
            <w:shd w:val="clear" w:color="auto" w:fill="auto"/>
            <w:noWrap/>
            <w:vAlign w:val="center"/>
            <w:hideMark/>
          </w:tcPr>
          <w:p w14:paraId="5A9520E8" w14:textId="77777777" w:rsidR="00BE151D" w:rsidRPr="00D14CD7" w:rsidRDefault="00BE151D" w:rsidP="00567BE9">
            <w:pPr>
              <w:spacing w:after="0" w:line="240" w:lineRule="auto"/>
              <w:jc w:val="right"/>
              <w:rPr>
                <w:rFonts w:eastAsia="Times New Roman"/>
                <w:color w:val="000000" w:themeColor="text1"/>
                <w:sz w:val="16"/>
                <w:szCs w:val="16"/>
              </w:rPr>
            </w:pPr>
            <w:r w:rsidRPr="00D14CD7">
              <w:rPr>
                <w:rFonts w:eastAsia="Times New Roman"/>
                <w:color w:val="000000" w:themeColor="text1"/>
                <w:sz w:val="16"/>
              </w:rPr>
              <w:t>—</w:t>
            </w:r>
          </w:p>
        </w:tc>
        <w:tc>
          <w:tcPr>
            <w:tcW w:w="188" w:type="pct"/>
            <w:tcBorders>
              <w:top w:val="single" w:sz="4" w:space="0" w:color="auto"/>
              <w:left w:val="single" w:sz="8" w:space="0" w:color="auto"/>
              <w:bottom w:val="single" w:sz="4" w:space="0" w:color="auto"/>
            </w:tcBorders>
            <w:shd w:val="clear" w:color="auto" w:fill="auto"/>
            <w:noWrap/>
            <w:vAlign w:val="center"/>
            <w:hideMark/>
          </w:tcPr>
          <w:p w14:paraId="261C3967" w14:textId="77777777" w:rsidR="00BE151D" w:rsidRPr="00D14CD7" w:rsidRDefault="00BE151D" w:rsidP="00567BE9">
            <w:pPr>
              <w:spacing w:after="0" w:line="240" w:lineRule="auto"/>
              <w:jc w:val="right"/>
              <w:rPr>
                <w:rFonts w:eastAsia="Times New Roman"/>
                <w:color w:val="000000" w:themeColor="text1"/>
                <w:sz w:val="16"/>
                <w:szCs w:val="16"/>
              </w:rPr>
            </w:pPr>
            <w:proofErr w:type="spellStart"/>
            <w:r w:rsidRPr="00D14CD7">
              <w:rPr>
                <w:rFonts w:eastAsia="Times New Roman"/>
                <w:color w:val="000000" w:themeColor="text1"/>
                <w:sz w:val="16"/>
              </w:rPr>
              <w:t>na</w:t>
            </w:r>
            <w:proofErr w:type="spellEnd"/>
          </w:p>
        </w:tc>
        <w:tc>
          <w:tcPr>
            <w:tcW w:w="146" w:type="pct"/>
            <w:tcBorders>
              <w:top w:val="single" w:sz="4" w:space="0" w:color="auto"/>
              <w:bottom w:val="single" w:sz="4" w:space="0" w:color="auto"/>
              <w:right w:val="double" w:sz="4" w:space="0" w:color="auto"/>
            </w:tcBorders>
            <w:shd w:val="clear" w:color="auto" w:fill="auto"/>
            <w:noWrap/>
            <w:vAlign w:val="center"/>
            <w:hideMark/>
          </w:tcPr>
          <w:p w14:paraId="23D2E515" w14:textId="77777777" w:rsidR="00BE151D" w:rsidRPr="00D14CD7" w:rsidRDefault="00BE151D" w:rsidP="00567BE9">
            <w:pPr>
              <w:spacing w:after="0" w:line="240" w:lineRule="auto"/>
              <w:jc w:val="right"/>
              <w:rPr>
                <w:rFonts w:eastAsia="Times New Roman"/>
                <w:color w:val="000000" w:themeColor="text1"/>
                <w:sz w:val="16"/>
                <w:szCs w:val="16"/>
              </w:rPr>
            </w:pPr>
            <w:proofErr w:type="spellStart"/>
            <w:r w:rsidRPr="00D14CD7">
              <w:rPr>
                <w:rFonts w:eastAsia="Times New Roman"/>
                <w:color w:val="000000" w:themeColor="text1"/>
                <w:sz w:val="16"/>
              </w:rPr>
              <w:t>na</w:t>
            </w:r>
            <w:proofErr w:type="spellEnd"/>
          </w:p>
        </w:tc>
        <w:tc>
          <w:tcPr>
            <w:tcW w:w="184" w:type="pct"/>
            <w:tcBorders>
              <w:left w:val="double" w:sz="4" w:space="0" w:color="auto"/>
            </w:tcBorders>
            <w:shd w:val="clear" w:color="auto" w:fill="auto"/>
            <w:noWrap/>
            <w:vAlign w:val="center"/>
            <w:hideMark/>
          </w:tcPr>
          <w:p w14:paraId="6CAB2719" w14:textId="77777777" w:rsidR="00BE151D" w:rsidRPr="00D14CD7" w:rsidRDefault="00BE151D" w:rsidP="00567BE9">
            <w:pPr>
              <w:spacing w:after="0" w:line="240" w:lineRule="auto"/>
              <w:jc w:val="right"/>
              <w:rPr>
                <w:rFonts w:eastAsia="Times New Roman"/>
                <w:color w:val="000000" w:themeColor="text1"/>
                <w:sz w:val="16"/>
                <w:szCs w:val="16"/>
              </w:rPr>
            </w:pPr>
            <w:r w:rsidRPr="00D14CD7">
              <w:rPr>
                <w:rFonts w:eastAsia="Times New Roman"/>
                <w:color w:val="000000" w:themeColor="text1"/>
                <w:sz w:val="16"/>
              </w:rPr>
              <w:t>—</w:t>
            </w:r>
          </w:p>
        </w:tc>
        <w:tc>
          <w:tcPr>
            <w:tcW w:w="184" w:type="pct"/>
            <w:tcBorders>
              <w:top w:val="single" w:sz="4" w:space="0" w:color="auto"/>
              <w:bottom w:val="single" w:sz="4" w:space="0" w:color="auto"/>
              <w:right w:val="single" w:sz="8" w:space="0" w:color="auto"/>
            </w:tcBorders>
            <w:shd w:val="clear" w:color="auto" w:fill="auto"/>
            <w:noWrap/>
            <w:vAlign w:val="center"/>
            <w:hideMark/>
          </w:tcPr>
          <w:p w14:paraId="7D07ED6E" w14:textId="77777777" w:rsidR="00BE151D" w:rsidRPr="00D14CD7" w:rsidRDefault="00BE151D" w:rsidP="00567BE9">
            <w:pPr>
              <w:spacing w:after="0" w:line="240" w:lineRule="auto"/>
              <w:jc w:val="right"/>
              <w:rPr>
                <w:rFonts w:eastAsia="Times New Roman"/>
                <w:color w:val="000000" w:themeColor="text1"/>
                <w:sz w:val="16"/>
                <w:szCs w:val="16"/>
              </w:rPr>
            </w:pPr>
            <w:r w:rsidRPr="00D14CD7">
              <w:rPr>
                <w:rFonts w:eastAsia="Times New Roman"/>
                <w:color w:val="000000" w:themeColor="text1"/>
                <w:sz w:val="16"/>
              </w:rPr>
              <w:t>—</w:t>
            </w:r>
          </w:p>
        </w:tc>
        <w:tc>
          <w:tcPr>
            <w:tcW w:w="184" w:type="pct"/>
            <w:tcBorders>
              <w:top w:val="single" w:sz="4" w:space="0" w:color="auto"/>
              <w:left w:val="single" w:sz="8" w:space="0" w:color="auto"/>
              <w:bottom w:val="single" w:sz="4" w:space="0" w:color="auto"/>
            </w:tcBorders>
            <w:shd w:val="clear" w:color="auto" w:fill="auto"/>
            <w:noWrap/>
            <w:vAlign w:val="center"/>
            <w:hideMark/>
          </w:tcPr>
          <w:p w14:paraId="342C7ED6" w14:textId="77777777" w:rsidR="00BE151D" w:rsidRPr="00D14CD7" w:rsidRDefault="00BE151D" w:rsidP="00567BE9">
            <w:pPr>
              <w:spacing w:after="0" w:line="240" w:lineRule="auto"/>
              <w:jc w:val="right"/>
              <w:rPr>
                <w:rFonts w:eastAsia="Times New Roman"/>
                <w:color w:val="000000" w:themeColor="text1"/>
                <w:sz w:val="16"/>
                <w:szCs w:val="16"/>
              </w:rPr>
            </w:pPr>
            <w:r w:rsidRPr="00D14CD7">
              <w:rPr>
                <w:rFonts w:eastAsia="Times New Roman"/>
                <w:color w:val="000000" w:themeColor="text1"/>
                <w:sz w:val="16"/>
              </w:rPr>
              <w:t>—</w:t>
            </w:r>
          </w:p>
        </w:tc>
        <w:tc>
          <w:tcPr>
            <w:tcW w:w="185" w:type="pct"/>
            <w:tcBorders>
              <w:top w:val="single" w:sz="4" w:space="0" w:color="auto"/>
              <w:bottom w:val="single" w:sz="4" w:space="0" w:color="auto"/>
              <w:right w:val="single" w:sz="8" w:space="0" w:color="auto"/>
            </w:tcBorders>
            <w:shd w:val="clear" w:color="auto" w:fill="auto"/>
            <w:noWrap/>
            <w:vAlign w:val="center"/>
            <w:hideMark/>
          </w:tcPr>
          <w:p w14:paraId="2A0AA48C" w14:textId="77777777" w:rsidR="00BE151D" w:rsidRPr="00D14CD7" w:rsidRDefault="00BE151D" w:rsidP="00567BE9">
            <w:pPr>
              <w:spacing w:after="0" w:line="240" w:lineRule="auto"/>
              <w:jc w:val="right"/>
              <w:rPr>
                <w:rFonts w:eastAsia="Times New Roman"/>
                <w:color w:val="000000" w:themeColor="text1"/>
                <w:sz w:val="16"/>
                <w:szCs w:val="16"/>
              </w:rPr>
            </w:pPr>
            <w:r w:rsidRPr="00D14CD7">
              <w:rPr>
                <w:rFonts w:eastAsia="Times New Roman"/>
                <w:color w:val="000000" w:themeColor="text1"/>
                <w:sz w:val="16"/>
              </w:rPr>
              <w:t>—</w:t>
            </w:r>
          </w:p>
        </w:tc>
        <w:tc>
          <w:tcPr>
            <w:tcW w:w="185" w:type="pct"/>
            <w:tcBorders>
              <w:top w:val="single" w:sz="4" w:space="0" w:color="auto"/>
              <w:left w:val="single" w:sz="8" w:space="0" w:color="auto"/>
              <w:bottom w:val="single" w:sz="4" w:space="0" w:color="auto"/>
            </w:tcBorders>
            <w:shd w:val="clear" w:color="auto" w:fill="auto"/>
            <w:noWrap/>
            <w:vAlign w:val="center"/>
            <w:hideMark/>
          </w:tcPr>
          <w:p w14:paraId="7557494D" w14:textId="77777777" w:rsidR="00BE151D" w:rsidRPr="00D14CD7" w:rsidRDefault="00BE151D" w:rsidP="00567BE9">
            <w:pPr>
              <w:spacing w:after="0" w:line="240" w:lineRule="auto"/>
              <w:jc w:val="right"/>
              <w:rPr>
                <w:rFonts w:eastAsia="Times New Roman"/>
                <w:color w:val="000000" w:themeColor="text1"/>
                <w:sz w:val="16"/>
                <w:szCs w:val="16"/>
              </w:rPr>
            </w:pPr>
            <w:r w:rsidRPr="00D14CD7">
              <w:rPr>
                <w:rFonts w:eastAsia="Times New Roman"/>
                <w:color w:val="000000" w:themeColor="text1"/>
                <w:sz w:val="16"/>
              </w:rPr>
              <w:t>—</w:t>
            </w:r>
          </w:p>
        </w:tc>
        <w:tc>
          <w:tcPr>
            <w:tcW w:w="185" w:type="pct"/>
            <w:tcBorders>
              <w:top w:val="single" w:sz="4" w:space="0" w:color="auto"/>
              <w:bottom w:val="single" w:sz="4" w:space="0" w:color="auto"/>
              <w:right w:val="single" w:sz="8" w:space="0" w:color="auto"/>
            </w:tcBorders>
            <w:shd w:val="clear" w:color="auto" w:fill="auto"/>
            <w:noWrap/>
            <w:vAlign w:val="center"/>
            <w:hideMark/>
          </w:tcPr>
          <w:p w14:paraId="30A402E3" w14:textId="77777777" w:rsidR="00BE151D" w:rsidRPr="00D14CD7" w:rsidRDefault="00BE151D" w:rsidP="00567BE9">
            <w:pPr>
              <w:spacing w:after="0" w:line="240" w:lineRule="auto"/>
              <w:jc w:val="right"/>
              <w:rPr>
                <w:rFonts w:eastAsia="Times New Roman"/>
                <w:color w:val="000000" w:themeColor="text1"/>
                <w:sz w:val="16"/>
                <w:szCs w:val="16"/>
              </w:rPr>
            </w:pPr>
            <w:r w:rsidRPr="00D14CD7">
              <w:rPr>
                <w:rFonts w:eastAsia="Times New Roman"/>
                <w:color w:val="000000" w:themeColor="text1"/>
                <w:sz w:val="16"/>
              </w:rPr>
              <w:t>—</w:t>
            </w:r>
          </w:p>
        </w:tc>
        <w:tc>
          <w:tcPr>
            <w:tcW w:w="156" w:type="pct"/>
            <w:tcBorders>
              <w:left w:val="single" w:sz="8" w:space="0" w:color="auto"/>
            </w:tcBorders>
            <w:shd w:val="clear" w:color="auto" w:fill="auto"/>
            <w:noWrap/>
            <w:vAlign w:val="center"/>
            <w:hideMark/>
          </w:tcPr>
          <w:p w14:paraId="1F0F984E" w14:textId="77777777" w:rsidR="00BE151D" w:rsidRPr="00D14CD7" w:rsidRDefault="00BE151D" w:rsidP="00567BE9">
            <w:pPr>
              <w:spacing w:after="0" w:line="240" w:lineRule="auto"/>
              <w:jc w:val="right"/>
              <w:rPr>
                <w:rFonts w:eastAsia="Times New Roman"/>
                <w:color w:val="000000" w:themeColor="text1"/>
                <w:sz w:val="16"/>
                <w:szCs w:val="16"/>
              </w:rPr>
            </w:pPr>
            <w:proofErr w:type="spellStart"/>
            <w:r w:rsidRPr="00D14CD7">
              <w:rPr>
                <w:rFonts w:eastAsia="Times New Roman"/>
                <w:color w:val="000000" w:themeColor="text1"/>
                <w:sz w:val="16"/>
              </w:rPr>
              <w:t>na</w:t>
            </w:r>
            <w:proofErr w:type="spellEnd"/>
          </w:p>
        </w:tc>
        <w:tc>
          <w:tcPr>
            <w:tcW w:w="157" w:type="pct"/>
            <w:tcBorders>
              <w:right w:val="double" w:sz="4" w:space="0" w:color="auto"/>
            </w:tcBorders>
            <w:shd w:val="clear" w:color="auto" w:fill="auto"/>
            <w:noWrap/>
            <w:vAlign w:val="center"/>
            <w:hideMark/>
          </w:tcPr>
          <w:p w14:paraId="3452BA02" w14:textId="77777777" w:rsidR="00BE151D" w:rsidRPr="00D14CD7" w:rsidRDefault="00BE151D" w:rsidP="00567BE9">
            <w:pPr>
              <w:spacing w:after="0" w:line="240" w:lineRule="auto"/>
              <w:jc w:val="right"/>
              <w:rPr>
                <w:rFonts w:eastAsia="Times New Roman"/>
                <w:color w:val="000000" w:themeColor="text1"/>
                <w:sz w:val="16"/>
                <w:szCs w:val="16"/>
              </w:rPr>
            </w:pPr>
            <w:proofErr w:type="spellStart"/>
            <w:r w:rsidRPr="00D14CD7">
              <w:rPr>
                <w:rFonts w:eastAsia="Times New Roman"/>
                <w:color w:val="000000" w:themeColor="text1"/>
                <w:sz w:val="16"/>
              </w:rPr>
              <w:t>na</w:t>
            </w:r>
            <w:proofErr w:type="spellEnd"/>
          </w:p>
        </w:tc>
        <w:tc>
          <w:tcPr>
            <w:tcW w:w="187" w:type="pct"/>
            <w:tcBorders>
              <w:top w:val="single" w:sz="4" w:space="0" w:color="auto"/>
              <w:left w:val="double" w:sz="4" w:space="0" w:color="auto"/>
              <w:bottom w:val="single" w:sz="4" w:space="0" w:color="auto"/>
            </w:tcBorders>
            <w:shd w:val="clear" w:color="auto" w:fill="auto"/>
            <w:noWrap/>
            <w:vAlign w:val="center"/>
            <w:hideMark/>
          </w:tcPr>
          <w:p w14:paraId="64B6B81D" w14:textId="77777777" w:rsidR="00BE151D" w:rsidRPr="00D14CD7" w:rsidRDefault="00BE151D" w:rsidP="00567BE9">
            <w:pPr>
              <w:spacing w:after="0" w:line="240" w:lineRule="auto"/>
              <w:jc w:val="right"/>
              <w:rPr>
                <w:rFonts w:eastAsia="Times New Roman"/>
                <w:color w:val="000000" w:themeColor="text1"/>
                <w:sz w:val="16"/>
                <w:szCs w:val="16"/>
              </w:rPr>
            </w:pPr>
            <w:r w:rsidRPr="00D14CD7">
              <w:rPr>
                <w:rFonts w:eastAsia="Times New Roman"/>
                <w:color w:val="000000" w:themeColor="text1"/>
                <w:sz w:val="16"/>
              </w:rPr>
              <w:t>—</w:t>
            </w:r>
          </w:p>
        </w:tc>
        <w:tc>
          <w:tcPr>
            <w:tcW w:w="183" w:type="pct"/>
            <w:tcBorders>
              <w:top w:val="single" w:sz="4" w:space="0" w:color="auto"/>
              <w:bottom w:val="single" w:sz="4" w:space="0" w:color="auto"/>
            </w:tcBorders>
            <w:shd w:val="clear" w:color="auto" w:fill="auto"/>
            <w:noWrap/>
            <w:vAlign w:val="center"/>
            <w:hideMark/>
          </w:tcPr>
          <w:p w14:paraId="50C2251F" w14:textId="77777777" w:rsidR="00BE151D" w:rsidRPr="00D14CD7" w:rsidRDefault="00BE151D" w:rsidP="00567BE9">
            <w:pPr>
              <w:spacing w:after="0" w:line="240" w:lineRule="auto"/>
              <w:jc w:val="right"/>
              <w:rPr>
                <w:rFonts w:eastAsia="Times New Roman"/>
                <w:color w:val="000000" w:themeColor="text1"/>
                <w:sz w:val="16"/>
                <w:szCs w:val="16"/>
              </w:rPr>
            </w:pPr>
            <w:r w:rsidRPr="00D14CD7">
              <w:rPr>
                <w:rFonts w:eastAsia="Times New Roman"/>
                <w:color w:val="000000" w:themeColor="text1"/>
                <w:sz w:val="16"/>
              </w:rPr>
              <w:t>—</w:t>
            </w:r>
          </w:p>
        </w:tc>
      </w:tr>
      <w:tr w:rsidR="00D14CD7" w:rsidRPr="00D14CD7" w14:paraId="4BFEFD55" w14:textId="77777777" w:rsidTr="00567BE9">
        <w:trPr>
          <w:trHeight w:val="72"/>
        </w:trPr>
        <w:tc>
          <w:tcPr>
            <w:tcW w:w="1709" w:type="pct"/>
            <w:tcBorders>
              <w:top w:val="single" w:sz="4" w:space="0" w:color="auto"/>
              <w:bottom w:val="single" w:sz="4" w:space="0" w:color="auto"/>
              <w:right w:val="double" w:sz="4" w:space="0" w:color="auto"/>
            </w:tcBorders>
            <w:shd w:val="clear" w:color="auto" w:fill="auto"/>
            <w:noWrap/>
            <w:vAlign w:val="center"/>
            <w:hideMark/>
          </w:tcPr>
          <w:p w14:paraId="65A93D37" w14:textId="77777777" w:rsidR="00BE151D" w:rsidRPr="00D14CD7" w:rsidRDefault="00BE151D" w:rsidP="00567BE9">
            <w:pPr>
              <w:spacing w:after="0" w:line="240" w:lineRule="auto"/>
              <w:ind w:firstLine="140"/>
              <w:rPr>
                <w:rFonts w:eastAsia="Times New Roman"/>
                <w:color w:val="000000" w:themeColor="text1"/>
                <w:sz w:val="16"/>
                <w:szCs w:val="16"/>
              </w:rPr>
            </w:pPr>
            <w:r w:rsidRPr="00D14CD7">
              <w:rPr>
                <w:rFonts w:eastAsia="Times New Roman"/>
                <w:color w:val="000000" w:themeColor="text1"/>
                <w:sz w:val="16"/>
              </w:rPr>
              <w:t>49 to 64 years old</w:t>
            </w:r>
          </w:p>
        </w:tc>
        <w:tc>
          <w:tcPr>
            <w:tcW w:w="227" w:type="pct"/>
            <w:tcBorders>
              <w:top w:val="single" w:sz="4" w:space="0" w:color="auto"/>
              <w:left w:val="double" w:sz="4" w:space="0" w:color="auto"/>
              <w:bottom w:val="single" w:sz="4" w:space="0" w:color="auto"/>
            </w:tcBorders>
            <w:shd w:val="clear" w:color="auto" w:fill="auto"/>
            <w:noWrap/>
            <w:vAlign w:val="bottom"/>
          </w:tcPr>
          <w:p w14:paraId="289E47DD" w14:textId="77777777" w:rsidR="00BE151D" w:rsidRPr="00D14CD7" w:rsidRDefault="00BE151D" w:rsidP="00567BE9">
            <w:pPr>
              <w:spacing w:after="0" w:line="240" w:lineRule="auto"/>
              <w:jc w:val="right"/>
              <w:rPr>
                <w:rFonts w:eastAsia="Times New Roman"/>
                <w:color w:val="000000" w:themeColor="text1"/>
                <w:sz w:val="16"/>
                <w:szCs w:val="16"/>
              </w:rPr>
            </w:pPr>
            <w:r w:rsidRPr="00D14CD7">
              <w:rPr>
                <w:color w:val="000000" w:themeColor="text1"/>
                <w:sz w:val="16"/>
                <w:szCs w:val="16"/>
              </w:rPr>
              <w:t>-0.780</w:t>
            </w:r>
          </w:p>
        </w:tc>
        <w:tc>
          <w:tcPr>
            <w:tcW w:w="199" w:type="pct"/>
            <w:tcBorders>
              <w:top w:val="single" w:sz="4" w:space="0" w:color="auto"/>
              <w:bottom w:val="single" w:sz="4" w:space="0" w:color="auto"/>
              <w:right w:val="single" w:sz="8" w:space="0" w:color="auto"/>
            </w:tcBorders>
            <w:shd w:val="clear" w:color="auto" w:fill="auto"/>
            <w:noWrap/>
            <w:vAlign w:val="bottom"/>
          </w:tcPr>
          <w:p w14:paraId="5B37BDCE" w14:textId="77777777" w:rsidR="00BE151D" w:rsidRPr="00D14CD7" w:rsidRDefault="00BE151D" w:rsidP="00567BE9">
            <w:pPr>
              <w:spacing w:after="0" w:line="240" w:lineRule="auto"/>
              <w:jc w:val="right"/>
              <w:rPr>
                <w:rFonts w:eastAsia="Times New Roman"/>
                <w:color w:val="000000" w:themeColor="text1"/>
                <w:sz w:val="16"/>
                <w:szCs w:val="16"/>
              </w:rPr>
            </w:pPr>
            <w:r w:rsidRPr="00D14CD7">
              <w:rPr>
                <w:color w:val="000000" w:themeColor="text1"/>
                <w:sz w:val="16"/>
                <w:szCs w:val="16"/>
              </w:rPr>
              <w:t>-7.56</w:t>
            </w:r>
          </w:p>
        </w:tc>
        <w:tc>
          <w:tcPr>
            <w:tcW w:w="184" w:type="pct"/>
            <w:tcBorders>
              <w:top w:val="single" w:sz="4" w:space="0" w:color="auto"/>
              <w:left w:val="single" w:sz="8" w:space="0" w:color="auto"/>
              <w:bottom w:val="single" w:sz="4" w:space="0" w:color="auto"/>
            </w:tcBorders>
            <w:shd w:val="clear" w:color="auto" w:fill="auto"/>
            <w:noWrap/>
            <w:vAlign w:val="bottom"/>
          </w:tcPr>
          <w:p w14:paraId="04795D7C" w14:textId="77777777" w:rsidR="00BE151D" w:rsidRPr="00D14CD7" w:rsidRDefault="00BE151D" w:rsidP="00567BE9">
            <w:pPr>
              <w:spacing w:after="0" w:line="240" w:lineRule="auto"/>
              <w:jc w:val="right"/>
              <w:rPr>
                <w:rFonts w:eastAsia="Times New Roman"/>
                <w:color w:val="000000" w:themeColor="text1"/>
                <w:sz w:val="16"/>
                <w:szCs w:val="16"/>
              </w:rPr>
            </w:pPr>
            <w:r w:rsidRPr="00D14CD7">
              <w:rPr>
                <w:color w:val="000000" w:themeColor="text1"/>
                <w:sz w:val="16"/>
                <w:szCs w:val="16"/>
              </w:rPr>
              <w:t>-0.888</w:t>
            </w:r>
          </w:p>
        </w:tc>
        <w:tc>
          <w:tcPr>
            <w:tcW w:w="185" w:type="pct"/>
            <w:tcBorders>
              <w:top w:val="single" w:sz="4" w:space="0" w:color="auto"/>
              <w:bottom w:val="single" w:sz="4" w:space="0" w:color="auto"/>
              <w:right w:val="single" w:sz="8" w:space="0" w:color="auto"/>
            </w:tcBorders>
            <w:shd w:val="clear" w:color="auto" w:fill="auto"/>
            <w:noWrap/>
            <w:vAlign w:val="bottom"/>
          </w:tcPr>
          <w:p w14:paraId="3F0402C3" w14:textId="77777777" w:rsidR="00BE151D" w:rsidRPr="00D14CD7" w:rsidRDefault="00BE151D" w:rsidP="00567BE9">
            <w:pPr>
              <w:spacing w:after="0" w:line="240" w:lineRule="auto"/>
              <w:jc w:val="right"/>
              <w:rPr>
                <w:rFonts w:eastAsia="Times New Roman"/>
                <w:color w:val="000000" w:themeColor="text1"/>
                <w:sz w:val="16"/>
                <w:szCs w:val="16"/>
              </w:rPr>
            </w:pPr>
            <w:r w:rsidRPr="00D14CD7">
              <w:rPr>
                <w:color w:val="000000" w:themeColor="text1"/>
                <w:sz w:val="16"/>
                <w:szCs w:val="16"/>
              </w:rPr>
              <w:t>-4.50</w:t>
            </w:r>
          </w:p>
        </w:tc>
        <w:tc>
          <w:tcPr>
            <w:tcW w:w="184" w:type="pct"/>
            <w:tcBorders>
              <w:top w:val="single" w:sz="4" w:space="0" w:color="auto"/>
              <w:left w:val="single" w:sz="8" w:space="0" w:color="auto"/>
              <w:bottom w:val="single" w:sz="4" w:space="0" w:color="auto"/>
            </w:tcBorders>
            <w:shd w:val="clear" w:color="auto" w:fill="auto"/>
            <w:noWrap/>
            <w:vAlign w:val="center"/>
            <w:hideMark/>
          </w:tcPr>
          <w:p w14:paraId="17EACCD5" w14:textId="77777777" w:rsidR="00BE151D" w:rsidRPr="00D14CD7" w:rsidRDefault="00BE151D" w:rsidP="00567BE9">
            <w:pPr>
              <w:spacing w:after="0" w:line="240" w:lineRule="auto"/>
              <w:jc w:val="right"/>
              <w:rPr>
                <w:rFonts w:eastAsia="Times New Roman"/>
                <w:color w:val="000000" w:themeColor="text1"/>
                <w:sz w:val="16"/>
                <w:szCs w:val="16"/>
              </w:rPr>
            </w:pPr>
            <w:r w:rsidRPr="00D14CD7">
              <w:rPr>
                <w:rFonts w:eastAsia="Times New Roman"/>
                <w:color w:val="000000" w:themeColor="text1"/>
                <w:sz w:val="16"/>
              </w:rPr>
              <w:t>—</w:t>
            </w:r>
          </w:p>
        </w:tc>
        <w:tc>
          <w:tcPr>
            <w:tcW w:w="188" w:type="pct"/>
            <w:tcBorders>
              <w:top w:val="single" w:sz="4" w:space="0" w:color="auto"/>
              <w:bottom w:val="single" w:sz="4" w:space="0" w:color="auto"/>
              <w:right w:val="single" w:sz="8" w:space="0" w:color="auto"/>
            </w:tcBorders>
            <w:shd w:val="clear" w:color="auto" w:fill="auto"/>
            <w:noWrap/>
            <w:vAlign w:val="center"/>
            <w:hideMark/>
          </w:tcPr>
          <w:p w14:paraId="25C0C0A0" w14:textId="77777777" w:rsidR="00BE151D" w:rsidRPr="00D14CD7" w:rsidRDefault="00BE151D" w:rsidP="00567BE9">
            <w:pPr>
              <w:spacing w:after="0" w:line="240" w:lineRule="auto"/>
              <w:jc w:val="right"/>
              <w:rPr>
                <w:rFonts w:eastAsia="Times New Roman"/>
                <w:color w:val="000000" w:themeColor="text1"/>
                <w:sz w:val="16"/>
                <w:szCs w:val="16"/>
              </w:rPr>
            </w:pPr>
            <w:r w:rsidRPr="00D14CD7">
              <w:rPr>
                <w:rFonts w:eastAsia="Times New Roman"/>
                <w:color w:val="000000" w:themeColor="text1"/>
                <w:sz w:val="16"/>
              </w:rPr>
              <w:t>—</w:t>
            </w:r>
          </w:p>
        </w:tc>
        <w:tc>
          <w:tcPr>
            <w:tcW w:w="188" w:type="pct"/>
            <w:tcBorders>
              <w:top w:val="single" w:sz="4" w:space="0" w:color="auto"/>
              <w:left w:val="single" w:sz="8" w:space="0" w:color="auto"/>
              <w:bottom w:val="single" w:sz="4" w:space="0" w:color="auto"/>
            </w:tcBorders>
            <w:shd w:val="clear" w:color="auto" w:fill="auto"/>
            <w:noWrap/>
            <w:vAlign w:val="center"/>
            <w:hideMark/>
          </w:tcPr>
          <w:p w14:paraId="6EAA8B45" w14:textId="77777777" w:rsidR="00BE151D" w:rsidRPr="00D14CD7" w:rsidRDefault="00BE151D" w:rsidP="00567BE9">
            <w:pPr>
              <w:spacing w:after="0" w:line="240" w:lineRule="auto"/>
              <w:jc w:val="right"/>
              <w:rPr>
                <w:rFonts w:eastAsia="Times New Roman"/>
                <w:color w:val="000000" w:themeColor="text1"/>
                <w:sz w:val="16"/>
                <w:szCs w:val="16"/>
              </w:rPr>
            </w:pPr>
            <w:proofErr w:type="spellStart"/>
            <w:r w:rsidRPr="00D14CD7">
              <w:rPr>
                <w:rFonts w:eastAsia="Times New Roman"/>
                <w:color w:val="000000" w:themeColor="text1"/>
                <w:sz w:val="16"/>
              </w:rPr>
              <w:t>na</w:t>
            </w:r>
            <w:proofErr w:type="spellEnd"/>
          </w:p>
        </w:tc>
        <w:tc>
          <w:tcPr>
            <w:tcW w:w="146" w:type="pct"/>
            <w:tcBorders>
              <w:top w:val="single" w:sz="4" w:space="0" w:color="auto"/>
              <w:bottom w:val="single" w:sz="4" w:space="0" w:color="auto"/>
              <w:right w:val="double" w:sz="4" w:space="0" w:color="auto"/>
            </w:tcBorders>
            <w:shd w:val="clear" w:color="auto" w:fill="auto"/>
            <w:noWrap/>
            <w:vAlign w:val="center"/>
            <w:hideMark/>
          </w:tcPr>
          <w:p w14:paraId="1FADCB68" w14:textId="77777777" w:rsidR="00BE151D" w:rsidRPr="00D14CD7" w:rsidRDefault="00BE151D" w:rsidP="00567BE9">
            <w:pPr>
              <w:spacing w:after="0" w:line="240" w:lineRule="auto"/>
              <w:jc w:val="right"/>
              <w:rPr>
                <w:rFonts w:eastAsia="Times New Roman"/>
                <w:color w:val="000000" w:themeColor="text1"/>
                <w:sz w:val="16"/>
                <w:szCs w:val="16"/>
              </w:rPr>
            </w:pPr>
            <w:proofErr w:type="spellStart"/>
            <w:r w:rsidRPr="00D14CD7">
              <w:rPr>
                <w:rFonts w:eastAsia="Times New Roman"/>
                <w:color w:val="000000" w:themeColor="text1"/>
                <w:sz w:val="16"/>
              </w:rPr>
              <w:t>na</w:t>
            </w:r>
            <w:proofErr w:type="spellEnd"/>
          </w:p>
        </w:tc>
        <w:tc>
          <w:tcPr>
            <w:tcW w:w="184" w:type="pct"/>
            <w:tcBorders>
              <w:left w:val="double" w:sz="4" w:space="0" w:color="auto"/>
            </w:tcBorders>
            <w:shd w:val="clear" w:color="auto" w:fill="auto"/>
            <w:noWrap/>
            <w:vAlign w:val="center"/>
            <w:hideMark/>
          </w:tcPr>
          <w:p w14:paraId="696119A3" w14:textId="77777777" w:rsidR="00BE151D" w:rsidRPr="00D14CD7" w:rsidRDefault="00BE151D" w:rsidP="00567BE9">
            <w:pPr>
              <w:spacing w:after="0" w:line="240" w:lineRule="auto"/>
              <w:jc w:val="right"/>
              <w:rPr>
                <w:rFonts w:eastAsia="Times New Roman"/>
                <w:color w:val="000000" w:themeColor="text1"/>
                <w:sz w:val="16"/>
                <w:szCs w:val="16"/>
              </w:rPr>
            </w:pPr>
            <w:r w:rsidRPr="00D14CD7">
              <w:rPr>
                <w:rFonts w:eastAsia="Times New Roman"/>
                <w:color w:val="000000" w:themeColor="text1"/>
                <w:sz w:val="16"/>
              </w:rPr>
              <w:t>—</w:t>
            </w:r>
          </w:p>
        </w:tc>
        <w:tc>
          <w:tcPr>
            <w:tcW w:w="184" w:type="pct"/>
            <w:tcBorders>
              <w:top w:val="single" w:sz="4" w:space="0" w:color="auto"/>
              <w:bottom w:val="single" w:sz="4" w:space="0" w:color="auto"/>
              <w:right w:val="single" w:sz="8" w:space="0" w:color="auto"/>
            </w:tcBorders>
            <w:shd w:val="clear" w:color="auto" w:fill="auto"/>
            <w:noWrap/>
            <w:vAlign w:val="center"/>
            <w:hideMark/>
          </w:tcPr>
          <w:p w14:paraId="4D217FA5" w14:textId="77777777" w:rsidR="00BE151D" w:rsidRPr="00D14CD7" w:rsidRDefault="00BE151D" w:rsidP="00567BE9">
            <w:pPr>
              <w:spacing w:after="0" w:line="240" w:lineRule="auto"/>
              <w:jc w:val="right"/>
              <w:rPr>
                <w:rFonts w:eastAsia="Times New Roman"/>
                <w:color w:val="000000" w:themeColor="text1"/>
                <w:sz w:val="16"/>
                <w:szCs w:val="16"/>
              </w:rPr>
            </w:pPr>
            <w:r w:rsidRPr="00D14CD7">
              <w:rPr>
                <w:rFonts w:eastAsia="Times New Roman"/>
                <w:color w:val="000000" w:themeColor="text1"/>
                <w:sz w:val="16"/>
              </w:rPr>
              <w:t>—</w:t>
            </w:r>
          </w:p>
        </w:tc>
        <w:tc>
          <w:tcPr>
            <w:tcW w:w="184" w:type="pct"/>
            <w:tcBorders>
              <w:top w:val="single" w:sz="4" w:space="0" w:color="auto"/>
              <w:left w:val="single" w:sz="8" w:space="0" w:color="auto"/>
              <w:bottom w:val="single" w:sz="4" w:space="0" w:color="auto"/>
            </w:tcBorders>
            <w:shd w:val="clear" w:color="auto" w:fill="auto"/>
            <w:noWrap/>
            <w:vAlign w:val="center"/>
            <w:hideMark/>
          </w:tcPr>
          <w:p w14:paraId="192AB955" w14:textId="77777777" w:rsidR="00BE151D" w:rsidRPr="00D14CD7" w:rsidRDefault="00BE151D" w:rsidP="00567BE9">
            <w:pPr>
              <w:spacing w:after="0" w:line="240" w:lineRule="auto"/>
              <w:jc w:val="right"/>
              <w:rPr>
                <w:rFonts w:eastAsia="Times New Roman"/>
                <w:color w:val="000000" w:themeColor="text1"/>
                <w:sz w:val="16"/>
                <w:szCs w:val="16"/>
              </w:rPr>
            </w:pPr>
            <w:r w:rsidRPr="00D14CD7">
              <w:rPr>
                <w:rFonts w:eastAsia="Times New Roman"/>
                <w:color w:val="000000" w:themeColor="text1"/>
                <w:sz w:val="16"/>
              </w:rPr>
              <w:t>—</w:t>
            </w:r>
          </w:p>
        </w:tc>
        <w:tc>
          <w:tcPr>
            <w:tcW w:w="185" w:type="pct"/>
            <w:tcBorders>
              <w:top w:val="single" w:sz="4" w:space="0" w:color="auto"/>
              <w:bottom w:val="single" w:sz="4" w:space="0" w:color="auto"/>
              <w:right w:val="single" w:sz="8" w:space="0" w:color="auto"/>
            </w:tcBorders>
            <w:shd w:val="clear" w:color="auto" w:fill="auto"/>
            <w:noWrap/>
            <w:vAlign w:val="center"/>
            <w:hideMark/>
          </w:tcPr>
          <w:p w14:paraId="1714A3EF" w14:textId="77777777" w:rsidR="00BE151D" w:rsidRPr="00D14CD7" w:rsidRDefault="00BE151D" w:rsidP="00567BE9">
            <w:pPr>
              <w:spacing w:after="0" w:line="240" w:lineRule="auto"/>
              <w:jc w:val="right"/>
              <w:rPr>
                <w:rFonts w:eastAsia="Times New Roman"/>
                <w:color w:val="000000" w:themeColor="text1"/>
                <w:sz w:val="16"/>
                <w:szCs w:val="16"/>
              </w:rPr>
            </w:pPr>
            <w:r w:rsidRPr="00D14CD7">
              <w:rPr>
                <w:rFonts w:eastAsia="Times New Roman"/>
                <w:color w:val="000000" w:themeColor="text1"/>
                <w:sz w:val="16"/>
              </w:rPr>
              <w:t>—</w:t>
            </w:r>
          </w:p>
        </w:tc>
        <w:tc>
          <w:tcPr>
            <w:tcW w:w="185" w:type="pct"/>
            <w:tcBorders>
              <w:top w:val="single" w:sz="4" w:space="0" w:color="auto"/>
              <w:left w:val="single" w:sz="8" w:space="0" w:color="auto"/>
              <w:bottom w:val="single" w:sz="4" w:space="0" w:color="auto"/>
            </w:tcBorders>
            <w:shd w:val="clear" w:color="auto" w:fill="auto"/>
            <w:noWrap/>
            <w:vAlign w:val="bottom"/>
          </w:tcPr>
          <w:p w14:paraId="0DE1C831" w14:textId="77777777" w:rsidR="00BE151D" w:rsidRPr="00D14CD7" w:rsidRDefault="00BE151D" w:rsidP="00567BE9">
            <w:pPr>
              <w:spacing w:after="0" w:line="240" w:lineRule="auto"/>
              <w:jc w:val="right"/>
              <w:rPr>
                <w:rFonts w:eastAsia="Times New Roman"/>
                <w:color w:val="000000" w:themeColor="text1"/>
                <w:sz w:val="16"/>
                <w:szCs w:val="16"/>
              </w:rPr>
            </w:pPr>
            <w:r w:rsidRPr="00D14CD7">
              <w:rPr>
                <w:color w:val="000000" w:themeColor="text1"/>
                <w:sz w:val="16"/>
                <w:szCs w:val="16"/>
              </w:rPr>
              <w:t>0.692</w:t>
            </w:r>
          </w:p>
        </w:tc>
        <w:tc>
          <w:tcPr>
            <w:tcW w:w="185" w:type="pct"/>
            <w:tcBorders>
              <w:top w:val="single" w:sz="4" w:space="0" w:color="auto"/>
              <w:bottom w:val="single" w:sz="4" w:space="0" w:color="auto"/>
              <w:right w:val="single" w:sz="8" w:space="0" w:color="auto"/>
            </w:tcBorders>
            <w:shd w:val="clear" w:color="auto" w:fill="auto"/>
            <w:noWrap/>
            <w:vAlign w:val="bottom"/>
          </w:tcPr>
          <w:p w14:paraId="29C9B467" w14:textId="77777777" w:rsidR="00BE151D" w:rsidRPr="00D14CD7" w:rsidRDefault="00BE151D" w:rsidP="00567BE9">
            <w:pPr>
              <w:spacing w:after="0" w:line="240" w:lineRule="auto"/>
              <w:jc w:val="right"/>
              <w:rPr>
                <w:rFonts w:eastAsia="Times New Roman"/>
                <w:color w:val="000000" w:themeColor="text1"/>
                <w:sz w:val="16"/>
                <w:szCs w:val="16"/>
              </w:rPr>
            </w:pPr>
            <w:r w:rsidRPr="00D14CD7">
              <w:rPr>
                <w:color w:val="000000" w:themeColor="text1"/>
                <w:sz w:val="16"/>
                <w:szCs w:val="16"/>
              </w:rPr>
              <w:t>2.62</w:t>
            </w:r>
          </w:p>
        </w:tc>
        <w:tc>
          <w:tcPr>
            <w:tcW w:w="156" w:type="pct"/>
            <w:tcBorders>
              <w:left w:val="single" w:sz="8" w:space="0" w:color="auto"/>
            </w:tcBorders>
            <w:shd w:val="clear" w:color="auto" w:fill="auto"/>
            <w:noWrap/>
            <w:vAlign w:val="center"/>
            <w:hideMark/>
          </w:tcPr>
          <w:p w14:paraId="3A1A9A87" w14:textId="77777777" w:rsidR="00BE151D" w:rsidRPr="00D14CD7" w:rsidRDefault="00BE151D" w:rsidP="00567BE9">
            <w:pPr>
              <w:spacing w:after="0" w:line="240" w:lineRule="auto"/>
              <w:jc w:val="right"/>
              <w:rPr>
                <w:rFonts w:eastAsia="Times New Roman"/>
                <w:color w:val="000000" w:themeColor="text1"/>
                <w:sz w:val="16"/>
                <w:szCs w:val="16"/>
              </w:rPr>
            </w:pPr>
            <w:proofErr w:type="spellStart"/>
            <w:r w:rsidRPr="00D14CD7">
              <w:rPr>
                <w:rFonts w:eastAsia="Times New Roman"/>
                <w:color w:val="000000" w:themeColor="text1"/>
                <w:sz w:val="16"/>
              </w:rPr>
              <w:t>na</w:t>
            </w:r>
            <w:proofErr w:type="spellEnd"/>
          </w:p>
        </w:tc>
        <w:tc>
          <w:tcPr>
            <w:tcW w:w="157" w:type="pct"/>
            <w:tcBorders>
              <w:right w:val="double" w:sz="4" w:space="0" w:color="auto"/>
            </w:tcBorders>
            <w:shd w:val="clear" w:color="auto" w:fill="auto"/>
            <w:noWrap/>
            <w:vAlign w:val="center"/>
            <w:hideMark/>
          </w:tcPr>
          <w:p w14:paraId="29A6EEFB" w14:textId="77777777" w:rsidR="00BE151D" w:rsidRPr="00D14CD7" w:rsidRDefault="00BE151D" w:rsidP="00567BE9">
            <w:pPr>
              <w:spacing w:after="0" w:line="240" w:lineRule="auto"/>
              <w:jc w:val="right"/>
              <w:rPr>
                <w:rFonts w:eastAsia="Times New Roman"/>
                <w:color w:val="000000" w:themeColor="text1"/>
                <w:sz w:val="16"/>
                <w:szCs w:val="16"/>
              </w:rPr>
            </w:pPr>
            <w:proofErr w:type="spellStart"/>
            <w:r w:rsidRPr="00D14CD7">
              <w:rPr>
                <w:rFonts w:eastAsia="Times New Roman"/>
                <w:color w:val="000000" w:themeColor="text1"/>
                <w:sz w:val="16"/>
              </w:rPr>
              <w:t>na</w:t>
            </w:r>
            <w:proofErr w:type="spellEnd"/>
          </w:p>
        </w:tc>
        <w:tc>
          <w:tcPr>
            <w:tcW w:w="187" w:type="pct"/>
            <w:tcBorders>
              <w:top w:val="single" w:sz="4" w:space="0" w:color="auto"/>
              <w:left w:val="double" w:sz="4" w:space="0" w:color="auto"/>
              <w:bottom w:val="single" w:sz="4" w:space="0" w:color="auto"/>
            </w:tcBorders>
            <w:shd w:val="clear" w:color="auto" w:fill="auto"/>
            <w:noWrap/>
            <w:vAlign w:val="center"/>
            <w:hideMark/>
          </w:tcPr>
          <w:p w14:paraId="042AE708" w14:textId="77777777" w:rsidR="00BE151D" w:rsidRPr="00D14CD7" w:rsidRDefault="00BE151D" w:rsidP="00567BE9">
            <w:pPr>
              <w:spacing w:after="0" w:line="240" w:lineRule="auto"/>
              <w:jc w:val="right"/>
              <w:rPr>
                <w:rFonts w:eastAsia="Times New Roman"/>
                <w:color w:val="000000" w:themeColor="text1"/>
                <w:sz w:val="16"/>
                <w:szCs w:val="16"/>
              </w:rPr>
            </w:pPr>
            <w:r w:rsidRPr="00D14CD7">
              <w:rPr>
                <w:rFonts w:eastAsia="Times New Roman"/>
                <w:color w:val="000000" w:themeColor="text1"/>
                <w:sz w:val="16"/>
              </w:rPr>
              <w:t>—</w:t>
            </w:r>
          </w:p>
        </w:tc>
        <w:tc>
          <w:tcPr>
            <w:tcW w:w="183" w:type="pct"/>
            <w:tcBorders>
              <w:top w:val="single" w:sz="4" w:space="0" w:color="auto"/>
              <w:bottom w:val="single" w:sz="4" w:space="0" w:color="auto"/>
            </w:tcBorders>
            <w:shd w:val="clear" w:color="auto" w:fill="auto"/>
            <w:noWrap/>
            <w:vAlign w:val="center"/>
            <w:hideMark/>
          </w:tcPr>
          <w:p w14:paraId="7CEDDB32" w14:textId="77777777" w:rsidR="00BE151D" w:rsidRPr="00D14CD7" w:rsidRDefault="00BE151D" w:rsidP="00567BE9">
            <w:pPr>
              <w:spacing w:after="0" w:line="240" w:lineRule="auto"/>
              <w:jc w:val="right"/>
              <w:rPr>
                <w:rFonts w:eastAsia="Times New Roman"/>
                <w:color w:val="000000" w:themeColor="text1"/>
                <w:sz w:val="16"/>
                <w:szCs w:val="16"/>
              </w:rPr>
            </w:pPr>
            <w:r w:rsidRPr="00D14CD7">
              <w:rPr>
                <w:rFonts w:eastAsia="Times New Roman"/>
                <w:color w:val="000000" w:themeColor="text1"/>
                <w:sz w:val="16"/>
              </w:rPr>
              <w:t>—</w:t>
            </w:r>
          </w:p>
        </w:tc>
      </w:tr>
      <w:tr w:rsidR="00D14CD7" w:rsidRPr="00D14CD7" w14:paraId="15DBB7CE" w14:textId="77777777" w:rsidTr="00567BE9">
        <w:trPr>
          <w:trHeight w:val="72"/>
        </w:trPr>
        <w:tc>
          <w:tcPr>
            <w:tcW w:w="1709" w:type="pct"/>
            <w:tcBorders>
              <w:top w:val="single" w:sz="4" w:space="0" w:color="auto"/>
              <w:bottom w:val="single" w:sz="8" w:space="0" w:color="auto"/>
              <w:right w:val="double" w:sz="4" w:space="0" w:color="auto"/>
            </w:tcBorders>
            <w:shd w:val="clear" w:color="auto" w:fill="auto"/>
            <w:noWrap/>
            <w:vAlign w:val="center"/>
            <w:hideMark/>
          </w:tcPr>
          <w:p w14:paraId="10497C93" w14:textId="77777777" w:rsidR="00BE151D" w:rsidRPr="00D14CD7" w:rsidRDefault="00BE151D" w:rsidP="00567BE9">
            <w:pPr>
              <w:spacing w:after="0" w:line="240" w:lineRule="auto"/>
              <w:ind w:firstLine="140"/>
              <w:rPr>
                <w:rFonts w:eastAsia="Times New Roman"/>
                <w:color w:val="000000" w:themeColor="text1"/>
                <w:sz w:val="16"/>
                <w:szCs w:val="16"/>
              </w:rPr>
            </w:pPr>
            <w:r w:rsidRPr="00D14CD7">
              <w:rPr>
                <w:rFonts w:eastAsia="Times New Roman"/>
                <w:color w:val="000000" w:themeColor="text1"/>
                <w:sz w:val="16"/>
              </w:rPr>
              <w:t>65 and older</w:t>
            </w:r>
          </w:p>
        </w:tc>
        <w:tc>
          <w:tcPr>
            <w:tcW w:w="227" w:type="pct"/>
            <w:tcBorders>
              <w:top w:val="single" w:sz="4" w:space="0" w:color="auto"/>
              <w:left w:val="double" w:sz="4" w:space="0" w:color="auto"/>
              <w:bottom w:val="single" w:sz="8" w:space="0" w:color="auto"/>
            </w:tcBorders>
            <w:shd w:val="clear" w:color="auto" w:fill="auto"/>
            <w:noWrap/>
            <w:vAlign w:val="bottom"/>
          </w:tcPr>
          <w:p w14:paraId="6E3CCCF2" w14:textId="77777777" w:rsidR="00BE151D" w:rsidRPr="00D14CD7" w:rsidRDefault="00BE151D" w:rsidP="00567BE9">
            <w:pPr>
              <w:spacing w:after="0" w:line="240" w:lineRule="auto"/>
              <w:jc w:val="right"/>
              <w:rPr>
                <w:rFonts w:eastAsia="Times New Roman"/>
                <w:color w:val="000000" w:themeColor="text1"/>
                <w:sz w:val="16"/>
                <w:szCs w:val="16"/>
              </w:rPr>
            </w:pPr>
            <w:r w:rsidRPr="00D14CD7">
              <w:rPr>
                <w:color w:val="000000" w:themeColor="text1"/>
                <w:sz w:val="16"/>
                <w:szCs w:val="16"/>
              </w:rPr>
              <w:t>-0.467</w:t>
            </w:r>
          </w:p>
        </w:tc>
        <w:tc>
          <w:tcPr>
            <w:tcW w:w="199" w:type="pct"/>
            <w:tcBorders>
              <w:top w:val="single" w:sz="4" w:space="0" w:color="auto"/>
              <w:bottom w:val="single" w:sz="8" w:space="0" w:color="auto"/>
              <w:right w:val="single" w:sz="8" w:space="0" w:color="auto"/>
            </w:tcBorders>
            <w:shd w:val="clear" w:color="auto" w:fill="auto"/>
            <w:noWrap/>
            <w:vAlign w:val="bottom"/>
          </w:tcPr>
          <w:p w14:paraId="2D8F4CF0" w14:textId="77777777" w:rsidR="00BE151D" w:rsidRPr="00D14CD7" w:rsidRDefault="00BE151D" w:rsidP="00567BE9">
            <w:pPr>
              <w:spacing w:after="0" w:line="240" w:lineRule="auto"/>
              <w:jc w:val="right"/>
              <w:rPr>
                <w:rFonts w:eastAsia="Times New Roman"/>
                <w:color w:val="000000" w:themeColor="text1"/>
                <w:sz w:val="16"/>
                <w:szCs w:val="16"/>
              </w:rPr>
            </w:pPr>
            <w:r w:rsidRPr="00D14CD7">
              <w:rPr>
                <w:color w:val="000000" w:themeColor="text1"/>
                <w:sz w:val="16"/>
                <w:szCs w:val="16"/>
              </w:rPr>
              <w:t>-3.10</w:t>
            </w:r>
          </w:p>
        </w:tc>
        <w:tc>
          <w:tcPr>
            <w:tcW w:w="184" w:type="pct"/>
            <w:tcBorders>
              <w:top w:val="single" w:sz="4" w:space="0" w:color="auto"/>
              <w:left w:val="single" w:sz="8" w:space="0" w:color="auto"/>
              <w:bottom w:val="single" w:sz="8" w:space="0" w:color="auto"/>
            </w:tcBorders>
            <w:shd w:val="clear" w:color="auto" w:fill="auto"/>
            <w:noWrap/>
            <w:vAlign w:val="bottom"/>
          </w:tcPr>
          <w:p w14:paraId="6D8751C0" w14:textId="77777777" w:rsidR="00BE151D" w:rsidRPr="00D14CD7" w:rsidRDefault="00BE151D" w:rsidP="00567BE9">
            <w:pPr>
              <w:spacing w:after="0" w:line="240" w:lineRule="auto"/>
              <w:jc w:val="right"/>
              <w:rPr>
                <w:rFonts w:eastAsia="Times New Roman"/>
                <w:color w:val="000000" w:themeColor="text1"/>
                <w:sz w:val="16"/>
                <w:szCs w:val="16"/>
              </w:rPr>
            </w:pPr>
            <w:r w:rsidRPr="00D14CD7">
              <w:rPr>
                <w:color w:val="000000" w:themeColor="text1"/>
                <w:sz w:val="16"/>
                <w:szCs w:val="16"/>
              </w:rPr>
              <w:t>-1.568</w:t>
            </w:r>
          </w:p>
        </w:tc>
        <w:tc>
          <w:tcPr>
            <w:tcW w:w="185" w:type="pct"/>
            <w:tcBorders>
              <w:top w:val="single" w:sz="4" w:space="0" w:color="auto"/>
              <w:bottom w:val="single" w:sz="8" w:space="0" w:color="auto"/>
              <w:right w:val="single" w:sz="8" w:space="0" w:color="auto"/>
            </w:tcBorders>
            <w:shd w:val="clear" w:color="auto" w:fill="auto"/>
            <w:noWrap/>
            <w:vAlign w:val="bottom"/>
          </w:tcPr>
          <w:p w14:paraId="7B582649" w14:textId="77777777" w:rsidR="00BE151D" w:rsidRPr="00D14CD7" w:rsidRDefault="00BE151D" w:rsidP="00567BE9">
            <w:pPr>
              <w:spacing w:after="0" w:line="240" w:lineRule="auto"/>
              <w:jc w:val="right"/>
              <w:rPr>
                <w:rFonts w:eastAsia="Times New Roman"/>
                <w:color w:val="000000" w:themeColor="text1"/>
                <w:sz w:val="16"/>
                <w:szCs w:val="16"/>
              </w:rPr>
            </w:pPr>
            <w:r w:rsidRPr="00D14CD7">
              <w:rPr>
                <w:color w:val="000000" w:themeColor="text1"/>
                <w:sz w:val="16"/>
                <w:szCs w:val="16"/>
              </w:rPr>
              <w:t>-7.25</w:t>
            </w:r>
          </w:p>
        </w:tc>
        <w:tc>
          <w:tcPr>
            <w:tcW w:w="184" w:type="pct"/>
            <w:tcBorders>
              <w:top w:val="single" w:sz="4" w:space="0" w:color="auto"/>
              <w:left w:val="single" w:sz="8" w:space="0" w:color="auto"/>
              <w:bottom w:val="single" w:sz="8" w:space="0" w:color="auto"/>
            </w:tcBorders>
            <w:shd w:val="clear" w:color="auto" w:fill="auto"/>
            <w:noWrap/>
            <w:vAlign w:val="center"/>
          </w:tcPr>
          <w:p w14:paraId="7FC1C251" w14:textId="77777777" w:rsidR="00BE151D" w:rsidRPr="00D14CD7" w:rsidRDefault="00BE151D" w:rsidP="00567BE9">
            <w:pPr>
              <w:spacing w:after="0" w:line="240" w:lineRule="auto"/>
              <w:jc w:val="right"/>
              <w:rPr>
                <w:rFonts w:eastAsia="Times New Roman"/>
                <w:color w:val="000000" w:themeColor="text1"/>
                <w:sz w:val="16"/>
                <w:szCs w:val="16"/>
              </w:rPr>
            </w:pPr>
            <w:r w:rsidRPr="00D14CD7">
              <w:rPr>
                <w:color w:val="000000" w:themeColor="text1"/>
                <w:sz w:val="16"/>
                <w:szCs w:val="16"/>
              </w:rPr>
              <w:t>-0.202</w:t>
            </w:r>
          </w:p>
        </w:tc>
        <w:tc>
          <w:tcPr>
            <w:tcW w:w="188" w:type="pct"/>
            <w:tcBorders>
              <w:top w:val="single" w:sz="4" w:space="0" w:color="auto"/>
              <w:bottom w:val="single" w:sz="8" w:space="0" w:color="auto"/>
              <w:right w:val="single" w:sz="8" w:space="0" w:color="auto"/>
            </w:tcBorders>
            <w:shd w:val="clear" w:color="auto" w:fill="auto"/>
            <w:noWrap/>
            <w:vAlign w:val="center"/>
          </w:tcPr>
          <w:p w14:paraId="47488ABF" w14:textId="77777777" w:rsidR="00BE151D" w:rsidRPr="00D14CD7" w:rsidRDefault="00BE151D" w:rsidP="00567BE9">
            <w:pPr>
              <w:spacing w:after="0" w:line="240" w:lineRule="auto"/>
              <w:jc w:val="right"/>
              <w:rPr>
                <w:rFonts w:eastAsia="Times New Roman"/>
                <w:color w:val="000000" w:themeColor="text1"/>
                <w:sz w:val="16"/>
                <w:szCs w:val="16"/>
              </w:rPr>
            </w:pPr>
            <w:r w:rsidRPr="00D14CD7">
              <w:rPr>
                <w:color w:val="000000" w:themeColor="text1"/>
                <w:sz w:val="16"/>
                <w:szCs w:val="16"/>
              </w:rPr>
              <w:t>1.59</w:t>
            </w:r>
          </w:p>
        </w:tc>
        <w:tc>
          <w:tcPr>
            <w:tcW w:w="188" w:type="pct"/>
            <w:tcBorders>
              <w:top w:val="single" w:sz="4" w:space="0" w:color="auto"/>
              <w:left w:val="single" w:sz="8" w:space="0" w:color="auto"/>
              <w:bottom w:val="single" w:sz="8" w:space="0" w:color="auto"/>
            </w:tcBorders>
            <w:shd w:val="clear" w:color="auto" w:fill="auto"/>
            <w:noWrap/>
            <w:vAlign w:val="center"/>
            <w:hideMark/>
          </w:tcPr>
          <w:p w14:paraId="44FF9BD3" w14:textId="77777777" w:rsidR="00BE151D" w:rsidRPr="00D14CD7" w:rsidRDefault="00BE151D" w:rsidP="00567BE9">
            <w:pPr>
              <w:spacing w:after="0" w:line="240" w:lineRule="auto"/>
              <w:jc w:val="right"/>
              <w:rPr>
                <w:rFonts w:eastAsia="Times New Roman"/>
                <w:color w:val="000000" w:themeColor="text1"/>
                <w:sz w:val="16"/>
                <w:szCs w:val="16"/>
              </w:rPr>
            </w:pPr>
            <w:proofErr w:type="spellStart"/>
            <w:r w:rsidRPr="00D14CD7">
              <w:rPr>
                <w:rFonts w:eastAsia="Times New Roman"/>
                <w:color w:val="000000" w:themeColor="text1"/>
                <w:sz w:val="16"/>
              </w:rPr>
              <w:t>na</w:t>
            </w:r>
            <w:proofErr w:type="spellEnd"/>
          </w:p>
        </w:tc>
        <w:tc>
          <w:tcPr>
            <w:tcW w:w="146" w:type="pct"/>
            <w:tcBorders>
              <w:top w:val="single" w:sz="4" w:space="0" w:color="auto"/>
              <w:bottom w:val="single" w:sz="8" w:space="0" w:color="auto"/>
              <w:right w:val="double" w:sz="4" w:space="0" w:color="auto"/>
            </w:tcBorders>
            <w:shd w:val="clear" w:color="auto" w:fill="auto"/>
            <w:noWrap/>
            <w:vAlign w:val="center"/>
            <w:hideMark/>
          </w:tcPr>
          <w:p w14:paraId="1D09D0B6" w14:textId="77777777" w:rsidR="00BE151D" w:rsidRPr="00D14CD7" w:rsidRDefault="00BE151D" w:rsidP="00567BE9">
            <w:pPr>
              <w:spacing w:after="0" w:line="240" w:lineRule="auto"/>
              <w:jc w:val="right"/>
              <w:rPr>
                <w:rFonts w:eastAsia="Times New Roman"/>
                <w:color w:val="000000" w:themeColor="text1"/>
                <w:sz w:val="16"/>
                <w:szCs w:val="16"/>
              </w:rPr>
            </w:pPr>
            <w:proofErr w:type="spellStart"/>
            <w:r w:rsidRPr="00D14CD7">
              <w:rPr>
                <w:rFonts w:eastAsia="Times New Roman"/>
                <w:color w:val="000000" w:themeColor="text1"/>
                <w:sz w:val="16"/>
              </w:rPr>
              <w:t>na</w:t>
            </w:r>
            <w:proofErr w:type="spellEnd"/>
          </w:p>
        </w:tc>
        <w:tc>
          <w:tcPr>
            <w:tcW w:w="184" w:type="pct"/>
            <w:tcBorders>
              <w:left w:val="double" w:sz="4" w:space="0" w:color="auto"/>
              <w:bottom w:val="single" w:sz="8" w:space="0" w:color="auto"/>
            </w:tcBorders>
            <w:shd w:val="clear" w:color="auto" w:fill="auto"/>
            <w:noWrap/>
            <w:vAlign w:val="center"/>
            <w:hideMark/>
          </w:tcPr>
          <w:p w14:paraId="1C988E8A" w14:textId="77777777" w:rsidR="00BE151D" w:rsidRPr="00D14CD7" w:rsidRDefault="00BE151D" w:rsidP="00567BE9">
            <w:pPr>
              <w:spacing w:after="0" w:line="240" w:lineRule="auto"/>
              <w:jc w:val="right"/>
              <w:rPr>
                <w:rFonts w:eastAsia="Times New Roman"/>
                <w:color w:val="000000" w:themeColor="text1"/>
                <w:sz w:val="16"/>
                <w:szCs w:val="16"/>
              </w:rPr>
            </w:pPr>
            <w:r w:rsidRPr="00D14CD7">
              <w:rPr>
                <w:rFonts w:eastAsia="Times New Roman"/>
                <w:color w:val="000000" w:themeColor="text1"/>
                <w:sz w:val="16"/>
              </w:rPr>
              <w:t>—</w:t>
            </w:r>
          </w:p>
        </w:tc>
        <w:tc>
          <w:tcPr>
            <w:tcW w:w="184" w:type="pct"/>
            <w:tcBorders>
              <w:top w:val="single" w:sz="4" w:space="0" w:color="auto"/>
              <w:bottom w:val="single" w:sz="8" w:space="0" w:color="auto"/>
              <w:right w:val="single" w:sz="8" w:space="0" w:color="auto"/>
            </w:tcBorders>
            <w:shd w:val="clear" w:color="auto" w:fill="auto"/>
            <w:noWrap/>
            <w:vAlign w:val="center"/>
            <w:hideMark/>
          </w:tcPr>
          <w:p w14:paraId="23A1155B" w14:textId="77777777" w:rsidR="00BE151D" w:rsidRPr="00D14CD7" w:rsidRDefault="00BE151D" w:rsidP="00567BE9">
            <w:pPr>
              <w:spacing w:after="0" w:line="240" w:lineRule="auto"/>
              <w:jc w:val="right"/>
              <w:rPr>
                <w:rFonts w:eastAsia="Times New Roman"/>
                <w:color w:val="000000" w:themeColor="text1"/>
                <w:sz w:val="16"/>
                <w:szCs w:val="16"/>
              </w:rPr>
            </w:pPr>
            <w:r w:rsidRPr="00D14CD7">
              <w:rPr>
                <w:rFonts w:eastAsia="Times New Roman"/>
                <w:color w:val="000000" w:themeColor="text1"/>
                <w:sz w:val="16"/>
              </w:rPr>
              <w:t>—</w:t>
            </w:r>
          </w:p>
        </w:tc>
        <w:tc>
          <w:tcPr>
            <w:tcW w:w="184" w:type="pct"/>
            <w:tcBorders>
              <w:top w:val="single" w:sz="4" w:space="0" w:color="auto"/>
              <w:left w:val="single" w:sz="8" w:space="0" w:color="auto"/>
              <w:bottom w:val="single" w:sz="8" w:space="0" w:color="auto"/>
            </w:tcBorders>
            <w:shd w:val="clear" w:color="auto" w:fill="auto"/>
            <w:noWrap/>
            <w:vAlign w:val="center"/>
            <w:hideMark/>
          </w:tcPr>
          <w:p w14:paraId="75BD1A00" w14:textId="77777777" w:rsidR="00BE151D" w:rsidRPr="00D14CD7" w:rsidRDefault="00BE151D" w:rsidP="00567BE9">
            <w:pPr>
              <w:spacing w:after="0" w:line="240" w:lineRule="auto"/>
              <w:jc w:val="right"/>
              <w:rPr>
                <w:rFonts w:eastAsia="Times New Roman"/>
                <w:color w:val="000000" w:themeColor="text1"/>
                <w:sz w:val="16"/>
                <w:szCs w:val="16"/>
              </w:rPr>
            </w:pPr>
            <w:r w:rsidRPr="00D14CD7">
              <w:rPr>
                <w:rFonts w:eastAsia="Times New Roman"/>
                <w:color w:val="000000" w:themeColor="text1"/>
                <w:sz w:val="16"/>
              </w:rPr>
              <w:t>—</w:t>
            </w:r>
          </w:p>
        </w:tc>
        <w:tc>
          <w:tcPr>
            <w:tcW w:w="185" w:type="pct"/>
            <w:tcBorders>
              <w:top w:val="single" w:sz="4" w:space="0" w:color="auto"/>
              <w:bottom w:val="single" w:sz="8" w:space="0" w:color="auto"/>
              <w:right w:val="single" w:sz="8" w:space="0" w:color="auto"/>
            </w:tcBorders>
            <w:shd w:val="clear" w:color="auto" w:fill="auto"/>
            <w:noWrap/>
            <w:vAlign w:val="center"/>
            <w:hideMark/>
          </w:tcPr>
          <w:p w14:paraId="729B58F3" w14:textId="77777777" w:rsidR="00BE151D" w:rsidRPr="00D14CD7" w:rsidRDefault="00BE151D" w:rsidP="00567BE9">
            <w:pPr>
              <w:spacing w:after="0" w:line="240" w:lineRule="auto"/>
              <w:jc w:val="right"/>
              <w:rPr>
                <w:rFonts w:eastAsia="Times New Roman"/>
                <w:color w:val="000000" w:themeColor="text1"/>
                <w:sz w:val="16"/>
                <w:szCs w:val="16"/>
              </w:rPr>
            </w:pPr>
            <w:r w:rsidRPr="00D14CD7">
              <w:rPr>
                <w:rFonts w:eastAsia="Times New Roman"/>
                <w:color w:val="000000" w:themeColor="text1"/>
                <w:sz w:val="16"/>
              </w:rPr>
              <w:t>—</w:t>
            </w:r>
          </w:p>
        </w:tc>
        <w:tc>
          <w:tcPr>
            <w:tcW w:w="185" w:type="pct"/>
            <w:tcBorders>
              <w:top w:val="single" w:sz="4" w:space="0" w:color="auto"/>
              <w:left w:val="single" w:sz="8" w:space="0" w:color="auto"/>
              <w:bottom w:val="single" w:sz="8" w:space="0" w:color="auto"/>
            </w:tcBorders>
            <w:shd w:val="clear" w:color="auto" w:fill="auto"/>
            <w:noWrap/>
            <w:vAlign w:val="bottom"/>
          </w:tcPr>
          <w:p w14:paraId="4CB0524B" w14:textId="77777777" w:rsidR="00BE151D" w:rsidRPr="00D14CD7" w:rsidRDefault="00BE151D" w:rsidP="00567BE9">
            <w:pPr>
              <w:spacing w:after="0" w:line="240" w:lineRule="auto"/>
              <w:jc w:val="right"/>
              <w:rPr>
                <w:rFonts w:eastAsia="Times New Roman"/>
                <w:color w:val="000000" w:themeColor="text1"/>
                <w:sz w:val="16"/>
                <w:szCs w:val="16"/>
              </w:rPr>
            </w:pPr>
            <w:r w:rsidRPr="00D14CD7">
              <w:rPr>
                <w:color w:val="000000" w:themeColor="text1"/>
                <w:sz w:val="16"/>
                <w:szCs w:val="16"/>
              </w:rPr>
              <w:t>1.046</w:t>
            </w:r>
          </w:p>
        </w:tc>
        <w:tc>
          <w:tcPr>
            <w:tcW w:w="185" w:type="pct"/>
            <w:tcBorders>
              <w:top w:val="single" w:sz="4" w:space="0" w:color="auto"/>
              <w:bottom w:val="single" w:sz="8" w:space="0" w:color="auto"/>
              <w:right w:val="single" w:sz="8" w:space="0" w:color="auto"/>
            </w:tcBorders>
            <w:shd w:val="clear" w:color="auto" w:fill="auto"/>
            <w:noWrap/>
            <w:vAlign w:val="bottom"/>
          </w:tcPr>
          <w:p w14:paraId="2351F65E" w14:textId="77777777" w:rsidR="00BE151D" w:rsidRPr="00D14CD7" w:rsidRDefault="00BE151D" w:rsidP="00567BE9">
            <w:pPr>
              <w:spacing w:after="0" w:line="240" w:lineRule="auto"/>
              <w:jc w:val="right"/>
              <w:rPr>
                <w:rFonts w:eastAsia="Times New Roman"/>
                <w:color w:val="000000" w:themeColor="text1"/>
                <w:sz w:val="16"/>
                <w:szCs w:val="16"/>
              </w:rPr>
            </w:pPr>
            <w:r w:rsidRPr="00D14CD7">
              <w:rPr>
                <w:color w:val="000000" w:themeColor="text1"/>
                <w:sz w:val="16"/>
                <w:szCs w:val="16"/>
              </w:rPr>
              <w:t>2.63</w:t>
            </w:r>
          </w:p>
        </w:tc>
        <w:tc>
          <w:tcPr>
            <w:tcW w:w="156" w:type="pct"/>
            <w:tcBorders>
              <w:left w:val="single" w:sz="8" w:space="0" w:color="auto"/>
              <w:bottom w:val="single" w:sz="8" w:space="0" w:color="auto"/>
            </w:tcBorders>
            <w:shd w:val="clear" w:color="auto" w:fill="auto"/>
            <w:noWrap/>
            <w:vAlign w:val="center"/>
            <w:hideMark/>
          </w:tcPr>
          <w:p w14:paraId="1A6535F0" w14:textId="77777777" w:rsidR="00BE151D" w:rsidRPr="00D14CD7" w:rsidRDefault="00BE151D" w:rsidP="00567BE9">
            <w:pPr>
              <w:spacing w:after="0" w:line="240" w:lineRule="auto"/>
              <w:jc w:val="right"/>
              <w:rPr>
                <w:rFonts w:eastAsia="Times New Roman"/>
                <w:color w:val="000000" w:themeColor="text1"/>
                <w:sz w:val="16"/>
                <w:szCs w:val="16"/>
              </w:rPr>
            </w:pPr>
            <w:proofErr w:type="spellStart"/>
            <w:r w:rsidRPr="00D14CD7">
              <w:rPr>
                <w:rFonts w:eastAsia="Times New Roman"/>
                <w:color w:val="000000" w:themeColor="text1"/>
                <w:sz w:val="16"/>
              </w:rPr>
              <w:t>na</w:t>
            </w:r>
            <w:proofErr w:type="spellEnd"/>
          </w:p>
        </w:tc>
        <w:tc>
          <w:tcPr>
            <w:tcW w:w="157" w:type="pct"/>
            <w:tcBorders>
              <w:bottom w:val="single" w:sz="8" w:space="0" w:color="auto"/>
              <w:right w:val="double" w:sz="4" w:space="0" w:color="auto"/>
            </w:tcBorders>
            <w:shd w:val="clear" w:color="auto" w:fill="auto"/>
            <w:noWrap/>
            <w:vAlign w:val="center"/>
            <w:hideMark/>
          </w:tcPr>
          <w:p w14:paraId="37D2FE19" w14:textId="77777777" w:rsidR="00BE151D" w:rsidRPr="00D14CD7" w:rsidRDefault="00BE151D" w:rsidP="00567BE9">
            <w:pPr>
              <w:spacing w:after="0" w:line="240" w:lineRule="auto"/>
              <w:jc w:val="right"/>
              <w:rPr>
                <w:rFonts w:eastAsia="Times New Roman"/>
                <w:color w:val="000000" w:themeColor="text1"/>
                <w:sz w:val="16"/>
                <w:szCs w:val="16"/>
              </w:rPr>
            </w:pPr>
            <w:proofErr w:type="spellStart"/>
            <w:r w:rsidRPr="00D14CD7">
              <w:rPr>
                <w:rFonts w:eastAsia="Times New Roman"/>
                <w:color w:val="000000" w:themeColor="text1"/>
                <w:sz w:val="16"/>
              </w:rPr>
              <w:t>na</w:t>
            </w:r>
            <w:proofErr w:type="spellEnd"/>
          </w:p>
        </w:tc>
        <w:tc>
          <w:tcPr>
            <w:tcW w:w="187" w:type="pct"/>
            <w:tcBorders>
              <w:top w:val="single" w:sz="4" w:space="0" w:color="auto"/>
              <w:left w:val="double" w:sz="4" w:space="0" w:color="auto"/>
              <w:bottom w:val="single" w:sz="8" w:space="0" w:color="auto"/>
            </w:tcBorders>
            <w:shd w:val="clear" w:color="auto" w:fill="auto"/>
            <w:noWrap/>
            <w:vAlign w:val="center"/>
            <w:hideMark/>
          </w:tcPr>
          <w:p w14:paraId="346ACA9E" w14:textId="77777777" w:rsidR="00BE151D" w:rsidRPr="00D14CD7" w:rsidRDefault="00BE151D" w:rsidP="00567BE9">
            <w:pPr>
              <w:spacing w:after="0" w:line="240" w:lineRule="auto"/>
              <w:jc w:val="right"/>
              <w:rPr>
                <w:rFonts w:eastAsia="Times New Roman"/>
                <w:color w:val="000000" w:themeColor="text1"/>
                <w:sz w:val="16"/>
                <w:szCs w:val="16"/>
              </w:rPr>
            </w:pPr>
            <w:r w:rsidRPr="00D14CD7">
              <w:rPr>
                <w:rFonts w:eastAsia="Times New Roman"/>
                <w:color w:val="000000" w:themeColor="text1"/>
                <w:sz w:val="16"/>
              </w:rPr>
              <w:t>—</w:t>
            </w:r>
          </w:p>
        </w:tc>
        <w:tc>
          <w:tcPr>
            <w:tcW w:w="183" w:type="pct"/>
            <w:tcBorders>
              <w:top w:val="single" w:sz="4" w:space="0" w:color="auto"/>
              <w:bottom w:val="single" w:sz="8" w:space="0" w:color="auto"/>
            </w:tcBorders>
            <w:shd w:val="clear" w:color="auto" w:fill="auto"/>
            <w:noWrap/>
            <w:vAlign w:val="center"/>
            <w:hideMark/>
          </w:tcPr>
          <w:p w14:paraId="7FEBD873" w14:textId="77777777" w:rsidR="00BE151D" w:rsidRPr="00D14CD7" w:rsidRDefault="00BE151D" w:rsidP="00567BE9">
            <w:pPr>
              <w:spacing w:after="0" w:line="240" w:lineRule="auto"/>
              <w:jc w:val="right"/>
              <w:rPr>
                <w:rFonts w:eastAsia="Times New Roman"/>
                <w:color w:val="000000" w:themeColor="text1"/>
                <w:sz w:val="16"/>
                <w:szCs w:val="16"/>
              </w:rPr>
            </w:pPr>
            <w:r w:rsidRPr="00D14CD7">
              <w:rPr>
                <w:rFonts w:eastAsia="Times New Roman"/>
                <w:color w:val="000000" w:themeColor="text1"/>
                <w:sz w:val="16"/>
              </w:rPr>
              <w:t>—</w:t>
            </w:r>
          </w:p>
        </w:tc>
      </w:tr>
      <w:tr w:rsidR="00D14CD7" w:rsidRPr="00D14CD7" w14:paraId="5A87041D" w14:textId="77777777" w:rsidTr="00567BE9">
        <w:trPr>
          <w:trHeight w:val="72"/>
        </w:trPr>
        <w:tc>
          <w:tcPr>
            <w:tcW w:w="5000" w:type="pct"/>
            <w:gridSpan w:val="19"/>
            <w:tcBorders>
              <w:top w:val="single" w:sz="8" w:space="0" w:color="auto"/>
              <w:bottom w:val="single" w:sz="4" w:space="0" w:color="auto"/>
            </w:tcBorders>
            <w:shd w:val="clear" w:color="auto" w:fill="auto"/>
            <w:noWrap/>
            <w:vAlign w:val="center"/>
            <w:hideMark/>
          </w:tcPr>
          <w:p w14:paraId="29270F69" w14:textId="77777777" w:rsidR="00BE151D" w:rsidRPr="00D14CD7" w:rsidRDefault="00BE151D" w:rsidP="00567BE9">
            <w:pPr>
              <w:spacing w:after="0" w:line="240" w:lineRule="auto"/>
              <w:rPr>
                <w:rFonts w:eastAsia="Times New Roman"/>
                <w:color w:val="000000" w:themeColor="text1"/>
                <w:sz w:val="20"/>
                <w:szCs w:val="20"/>
              </w:rPr>
            </w:pPr>
            <w:r w:rsidRPr="00D14CD7">
              <w:rPr>
                <w:rFonts w:eastAsia="Times New Roman"/>
                <w:b/>
                <w:bCs/>
                <w:i/>
                <w:iCs/>
                <w:color w:val="000000" w:themeColor="text1"/>
                <w:sz w:val="16"/>
                <w:szCs w:val="16"/>
              </w:rPr>
              <w:t>Race (base: White)</w:t>
            </w:r>
            <w:r w:rsidRPr="00D14CD7">
              <w:rPr>
                <w:rFonts w:eastAsia="Times New Roman"/>
                <w:color w:val="000000" w:themeColor="text1"/>
                <w:sz w:val="16"/>
                <w:szCs w:val="16"/>
              </w:rPr>
              <w:t> </w:t>
            </w:r>
          </w:p>
        </w:tc>
      </w:tr>
      <w:tr w:rsidR="00D14CD7" w:rsidRPr="00D14CD7" w14:paraId="0D9E1A6F" w14:textId="77777777" w:rsidTr="00567BE9">
        <w:trPr>
          <w:trHeight w:val="72"/>
        </w:trPr>
        <w:tc>
          <w:tcPr>
            <w:tcW w:w="1709" w:type="pct"/>
            <w:tcBorders>
              <w:top w:val="single" w:sz="4" w:space="0" w:color="auto"/>
              <w:bottom w:val="single" w:sz="4" w:space="0" w:color="auto"/>
              <w:right w:val="double" w:sz="4" w:space="0" w:color="auto"/>
            </w:tcBorders>
            <w:shd w:val="clear" w:color="auto" w:fill="auto"/>
            <w:noWrap/>
            <w:vAlign w:val="center"/>
            <w:hideMark/>
          </w:tcPr>
          <w:p w14:paraId="08B5A5A1" w14:textId="77777777" w:rsidR="00BE151D" w:rsidRPr="00D14CD7" w:rsidRDefault="00BE151D" w:rsidP="00567BE9">
            <w:pPr>
              <w:spacing w:after="0" w:line="240" w:lineRule="auto"/>
              <w:ind w:firstLine="140"/>
              <w:rPr>
                <w:rFonts w:eastAsia="Times New Roman"/>
                <w:color w:val="000000" w:themeColor="text1"/>
                <w:sz w:val="16"/>
                <w:szCs w:val="16"/>
              </w:rPr>
            </w:pPr>
            <w:r w:rsidRPr="00D14CD7">
              <w:rPr>
                <w:rFonts w:eastAsia="Times New Roman"/>
                <w:color w:val="000000" w:themeColor="text1"/>
                <w:sz w:val="16"/>
              </w:rPr>
              <w:t>Not White</w:t>
            </w:r>
          </w:p>
        </w:tc>
        <w:tc>
          <w:tcPr>
            <w:tcW w:w="227" w:type="pct"/>
            <w:tcBorders>
              <w:top w:val="single" w:sz="4" w:space="0" w:color="auto"/>
              <w:left w:val="double" w:sz="4" w:space="0" w:color="auto"/>
              <w:bottom w:val="single" w:sz="4" w:space="0" w:color="auto"/>
            </w:tcBorders>
            <w:shd w:val="clear" w:color="auto" w:fill="auto"/>
            <w:noWrap/>
            <w:vAlign w:val="center"/>
            <w:hideMark/>
          </w:tcPr>
          <w:p w14:paraId="3B9FC3D7" w14:textId="77777777" w:rsidR="00BE151D" w:rsidRPr="00D14CD7" w:rsidRDefault="00BE151D" w:rsidP="00567BE9">
            <w:pPr>
              <w:spacing w:after="0" w:line="240" w:lineRule="auto"/>
              <w:jc w:val="right"/>
              <w:rPr>
                <w:rFonts w:eastAsia="Times New Roman"/>
                <w:color w:val="000000" w:themeColor="text1"/>
                <w:sz w:val="16"/>
                <w:szCs w:val="16"/>
              </w:rPr>
            </w:pPr>
            <w:r w:rsidRPr="00D14CD7">
              <w:rPr>
                <w:rFonts w:eastAsia="Times New Roman"/>
                <w:color w:val="000000" w:themeColor="text1"/>
                <w:sz w:val="16"/>
              </w:rPr>
              <w:t>—</w:t>
            </w:r>
          </w:p>
        </w:tc>
        <w:tc>
          <w:tcPr>
            <w:tcW w:w="199" w:type="pct"/>
            <w:tcBorders>
              <w:top w:val="single" w:sz="4" w:space="0" w:color="auto"/>
              <w:bottom w:val="single" w:sz="4" w:space="0" w:color="auto"/>
              <w:right w:val="single" w:sz="8" w:space="0" w:color="auto"/>
            </w:tcBorders>
            <w:shd w:val="clear" w:color="auto" w:fill="auto"/>
            <w:noWrap/>
            <w:vAlign w:val="center"/>
            <w:hideMark/>
          </w:tcPr>
          <w:p w14:paraId="7B28EB57" w14:textId="77777777" w:rsidR="00BE151D" w:rsidRPr="00D14CD7" w:rsidRDefault="00BE151D" w:rsidP="00567BE9">
            <w:pPr>
              <w:spacing w:after="0" w:line="240" w:lineRule="auto"/>
              <w:jc w:val="right"/>
              <w:rPr>
                <w:rFonts w:eastAsia="Times New Roman"/>
                <w:color w:val="000000" w:themeColor="text1"/>
                <w:sz w:val="16"/>
                <w:szCs w:val="16"/>
              </w:rPr>
            </w:pPr>
            <w:r w:rsidRPr="00D14CD7">
              <w:rPr>
                <w:rFonts w:eastAsia="Times New Roman"/>
                <w:color w:val="000000" w:themeColor="text1"/>
                <w:sz w:val="16"/>
              </w:rPr>
              <w:t>—</w:t>
            </w:r>
          </w:p>
        </w:tc>
        <w:tc>
          <w:tcPr>
            <w:tcW w:w="184" w:type="pct"/>
            <w:tcBorders>
              <w:top w:val="single" w:sz="4" w:space="0" w:color="auto"/>
              <w:left w:val="single" w:sz="8" w:space="0" w:color="auto"/>
              <w:bottom w:val="single" w:sz="4" w:space="0" w:color="auto"/>
            </w:tcBorders>
            <w:shd w:val="clear" w:color="auto" w:fill="auto"/>
            <w:noWrap/>
            <w:vAlign w:val="center"/>
            <w:hideMark/>
          </w:tcPr>
          <w:p w14:paraId="6BD95972" w14:textId="77777777" w:rsidR="00BE151D" w:rsidRPr="00D14CD7" w:rsidRDefault="00BE151D" w:rsidP="00567BE9">
            <w:pPr>
              <w:spacing w:after="0" w:line="240" w:lineRule="auto"/>
              <w:jc w:val="right"/>
              <w:rPr>
                <w:rFonts w:eastAsia="Times New Roman"/>
                <w:color w:val="000000" w:themeColor="text1"/>
                <w:sz w:val="16"/>
                <w:szCs w:val="16"/>
              </w:rPr>
            </w:pPr>
            <w:r w:rsidRPr="00D14CD7">
              <w:rPr>
                <w:rFonts w:eastAsia="Times New Roman"/>
                <w:color w:val="000000" w:themeColor="text1"/>
                <w:sz w:val="16"/>
              </w:rPr>
              <w:t>—</w:t>
            </w:r>
          </w:p>
        </w:tc>
        <w:tc>
          <w:tcPr>
            <w:tcW w:w="185" w:type="pct"/>
            <w:tcBorders>
              <w:top w:val="single" w:sz="4" w:space="0" w:color="auto"/>
              <w:bottom w:val="single" w:sz="4" w:space="0" w:color="auto"/>
              <w:right w:val="single" w:sz="8" w:space="0" w:color="auto"/>
            </w:tcBorders>
            <w:shd w:val="clear" w:color="auto" w:fill="auto"/>
            <w:noWrap/>
            <w:vAlign w:val="center"/>
            <w:hideMark/>
          </w:tcPr>
          <w:p w14:paraId="0C495989" w14:textId="77777777" w:rsidR="00BE151D" w:rsidRPr="00D14CD7" w:rsidRDefault="00BE151D" w:rsidP="00567BE9">
            <w:pPr>
              <w:spacing w:after="0" w:line="240" w:lineRule="auto"/>
              <w:jc w:val="right"/>
              <w:rPr>
                <w:rFonts w:eastAsia="Times New Roman"/>
                <w:color w:val="000000" w:themeColor="text1"/>
                <w:sz w:val="16"/>
                <w:szCs w:val="16"/>
              </w:rPr>
            </w:pPr>
            <w:r w:rsidRPr="00D14CD7">
              <w:rPr>
                <w:rFonts w:eastAsia="Times New Roman"/>
                <w:color w:val="000000" w:themeColor="text1"/>
                <w:sz w:val="16"/>
              </w:rPr>
              <w:t>—</w:t>
            </w:r>
          </w:p>
        </w:tc>
        <w:tc>
          <w:tcPr>
            <w:tcW w:w="184" w:type="pct"/>
            <w:tcBorders>
              <w:top w:val="single" w:sz="4" w:space="0" w:color="auto"/>
              <w:left w:val="single" w:sz="8" w:space="0" w:color="auto"/>
              <w:bottom w:val="single" w:sz="4" w:space="0" w:color="auto"/>
            </w:tcBorders>
            <w:shd w:val="clear" w:color="auto" w:fill="auto"/>
            <w:noWrap/>
            <w:vAlign w:val="bottom"/>
          </w:tcPr>
          <w:p w14:paraId="74FC9EA1" w14:textId="77777777" w:rsidR="00BE151D" w:rsidRPr="00D14CD7" w:rsidRDefault="00BE151D" w:rsidP="00567BE9">
            <w:pPr>
              <w:spacing w:after="0" w:line="240" w:lineRule="auto"/>
              <w:jc w:val="right"/>
              <w:rPr>
                <w:rFonts w:eastAsia="Times New Roman"/>
                <w:color w:val="000000" w:themeColor="text1"/>
                <w:sz w:val="16"/>
                <w:szCs w:val="16"/>
              </w:rPr>
            </w:pPr>
            <w:r w:rsidRPr="00D14CD7">
              <w:rPr>
                <w:color w:val="000000" w:themeColor="text1"/>
                <w:sz w:val="16"/>
                <w:szCs w:val="16"/>
              </w:rPr>
              <w:t>-0.623</w:t>
            </w:r>
          </w:p>
        </w:tc>
        <w:tc>
          <w:tcPr>
            <w:tcW w:w="188" w:type="pct"/>
            <w:tcBorders>
              <w:top w:val="single" w:sz="4" w:space="0" w:color="auto"/>
              <w:bottom w:val="single" w:sz="4" w:space="0" w:color="auto"/>
              <w:right w:val="single" w:sz="8" w:space="0" w:color="auto"/>
            </w:tcBorders>
            <w:shd w:val="clear" w:color="auto" w:fill="auto"/>
            <w:noWrap/>
            <w:vAlign w:val="bottom"/>
          </w:tcPr>
          <w:p w14:paraId="1A5E79BB" w14:textId="77777777" w:rsidR="00BE151D" w:rsidRPr="00D14CD7" w:rsidRDefault="00BE151D" w:rsidP="00567BE9">
            <w:pPr>
              <w:spacing w:after="0" w:line="240" w:lineRule="auto"/>
              <w:jc w:val="right"/>
              <w:rPr>
                <w:rFonts w:eastAsia="Times New Roman"/>
                <w:color w:val="000000" w:themeColor="text1"/>
                <w:sz w:val="16"/>
                <w:szCs w:val="16"/>
              </w:rPr>
            </w:pPr>
            <w:r w:rsidRPr="00D14CD7">
              <w:rPr>
                <w:color w:val="000000" w:themeColor="text1"/>
                <w:sz w:val="16"/>
                <w:szCs w:val="16"/>
              </w:rPr>
              <w:t>-1.09</w:t>
            </w:r>
          </w:p>
        </w:tc>
        <w:tc>
          <w:tcPr>
            <w:tcW w:w="188" w:type="pct"/>
            <w:tcBorders>
              <w:top w:val="single" w:sz="4" w:space="0" w:color="auto"/>
              <w:left w:val="single" w:sz="8" w:space="0" w:color="auto"/>
              <w:bottom w:val="single" w:sz="4" w:space="0" w:color="auto"/>
            </w:tcBorders>
            <w:shd w:val="clear" w:color="auto" w:fill="auto"/>
            <w:noWrap/>
            <w:vAlign w:val="center"/>
            <w:hideMark/>
          </w:tcPr>
          <w:p w14:paraId="3570BC7F" w14:textId="77777777" w:rsidR="00BE151D" w:rsidRPr="00D14CD7" w:rsidRDefault="00BE151D" w:rsidP="00567BE9">
            <w:pPr>
              <w:spacing w:after="0" w:line="240" w:lineRule="auto"/>
              <w:jc w:val="right"/>
              <w:rPr>
                <w:rFonts w:eastAsia="Times New Roman"/>
                <w:color w:val="000000" w:themeColor="text1"/>
                <w:sz w:val="16"/>
                <w:szCs w:val="16"/>
              </w:rPr>
            </w:pPr>
            <w:proofErr w:type="spellStart"/>
            <w:r w:rsidRPr="00D14CD7">
              <w:rPr>
                <w:rFonts w:eastAsia="Times New Roman"/>
                <w:color w:val="000000" w:themeColor="text1"/>
                <w:sz w:val="16"/>
              </w:rPr>
              <w:t>na</w:t>
            </w:r>
            <w:proofErr w:type="spellEnd"/>
          </w:p>
        </w:tc>
        <w:tc>
          <w:tcPr>
            <w:tcW w:w="146" w:type="pct"/>
            <w:tcBorders>
              <w:top w:val="single" w:sz="4" w:space="0" w:color="auto"/>
              <w:bottom w:val="single" w:sz="4" w:space="0" w:color="auto"/>
              <w:right w:val="double" w:sz="4" w:space="0" w:color="auto"/>
            </w:tcBorders>
            <w:shd w:val="clear" w:color="auto" w:fill="auto"/>
            <w:noWrap/>
            <w:vAlign w:val="center"/>
            <w:hideMark/>
          </w:tcPr>
          <w:p w14:paraId="40FC2B81" w14:textId="77777777" w:rsidR="00BE151D" w:rsidRPr="00D14CD7" w:rsidRDefault="00BE151D" w:rsidP="00567BE9">
            <w:pPr>
              <w:spacing w:after="0" w:line="240" w:lineRule="auto"/>
              <w:jc w:val="right"/>
              <w:rPr>
                <w:rFonts w:eastAsia="Times New Roman"/>
                <w:color w:val="000000" w:themeColor="text1"/>
                <w:sz w:val="16"/>
                <w:szCs w:val="16"/>
              </w:rPr>
            </w:pPr>
            <w:proofErr w:type="spellStart"/>
            <w:r w:rsidRPr="00D14CD7">
              <w:rPr>
                <w:rFonts w:eastAsia="Times New Roman"/>
                <w:color w:val="000000" w:themeColor="text1"/>
                <w:sz w:val="16"/>
              </w:rPr>
              <w:t>na</w:t>
            </w:r>
            <w:proofErr w:type="spellEnd"/>
          </w:p>
        </w:tc>
        <w:tc>
          <w:tcPr>
            <w:tcW w:w="184" w:type="pct"/>
            <w:tcBorders>
              <w:left w:val="double" w:sz="4" w:space="0" w:color="auto"/>
            </w:tcBorders>
            <w:shd w:val="clear" w:color="auto" w:fill="auto"/>
            <w:noWrap/>
            <w:vAlign w:val="center"/>
            <w:hideMark/>
          </w:tcPr>
          <w:p w14:paraId="251DC5C3" w14:textId="77777777" w:rsidR="00BE151D" w:rsidRPr="00D14CD7" w:rsidRDefault="00BE151D" w:rsidP="00567BE9">
            <w:pPr>
              <w:spacing w:after="0" w:line="240" w:lineRule="auto"/>
              <w:jc w:val="right"/>
              <w:rPr>
                <w:rFonts w:eastAsia="Times New Roman"/>
                <w:color w:val="000000" w:themeColor="text1"/>
                <w:sz w:val="16"/>
                <w:szCs w:val="16"/>
              </w:rPr>
            </w:pPr>
            <w:r w:rsidRPr="00D14CD7">
              <w:rPr>
                <w:rFonts w:eastAsia="Times New Roman"/>
                <w:color w:val="000000" w:themeColor="text1"/>
                <w:sz w:val="16"/>
              </w:rPr>
              <w:t>—</w:t>
            </w:r>
          </w:p>
        </w:tc>
        <w:tc>
          <w:tcPr>
            <w:tcW w:w="184" w:type="pct"/>
            <w:tcBorders>
              <w:top w:val="single" w:sz="4" w:space="0" w:color="auto"/>
              <w:bottom w:val="single" w:sz="4" w:space="0" w:color="auto"/>
              <w:right w:val="single" w:sz="8" w:space="0" w:color="auto"/>
            </w:tcBorders>
            <w:shd w:val="clear" w:color="auto" w:fill="auto"/>
            <w:noWrap/>
            <w:vAlign w:val="center"/>
            <w:hideMark/>
          </w:tcPr>
          <w:p w14:paraId="023891C6" w14:textId="77777777" w:rsidR="00BE151D" w:rsidRPr="00D14CD7" w:rsidRDefault="00BE151D" w:rsidP="00567BE9">
            <w:pPr>
              <w:spacing w:after="0" w:line="240" w:lineRule="auto"/>
              <w:jc w:val="right"/>
              <w:rPr>
                <w:rFonts w:eastAsia="Times New Roman"/>
                <w:color w:val="000000" w:themeColor="text1"/>
                <w:sz w:val="16"/>
                <w:szCs w:val="16"/>
              </w:rPr>
            </w:pPr>
            <w:r w:rsidRPr="00D14CD7">
              <w:rPr>
                <w:rFonts w:eastAsia="Times New Roman"/>
                <w:color w:val="000000" w:themeColor="text1"/>
                <w:sz w:val="16"/>
              </w:rPr>
              <w:t>—</w:t>
            </w:r>
          </w:p>
        </w:tc>
        <w:tc>
          <w:tcPr>
            <w:tcW w:w="184" w:type="pct"/>
            <w:tcBorders>
              <w:top w:val="single" w:sz="4" w:space="0" w:color="auto"/>
              <w:left w:val="single" w:sz="8" w:space="0" w:color="auto"/>
              <w:bottom w:val="single" w:sz="4" w:space="0" w:color="auto"/>
            </w:tcBorders>
            <w:shd w:val="clear" w:color="auto" w:fill="auto"/>
            <w:noWrap/>
            <w:vAlign w:val="center"/>
            <w:hideMark/>
          </w:tcPr>
          <w:p w14:paraId="4F3D1ACB" w14:textId="77777777" w:rsidR="00BE151D" w:rsidRPr="00D14CD7" w:rsidRDefault="00BE151D" w:rsidP="00567BE9">
            <w:pPr>
              <w:spacing w:after="0" w:line="240" w:lineRule="auto"/>
              <w:jc w:val="right"/>
              <w:rPr>
                <w:rFonts w:eastAsia="Times New Roman"/>
                <w:color w:val="000000" w:themeColor="text1"/>
                <w:sz w:val="16"/>
                <w:szCs w:val="16"/>
              </w:rPr>
            </w:pPr>
            <w:r w:rsidRPr="00D14CD7">
              <w:rPr>
                <w:rFonts w:eastAsia="Times New Roman"/>
                <w:color w:val="000000" w:themeColor="text1"/>
                <w:sz w:val="16"/>
              </w:rPr>
              <w:t>—</w:t>
            </w:r>
          </w:p>
        </w:tc>
        <w:tc>
          <w:tcPr>
            <w:tcW w:w="185" w:type="pct"/>
            <w:tcBorders>
              <w:top w:val="single" w:sz="4" w:space="0" w:color="auto"/>
              <w:bottom w:val="single" w:sz="4" w:space="0" w:color="auto"/>
              <w:right w:val="single" w:sz="8" w:space="0" w:color="auto"/>
            </w:tcBorders>
            <w:shd w:val="clear" w:color="auto" w:fill="auto"/>
            <w:noWrap/>
            <w:vAlign w:val="center"/>
            <w:hideMark/>
          </w:tcPr>
          <w:p w14:paraId="7639AA9F" w14:textId="77777777" w:rsidR="00BE151D" w:rsidRPr="00D14CD7" w:rsidRDefault="00BE151D" w:rsidP="00567BE9">
            <w:pPr>
              <w:spacing w:after="0" w:line="240" w:lineRule="auto"/>
              <w:jc w:val="right"/>
              <w:rPr>
                <w:rFonts w:eastAsia="Times New Roman"/>
                <w:color w:val="000000" w:themeColor="text1"/>
                <w:sz w:val="16"/>
                <w:szCs w:val="16"/>
              </w:rPr>
            </w:pPr>
            <w:r w:rsidRPr="00D14CD7">
              <w:rPr>
                <w:rFonts w:eastAsia="Times New Roman"/>
                <w:color w:val="000000" w:themeColor="text1"/>
                <w:sz w:val="16"/>
              </w:rPr>
              <w:t>—</w:t>
            </w:r>
          </w:p>
        </w:tc>
        <w:tc>
          <w:tcPr>
            <w:tcW w:w="185" w:type="pct"/>
            <w:tcBorders>
              <w:left w:val="single" w:sz="8" w:space="0" w:color="auto"/>
            </w:tcBorders>
            <w:shd w:val="clear" w:color="auto" w:fill="auto"/>
            <w:noWrap/>
            <w:vAlign w:val="center"/>
            <w:hideMark/>
          </w:tcPr>
          <w:p w14:paraId="1D53948B" w14:textId="77777777" w:rsidR="00BE151D" w:rsidRPr="00D14CD7" w:rsidRDefault="00BE151D" w:rsidP="00567BE9">
            <w:pPr>
              <w:spacing w:after="0" w:line="240" w:lineRule="auto"/>
              <w:jc w:val="right"/>
              <w:rPr>
                <w:rFonts w:eastAsia="Times New Roman"/>
                <w:color w:val="000000" w:themeColor="text1"/>
                <w:sz w:val="16"/>
                <w:szCs w:val="16"/>
              </w:rPr>
            </w:pPr>
            <w:r w:rsidRPr="00D14CD7">
              <w:rPr>
                <w:rFonts w:eastAsia="Times New Roman"/>
                <w:color w:val="000000" w:themeColor="text1"/>
                <w:sz w:val="16"/>
              </w:rPr>
              <w:t>—</w:t>
            </w:r>
          </w:p>
        </w:tc>
        <w:tc>
          <w:tcPr>
            <w:tcW w:w="185" w:type="pct"/>
            <w:tcBorders>
              <w:top w:val="single" w:sz="4" w:space="0" w:color="auto"/>
              <w:bottom w:val="single" w:sz="4" w:space="0" w:color="auto"/>
              <w:right w:val="single" w:sz="8" w:space="0" w:color="auto"/>
            </w:tcBorders>
            <w:shd w:val="clear" w:color="auto" w:fill="auto"/>
            <w:noWrap/>
            <w:vAlign w:val="center"/>
            <w:hideMark/>
          </w:tcPr>
          <w:p w14:paraId="2A7658DC" w14:textId="77777777" w:rsidR="00BE151D" w:rsidRPr="00D14CD7" w:rsidRDefault="00BE151D" w:rsidP="00567BE9">
            <w:pPr>
              <w:spacing w:after="0" w:line="240" w:lineRule="auto"/>
              <w:jc w:val="right"/>
              <w:rPr>
                <w:rFonts w:eastAsia="Times New Roman"/>
                <w:color w:val="000000" w:themeColor="text1"/>
                <w:sz w:val="16"/>
                <w:szCs w:val="16"/>
              </w:rPr>
            </w:pPr>
            <w:r w:rsidRPr="00D14CD7">
              <w:rPr>
                <w:rFonts w:eastAsia="Times New Roman"/>
                <w:color w:val="000000" w:themeColor="text1"/>
                <w:sz w:val="16"/>
              </w:rPr>
              <w:t>—</w:t>
            </w:r>
          </w:p>
        </w:tc>
        <w:tc>
          <w:tcPr>
            <w:tcW w:w="156" w:type="pct"/>
            <w:tcBorders>
              <w:left w:val="single" w:sz="8" w:space="0" w:color="auto"/>
            </w:tcBorders>
            <w:shd w:val="clear" w:color="auto" w:fill="auto"/>
            <w:noWrap/>
            <w:vAlign w:val="center"/>
            <w:hideMark/>
          </w:tcPr>
          <w:p w14:paraId="193BCAE3" w14:textId="77777777" w:rsidR="00BE151D" w:rsidRPr="00D14CD7" w:rsidRDefault="00BE151D" w:rsidP="00567BE9">
            <w:pPr>
              <w:spacing w:after="0" w:line="240" w:lineRule="auto"/>
              <w:jc w:val="right"/>
              <w:rPr>
                <w:rFonts w:eastAsia="Times New Roman"/>
                <w:color w:val="000000" w:themeColor="text1"/>
                <w:sz w:val="16"/>
                <w:szCs w:val="16"/>
              </w:rPr>
            </w:pPr>
            <w:r w:rsidRPr="00D14CD7">
              <w:rPr>
                <w:rFonts w:eastAsia="Times New Roman"/>
                <w:color w:val="000000" w:themeColor="text1"/>
                <w:sz w:val="16"/>
              </w:rPr>
              <w:t>—</w:t>
            </w:r>
          </w:p>
        </w:tc>
        <w:tc>
          <w:tcPr>
            <w:tcW w:w="157" w:type="pct"/>
            <w:tcBorders>
              <w:right w:val="double" w:sz="4" w:space="0" w:color="auto"/>
            </w:tcBorders>
            <w:shd w:val="clear" w:color="auto" w:fill="auto"/>
            <w:noWrap/>
            <w:vAlign w:val="center"/>
            <w:hideMark/>
          </w:tcPr>
          <w:p w14:paraId="25E32D93" w14:textId="77777777" w:rsidR="00BE151D" w:rsidRPr="00D14CD7" w:rsidRDefault="00BE151D" w:rsidP="00567BE9">
            <w:pPr>
              <w:spacing w:after="0" w:line="240" w:lineRule="auto"/>
              <w:jc w:val="right"/>
              <w:rPr>
                <w:rFonts w:eastAsia="Times New Roman"/>
                <w:color w:val="000000" w:themeColor="text1"/>
                <w:sz w:val="16"/>
                <w:szCs w:val="16"/>
              </w:rPr>
            </w:pPr>
            <w:r w:rsidRPr="00D14CD7">
              <w:rPr>
                <w:rFonts w:eastAsia="Times New Roman"/>
                <w:color w:val="000000" w:themeColor="text1"/>
                <w:sz w:val="16"/>
              </w:rPr>
              <w:t>—</w:t>
            </w:r>
          </w:p>
        </w:tc>
        <w:tc>
          <w:tcPr>
            <w:tcW w:w="187" w:type="pct"/>
            <w:tcBorders>
              <w:top w:val="single" w:sz="4" w:space="0" w:color="auto"/>
              <w:left w:val="double" w:sz="4" w:space="0" w:color="auto"/>
              <w:bottom w:val="single" w:sz="4" w:space="0" w:color="auto"/>
            </w:tcBorders>
            <w:shd w:val="clear" w:color="auto" w:fill="auto"/>
            <w:noWrap/>
            <w:vAlign w:val="bottom"/>
          </w:tcPr>
          <w:p w14:paraId="17582258" w14:textId="77777777" w:rsidR="00BE151D" w:rsidRPr="00D14CD7" w:rsidRDefault="00BE151D" w:rsidP="00567BE9">
            <w:pPr>
              <w:spacing w:after="0" w:line="240" w:lineRule="auto"/>
              <w:jc w:val="right"/>
              <w:rPr>
                <w:rFonts w:eastAsia="Times New Roman"/>
                <w:color w:val="000000" w:themeColor="text1"/>
                <w:sz w:val="16"/>
                <w:szCs w:val="16"/>
              </w:rPr>
            </w:pPr>
            <w:r w:rsidRPr="00D14CD7">
              <w:rPr>
                <w:color w:val="000000" w:themeColor="text1"/>
                <w:sz w:val="16"/>
                <w:szCs w:val="16"/>
              </w:rPr>
              <w:t>-0.199</w:t>
            </w:r>
          </w:p>
        </w:tc>
        <w:tc>
          <w:tcPr>
            <w:tcW w:w="183" w:type="pct"/>
            <w:tcBorders>
              <w:top w:val="single" w:sz="4" w:space="0" w:color="auto"/>
              <w:bottom w:val="single" w:sz="4" w:space="0" w:color="auto"/>
            </w:tcBorders>
            <w:shd w:val="clear" w:color="auto" w:fill="auto"/>
            <w:noWrap/>
            <w:vAlign w:val="bottom"/>
          </w:tcPr>
          <w:p w14:paraId="2B2A3774" w14:textId="77777777" w:rsidR="00BE151D" w:rsidRPr="00D14CD7" w:rsidRDefault="00BE151D" w:rsidP="00567BE9">
            <w:pPr>
              <w:spacing w:after="0" w:line="240" w:lineRule="auto"/>
              <w:jc w:val="right"/>
              <w:rPr>
                <w:rFonts w:eastAsia="Times New Roman"/>
                <w:color w:val="000000" w:themeColor="text1"/>
                <w:sz w:val="16"/>
                <w:szCs w:val="16"/>
              </w:rPr>
            </w:pPr>
            <w:r w:rsidRPr="00D14CD7">
              <w:rPr>
                <w:color w:val="000000" w:themeColor="text1"/>
                <w:sz w:val="16"/>
                <w:szCs w:val="16"/>
              </w:rPr>
              <w:t>-2.52</w:t>
            </w:r>
          </w:p>
        </w:tc>
      </w:tr>
      <w:tr w:rsidR="00D14CD7" w:rsidRPr="00D14CD7" w14:paraId="6926841C" w14:textId="77777777" w:rsidTr="00567BE9">
        <w:trPr>
          <w:trHeight w:val="72"/>
        </w:trPr>
        <w:tc>
          <w:tcPr>
            <w:tcW w:w="1709" w:type="pct"/>
            <w:tcBorders>
              <w:top w:val="single" w:sz="4" w:space="0" w:color="auto"/>
              <w:bottom w:val="single" w:sz="8" w:space="0" w:color="auto"/>
              <w:right w:val="double" w:sz="4" w:space="0" w:color="auto"/>
            </w:tcBorders>
            <w:shd w:val="clear" w:color="auto" w:fill="auto"/>
            <w:noWrap/>
            <w:vAlign w:val="center"/>
            <w:hideMark/>
          </w:tcPr>
          <w:p w14:paraId="0568DE22" w14:textId="378CBD67" w:rsidR="00BE151D" w:rsidRPr="00D14CD7" w:rsidRDefault="00BE151D" w:rsidP="00567BE9">
            <w:pPr>
              <w:spacing w:after="0" w:line="240" w:lineRule="auto"/>
              <w:ind w:firstLine="140"/>
              <w:rPr>
                <w:rFonts w:eastAsia="Times New Roman"/>
                <w:color w:val="000000" w:themeColor="text1"/>
                <w:sz w:val="16"/>
                <w:szCs w:val="16"/>
              </w:rPr>
            </w:pPr>
            <w:r w:rsidRPr="00D14CD7">
              <w:rPr>
                <w:rFonts w:eastAsia="Times New Roman"/>
                <w:color w:val="000000" w:themeColor="text1"/>
                <w:sz w:val="16"/>
              </w:rPr>
              <w:t xml:space="preserve">Not White </w:t>
            </w:r>
            <w:r w:rsidR="00306BFA">
              <w:rPr>
                <w:rFonts w:eastAsia="Times New Roman"/>
                <w:color w:val="000000" w:themeColor="text1"/>
                <w:sz w:val="16"/>
              </w:rPr>
              <w:t>×</w:t>
            </w:r>
            <w:r w:rsidRPr="00D14CD7">
              <w:rPr>
                <w:rFonts w:eastAsia="Times New Roman"/>
                <w:color w:val="000000" w:themeColor="text1"/>
                <w:sz w:val="16"/>
              </w:rPr>
              <w:t xml:space="preserve"> (Walkability Index/100)</w:t>
            </w:r>
          </w:p>
        </w:tc>
        <w:tc>
          <w:tcPr>
            <w:tcW w:w="227" w:type="pct"/>
            <w:tcBorders>
              <w:top w:val="single" w:sz="4" w:space="0" w:color="auto"/>
              <w:left w:val="double" w:sz="4" w:space="0" w:color="auto"/>
              <w:bottom w:val="single" w:sz="8" w:space="0" w:color="auto"/>
            </w:tcBorders>
            <w:shd w:val="clear" w:color="auto" w:fill="auto"/>
            <w:noWrap/>
            <w:vAlign w:val="center"/>
            <w:hideMark/>
          </w:tcPr>
          <w:p w14:paraId="231E6E9C" w14:textId="77777777" w:rsidR="00BE151D" w:rsidRPr="00D14CD7" w:rsidRDefault="00BE151D" w:rsidP="00567BE9">
            <w:pPr>
              <w:spacing w:after="0" w:line="240" w:lineRule="auto"/>
              <w:jc w:val="right"/>
              <w:rPr>
                <w:rFonts w:eastAsia="Times New Roman"/>
                <w:color w:val="000000" w:themeColor="text1"/>
                <w:sz w:val="16"/>
                <w:szCs w:val="16"/>
              </w:rPr>
            </w:pPr>
            <w:r w:rsidRPr="00D14CD7">
              <w:rPr>
                <w:rFonts w:eastAsia="Times New Roman"/>
                <w:color w:val="000000" w:themeColor="text1"/>
                <w:sz w:val="16"/>
              </w:rPr>
              <w:t>—</w:t>
            </w:r>
          </w:p>
        </w:tc>
        <w:tc>
          <w:tcPr>
            <w:tcW w:w="199" w:type="pct"/>
            <w:tcBorders>
              <w:top w:val="single" w:sz="4" w:space="0" w:color="auto"/>
              <w:bottom w:val="single" w:sz="8" w:space="0" w:color="auto"/>
              <w:right w:val="single" w:sz="8" w:space="0" w:color="auto"/>
            </w:tcBorders>
            <w:shd w:val="clear" w:color="auto" w:fill="auto"/>
            <w:noWrap/>
            <w:vAlign w:val="center"/>
            <w:hideMark/>
          </w:tcPr>
          <w:p w14:paraId="6186093F" w14:textId="77777777" w:rsidR="00BE151D" w:rsidRPr="00D14CD7" w:rsidRDefault="00BE151D" w:rsidP="00567BE9">
            <w:pPr>
              <w:spacing w:after="0" w:line="240" w:lineRule="auto"/>
              <w:jc w:val="right"/>
              <w:rPr>
                <w:rFonts w:eastAsia="Times New Roman"/>
                <w:color w:val="000000" w:themeColor="text1"/>
                <w:sz w:val="16"/>
                <w:szCs w:val="16"/>
              </w:rPr>
            </w:pPr>
            <w:r w:rsidRPr="00D14CD7">
              <w:rPr>
                <w:rFonts w:eastAsia="Times New Roman"/>
                <w:color w:val="000000" w:themeColor="text1"/>
                <w:sz w:val="16"/>
              </w:rPr>
              <w:t>—</w:t>
            </w:r>
          </w:p>
        </w:tc>
        <w:tc>
          <w:tcPr>
            <w:tcW w:w="184" w:type="pct"/>
            <w:tcBorders>
              <w:top w:val="single" w:sz="4" w:space="0" w:color="auto"/>
              <w:left w:val="single" w:sz="8" w:space="0" w:color="auto"/>
              <w:bottom w:val="single" w:sz="8" w:space="0" w:color="auto"/>
            </w:tcBorders>
            <w:shd w:val="clear" w:color="auto" w:fill="auto"/>
            <w:noWrap/>
            <w:vAlign w:val="center"/>
            <w:hideMark/>
          </w:tcPr>
          <w:p w14:paraId="6E1DA707" w14:textId="77777777" w:rsidR="00BE151D" w:rsidRPr="00D14CD7" w:rsidRDefault="00BE151D" w:rsidP="00567BE9">
            <w:pPr>
              <w:spacing w:after="0" w:line="240" w:lineRule="auto"/>
              <w:jc w:val="right"/>
              <w:rPr>
                <w:rFonts w:eastAsia="Times New Roman"/>
                <w:color w:val="000000" w:themeColor="text1"/>
                <w:sz w:val="16"/>
                <w:szCs w:val="16"/>
              </w:rPr>
            </w:pPr>
            <w:r w:rsidRPr="00D14CD7">
              <w:rPr>
                <w:rFonts w:eastAsia="Times New Roman"/>
                <w:color w:val="000000" w:themeColor="text1"/>
                <w:sz w:val="16"/>
              </w:rPr>
              <w:t>—</w:t>
            </w:r>
          </w:p>
        </w:tc>
        <w:tc>
          <w:tcPr>
            <w:tcW w:w="185" w:type="pct"/>
            <w:tcBorders>
              <w:top w:val="single" w:sz="4" w:space="0" w:color="auto"/>
              <w:bottom w:val="single" w:sz="8" w:space="0" w:color="auto"/>
              <w:right w:val="single" w:sz="8" w:space="0" w:color="auto"/>
            </w:tcBorders>
            <w:shd w:val="clear" w:color="auto" w:fill="auto"/>
            <w:noWrap/>
            <w:vAlign w:val="center"/>
            <w:hideMark/>
          </w:tcPr>
          <w:p w14:paraId="029D9C07" w14:textId="77777777" w:rsidR="00BE151D" w:rsidRPr="00D14CD7" w:rsidRDefault="00BE151D" w:rsidP="00567BE9">
            <w:pPr>
              <w:spacing w:after="0" w:line="240" w:lineRule="auto"/>
              <w:jc w:val="right"/>
              <w:rPr>
                <w:rFonts w:eastAsia="Times New Roman"/>
                <w:color w:val="000000" w:themeColor="text1"/>
                <w:sz w:val="16"/>
                <w:szCs w:val="16"/>
              </w:rPr>
            </w:pPr>
            <w:r w:rsidRPr="00D14CD7">
              <w:rPr>
                <w:rFonts w:eastAsia="Times New Roman"/>
                <w:color w:val="000000" w:themeColor="text1"/>
                <w:sz w:val="16"/>
              </w:rPr>
              <w:t>—</w:t>
            </w:r>
          </w:p>
        </w:tc>
        <w:tc>
          <w:tcPr>
            <w:tcW w:w="184" w:type="pct"/>
            <w:tcBorders>
              <w:top w:val="single" w:sz="4" w:space="0" w:color="auto"/>
              <w:left w:val="single" w:sz="8" w:space="0" w:color="auto"/>
              <w:bottom w:val="single" w:sz="8" w:space="0" w:color="auto"/>
            </w:tcBorders>
            <w:shd w:val="clear" w:color="auto" w:fill="auto"/>
            <w:noWrap/>
            <w:vAlign w:val="center"/>
          </w:tcPr>
          <w:p w14:paraId="73775BFB" w14:textId="77777777" w:rsidR="00BE151D" w:rsidRPr="00D14CD7" w:rsidRDefault="00BE151D" w:rsidP="00567BE9">
            <w:pPr>
              <w:spacing w:after="0" w:line="240" w:lineRule="auto"/>
              <w:jc w:val="right"/>
              <w:rPr>
                <w:rFonts w:eastAsia="Times New Roman"/>
                <w:color w:val="000000" w:themeColor="text1"/>
                <w:sz w:val="16"/>
                <w:szCs w:val="16"/>
              </w:rPr>
            </w:pPr>
            <w:r w:rsidRPr="00D14CD7">
              <w:rPr>
                <w:rFonts w:eastAsia="Times New Roman"/>
                <w:color w:val="000000" w:themeColor="text1"/>
                <w:sz w:val="16"/>
              </w:rPr>
              <w:t>—</w:t>
            </w:r>
          </w:p>
        </w:tc>
        <w:tc>
          <w:tcPr>
            <w:tcW w:w="188" w:type="pct"/>
            <w:tcBorders>
              <w:top w:val="single" w:sz="4" w:space="0" w:color="auto"/>
              <w:bottom w:val="single" w:sz="8" w:space="0" w:color="auto"/>
              <w:right w:val="single" w:sz="8" w:space="0" w:color="auto"/>
            </w:tcBorders>
            <w:shd w:val="clear" w:color="auto" w:fill="auto"/>
            <w:noWrap/>
            <w:vAlign w:val="center"/>
          </w:tcPr>
          <w:p w14:paraId="4510A92B" w14:textId="77777777" w:rsidR="00BE151D" w:rsidRPr="00D14CD7" w:rsidRDefault="00BE151D" w:rsidP="00567BE9">
            <w:pPr>
              <w:spacing w:after="0" w:line="240" w:lineRule="auto"/>
              <w:jc w:val="right"/>
              <w:rPr>
                <w:rFonts w:eastAsia="Times New Roman"/>
                <w:color w:val="000000" w:themeColor="text1"/>
                <w:sz w:val="16"/>
                <w:szCs w:val="16"/>
              </w:rPr>
            </w:pPr>
            <w:r w:rsidRPr="00D14CD7">
              <w:rPr>
                <w:rFonts w:eastAsia="Times New Roman"/>
                <w:color w:val="000000" w:themeColor="text1"/>
                <w:sz w:val="16"/>
              </w:rPr>
              <w:t>—</w:t>
            </w:r>
          </w:p>
        </w:tc>
        <w:tc>
          <w:tcPr>
            <w:tcW w:w="188" w:type="pct"/>
            <w:tcBorders>
              <w:top w:val="single" w:sz="4" w:space="0" w:color="auto"/>
              <w:left w:val="single" w:sz="8" w:space="0" w:color="auto"/>
              <w:bottom w:val="single" w:sz="8" w:space="0" w:color="auto"/>
            </w:tcBorders>
            <w:shd w:val="clear" w:color="auto" w:fill="auto"/>
            <w:noWrap/>
            <w:vAlign w:val="center"/>
            <w:hideMark/>
          </w:tcPr>
          <w:p w14:paraId="2B36A047" w14:textId="77777777" w:rsidR="00BE151D" w:rsidRPr="00D14CD7" w:rsidRDefault="00BE151D" w:rsidP="00567BE9">
            <w:pPr>
              <w:spacing w:after="0" w:line="240" w:lineRule="auto"/>
              <w:jc w:val="right"/>
              <w:rPr>
                <w:rFonts w:eastAsia="Times New Roman"/>
                <w:color w:val="000000" w:themeColor="text1"/>
                <w:sz w:val="16"/>
                <w:szCs w:val="16"/>
              </w:rPr>
            </w:pPr>
            <w:proofErr w:type="spellStart"/>
            <w:r w:rsidRPr="00D14CD7">
              <w:rPr>
                <w:rFonts w:eastAsia="Times New Roman"/>
                <w:color w:val="000000" w:themeColor="text1"/>
                <w:sz w:val="16"/>
              </w:rPr>
              <w:t>na</w:t>
            </w:r>
            <w:proofErr w:type="spellEnd"/>
          </w:p>
        </w:tc>
        <w:tc>
          <w:tcPr>
            <w:tcW w:w="146" w:type="pct"/>
            <w:tcBorders>
              <w:top w:val="single" w:sz="4" w:space="0" w:color="auto"/>
              <w:bottom w:val="single" w:sz="8" w:space="0" w:color="auto"/>
              <w:right w:val="double" w:sz="4" w:space="0" w:color="auto"/>
            </w:tcBorders>
            <w:shd w:val="clear" w:color="auto" w:fill="auto"/>
            <w:noWrap/>
            <w:vAlign w:val="center"/>
            <w:hideMark/>
          </w:tcPr>
          <w:p w14:paraId="69AF8C79" w14:textId="77777777" w:rsidR="00BE151D" w:rsidRPr="00D14CD7" w:rsidRDefault="00BE151D" w:rsidP="00567BE9">
            <w:pPr>
              <w:spacing w:after="0" w:line="240" w:lineRule="auto"/>
              <w:jc w:val="right"/>
              <w:rPr>
                <w:rFonts w:eastAsia="Times New Roman"/>
                <w:color w:val="000000" w:themeColor="text1"/>
                <w:sz w:val="16"/>
                <w:szCs w:val="16"/>
              </w:rPr>
            </w:pPr>
            <w:proofErr w:type="spellStart"/>
            <w:r w:rsidRPr="00D14CD7">
              <w:rPr>
                <w:rFonts w:eastAsia="Times New Roman"/>
                <w:color w:val="000000" w:themeColor="text1"/>
                <w:sz w:val="16"/>
              </w:rPr>
              <w:t>na</w:t>
            </w:r>
            <w:proofErr w:type="spellEnd"/>
          </w:p>
        </w:tc>
        <w:tc>
          <w:tcPr>
            <w:tcW w:w="184" w:type="pct"/>
            <w:tcBorders>
              <w:left w:val="double" w:sz="4" w:space="0" w:color="auto"/>
              <w:bottom w:val="single" w:sz="8" w:space="0" w:color="auto"/>
            </w:tcBorders>
            <w:shd w:val="clear" w:color="auto" w:fill="auto"/>
            <w:noWrap/>
            <w:vAlign w:val="center"/>
            <w:hideMark/>
          </w:tcPr>
          <w:p w14:paraId="0EACDF24" w14:textId="77777777" w:rsidR="00BE151D" w:rsidRPr="00D14CD7" w:rsidRDefault="00BE151D" w:rsidP="00567BE9">
            <w:pPr>
              <w:spacing w:after="0" w:line="240" w:lineRule="auto"/>
              <w:jc w:val="right"/>
              <w:rPr>
                <w:rFonts w:eastAsia="Times New Roman"/>
                <w:color w:val="000000" w:themeColor="text1"/>
                <w:sz w:val="16"/>
                <w:szCs w:val="16"/>
              </w:rPr>
            </w:pPr>
            <w:r w:rsidRPr="00D14CD7">
              <w:rPr>
                <w:rFonts w:eastAsia="Times New Roman"/>
                <w:color w:val="000000" w:themeColor="text1"/>
                <w:sz w:val="16"/>
              </w:rPr>
              <w:t>—</w:t>
            </w:r>
          </w:p>
        </w:tc>
        <w:tc>
          <w:tcPr>
            <w:tcW w:w="184" w:type="pct"/>
            <w:tcBorders>
              <w:top w:val="single" w:sz="4" w:space="0" w:color="auto"/>
              <w:bottom w:val="single" w:sz="8" w:space="0" w:color="auto"/>
              <w:right w:val="single" w:sz="8" w:space="0" w:color="auto"/>
            </w:tcBorders>
            <w:shd w:val="clear" w:color="auto" w:fill="auto"/>
            <w:noWrap/>
            <w:vAlign w:val="center"/>
            <w:hideMark/>
          </w:tcPr>
          <w:p w14:paraId="18F9321C" w14:textId="77777777" w:rsidR="00BE151D" w:rsidRPr="00D14CD7" w:rsidRDefault="00BE151D" w:rsidP="00567BE9">
            <w:pPr>
              <w:spacing w:after="0" w:line="240" w:lineRule="auto"/>
              <w:jc w:val="right"/>
              <w:rPr>
                <w:rFonts w:eastAsia="Times New Roman"/>
                <w:color w:val="000000" w:themeColor="text1"/>
                <w:sz w:val="16"/>
                <w:szCs w:val="16"/>
              </w:rPr>
            </w:pPr>
            <w:r w:rsidRPr="00D14CD7">
              <w:rPr>
                <w:rFonts w:eastAsia="Times New Roman"/>
                <w:color w:val="000000" w:themeColor="text1"/>
                <w:sz w:val="16"/>
              </w:rPr>
              <w:t>—</w:t>
            </w:r>
          </w:p>
        </w:tc>
        <w:tc>
          <w:tcPr>
            <w:tcW w:w="184" w:type="pct"/>
            <w:tcBorders>
              <w:top w:val="single" w:sz="4" w:space="0" w:color="auto"/>
              <w:left w:val="single" w:sz="8" w:space="0" w:color="auto"/>
              <w:bottom w:val="single" w:sz="8" w:space="0" w:color="auto"/>
            </w:tcBorders>
            <w:shd w:val="clear" w:color="auto" w:fill="auto"/>
            <w:noWrap/>
            <w:vAlign w:val="center"/>
            <w:hideMark/>
          </w:tcPr>
          <w:p w14:paraId="2B042155" w14:textId="77777777" w:rsidR="00BE151D" w:rsidRPr="00D14CD7" w:rsidRDefault="00BE151D" w:rsidP="00567BE9">
            <w:pPr>
              <w:spacing w:after="0" w:line="240" w:lineRule="auto"/>
              <w:jc w:val="right"/>
              <w:rPr>
                <w:rFonts w:eastAsia="Times New Roman"/>
                <w:color w:val="000000" w:themeColor="text1"/>
                <w:sz w:val="16"/>
                <w:szCs w:val="16"/>
              </w:rPr>
            </w:pPr>
            <w:r w:rsidRPr="00D14CD7">
              <w:rPr>
                <w:rFonts w:eastAsia="Times New Roman"/>
                <w:color w:val="000000" w:themeColor="text1"/>
                <w:sz w:val="16"/>
              </w:rPr>
              <w:t>—</w:t>
            </w:r>
          </w:p>
        </w:tc>
        <w:tc>
          <w:tcPr>
            <w:tcW w:w="185" w:type="pct"/>
            <w:tcBorders>
              <w:top w:val="single" w:sz="4" w:space="0" w:color="auto"/>
              <w:bottom w:val="single" w:sz="8" w:space="0" w:color="auto"/>
              <w:right w:val="single" w:sz="8" w:space="0" w:color="auto"/>
            </w:tcBorders>
            <w:shd w:val="clear" w:color="auto" w:fill="auto"/>
            <w:noWrap/>
            <w:vAlign w:val="center"/>
            <w:hideMark/>
          </w:tcPr>
          <w:p w14:paraId="587F8674" w14:textId="77777777" w:rsidR="00BE151D" w:rsidRPr="00D14CD7" w:rsidRDefault="00BE151D" w:rsidP="00567BE9">
            <w:pPr>
              <w:spacing w:after="0" w:line="240" w:lineRule="auto"/>
              <w:jc w:val="right"/>
              <w:rPr>
                <w:rFonts w:eastAsia="Times New Roman"/>
                <w:color w:val="000000" w:themeColor="text1"/>
                <w:sz w:val="16"/>
                <w:szCs w:val="16"/>
              </w:rPr>
            </w:pPr>
            <w:r w:rsidRPr="00D14CD7">
              <w:rPr>
                <w:rFonts w:eastAsia="Times New Roman"/>
                <w:color w:val="000000" w:themeColor="text1"/>
                <w:sz w:val="16"/>
              </w:rPr>
              <w:t>—</w:t>
            </w:r>
          </w:p>
        </w:tc>
        <w:tc>
          <w:tcPr>
            <w:tcW w:w="185" w:type="pct"/>
            <w:tcBorders>
              <w:left w:val="single" w:sz="8" w:space="0" w:color="auto"/>
              <w:bottom w:val="single" w:sz="8" w:space="0" w:color="auto"/>
            </w:tcBorders>
            <w:shd w:val="clear" w:color="auto" w:fill="auto"/>
            <w:noWrap/>
            <w:vAlign w:val="center"/>
            <w:hideMark/>
          </w:tcPr>
          <w:p w14:paraId="2F560268" w14:textId="77777777" w:rsidR="00BE151D" w:rsidRPr="00D14CD7" w:rsidRDefault="00BE151D" w:rsidP="00567BE9">
            <w:pPr>
              <w:spacing w:after="0" w:line="240" w:lineRule="auto"/>
              <w:jc w:val="right"/>
              <w:rPr>
                <w:rFonts w:eastAsia="Times New Roman"/>
                <w:color w:val="000000" w:themeColor="text1"/>
                <w:sz w:val="16"/>
                <w:szCs w:val="16"/>
              </w:rPr>
            </w:pPr>
            <w:r w:rsidRPr="00D14CD7">
              <w:rPr>
                <w:rFonts w:eastAsia="Times New Roman"/>
                <w:color w:val="000000" w:themeColor="text1"/>
                <w:sz w:val="16"/>
              </w:rPr>
              <w:t>—</w:t>
            </w:r>
          </w:p>
        </w:tc>
        <w:tc>
          <w:tcPr>
            <w:tcW w:w="185" w:type="pct"/>
            <w:tcBorders>
              <w:top w:val="single" w:sz="4" w:space="0" w:color="auto"/>
              <w:bottom w:val="single" w:sz="8" w:space="0" w:color="auto"/>
              <w:right w:val="single" w:sz="8" w:space="0" w:color="auto"/>
            </w:tcBorders>
            <w:shd w:val="clear" w:color="auto" w:fill="auto"/>
            <w:noWrap/>
            <w:vAlign w:val="center"/>
            <w:hideMark/>
          </w:tcPr>
          <w:p w14:paraId="11A729B3" w14:textId="77777777" w:rsidR="00BE151D" w:rsidRPr="00D14CD7" w:rsidRDefault="00BE151D" w:rsidP="00567BE9">
            <w:pPr>
              <w:spacing w:after="0" w:line="240" w:lineRule="auto"/>
              <w:jc w:val="right"/>
              <w:rPr>
                <w:rFonts w:eastAsia="Times New Roman"/>
                <w:color w:val="000000" w:themeColor="text1"/>
                <w:sz w:val="16"/>
                <w:szCs w:val="16"/>
              </w:rPr>
            </w:pPr>
            <w:r w:rsidRPr="00D14CD7">
              <w:rPr>
                <w:rFonts w:eastAsia="Times New Roman"/>
                <w:color w:val="000000" w:themeColor="text1"/>
                <w:sz w:val="16"/>
              </w:rPr>
              <w:t>—</w:t>
            </w:r>
          </w:p>
        </w:tc>
        <w:tc>
          <w:tcPr>
            <w:tcW w:w="156" w:type="pct"/>
            <w:tcBorders>
              <w:left w:val="single" w:sz="8" w:space="0" w:color="auto"/>
              <w:bottom w:val="single" w:sz="8" w:space="0" w:color="auto"/>
            </w:tcBorders>
            <w:shd w:val="clear" w:color="auto" w:fill="auto"/>
            <w:noWrap/>
            <w:vAlign w:val="center"/>
            <w:hideMark/>
          </w:tcPr>
          <w:p w14:paraId="54F76A4E" w14:textId="77777777" w:rsidR="00BE151D" w:rsidRPr="00D14CD7" w:rsidRDefault="00BE151D" w:rsidP="00567BE9">
            <w:pPr>
              <w:spacing w:after="0" w:line="240" w:lineRule="auto"/>
              <w:jc w:val="right"/>
              <w:rPr>
                <w:rFonts w:eastAsia="Times New Roman"/>
                <w:color w:val="000000" w:themeColor="text1"/>
                <w:sz w:val="16"/>
                <w:szCs w:val="16"/>
              </w:rPr>
            </w:pPr>
            <w:proofErr w:type="spellStart"/>
            <w:r w:rsidRPr="00D14CD7">
              <w:rPr>
                <w:rFonts w:eastAsia="Times New Roman"/>
                <w:color w:val="000000" w:themeColor="text1"/>
                <w:sz w:val="16"/>
              </w:rPr>
              <w:t>na</w:t>
            </w:r>
            <w:proofErr w:type="spellEnd"/>
          </w:p>
        </w:tc>
        <w:tc>
          <w:tcPr>
            <w:tcW w:w="157" w:type="pct"/>
            <w:tcBorders>
              <w:bottom w:val="single" w:sz="8" w:space="0" w:color="auto"/>
              <w:right w:val="double" w:sz="4" w:space="0" w:color="auto"/>
            </w:tcBorders>
            <w:shd w:val="clear" w:color="auto" w:fill="auto"/>
            <w:noWrap/>
            <w:vAlign w:val="center"/>
            <w:hideMark/>
          </w:tcPr>
          <w:p w14:paraId="32B6079B" w14:textId="77777777" w:rsidR="00BE151D" w:rsidRPr="00D14CD7" w:rsidRDefault="00BE151D" w:rsidP="00567BE9">
            <w:pPr>
              <w:spacing w:after="0" w:line="240" w:lineRule="auto"/>
              <w:jc w:val="right"/>
              <w:rPr>
                <w:rFonts w:eastAsia="Times New Roman"/>
                <w:color w:val="000000" w:themeColor="text1"/>
                <w:sz w:val="16"/>
                <w:szCs w:val="16"/>
              </w:rPr>
            </w:pPr>
            <w:proofErr w:type="spellStart"/>
            <w:r w:rsidRPr="00D14CD7">
              <w:rPr>
                <w:rFonts w:eastAsia="Times New Roman"/>
                <w:color w:val="000000" w:themeColor="text1"/>
                <w:sz w:val="16"/>
              </w:rPr>
              <w:t>na</w:t>
            </w:r>
            <w:proofErr w:type="spellEnd"/>
          </w:p>
        </w:tc>
        <w:tc>
          <w:tcPr>
            <w:tcW w:w="187" w:type="pct"/>
            <w:tcBorders>
              <w:top w:val="single" w:sz="4" w:space="0" w:color="auto"/>
              <w:left w:val="double" w:sz="4" w:space="0" w:color="auto"/>
              <w:bottom w:val="single" w:sz="8" w:space="0" w:color="auto"/>
            </w:tcBorders>
            <w:shd w:val="clear" w:color="auto" w:fill="auto"/>
            <w:noWrap/>
            <w:vAlign w:val="center"/>
            <w:hideMark/>
          </w:tcPr>
          <w:p w14:paraId="0C4E93E9" w14:textId="77777777" w:rsidR="00BE151D" w:rsidRPr="00D14CD7" w:rsidRDefault="00BE151D" w:rsidP="00567BE9">
            <w:pPr>
              <w:spacing w:after="0" w:line="240" w:lineRule="auto"/>
              <w:jc w:val="right"/>
              <w:rPr>
                <w:rFonts w:eastAsia="Times New Roman"/>
                <w:color w:val="000000" w:themeColor="text1"/>
                <w:sz w:val="16"/>
                <w:szCs w:val="16"/>
              </w:rPr>
            </w:pPr>
            <w:r w:rsidRPr="00D14CD7">
              <w:rPr>
                <w:rFonts w:eastAsia="Times New Roman"/>
                <w:color w:val="000000" w:themeColor="text1"/>
                <w:sz w:val="16"/>
              </w:rPr>
              <w:t>—</w:t>
            </w:r>
          </w:p>
        </w:tc>
        <w:tc>
          <w:tcPr>
            <w:tcW w:w="183" w:type="pct"/>
            <w:tcBorders>
              <w:top w:val="single" w:sz="4" w:space="0" w:color="auto"/>
              <w:bottom w:val="single" w:sz="8" w:space="0" w:color="auto"/>
            </w:tcBorders>
            <w:shd w:val="clear" w:color="auto" w:fill="auto"/>
            <w:noWrap/>
            <w:vAlign w:val="center"/>
            <w:hideMark/>
          </w:tcPr>
          <w:p w14:paraId="3D8D19E0" w14:textId="77777777" w:rsidR="00BE151D" w:rsidRPr="00D14CD7" w:rsidRDefault="00BE151D" w:rsidP="00567BE9">
            <w:pPr>
              <w:spacing w:after="0" w:line="240" w:lineRule="auto"/>
              <w:jc w:val="right"/>
              <w:rPr>
                <w:rFonts w:eastAsia="Times New Roman"/>
                <w:color w:val="000000" w:themeColor="text1"/>
                <w:sz w:val="16"/>
                <w:szCs w:val="16"/>
              </w:rPr>
            </w:pPr>
            <w:r w:rsidRPr="00D14CD7">
              <w:rPr>
                <w:rFonts w:eastAsia="Times New Roman"/>
                <w:color w:val="000000" w:themeColor="text1"/>
                <w:sz w:val="16"/>
              </w:rPr>
              <w:t>—</w:t>
            </w:r>
          </w:p>
        </w:tc>
      </w:tr>
      <w:tr w:rsidR="00D14CD7" w:rsidRPr="00D14CD7" w14:paraId="740E555E" w14:textId="77777777" w:rsidTr="00567BE9">
        <w:trPr>
          <w:trHeight w:val="72"/>
        </w:trPr>
        <w:tc>
          <w:tcPr>
            <w:tcW w:w="5000" w:type="pct"/>
            <w:gridSpan w:val="19"/>
            <w:tcBorders>
              <w:top w:val="single" w:sz="8" w:space="0" w:color="auto"/>
              <w:bottom w:val="single" w:sz="4" w:space="0" w:color="auto"/>
            </w:tcBorders>
            <w:shd w:val="clear" w:color="auto" w:fill="auto"/>
            <w:noWrap/>
            <w:vAlign w:val="center"/>
            <w:hideMark/>
          </w:tcPr>
          <w:p w14:paraId="05A708EE" w14:textId="77777777" w:rsidR="00BE151D" w:rsidRPr="00D14CD7" w:rsidRDefault="00BE151D" w:rsidP="00567BE9">
            <w:pPr>
              <w:spacing w:after="0" w:line="240" w:lineRule="auto"/>
              <w:rPr>
                <w:rFonts w:eastAsia="Times New Roman"/>
                <w:color w:val="000000" w:themeColor="text1"/>
                <w:sz w:val="20"/>
                <w:szCs w:val="20"/>
              </w:rPr>
            </w:pPr>
            <w:r w:rsidRPr="00D14CD7">
              <w:rPr>
                <w:rFonts w:eastAsia="Times New Roman"/>
                <w:b/>
                <w:bCs/>
                <w:i/>
                <w:iCs/>
                <w:color w:val="000000" w:themeColor="text1"/>
                <w:sz w:val="16"/>
                <w:szCs w:val="16"/>
              </w:rPr>
              <w:t>Educational level (base: below graduate degree)</w:t>
            </w:r>
          </w:p>
        </w:tc>
      </w:tr>
      <w:tr w:rsidR="00D14CD7" w:rsidRPr="00D14CD7" w14:paraId="53855395" w14:textId="77777777" w:rsidTr="00567BE9">
        <w:trPr>
          <w:trHeight w:val="72"/>
        </w:trPr>
        <w:tc>
          <w:tcPr>
            <w:tcW w:w="1709" w:type="pct"/>
            <w:tcBorders>
              <w:top w:val="single" w:sz="4" w:space="0" w:color="auto"/>
              <w:bottom w:val="single" w:sz="8" w:space="0" w:color="auto"/>
              <w:right w:val="double" w:sz="4" w:space="0" w:color="auto"/>
            </w:tcBorders>
            <w:shd w:val="clear" w:color="auto" w:fill="auto"/>
            <w:noWrap/>
            <w:vAlign w:val="center"/>
            <w:hideMark/>
          </w:tcPr>
          <w:p w14:paraId="64EDFF37" w14:textId="77777777" w:rsidR="00BE151D" w:rsidRPr="00D14CD7" w:rsidRDefault="00BE151D" w:rsidP="00567BE9">
            <w:pPr>
              <w:spacing w:after="0" w:line="240" w:lineRule="auto"/>
              <w:ind w:firstLine="140"/>
              <w:rPr>
                <w:rFonts w:eastAsia="Times New Roman"/>
                <w:color w:val="000000" w:themeColor="text1"/>
                <w:sz w:val="16"/>
                <w:szCs w:val="16"/>
              </w:rPr>
            </w:pPr>
            <w:r w:rsidRPr="00D14CD7">
              <w:rPr>
                <w:rFonts w:eastAsia="Times New Roman"/>
                <w:color w:val="000000" w:themeColor="text1"/>
                <w:sz w:val="16"/>
              </w:rPr>
              <w:t>Graduate</w:t>
            </w:r>
          </w:p>
        </w:tc>
        <w:tc>
          <w:tcPr>
            <w:tcW w:w="227" w:type="pct"/>
            <w:tcBorders>
              <w:top w:val="single" w:sz="4" w:space="0" w:color="auto"/>
              <w:left w:val="double" w:sz="4" w:space="0" w:color="auto"/>
              <w:bottom w:val="single" w:sz="8" w:space="0" w:color="auto"/>
            </w:tcBorders>
            <w:shd w:val="clear" w:color="auto" w:fill="auto"/>
            <w:noWrap/>
            <w:vAlign w:val="center"/>
            <w:hideMark/>
          </w:tcPr>
          <w:p w14:paraId="1964DBCA" w14:textId="77777777" w:rsidR="00BE151D" w:rsidRPr="00D14CD7" w:rsidRDefault="00BE151D" w:rsidP="00567BE9">
            <w:pPr>
              <w:spacing w:after="0" w:line="240" w:lineRule="auto"/>
              <w:jc w:val="right"/>
              <w:rPr>
                <w:rFonts w:eastAsia="Times New Roman"/>
                <w:color w:val="000000" w:themeColor="text1"/>
                <w:sz w:val="16"/>
                <w:szCs w:val="16"/>
              </w:rPr>
            </w:pPr>
            <w:r w:rsidRPr="00D14CD7">
              <w:rPr>
                <w:rFonts w:eastAsia="Times New Roman"/>
                <w:color w:val="000000" w:themeColor="text1"/>
                <w:sz w:val="16"/>
              </w:rPr>
              <w:t>—</w:t>
            </w:r>
          </w:p>
        </w:tc>
        <w:tc>
          <w:tcPr>
            <w:tcW w:w="199" w:type="pct"/>
            <w:tcBorders>
              <w:top w:val="single" w:sz="4" w:space="0" w:color="auto"/>
              <w:bottom w:val="single" w:sz="8" w:space="0" w:color="auto"/>
              <w:right w:val="single" w:sz="8" w:space="0" w:color="auto"/>
            </w:tcBorders>
            <w:shd w:val="clear" w:color="auto" w:fill="auto"/>
            <w:noWrap/>
            <w:vAlign w:val="center"/>
            <w:hideMark/>
          </w:tcPr>
          <w:p w14:paraId="4D50A30F" w14:textId="77777777" w:rsidR="00BE151D" w:rsidRPr="00D14CD7" w:rsidRDefault="00BE151D" w:rsidP="00567BE9">
            <w:pPr>
              <w:spacing w:after="0" w:line="240" w:lineRule="auto"/>
              <w:jc w:val="right"/>
              <w:rPr>
                <w:rFonts w:eastAsia="Times New Roman"/>
                <w:color w:val="000000" w:themeColor="text1"/>
                <w:sz w:val="16"/>
                <w:szCs w:val="16"/>
              </w:rPr>
            </w:pPr>
            <w:r w:rsidRPr="00D14CD7">
              <w:rPr>
                <w:rFonts w:eastAsia="Times New Roman"/>
                <w:color w:val="000000" w:themeColor="text1"/>
                <w:sz w:val="16"/>
              </w:rPr>
              <w:t>—</w:t>
            </w:r>
          </w:p>
        </w:tc>
        <w:tc>
          <w:tcPr>
            <w:tcW w:w="184" w:type="pct"/>
            <w:tcBorders>
              <w:top w:val="single" w:sz="4" w:space="0" w:color="auto"/>
              <w:left w:val="single" w:sz="8" w:space="0" w:color="auto"/>
              <w:bottom w:val="single" w:sz="8" w:space="0" w:color="auto"/>
            </w:tcBorders>
            <w:shd w:val="clear" w:color="auto" w:fill="auto"/>
            <w:noWrap/>
            <w:vAlign w:val="center"/>
            <w:hideMark/>
          </w:tcPr>
          <w:p w14:paraId="298C45A6" w14:textId="77777777" w:rsidR="00BE151D" w:rsidRPr="00D14CD7" w:rsidRDefault="00BE151D" w:rsidP="00567BE9">
            <w:pPr>
              <w:spacing w:after="0" w:line="240" w:lineRule="auto"/>
              <w:jc w:val="right"/>
              <w:rPr>
                <w:rFonts w:eastAsia="Times New Roman"/>
                <w:color w:val="000000" w:themeColor="text1"/>
                <w:sz w:val="16"/>
                <w:szCs w:val="16"/>
              </w:rPr>
            </w:pPr>
            <w:r w:rsidRPr="00D14CD7">
              <w:rPr>
                <w:rFonts w:eastAsia="Times New Roman"/>
                <w:color w:val="000000" w:themeColor="text1"/>
                <w:sz w:val="16"/>
              </w:rPr>
              <w:t>—</w:t>
            </w:r>
          </w:p>
        </w:tc>
        <w:tc>
          <w:tcPr>
            <w:tcW w:w="185" w:type="pct"/>
            <w:tcBorders>
              <w:top w:val="single" w:sz="4" w:space="0" w:color="auto"/>
              <w:bottom w:val="single" w:sz="8" w:space="0" w:color="auto"/>
              <w:right w:val="single" w:sz="8" w:space="0" w:color="auto"/>
            </w:tcBorders>
            <w:shd w:val="clear" w:color="auto" w:fill="auto"/>
            <w:noWrap/>
            <w:vAlign w:val="center"/>
            <w:hideMark/>
          </w:tcPr>
          <w:p w14:paraId="0558CAEC" w14:textId="77777777" w:rsidR="00BE151D" w:rsidRPr="00D14CD7" w:rsidRDefault="00BE151D" w:rsidP="00567BE9">
            <w:pPr>
              <w:spacing w:after="0" w:line="240" w:lineRule="auto"/>
              <w:jc w:val="right"/>
              <w:rPr>
                <w:rFonts w:eastAsia="Times New Roman"/>
                <w:color w:val="000000" w:themeColor="text1"/>
                <w:sz w:val="16"/>
                <w:szCs w:val="16"/>
              </w:rPr>
            </w:pPr>
            <w:r w:rsidRPr="00D14CD7">
              <w:rPr>
                <w:rFonts w:eastAsia="Times New Roman"/>
                <w:color w:val="000000" w:themeColor="text1"/>
                <w:sz w:val="16"/>
              </w:rPr>
              <w:t>—</w:t>
            </w:r>
          </w:p>
        </w:tc>
        <w:tc>
          <w:tcPr>
            <w:tcW w:w="184" w:type="pct"/>
            <w:tcBorders>
              <w:top w:val="single" w:sz="4" w:space="0" w:color="auto"/>
              <w:left w:val="single" w:sz="8" w:space="0" w:color="auto"/>
              <w:bottom w:val="single" w:sz="8" w:space="0" w:color="auto"/>
            </w:tcBorders>
            <w:shd w:val="clear" w:color="auto" w:fill="auto"/>
            <w:noWrap/>
            <w:vAlign w:val="center"/>
            <w:hideMark/>
          </w:tcPr>
          <w:p w14:paraId="3A6D7C80" w14:textId="77777777" w:rsidR="00BE151D" w:rsidRPr="00D14CD7" w:rsidRDefault="00BE151D" w:rsidP="00567BE9">
            <w:pPr>
              <w:spacing w:after="0" w:line="240" w:lineRule="auto"/>
              <w:jc w:val="right"/>
              <w:rPr>
                <w:rFonts w:eastAsia="Times New Roman"/>
                <w:color w:val="000000" w:themeColor="text1"/>
                <w:sz w:val="16"/>
                <w:szCs w:val="16"/>
              </w:rPr>
            </w:pPr>
            <w:r w:rsidRPr="00D14CD7">
              <w:rPr>
                <w:rFonts w:eastAsia="Times New Roman"/>
                <w:color w:val="000000" w:themeColor="text1"/>
                <w:sz w:val="16"/>
              </w:rPr>
              <w:t>—</w:t>
            </w:r>
          </w:p>
        </w:tc>
        <w:tc>
          <w:tcPr>
            <w:tcW w:w="188" w:type="pct"/>
            <w:tcBorders>
              <w:top w:val="single" w:sz="4" w:space="0" w:color="auto"/>
              <w:bottom w:val="single" w:sz="8" w:space="0" w:color="auto"/>
              <w:right w:val="single" w:sz="8" w:space="0" w:color="auto"/>
            </w:tcBorders>
            <w:shd w:val="clear" w:color="auto" w:fill="auto"/>
            <w:noWrap/>
            <w:vAlign w:val="center"/>
            <w:hideMark/>
          </w:tcPr>
          <w:p w14:paraId="154E2041" w14:textId="77777777" w:rsidR="00BE151D" w:rsidRPr="00D14CD7" w:rsidRDefault="00BE151D" w:rsidP="00567BE9">
            <w:pPr>
              <w:spacing w:after="0" w:line="240" w:lineRule="auto"/>
              <w:jc w:val="right"/>
              <w:rPr>
                <w:rFonts w:eastAsia="Times New Roman"/>
                <w:color w:val="000000" w:themeColor="text1"/>
                <w:sz w:val="16"/>
                <w:szCs w:val="16"/>
              </w:rPr>
            </w:pPr>
            <w:r w:rsidRPr="00D14CD7">
              <w:rPr>
                <w:rFonts w:eastAsia="Times New Roman"/>
                <w:color w:val="000000" w:themeColor="text1"/>
                <w:sz w:val="16"/>
              </w:rPr>
              <w:t>—</w:t>
            </w:r>
          </w:p>
        </w:tc>
        <w:tc>
          <w:tcPr>
            <w:tcW w:w="188" w:type="pct"/>
            <w:tcBorders>
              <w:top w:val="single" w:sz="4" w:space="0" w:color="auto"/>
              <w:left w:val="single" w:sz="8" w:space="0" w:color="auto"/>
              <w:bottom w:val="single" w:sz="8" w:space="0" w:color="auto"/>
            </w:tcBorders>
            <w:shd w:val="clear" w:color="auto" w:fill="auto"/>
            <w:noWrap/>
            <w:vAlign w:val="center"/>
            <w:hideMark/>
          </w:tcPr>
          <w:p w14:paraId="71382AB6" w14:textId="77777777" w:rsidR="00BE151D" w:rsidRPr="00D14CD7" w:rsidRDefault="00BE151D" w:rsidP="00567BE9">
            <w:pPr>
              <w:spacing w:after="0" w:line="240" w:lineRule="auto"/>
              <w:jc w:val="right"/>
              <w:rPr>
                <w:rFonts w:eastAsia="Times New Roman"/>
                <w:color w:val="000000" w:themeColor="text1"/>
                <w:sz w:val="16"/>
                <w:szCs w:val="16"/>
              </w:rPr>
            </w:pPr>
            <w:proofErr w:type="spellStart"/>
            <w:r w:rsidRPr="00D14CD7">
              <w:rPr>
                <w:rFonts w:eastAsia="Times New Roman"/>
                <w:color w:val="000000" w:themeColor="text1"/>
                <w:sz w:val="16"/>
              </w:rPr>
              <w:t>na</w:t>
            </w:r>
            <w:proofErr w:type="spellEnd"/>
          </w:p>
        </w:tc>
        <w:tc>
          <w:tcPr>
            <w:tcW w:w="146" w:type="pct"/>
            <w:tcBorders>
              <w:top w:val="single" w:sz="4" w:space="0" w:color="auto"/>
              <w:bottom w:val="single" w:sz="8" w:space="0" w:color="auto"/>
              <w:right w:val="double" w:sz="4" w:space="0" w:color="auto"/>
            </w:tcBorders>
            <w:shd w:val="clear" w:color="auto" w:fill="auto"/>
            <w:noWrap/>
            <w:vAlign w:val="center"/>
            <w:hideMark/>
          </w:tcPr>
          <w:p w14:paraId="12CB84CD" w14:textId="77777777" w:rsidR="00BE151D" w:rsidRPr="00D14CD7" w:rsidRDefault="00BE151D" w:rsidP="00567BE9">
            <w:pPr>
              <w:spacing w:after="0" w:line="240" w:lineRule="auto"/>
              <w:jc w:val="right"/>
              <w:rPr>
                <w:rFonts w:eastAsia="Times New Roman"/>
                <w:color w:val="000000" w:themeColor="text1"/>
                <w:sz w:val="16"/>
                <w:szCs w:val="16"/>
              </w:rPr>
            </w:pPr>
            <w:proofErr w:type="spellStart"/>
            <w:r w:rsidRPr="00D14CD7">
              <w:rPr>
                <w:rFonts w:eastAsia="Times New Roman"/>
                <w:color w:val="000000" w:themeColor="text1"/>
                <w:sz w:val="16"/>
              </w:rPr>
              <w:t>na</w:t>
            </w:r>
            <w:proofErr w:type="spellEnd"/>
          </w:p>
        </w:tc>
        <w:tc>
          <w:tcPr>
            <w:tcW w:w="184" w:type="pct"/>
            <w:tcBorders>
              <w:left w:val="double" w:sz="4" w:space="0" w:color="auto"/>
              <w:bottom w:val="single" w:sz="8" w:space="0" w:color="auto"/>
            </w:tcBorders>
            <w:shd w:val="clear" w:color="auto" w:fill="auto"/>
            <w:noWrap/>
            <w:vAlign w:val="center"/>
            <w:hideMark/>
          </w:tcPr>
          <w:p w14:paraId="24B2698B" w14:textId="77777777" w:rsidR="00BE151D" w:rsidRPr="00D14CD7" w:rsidRDefault="00BE151D" w:rsidP="00567BE9">
            <w:pPr>
              <w:spacing w:after="0" w:line="240" w:lineRule="auto"/>
              <w:jc w:val="right"/>
              <w:rPr>
                <w:rFonts w:eastAsia="Times New Roman"/>
                <w:color w:val="000000" w:themeColor="text1"/>
                <w:sz w:val="16"/>
                <w:szCs w:val="16"/>
              </w:rPr>
            </w:pPr>
            <w:r w:rsidRPr="00D14CD7">
              <w:rPr>
                <w:rFonts w:eastAsia="Times New Roman"/>
                <w:color w:val="000000" w:themeColor="text1"/>
                <w:sz w:val="16"/>
              </w:rPr>
              <w:t>—</w:t>
            </w:r>
          </w:p>
        </w:tc>
        <w:tc>
          <w:tcPr>
            <w:tcW w:w="184" w:type="pct"/>
            <w:tcBorders>
              <w:top w:val="single" w:sz="4" w:space="0" w:color="auto"/>
              <w:bottom w:val="single" w:sz="8" w:space="0" w:color="auto"/>
              <w:right w:val="single" w:sz="8" w:space="0" w:color="auto"/>
            </w:tcBorders>
            <w:shd w:val="clear" w:color="auto" w:fill="auto"/>
            <w:noWrap/>
            <w:vAlign w:val="center"/>
            <w:hideMark/>
          </w:tcPr>
          <w:p w14:paraId="6B87AE65" w14:textId="77777777" w:rsidR="00BE151D" w:rsidRPr="00D14CD7" w:rsidRDefault="00BE151D" w:rsidP="00567BE9">
            <w:pPr>
              <w:spacing w:after="0" w:line="240" w:lineRule="auto"/>
              <w:jc w:val="right"/>
              <w:rPr>
                <w:rFonts w:eastAsia="Times New Roman"/>
                <w:color w:val="000000" w:themeColor="text1"/>
                <w:sz w:val="16"/>
                <w:szCs w:val="16"/>
              </w:rPr>
            </w:pPr>
            <w:r w:rsidRPr="00D14CD7">
              <w:rPr>
                <w:rFonts w:eastAsia="Times New Roman"/>
                <w:color w:val="000000" w:themeColor="text1"/>
                <w:sz w:val="16"/>
              </w:rPr>
              <w:t>—</w:t>
            </w:r>
          </w:p>
        </w:tc>
        <w:tc>
          <w:tcPr>
            <w:tcW w:w="184" w:type="pct"/>
            <w:tcBorders>
              <w:left w:val="single" w:sz="8" w:space="0" w:color="auto"/>
              <w:bottom w:val="single" w:sz="8" w:space="0" w:color="auto"/>
            </w:tcBorders>
            <w:shd w:val="clear" w:color="auto" w:fill="auto"/>
            <w:noWrap/>
            <w:vAlign w:val="center"/>
            <w:hideMark/>
          </w:tcPr>
          <w:p w14:paraId="4F3A3BAC" w14:textId="77777777" w:rsidR="00BE151D" w:rsidRPr="00D14CD7" w:rsidRDefault="00BE151D" w:rsidP="00567BE9">
            <w:pPr>
              <w:spacing w:after="0" w:line="240" w:lineRule="auto"/>
              <w:jc w:val="right"/>
              <w:rPr>
                <w:rFonts w:eastAsia="Times New Roman"/>
                <w:color w:val="000000" w:themeColor="text1"/>
                <w:sz w:val="16"/>
                <w:szCs w:val="16"/>
              </w:rPr>
            </w:pPr>
            <w:r w:rsidRPr="00D14CD7">
              <w:rPr>
                <w:rFonts w:eastAsia="Times New Roman"/>
                <w:color w:val="000000" w:themeColor="text1"/>
                <w:sz w:val="16"/>
              </w:rPr>
              <w:t>—</w:t>
            </w:r>
          </w:p>
        </w:tc>
        <w:tc>
          <w:tcPr>
            <w:tcW w:w="185" w:type="pct"/>
            <w:tcBorders>
              <w:top w:val="single" w:sz="4" w:space="0" w:color="auto"/>
              <w:bottom w:val="single" w:sz="8" w:space="0" w:color="auto"/>
              <w:right w:val="single" w:sz="8" w:space="0" w:color="auto"/>
            </w:tcBorders>
            <w:shd w:val="clear" w:color="auto" w:fill="auto"/>
            <w:noWrap/>
            <w:vAlign w:val="center"/>
            <w:hideMark/>
          </w:tcPr>
          <w:p w14:paraId="08100D61" w14:textId="77777777" w:rsidR="00BE151D" w:rsidRPr="00D14CD7" w:rsidRDefault="00BE151D" w:rsidP="00567BE9">
            <w:pPr>
              <w:spacing w:after="0" w:line="240" w:lineRule="auto"/>
              <w:jc w:val="right"/>
              <w:rPr>
                <w:rFonts w:eastAsia="Times New Roman"/>
                <w:color w:val="000000" w:themeColor="text1"/>
                <w:sz w:val="16"/>
                <w:szCs w:val="16"/>
              </w:rPr>
            </w:pPr>
            <w:r w:rsidRPr="00D14CD7">
              <w:rPr>
                <w:rFonts w:eastAsia="Times New Roman"/>
                <w:color w:val="000000" w:themeColor="text1"/>
                <w:sz w:val="16"/>
              </w:rPr>
              <w:t>—</w:t>
            </w:r>
          </w:p>
        </w:tc>
        <w:tc>
          <w:tcPr>
            <w:tcW w:w="185" w:type="pct"/>
            <w:tcBorders>
              <w:left w:val="single" w:sz="8" w:space="0" w:color="auto"/>
              <w:bottom w:val="single" w:sz="8" w:space="0" w:color="auto"/>
            </w:tcBorders>
            <w:shd w:val="clear" w:color="auto" w:fill="auto"/>
            <w:noWrap/>
            <w:vAlign w:val="center"/>
            <w:hideMark/>
          </w:tcPr>
          <w:p w14:paraId="6ADDF82F" w14:textId="77777777" w:rsidR="00BE151D" w:rsidRPr="00D14CD7" w:rsidRDefault="00BE151D" w:rsidP="00567BE9">
            <w:pPr>
              <w:spacing w:after="0" w:line="240" w:lineRule="auto"/>
              <w:jc w:val="right"/>
              <w:rPr>
                <w:rFonts w:eastAsia="Times New Roman"/>
                <w:color w:val="000000" w:themeColor="text1"/>
                <w:sz w:val="16"/>
                <w:szCs w:val="16"/>
              </w:rPr>
            </w:pPr>
            <w:r w:rsidRPr="00D14CD7">
              <w:rPr>
                <w:rFonts w:eastAsia="Times New Roman"/>
                <w:color w:val="000000" w:themeColor="text1"/>
                <w:sz w:val="16"/>
              </w:rPr>
              <w:t>—</w:t>
            </w:r>
          </w:p>
        </w:tc>
        <w:tc>
          <w:tcPr>
            <w:tcW w:w="185" w:type="pct"/>
            <w:tcBorders>
              <w:top w:val="single" w:sz="4" w:space="0" w:color="auto"/>
              <w:bottom w:val="single" w:sz="8" w:space="0" w:color="auto"/>
              <w:right w:val="single" w:sz="8" w:space="0" w:color="auto"/>
            </w:tcBorders>
            <w:shd w:val="clear" w:color="auto" w:fill="auto"/>
            <w:noWrap/>
            <w:vAlign w:val="center"/>
            <w:hideMark/>
          </w:tcPr>
          <w:p w14:paraId="60871AE2" w14:textId="77777777" w:rsidR="00BE151D" w:rsidRPr="00D14CD7" w:rsidRDefault="00BE151D" w:rsidP="00567BE9">
            <w:pPr>
              <w:spacing w:after="0" w:line="240" w:lineRule="auto"/>
              <w:jc w:val="right"/>
              <w:rPr>
                <w:rFonts w:eastAsia="Times New Roman"/>
                <w:color w:val="000000" w:themeColor="text1"/>
                <w:sz w:val="16"/>
                <w:szCs w:val="16"/>
              </w:rPr>
            </w:pPr>
            <w:r w:rsidRPr="00D14CD7">
              <w:rPr>
                <w:rFonts w:eastAsia="Times New Roman"/>
                <w:color w:val="000000" w:themeColor="text1"/>
                <w:sz w:val="16"/>
              </w:rPr>
              <w:t>—</w:t>
            </w:r>
          </w:p>
        </w:tc>
        <w:tc>
          <w:tcPr>
            <w:tcW w:w="156" w:type="pct"/>
            <w:tcBorders>
              <w:left w:val="single" w:sz="8" w:space="0" w:color="auto"/>
              <w:bottom w:val="single" w:sz="8" w:space="0" w:color="auto"/>
            </w:tcBorders>
            <w:shd w:val="clear" w:color="auto" w:fill="auto"/>
            <w:noWrap/>
            <w:vAlign w:val="center"/>
            <w:hideMark/>
          </w:tcPr>
          <w:p w14:paraId="3A1F3B06" w14:textId="77777777" w:rsidR="00BE151D" w:rsidRPr="00D14CD7" w:rsidRDefault="00BE151D" w:rsidP="00567BE9">
            <w:pPr>
              <w:spacing w:after="0" w:line="240" w:lineRule="auto"/>
              <w:jc w:val="right"/>
              <w:rPr>
                <w:rFonts w:eastAsia="Times New Roman"/>
                <w:color w:val="000000" w:themeColor="text1"/>
                <w:sz w:val="16"/>
                <w:szCs w:val="16"/>
              </w:rPr>
            </w:pPr>
            <w:proofErr w:type="spellStart"/>
            <w:r w:rsidRPr="00D14CD7">
              <w:rPr>
                <w:rFonts w:eastAsia="Times New Roman"/>
                <w:color w:val="000000" w:themeColor="text1"/>
                <w:sz w:val="16"/>
              </w:rPr>
              <w:t>na</w:t>
            </w:r>
            <w:proofErr w:type="spellEnd"/>
          </w:p>
        </w:tc>
        <w:tc>
          <w:tcPr>
            <w:tcW w:w="157" w:type="pct"/>
            <w:tcBorders>
              <w:bottom w:val="single" w:sz="8" w:space="0" w:color="auto"/>
              <w:right w:val="double" w:sz="4" w:space="0" w:color="auto"/>
            </w:tcBorders>
            <w:shd w:val="clear" w:color="auto" w:fill="auto"/>
            <w:noWrap/>
            <w:vAlign w:val="center"/>
            <w:hideMark/>
          </w:tcPr>
          <w:p w14:paraId="5B2836BC" w14:textId="77777777" w:rsidR="00BE151D" w:rsidRPr="00D14CD7" w:rsidRDefault="00BE151D" w:rsidP="00567BE9">
            <w:pPr>
              <w:spacing w:after="0" w:line="240" w:lineRule="auto"/>
              <w:jc w:val="right"/>
              <w:rPr>
                <w:rFonts w:eastAsia="Times New Roman"/>
                <w:color w:val="000000" w:themeColor="text1"/>
                <w:sz w:val="16"/>
                <w:szCs w:val="16"/>
              </w:rPr>
            </w:pPr>
            <w:proofErr w:type="spellStart"/>
            <w:r w:rsidRPr="00D14CD7">
              <w:rPr>
                <w:rFonts w:eastAsia="Times New Roman"/>
                <w:color w:val="000000" w:themeColor="text1"/>
                <w:sz w:val="16"/>
              </w:rPr>
              <w:t>na</w:t>
            </w:r>
            <w:proofErr w:type="spellEnd"/>
          </w:p>
        </w:tc>
        <w:tc>
          <w:tcPr>
            <w:tcW w:w="187" w:type="pct"/>
            <w:tcBorders>
              <w:top w:val="single" w:sz="4" w:space="0" w:color="auto"/>
              <w:left w:val="double" w:sz="4" w:space="0" w:color="auto"/>
              <w:bottom w:val="single" w:sz="8" w:space="0" w:color="auto"/>
            </w:tcBorders>
            <w:shd w:val="clear" w:color="auto" w:fill="auto"/>
            <w:noWrap/>
            <w:vAlign w:val="bottom"/>
          </w:tcPr>
          <w:p w14:paraId="30C8B72B" w14:textId="77777777" w:rsidR="00BE151D" w:rsidRPr="00D14CD7" w:rsidRDefault="00BE151D" w:rsidP="00567BE9">
            <w:pPr>
              <w:spacing w:after="0" w:line="240" w:lineRule="auto"/>
              <w:jc w:val="right"/>
              <w:rPr>
                <w:rFonts w:eastAsia="Times New Roman"/>
                <w:color w:val="000000" w:themeColor="text1"/>
                <w:sz w:val="16"/>
                <w:szCs w:val="16"/>
              </w:rPr>
            </w:pPr>
            <w:r w:rsidRPr="00D14CD7">
              <w:rPr>
                <w:color w:val="000000" w:themeColor="text1"/>
                <w:sz w:val="16"/>
                <w:szCs w:val="16"/>
              </w:rPr>
              <w:t>-0.114</w:t>
            </w:r>
          </w:p>
        </w:tc>
        <w:tc>
          <w:tcPr>
            <w:tcW w:w="183" w:type="pct"/>
            <w:tcBorders>
              <w:bottom w:val="single" w:sz="8" w:space="0" w:color="auto"/>
            </w:tcBorders>
            <w:shd w:val="clear" w:color="auto" w:fill="auto"/>
            <w:noWrap/>
            <w:vAlign w:val="bottom"/>
          </w:tcPr>
          <w:p w14:paraId="1F27C38A" w14:textId="77777777" w:rsidR="00BE151D" w:rsidRPr="00D14CD7" w:rsidRDefault="00BE151D" w:rsidP="00567BE9">
            <w:pPr>
              <w:spacing w:after="0" w:line="240" w:lineRule="auto"/>
              <w:jc w:val="right"/>
              <w:rPr>
                <w:rFonts w:eastAsia="Times New Roman"/>
                <w:color w:val="000000" w:themeColor="text1"/>
                <w:sz w:val="16"/>
                <w:szCs w:val="16"/>
              </w:rPr>
            </w:pPr>
            <w:r w:rsidRPr="00D14CD7">
              <w:rPr>
                <w:color w:val="000000" w:themeColor="text1"/>
                <w:sz w:val="16"/>
                <w:szCs w:val="16"/>
              </w:rPr>
              <w:t>-2.47</w:t>
            </w:r>
          </w:p>
        </w:tc>
      </w:tr>
      <w:tr w:rsidR="00D14CD7" w:rsidRPr="00D14CD7" w14:paraId="1FA21400" w14:textId="77777777" w:rsidTr="00567BE9">
        <w:trPr>
          <w:trHeight w:val="72"/>
        </w:trPr>
        <w:tc>
          <w:tcPr>
            <w:tcW w:w="5000" w:type="pct"/>
            <w:gridSpan w:val="19"/>
            <w:tcBorders>
              <w:top w:val="single" w:sz="8" w:space="0" w:color="auto"/>
              <w:bottom w:val="single" w:sz="8" w:space="0" w:color="auto"/>
            </w:tcBorders>
            <w:shd w:val="clear" w:color="auto" w:fill="auto"/>
            <w:noWrap/>
            <w:vAlign w:val="center"/>
            <w:hideMark/>
          </w:tcPr>
          <w:p w14:paraId="3CE45BC9" w14:textId="77777777" w:rsidR="00BE151D" w:rsidRPr="00D14CD7" w:rsidRDefault="00BE151D" w:rsidP="00567BE9">
            <w:pPr>
              <w:spacing w:after="0" w:line="240" w:lineRule="auto"/>
              <w:rPr>
                <w:rFonts w:eastAsia="Times New Roman"/>
                <w:color w:val="000000" w:themeColor="text1"/>
                <w:sz w:val="20"/>
                <w:szCs w:val="20"/>
              </w:rPr>
            </w:pPr>
            <w:r w:rsidRPr="00D14CD7">
              <w:rPr>
                <w:rFonts w:eastAsia="Times New Roman"/>
                <w:b/>
                <w:bCs/>
                <w:color w:val="000000" w:themeColor="text1"/>
                <w:sz w:val="16"/>
                <w:szCs w:val="16"/>
              </w:rPr>
              <w:t>Household Characteristics</w:t>
            </w:r>
          </w:p>
        </w:tc>
      </w:tr>
      <w:tr w:rsidR="00D14CD7" w:rsidRPr="00D14CD7" w14:paraId="3D8D26E5" w14:textId="77777777" w:rsidTr="00567BE9">
        <w:trPr>
          <w:trHeight w:val="72"/>
        </w:trPr>
        <w:tc>
          <w:tcPr>
            <w:tcW w:w="5000" w:type="pct"/>
            <w:gridSpan w:val="19"/>
            <w:tcBorders>
              <w:top w:val="single" w:sz="8" w:space="0" w:color="auto"/>
              <w:bottom w:val="single" w:sz="4" w:space="0" w:color="auto"/>
            </w:tcBorders>
            <w:shd w:val="clear" w:color="auto" w:fill="auto"/>
            <w:noWrap/>
            <w:vAlign w:val="center"/>
            <w:hideMark/>
          </w:tcPr>
          <w:p w14:paraId="27E5FFA5" w14:textId="77777777" w:rsidR="00BE151D" w:rsidRPr="00D14CD7" w:rsidRDefault="00BE151D" w:rsidP="00567BE9">
            <w:pPr>
              <w:spacing w:after="0" w:line="240" w:lineRule="auto"/>
              <w:rPr>
                <w:rFonts w:eastAsia="Times New Roman"/>
                <w:color w:val="000000" w:themeColor="text1"/>
                <w:sz w:val="20"/>
                <w:szCs w:val="20"/>
              </w:rPr>
            </w:pPr>
            <w:r w:rsidRPr="00D14CD7">
              <w:rPr>
                <w:rFonts w:eastAsia="Times New Roman"/>
                <w:b/>
                <w:bCs/>
                <w:i/>
                <w:iCs/>
                <w:color w:val="000000" w:themeColor="text1"/>
                <w:sz w:val="16"/>
                <w:szCs w:val="16"/>
              </w:rPr>
              <w:t>Income (base: &lt;$25,000)</w:t>
            </w:r>
          </w:p>
        </w:tc>
      </w:tr>
      <w:tr w:rsidR="00D14CD7" w:rsidRPr="00D14CD7" w14:paraId="7938180D" w14:textId="77777777" w:rsidTr="00567BE9">
        <w:trPr>
          <w:trHeight w:val="72"/>
        </w:trPr>
        <w:tc>
          <w:tcPr>
            <w:tcW w:w="1709" w:type="pct"/>
            <w:tcBorders>
              <w:top w:val="single" w:sz="4" w:space="0" w:color="auto"/>
              <w:bottom w:val="single" w:sz="4" w:space="0" w:color="auto"/>
              <w:right w:val="double" w:sz="4" w:space="0" w:color="auto"/>
            </w:tcBorders>
            <w:shd w:val="clear" w:color="auto" w:fill="auto"/>
            <w:noWrap/>
            <w:vAlign w:val="center"/>
            <w:hideMark/>
          </w:tcPr>
          <w:p w14:paraId="6B1A03BE" w14:textId="77777777" w:rsidR="00BE151D" w:rsidRPr="00D14CD7" w:rsidRDefault="00BE151D" w:rsidP="00567BE9">
            <w:pPr>
              <w:spacing w:after="0" w:line="240" w:lineRule="auto"/>
              <w:ind w:firstLine="140"/>
              <w:rPr>
                <w:rFonts w:eastAsia="Times New Roman"/>
                <w:color w:val="000000" w:themeColor="text1"/>
                <w:sz w:val="16"/>
                <w:szCs w:val="16"/>
              </w:rPr>
            </w:pPr>
            <w:r w:rsidRPr="00D14CD7">
              <w:rPr>
                <w:rFonts w:eastAsia="Times New Roman"/>
                <w:color w:val="000000" w:themeColor="text1"/>
                <w:sz w:val="16"/>
              </w:rPr>
              <w:t>$25,000 - $49,999</w:t>
            </w:r>
          </w:p>
        </w:tc>
        <w:tc>
          <w:tcPr>
            <w:tcW w:w="227" w:type="pct"/>
            <w:tcBorders>
              <w:top w:val="single" w:sz="4" w:space="0" w:color="auto"/>
              <w:left w:val="double" w:sz="4" w:space="0" w:color="auto"/>
              <w:bottom w:val="single" w:sz="4" w:space="0" w:color="auto"/>
            </w:tcBorders>
            <w:shd w:val="clear" w:color="auto" w:fill="auto"/>
            <w:noWrap/>
            <w:vAlign w:val="center"/>
            <w:hideMark/>
          </w:tcPr>
          <w:p w14:paraId="600E8715" w14:textId="77777777" w:rsidR="00BE151D" w:rsidRPr="00D14CD7" w:rsidRDefault="00BE151D" w:rsidP="00567BE9">
            <w:pPr>
              <w:spacing w:after="0" w:line="240" w:lineRule="auto"/>
              <w:jc w:val="right"/>
              <w:rPr>
                <w:rFonts w:eastAsia="Times New Roman"/>
                <w:color w:val="000000" w:themeColor="text1"/>
                <w:sz w:val="16"/>
                <w:szCs w:val="16"/>
              </w:rPr>
            </w:pPr>
            <w:r w:rsidRPr="00D14CD7">
              <w:rPr>
                <w:rFonts w:eastAsia="Times New Roman"/>
                <w:color w:val="000000" w:themeColor="text1"/>
                <w:sz w:val="16"/>
              </w:rPr>
              <w:t>—</w:t>
            </w:r>
          </w:p>
        </w:tc>
        <w:tc>
          <w:tcPr>
            <w:tcW w:w="199" w:type="pct"/>
            <w:tcBorders>
              <w:top w:val="single" w:sz="4" w:space="0" w:color="auto"/>
              <w:bottom w:val="single" w:sz="4" w:space="0" w:color="auto"/>
              <w:right w:val="single" w:sz="8" w:space="0" w:color="auto"/>
            </w:tcBorders>
            <w:shd w:val="clear" w:color="auto" w:fill="auto"/>
            <w:noWrap/>
            <w:vAlign w:val="center"/>
            <w:hideMark/>
          </w:tcPr>
          <w:p w14:paraId="28612299" w14:textId="77777777" w:rsidR="00BE151D" w:rsidRPr="00D14CD7" w:rsidRDefault="00BE151D" w:rsidP="00567BE9">
            <w:pPr>
              <w:spacing w:after="0" w:line="240" w:lineRule="auto"/>
              <w:jc w:val="right"/>
              <w:rPr>
                <w:rFonts w:eastAsia="Times New Roman"/>
                <w:color w:val="000000" w:themeColor="text1"/>
                <w:sz w:val="16"/>
                <w:szCs w:val="16"/>
              </w:rPr>
            </w:pPr>
            <w:r w:rsidRPr="00D14CD7">
              <w:rPr>
                <w:rFonts w:eastAsia="Times New Roman"/>
                <w:color w:val="000000" w:themeColor="text1"/>
                <w:sz w:val="16"/>
              </w:rPr>
              <w:t>—</w:t>
            </w:r>
          </w:p>
        </w:tc>
        <w:tc>
          <w:tcPr>
            <w:tcW w:w="184" w:type="pct"/>
            <w:tcBorders>
              <w:top w:val="single" w:sz="4" w:space="0" w:color="auto"/>
              <w:left w:val="single" w:sz="8" w:space="0" w:color="auto"/>
              <w:bottom w:val="single" w:sz="4" w:space="0" w:color="auto"/>
            </w:tcBorders>
            <w:shd w:val="clear" w:color="auto" w:fill="auto"/>
            <w:noWrap/>
            <w:vAlign w:val="center"/>
            <w:hideMark/>
          </w:tcPr>
          <w:p w14:paraId="317905A0" w14:textId="77777777" w:rsidR="00BE151D" w:rsidRPr="00D14CD7" w:rsidRDefault="00BE151D" w:rsidP="00567BE9">
            <w:pPr>
              <w:spacing w:after="0" w:line="240" w:lineRule="auto"/>
              <w:jc w:val="right"/>
              <w:rPr>
                <w:rFonts w:eastAsia="Times New Roman"/>
                <w:color w:val="000000" w:themeColor="text1"/>
                <w:sz w:val="16"/>
                <w:szCs w:val="16"/>
              </w:rPr>
            </w:pPr>
            <w:r w:rsidRPr="00D14CD7">
              <w:rPr>
                <w:rFonts w:eastAsia="Times New Roman"/>
                <w:color w:val="000000" w:themeColor="text1"/>
                <w:sz w:val="16"/>
              </w:rPr>
              <w:t>—</w:t>
            </w:r>
          </w:p>
        </w:tc>
        <w:tc>
          <w:tcPr>
            <w:tcW w:w="185" w:type="pct"/>
            <w:tcBorders>
              <w:top w:val="single" w:sz="4" w:space="0" w:color="auto"/>
              <w:bottom w:val="single" w:sz="4" w:space="0" w:color="auto"/>
              <w:right w:val="single" w:sz="8" w:space="0" w:color="auto"/>
            </w:tcBorders>
            <w:shd w:val="clear" w:color="auto" w:fill="auto"/>
            <w:noWrap/>
            <w:vAlign w:val="center"/>
            <w:hideMark/>
          </w:tcPr>
          <w:p w14:paraId="0AD98DE4" w14:textId="77777777" w:rsidR="00BE151D" w:rsidRPr="00D14CD7" w:rsidRDefault="00BE151D" w:rsidP="00567BE9">
            <w:pPr>
              <w:spacing w:after="0" w:line="240" w:lineRule="auto"/>
              <w:jc w:val="right"/>
              <w:rPr>
                <w:rFonts w:eastAsia="Times New Roman"/>
                <w:color w:val="000000" w:themeColor="text1"/>
                <w:sz w:val="16"/>
                <w:szCs w:val="16"/>
              </w:rPr>
            </w:pPr>
            <w:r w:rsidRPr="00D14CD7">
              <w:rPr>
                <w:rFonts w:eastAsia="Times New Roman"/>
                <w:color w:val="000000" w:themeColor="text1"/>
                <w:sz w:val="16"/>
              </w:rPr>
              <w:t>—</w:t>
            </w:r>
          </w:p>
        </w:tc>
        <w:tc>
          <w:tcPr>
            <w:tcW w:w="184" w:type="pct"/>
            <w:tcBorders>
              <w:top w:val="single" w:sz="4" w:space="0" w:color="auto"/>
              <w:left w:val="single" w:sz="8" w:space="0" w:color="auto"/>
              <w:bottom w:val="single" w:sz="4" w:space="0" w:color="auto"/>
            </w:tcBorders>
            <w:shd w:val="clear" w:color="auto" w:fill="auto"/>
            <w:noWrap/>
            <w:vAlign w:val="center"/>
            <w:hideMark/>
          </w:tcPr>
          <w:p w14:paraId="5725113C" w14:textId="77777777" w:rsidR="00BE151D" w:rsidRPr="00D14CD7" w:rsidRDefault="00BE151D" w:rsidP="00567BE9">
            <w:pPr>
              <w:spacing w:after="0" w:line="240" w:lineRule="auto"/>
              <w:jc w:val="right"/>
              <w:rPr>
                <w:rFonts w:eastAsia="Times New Roman"/>
                <w:color w:val="000000" w:themeColor="text1"/>
                <w:sz w:val="16"/>
                <w:szCs w:val="16"/>
              </w:rPr>
            </w:pPr>
            <w:r w:rsidRPr="00D14CD7">
              <w:rPr>
                <w:rFonts w:eastAsia="Times New Roman"/>
                <w:color w:val="000000" w:themeColor="text1"/>
                <w:sz w:val="16"/>
              </w:rPr>
              <w:t>—</w:t>
            </w:r>
          </w:p>
        </w:tc>
        <w:tc>
          <w:tcPr>
            <w:tcW w:w="188" w:type="pct"/>
            <w:tcBorders>
              <w:top w:val="single" w:sz="4" w:space="0" w:color="auto"/>
              <w:bottom w:val="single" w:sz="4" w:space="0" w:color="auto"/>
              <w:right w:val="single" w:sz="8" w:space="0" w:color="auto"/>
            </w:tcBorders>
            <w:shd w:val="clear" w:color="auto" w:fill="auto"/>
            <w:noWrap/>
            <w:vAlign w:val="center"/>
            <w:hideMark/>
          </w:tcPr>
          <w:p w14:paraId="4413077C" w14:textId="77777777" w:rsidR="00BE151D" w:rsidRPr="00D14CD7" w:rsidRDefault="00BE151D" w:rsidP="00567BE9">
            <w:pPr>
              <w:spacing w:after="0" w:line="240" w:lineRule="auto"/>
              <w:jc w:val="right"/>
              <w:rPr>
                <w:rFonts w:eastAsia="Times New Roman"/>
                <w:color w:val="000000" w:themeColor="text1"/>
                <w:sz w:val="16"/>
                <w:szCs w:val="16"/>
              </w:rPr>
            </w:pPr>
            <w:r w:rsidRPr="00D14CD7">
              <w:rPr>
                <w:rFonts w:eastAsia="Times New Roman"/>
                <w:color w:val="000000" w:themeColor="text1"/>
                <w:sz w:val="16"/>
              </w:rPr>
              <w:t>—</w:t>
            </w:r>
          </w:p>
        </w:tc>
        <w:tc>
          <w:tcPr>
            <w:tcW w:w="188" w:type="pct"/>
            <w:tcBorders>
              <w:top w:val="single" w:sz="4" w:space="0" w:color="auto"/>
              <w:left w:val="single" w:sz="8" w:space="0" w:color="auto"/>
              <w:bottom w:val="single" w:sz="4" w:space="0" w:color="auto"/>
            </w:tcBorders>
            <w:shd w:val="clear" w:color="auto" w:fill="auto"/>
            <w:noWrap/>
            <w:vAlign w:val="center"/>
            <w:hideMark/>
          </w:tcPr>
          <w:p w14:paraId="2912EDF9" w14:textId="77777777" w:rsidR="00BE151D" w:rsidRPr="00D14CD7" w:rsidRDefault="00BE151D" w:rsidP="00567BE9">
            <w:pPr>
              <w:spacing w:after="0" w:line="240" w:lineRule="auto"/>
              <w:jc w:val="right"/>
              <w:rPr>
                <w:rFonts w:eastAsia="Times New Roman"/>
                <w:color w:val="000000" w:themeColor="text1"/>
                <w:sz w:val="16"/>
                <w:szCs w:val="16"/>
              </w:rPr>
            </w:pPr>
            <w:proofErr w:type="spellStart"/>
            <w:r w:rsidRPr="00D14CD7">
              <w:rPr>
                <w:rFonts w:eastAsia="Times New Roman"/>
                <w:color w:val="000000" w:themeColor="text1"/>
                <w:sz w:val="16"/>
              </w:rPr>
              <w:t>na</w:t>
            </w:r>
            <w:proofErr w:type="spellEnd"/>
          </w:p>
        </w:tc>
        <w:tc>
          <w:tcPr>
            <w:tcW w:w="146" w:type="pct"/>
            <w:tcBorders>
              <w:top w:val="single" w:sz="4" w:space="0" w:color="auto"/>
              <w:bottom w:val="single" w:sz="4" w:space="0" w:color="auto"/>
              <w:right w:val="double" w:sz="4" w:space="0" w:color="auto"/>
            </w:tcBorders>
            <w:shd w:val="clear" w:color="auto" w:fill="auto"/>
            <w:noWrap/>
            <w:vAlign w:val="center"/>
            <w:hideMark/>
          </w:tcPr>
          <w:p w14:paraId="56403FB3" w14:textId="77777777" w:rsidR="00BE151D" w:rsidRPr="00D14CD7" w:rsidRDefault="00BE151D" w:rsidP="00567BE9">
            <w:pPr>
              <w:spacing w:after="0" w:line="240" w:lineRule="auto"/>
              <w:jc w:val="right"/>
              <w:rPr>
                <w:rFonts w:eastAsia="Times New Roman"/>
                <w:color w:val="000000" w:themeColor="text1"/>
                <w:sz w:val="16"/>
                <w:szCs w:val="16"/>
              </w:rPr>
            </w:pPr>
            <w:proofErr w:type="spellStart"/>
            <w:r w:rsidRPr="00D14CD7">
              <w:rPr>
                <w:rFonts w:eastAsia="Times New Roman"/>
                <w:color w:val="000000" w:themeColor="text1"/>
                <w:sz w:val="16"/>
              </w:rPr>
              <w:t>na</w:t>
            </w:r>
            <w:proofErr w:type="spellEnd"/>
          </w:p>
        </w:tc>
        <w:tc>
          <w:tcPr>
            <w:tcW w:w="184" w:type="pct"/>
            <w:tcBorders>
              <w:left w:val="double" w:sz="4" w:space="0" w:color="auto"/>
            </w:tcBorders>
            <w:shd w:val="clear" w:color="auto" w:fill="auto"/>
            <w:noWrap/>
            <w:vAlign w:val="center"/>
            <w:hideMark/>
          </w:tcPr>
          <w:p w14:paraId="79D8927C" w14:textId="77777777" w:rsidR="00BE151D" w:rsidRPr="00D14CD7" w:rsidRDefault="00BE151D" w:rsidP="00567BE9">
            <w:pPr>
              <w:spacing w:after="0" w:line="240" w:lineRule="auto"/>
              <w:jc w:val="right"/>
              <w:rPr>
                <w:rFonts w:eastAsia="Times New Roman"/>
                <w:color w:val="000000" w:themeColor="text1"/>
                <w:sz w:val="16"/>
                <w:szCs w:val="16"/>
              </w:rPr>
            </w:pPr>
            <w:r w:rsidRPr="00D14CD7">
              <w:rPr>
                <w:rFonts w:eastAsia="Times New Roman"/>
                <w:color w:val="000000" w:themeColor="text1"/>
                <w:sz w:val="16"/>
              </w:rPr>
              <w:t>—</w:t>
            </w:r>
          </w:p>
        </w:tc>
        <w:tc>
          <w:tcPr>
            <w:tcW w:w="184" w:type="pct"/>
            <w:tcBorders>
              <w:top w:val="single" w:sz="4" w:space="0" w:color="auto"/>
              <w:bottom w:val="single" w:sz="4" w:space="0" w:color="auto"/>
              <w:right w:val="single" w:sz="8" w:space="0" w:color="auto"/>
            </w:tcBorders>
            <w:shd w:val="clear" w:color="auto" w:fill="auto"/>
            <w:noWrap/>
            <w:vAlign w:val="center"/>
            <w:hideMark/>
          </w:tcPr>
          <w:p w14:paraId="0478A4CC" w14:textId="77777777" w:rsidR="00BE151D" w:rsidRPr="00D14CD7" w:rsidRDefault="00BE151D" w:rsidP="00567BE9">
            <w:pPr>
              <w:spacing w:after="0" w:line="240" w:lineRule="auto"/>
              <w:jc w:val="right"/>
              <w:rPr>
                <w:rFonts w:eastAsia="Times New Roman"/>
                <w:color w:val="000000" w:themeColor="text1"/>
                <w:sz w:val="16"/>
                <w:szCs w:val="16"/>
              </w:rPr>
            </w:pPr>
            <w:r w:rsidRPr="00D14CD7">
              <w:rPr>
                <w:rFonts w:eastAsia="Times New Roman"/>
                <w:color w:val="000000" w:themeColor="text1"/>
                <w:sz w:val="16"/>
              </w:rPr>
              <w:t>—</w:t>
            </w:r>
          </w:p>
        </w:tc>
        <w:tc>
          <w:tcPr>
            <w:tcW w:w="184" w:type="pct"/>
            <w:tcBorders>
              <w:top w:val="single" w:sz="4" w:space="0" w:color="auto"/>
              <w:left w:val="single" w:sz="8" w:space="0" w:color="auto"/>
              <w:bottom w:val="single" w:sz="4" w:space="0" w:color="auto"/>
            </w:tcBorders>
            <w:shd w:val="clear" w:color="auto" w:fill="auto"/>
            <w:noWrap/>
            <w:vAlign w:val="center"/>
            <w:hideMark/>
          </w:tcPr>
          <w:p w14:paraId="2356E26E" w14:textId="77777777" w:rsidR="00BE151D" w:rsidRPr="00D14CD7" w:rsidRDefault="00BE151D" w:rsidP="00567BE9">
            <w:pPr>
              <w:spacing w:after="0" w:line="240" w:lineRule="auto"/>
              <w:jc w:val="right"/>
              <w:rPr>
                <w:rFonts w:eastAsia="Times New Roman"/>
                <w:color w:val="000000" w:themeColor="text1"/>
                <w:sz w:val="16"/>
                <w:szCs w:val="16"/>
              </w:rPr>
            </w:pPr>
            <w:r w:rsidRPr="00D14CD7">
              <w:rPr>
                <w:rFonts w:eastAsia="Times New Roman"/>
                <w:color w:val="000000" w:themeColor="text1"/>
                <w:sz w:val="16"/>
              </w:rPr>
              <w:t>—</w:t>
            </w:r>
          </w:p>
        </w:tc>
        <w:tc>
          <w:tcPr>
            <w:tcW w:w="185" w:type="pct"/>
            <w:tcBorders>
              <w:top w:val="single" w:sz="4" w:space="0" w:color="auto"/>
              <w:bottom w:val="single" w:sz="4" w:space="0" w:color="auto"/>
              <w:right w:val="single" w:sz="8" w:space="0" w:color="auto"/>
            </w:tcBorders>
            <w:shd w:val="clear" w:color="auto" w:fill="auto"/>
            <w:noWrap/>
            <w:vAlign w:val="center"/>
            <w:hideMark/>
          </w:tcPr>
          <w:p w14:paraId="573951E7" w14:textId="77777777" w:rsidR="00BE151D" w:rsidRPr="00D14CD7" w:rsidRDefault="00BE151D" w:rsidP="00567BE9">
            <w:pPr>
              <w:spacing w:after="0" w:line="240" w:lineRule="auto"/>
              <w:jc w:val="right"/>
              <w:rPr>
                <w:rFonts w:eastAsia="Times New Roman"/>
                <w:color w:val="000000" w:themeColor="text1"/>
                <w:sz w:val="16"/>
                <w:szCs w:val="16"/>
              </w:rPr>
            </w:pPr>
            <w:r w:rsidRPr="00D14CD7">
              <w:rPr>
                <w:rFonts w:eastAsia="Times New Roman"/>
                <w:color w:val="000000" w:themeColor="text1"/>
                <w:sz w:val="16"/>
              </w:rPr>
              <w:t>—</w:t>
            </w:r>
          </w:p>
        </w:tc>
        <w:tc>
          <w:tcPr>
            <w:tcW w:w="185" w:type="pct"/>
            <w:tcBorders>
              <w:top w:val="single" w:sz="4" w:space="0" w:color="auto"/>
              <w:left w:val="single" w:sz="8" w:space="0" w:color="auto"/>
              <w:bottom w:val="single" w:sz="4" w:space="0" w:color="auto"/>
            </w:tcBorders>
            <w:shd w:val="clear" w:color="auto" w:fill="auto"/>
            <w:noWrap/>
            <w:vAlign w:val="center"/>
            <w:hideMark/>
          </w:tcPr>
          <w:p w14:paraId="4D07F0BF" w14:textId="77777777" w:rsidR="00BE151D" w:rsidRPr="00D14CD7" w:rsidRDefault="00BE151D" w:rsidP="00567BE9">
            <w:pPr>
              <w:spacing w:after="0" w:line="240" w:lineRule="auto"/>
              <w:jc w:val="right"/>
              <w:rPr>
                <w:rFonts w:eastAsia="Times New Roman"/>
                <w:color w:val="000000" w:themeColor="text1"/>
                <w:sz w:val="16"/>
                <w:szCs w:val="16"/>
              </w:rPr>
            </w:pPr>
            <w:r w:rsidRPr="00D14CD7">
              <w:rPr>
                <w:rFonts w:eastAsia="Times New Roman"/>
                <w:color w:val="000000" w:themeColor="text1"/>
                <w:sz w:val="16"/>
              </w:rPr>
              <w:t>—</w:t>
            </w:r>
          </w:p>
        </w:tc>
        <w:tc>
          <w:tcPr>
            <w:tcW w:w="185" w:type="pct"/>
            <w:tcBorders>
              <w:top w:val="single" w:sz="4" w:space="0" w:color="auto"/>
              <w:bottom w:val="single" w:sz="4" w:space="0" w:color="auto"/>
              <w:right w:val="single" w:sz="8" w:space="0" w:color="auto"/>
            </w:tcBorders>
            <w:shd w:val="clear" w:color="auto" w:fill="auto"/>
            <w:noWrap/>
            <w:vAlign w:val="center"/>
            <w:hideMark/>
          </w:tcPr>
          <w:p w14:paraId="44ABA375" w14:textId="77777777" w:rsidR="00BE151D" w:rsidRPr="00D14CD7" w:rsidRDefault="00BE151D" w:rsidP="00567BE9">
            <w:pPr>
              <w:spacing w:after="0" w:line="240" w:lineRule="auto"/>
              <w:jc w:val="right"/>
              <w:rPr>
                <w:rFonts w:eastAsia="Times New Roman"/>
                <w:color w:val="000000" w:themeColor="text1"/>
                <w:sz w:val="16"/>
                <w:szCs w:val="16"/>
              </w:rPr>
            </w:pPr>
            <w:r w:rsidRPr="00D14CD7">
              <w:rPr>
                <w:rFonts w:eastAsia="Times New Roman"/>
                <w:color w:val="000000" w:themeColor="text1"/>
                <w:sz w:val="16"/>
              </w:rPr>
              <w:t>—</w:t>
            </w:r>
          </w:p>
        </w:tc>
        <w:tc>
          <w:tcPr>
            <w:tcW w:w="156" w:type="pct"/>
            <w:tcBorders>
              <w:left w:val="single" w:sz="8" w:space="0" w:color="auto"/>
            </w:tcBorders>
            <w:shd w:val="clear" w:color="auto" w:fill="auto"/>
            <w:noWrap/>
            <w:vAlign w:val="center"/>
            <w:hideMark/>
          </w:tcPr>
          <w:p w14:paraId="07AA91B4" w14:textId="77777777" w:rsidR="00BE151D" w:rsidRPr="00D14CD7" w:rsidRDefault="00BE151D" w:rsidP="00567BE9">
            <w:pPr>
              <w:spacing w:after="0" w:line="240" w:lineRule="auto"/>
              <w:jc w:val="right"/>
              <w:rPr>
                <w:rFonts w:eastAsia="Times New Roman"/>
                <w:color w:val="000000" w:themeColor="text1"/>
                <w:sz w:val="16"/>
                <w:szCs w:val="16"/>
              </w:rPr>
            </w:pPr>
            <w:proofErr w:type="spellStart"/>
            <w:r w:rsidRPr="00D14CD7">
              <w:rPr>
                <w:rFonts w:eastAsia="Times New Roman"/>
                <w:color w:val="000000" w:themeColor="text1"/>
                <w:sz w:val="16"/>
              </w:rPr>
              <w:t>na</w:t>
            </w:r>
            <w:proofErr w:type="spellEnd"/>
          </w:p>
        </w:tc>
        <w:tc>
          <w:tcPr>
            <w:tcW w:w="157" w:type="pct"/>
            <w:tcBorders>
              <w:right w:val="double" w:sz="4" w:space="0" w:color="auto"/>
            </w:tcBorders>
            <w:shd w:val="clear" w:color="auto" w:fill="auto"/>
            <w:noWrap/>
            <w:vAlign w:val="center"/>
            <w:hideMark/>
          </w:tcPr>
          <w:p w14:paraId="35A463D5" w14:textId="77777777" w:rsidR="00BE151D" w:rsidRPr="00D14CD7" w:rsidRDefault="00BE151D" w:rsidP="00567BE9">
            <w:pPr>
              <w:spacing w:after="0" w:line="240" w:lineRule="auto"/>
              <w:jc w:val="right"/>
              <w:rPr>
                <w:rFonts w:eastAsia="Times New Roman"/>
                <w:color w:val="000000" w:themeColor="text1"/>
                <w:sz w:val="16"/>
                <w:szCs w:val="16"/>
              </w:rPr>
            </w:pPr>
            <w:proofErr w:type="spellStart"/>
            <w:r w:rsidRPr="00D14CD7">
              <w:rPr>
                <w:rFonts w:eastAsia="Times New Roman"/>
                <w:color w:val="000000" w:themeColor="text1"/>
                <w:sz w:val="16"/>
              </w:rPr>
              <w:t>na</w:t>
            </w:r>
            <w:proofErr w:type="spellEnd"/>
          </w:p>
        </w:tc>
        <w:tc>
          <w:tcPr>
            <w:tcW w:w="187" w:type="pct"/>
            <w:tcBorders>
              <w:top w:val="single" w:sz="4" w:space="0" w:color="auto"/>
              <w:left w:val="double" w:sz="4" w:space="0" w:color="auto"/>
              <w:bottom w:val="single" w:sz="4" w:space="0" w:color="auto"/>
            </w:tcBorders>
            <w:shd w:val="clear" w:color="auto" w:fill="auto"/>
            <w:noWrap/>
            <w:vAlign w:val="bottom"/>
          </w:tcPr>
          <w:p w14:paraId="7E96BA1E" w14:textId="77777777" w:rsidR="00BE151D" w:rsidRPr="00D14CD7" w:rsidRDefault="00BE151D" w:rsidP="00567BE9">
            <w:pPr>
              <w:spacing w:after="0" w:line="240" w:lineRule="auto"/>
              <w:jc w:val="right"/>
              <w:rPr>
                <w:rFonts w:eastAsia="Times New Roman"/>
                <w:color w:val="000000" w:themeColor="text1"/>
                <w:sz w:val="16"/>
                <w:szCs w:val="16"/>
              </w:rPr>
            </w:pPr>
            <w:r w:rsidRPr="00D14CD7">
              <w:rPr>
                <w:color w:val="000000" w:themeColor="text1"/>
                <w:sz w:val="16"/>
                <w:szCs w:val="16"/>
              </w:rPr>
              <w:t>0.447</w:t>
            </w:r>
          </w:p>
        </w:tc>
        <w:tc>
          <w:tcPr>
            <w:tcW w:w="183" w:type="pct"/>
            <w:shd w:val="clear" w:color="auto" w:fill="auto"/>
            <w:noWrap/>
            <w:vAlign w:val="bottom"/>
          </w:tcPr>
          <w:p w14:paraId="776F05A2" w14:textId="77777777" w:rsidR="00BE151D" w:rsidRPr="00D14CD7" w:rsidRDefault="00BE151D" w:rsidP="00567BE9">
            <w:pPr>
              <w:spacing w:after="0" w:line="240" w:lineRule="auto"/>
              <w:jc w:val="right"/>
              <w:rPr>
                <w:rFonts w:eastAsia="Times New Roman"/>
                <w:color w:val="000000" w:themeColor="text1"/>
                <w:sz w:val="16"/>
                <w:szCs w:val="16"/>
              </w:rPr>
            </w:pPr>
            <w:r w:rsidRPr="00D14CD7">
              <w:rPr>
                <w:color w:val="000000" w:themeColor="text1"/>
                <w:sz w:val="16"/>
                <w:szCs w:val="16"/>
              </w:rPr>
              <w:t>2.91</w:t>
            </w:r>
          </w:p>
        </w:tc>
      </w:tr>
      <w:tr w:rsidR="00D14CD7" w:rsidRPr="00D14CD7" w14:paraId="54204243" w14:textId="77777777" w:rsidTr="00567BE9">
        <w:trPr>
          <w:trHeight w:val="72"/>
        </w:trPr>
        <w:tc>
          <w:tcPr>
            <w:tcW w:w="1709" w:type="pct"/>
            <w:tcBorders>
              <w:top w:val="single" w:sz="4" w:space="0" w:color="auto"/>
              <w:bottom w:val="single" w:sz="4" w:space="0" w:color="auto"/>
              <w:right w:val="double" w:sz="4" w:space="0" w:color="auto"/>
            </w:tcBorders>
            <w:shd w:val="clear" w:color="auto" w:fill="auto"/>
            <w:noWrap/>
            <w:vAlign w:val="center"/>
            <w:hideMark/>
          </w:tcPr>
          <w:p w14:paraId="77FFA2D4" w14:textId="77777777" w:rsidR="00BE151D" w:rsidRPr="00D14CD7" w:rsidRDefault="00BE151D" w:rsidP="00567BE9">
            <w:pPr>
              <w:spacing w:after="0" w:line="240" w:lineRule="auto"/>
              <w:ind w:firstLine="140"/>
              <w:rPr>
                <w:rFonts w:eastAsia="Times New Roman"/>
                <w:color w:val="000000" w:themeColor="text1"/>
                <w:sz w:val="16"/>
                <w:szCs w:val="16"/>
              </w:rPr>
            </w:pPr>
            <w:r w:rsidRPr="00D14CD7">
              <w:rPr>
                <w:rFonts w:eastAsia="Times New Roman"/>
                <w:color w:val="000000" w:themeColor="text1"/>
                <w:sz w:val="16"/>
              </w:rPr>
              <w:t>$50,000 - $99,999</w:t>
            </w:r>
          </w:p>
        </w:tc>
        <w:tc>
          <w:tcPr>
            <w:tcW w:w="227" w:type="pct"/>
            <w:tcBorders>
              <w:top w:val="single" w:sz="4" w:space="0" w:color="auto"/>
              <w:left w:val="double" w:sz="4" w:space="0" w:color="auto"/>
              <w:bottom w:val="single" w:sz="4" w:space="0" w:color="auto"/>
            </w:tcBorders>
            <w:shd w:val="clear" w:color="auto" w:fill="auto"/>
            <w:noWrap/>
            <w:vAlign w:val="center"/>
            <w:hideMark/>
          </w:tcPr>
          <w:p w14:paraId="2516A5D0" w14:textId="77777777" w:rsidR="00BE151D" w:rsidRPr="00D14CD7" w:rsidRDefault="00BE151D" w:rsidP="00567BE9">
            <w:pPr>
              <w:spacing w:after="0" w:line="240" w:lineRule="auto"/>
              <w:jc w:val="right"/>
              <w:rPr>
                <w:rFonts w:eastAsia="Times New Roman"/>
                <w:color w:val="000000" w:themeColor="text1"/>
                <w:sz w:val="16"/>
                <w:szCs w:val="16"/>
              </w:rPr>
            </w:pPr>
            <w:r w:rsidRPr="00D14CD7">
              <w:rPr>
                <w:rFonts w:eastAsia="Times New Roman"/>
                <w:color w:val="000000" w:themeColor="text1"/>
                <w:sz w:val="16"/>
              </w:rPr>
              <w:t>—</w:t>
            </w:r>
          </w:p>
        </w:tc>
        <w:tc>
          <w:tcPr>
            <w:tcW w:w="199" w:type="pct"/>
            <w:tcBorders>
              <w:top w:val="single" w:sz="4" w:space="0" w:color="auto"/>
              <w:bottom w:val="single" w:sz="4" w:space="0" w:color="auto"/>
              <w:right w:val="single" w:sz="8" w:space="0" w:color="auto"/>
            </w:tcBorders>
            <w:shd w:val="clear" w:color="auto" w:fill="auto"/>
            <w:noWrap/>
            <w:vAlign w:val="center"/>
            <w:hideMark/>
          </w:tcPr>
          <w:p w14:paraId="70E3EDB5" w14:textId="77777777" w:rsidR="00BE151D" w:rsidRPr="00D14CD7" w:rsidRDefault="00BE151D" w:rsidP="00567BE9">
            <w:pPr>
              <w:spacing w:after="0" w:line="240" w:lineRule="auto"/>
              <w:jc w:val="right"/>
              <w:rPr>
                <w:rFonts w:eastAsia="Times New Roman"/>
                <w:color w:val="000000" w:themeColor="text1"/>
                <w:sz w:val="16"/>
                <w:szCs w:val="16"/>
              </w:rPr>
            </w:pPr>
            <w:r w:rsidRPr="00D14CD7">
              <w:rPr>
                <w:rFonts w:eastAsia="Times New Roman"/>
                <w:color w:val="000000" w:themeColor="text1"/>
                <w:sz w:val="16"/>
              </w:rPr>
              <w:t>—</w:t>
            </w:r>
          </w:p>
        </w:tc>
        <w:tc>
          <w:tcPr>
            <w:tcW w:w="184" w:type="pct"/>
            <w:tcBorders>
              <w:top w:val="single" w:sz="4" w:space="0" w:color="auto"/>
              <w:left w:val="single" w:sz="8" w:space="0" w:color="auto"/>
              <w:bottom w:val="single" w:sz="4" w:space="0" w:color="auto"/>
            </w:tcBorders>
            <w:shd w:val="clear" w:color="auto" w:fill="auto"/>
            <w:noWrap/>
            <w:vAlign w:val="center"/>
            <w:hideMark/>
          </w:tcPr>
          <w:p w14:paraId="73232E17" w14:textId="77777777" w:rsidR="00BE151D" w:rsidRPr="00D14CD7" w:rsidRDefault="00BE151D" w:rsidP="00567BE9">
            <w:pPr>
              <w:spacing w:after="0" w:line="240" w:lineRule="auto"/>
              <w:jc w:val="right"/>
              <w:rPr>
                <w:rFonts w:eastAsia="Times New Roman"/>
                <w:color w:val="000000" w:themeColor="text1"/>
                <w:sz w:val="16"/>
                <w:szCs w:val="16"/>
              </w:rPr>
            </w:pPr>
            <w:r w:rsidRPr="00D14CD7">
              <w:rPr>
                <w:rFonts w:eastAsia="Times New Roman"/>
                <w:color w:val="000000" w:themeColor="text1"/>
                <w:sz w:val="16"/>
              </w:rPr>
              <w:t>—</w:t>
            </w:r>
          </w:p>
        </w:tc>
        <w:tc>
          <w:tcPr>
            <w:tcW w:w="185" w:type="pct"/>
            <w:tcBorders>
              <w:top w:val="single" w:sz="4" w:space="0" w:color="auto"/>
              <w:bottom w:val="single" w:sz="4" w:space="0" w:color="auto"/>
              <w:right w:val="single" w:sz="8" w:space="0" w:color="auto"/>
            </w:tcBorders>
            <w:shd w:val="clear" w:color="auto" w:fill="auto"/>
            <w:noWrap/>
            <w:vAlign w:val="center"/>
            <w:hideMark/>
          </w:tcPr>
          <w:p w14:paraId="27AC1394" w14:textId="77777777" w:rsidR="00BE151D" w:rsidRPr="00D14CD7" w:rsidRDefault="00BE151D" w:rsidP="00567BE9">
            <w:pPr>
              <w:spacing w:after="0" w:line="240" w:lineRule="auto"/>
              <w:jc w:val="right"/>
              <w:rPr>
                <w:rFonts w:eastAsia="Times New Roman"/>
                <w:color w:val="000000" w:themeColor="text1"/>
                <w:sz w:val="16"/>
                <w:szCs w:val="16"/>
              </w:rPr>
            </w:pPr>
            <w:r w:rsidRPr="00D14CD7">
              <w:rPr>
                <w:rFonts w:eastAsia="Times New Roman"/>
                <w:color w:val="000000" w:themeColor="text1"/>
                <w:sz w:val="16"/>
              </w:rPr>
              <w:t>—</w:t>
            </w:r>
          </w:p>
        </w:tc>
        <w:tc>
          <w:tcPr>
            <w:tcW w:w="184" w:type="pct"/>
            <w:tcBorders>
              <w:top w:val="single" w:sz="4" w:space="0" w:color="auto"/>
              <w:left w:val="single" w:sz="8" w:space="0" w:color="auto"/>
              <w:bottom w:val="single" w:sz="4" w:space="0" w:color="auto"/>
            </w:tcBorders>
            <w:shd w:val="clear" w:color="auto" w:fill="auto"/>
            <w:noWrap/>
            <w:vAlign w:val="center"/>
            <w:hideMark/>
          </w:tcPr>
          <w:p w14:paraId="0F77EBE9" w14:textId="77777777" w:rsidR="00BE151D" w:rsidRPr="00D14CD7" w:rsidRDefault="00BE151D" w:rsidP="00567BE9">
            <w:pPr>
              <w:spacing w:after="0" w:line="240" w:lineRule="auto"/>
              <w:jc w:val="right"/>
              <w:rPr>
                <w:rFonts w:eastAsia="Times New Roman"/>
                <w:color w:val="000000" w:themeColor="text1"/>
                <w:sz w:val="16"/>
                <w:szCs w:val="16"/>
              </w:rPr>
            </w:pPr>
            <w:r w:rsidRPr="00D14CD7">
              <w:rPr>
                <w:rFonts w:eastAsia="Times New Roman"/>
                <w:color w:val="000000" w:themeColor="text1"/>
                <w:sz w:val="16"/>
              </w:rPr>
              <w:t>—</w:t>
            </w:r>
          </w:p>
        </w:tc>
        <w:tc>
          <w:tcPr>
            <w:tcW w:w="188" w:type="pct"/>
            <w:tcBorders>
              <w:top w:val="single" w:sz="4" w:space="0" w:color="auto"/>
              <w:bottom w:val="single" w:sz="4" w:space="0" w:color="auto"/>
              <w:right w:val="single" w:sz="8" w:space="0" w:color="auto"/>
            </w:tcBorders>
            <w:shd w:val="clear" w:color="auto" w:fill="auto"/>
            <w:noWrap/>
            <w:vAlign w:val="center"/>
            <w:hideMark/>
          </w:tcPr>
          <w:p w14:paraId="06A206A4" w14:textId="77777777" w:rsidR="00BE151D" w:rsidRPr="00D14CD7" w:rsidRDefault="00BE151D" w:rsidP="00567BE9">
            <w:pPr>
              <w:spacing w:after="0" w:line="240" w:lineRule="auto"/>
              <w:jc w:val="right"/>
              <w:rPr>
                <w:rFonts w:eastAsia="Times New Roman"/>
                <w:color w:val="000000" w:themeColor="text1"/>
                <w:sz w:val="16"/>
                <w:szCs w:val="16"/>
              </w:rPr>
            </w:pPr>
            <w:r w:rsidRPr="00D14CD7">
              <w:rPr>
                <w:rFonts w:eastAsia="Times New Roman"/>
                <w:color w:val="000000" w:themeColor="text1"/>
                <w:sz w:val="16"/>
              </w:rPr>
              <w:t>—</w:t>
            </w:r>
          </w:p>
        </w:tc>
        <w:tc>
          <w:tcPr>
            <w:tcW w:w="188" w:type="pct"/>
            <w:tcBorders>
              <w:top w:val="single" w:sz="4" w:space="0" w:color="auto"/>
              <w:left w:val="single" w:sz="8" w:space="0" w:color="auto"/>
              <w:bottom w:val="single" w:sz="4" w:space="0" w:color="auto"/>
            </w:tcBorders>
            <w:shd w:val="clear" w:color="auto" w:fill="auto"/>
            <w:noWrap/>
            <w:vAlign w:val="center"/>
            <w:hideMark/>
          </w:tcPr>
          <w:p w14:paraId="10E56F83" w14:textId="77777777" w:rsidR="00BE151D" w:rsidRPr="00D14CD7" w:rsidRDefault="00BE151D" w:rsidP="00567BE9">
            <w:pPr>
              <w:spacing w:after="0" w:line="240" w:lineRule="auto"/>
              <w:jc w:val="right"/>
              <w:rPr>
                <w:rFonts w:eastAsia="Times New Roman"/>
                <w:color w:val="000000" w:themeColor="text1"/>
                <w:sz w:val="16"/>
                <w:szCs w:val="16"/>
              </w:rPr>
            </w:pPr>
            <w:proofErr w:type="spellStart"/>
            <w:r w:rsidRPr="00D14CD7">
              <w:rPr>
                <w:rFonts w:eastAsia="Times New Roman"/>
                <w:color w:val="000000" w:themeColor="text1"/>
                <w:sz w:val="16"/>
              </w:rPr>
              <w:t>na</w:t>
            </w:r>
            <w:proofErr w:type="spellEnd"/>
          </w:p>
        </w:tc>
        <w:tc>
          <w:tcPr>
            <w:tcW w:w="146" w:type="pct"/>
            <w:tcBorders>
              <w:top w:val="single" w:sz="4" w:space="0" w:color="auto"/>
              <w:bottom w:val="single" w:sz="4" w:space="0" w:color="auto"/>
              <w:right w:val="double" w:sz="4" w:space="0" w:color="auto"/>
            </w:tcBorders>
            <w:shd w:val="clear" w:color="auto" w:fill="auto"/>
            <w:noWrap/>
            <w:vAlign w:val="center"/>
            <w:hideMark/>
          </w:tcPr>
          <w:p w14:paraId="4CF3B554" w14:textId="77777777" w:rsidR="00BE151D" w:rsidRPr="00D14CD7" w:rsidRDefault="00BE151D" w:rsidP="00567BE9">
            <w:pPr>
              <w:spacing w:after="0" w:line="240" w:lineRule="auto"/>
              <w:jc w:val="right"/>
              <w:rPr>
                <w:rFonts w:eastAsia="Times New Roman"/>
                <w:color w:val="000000" w:themeColor="text1"/>
                <w:sz w:val="16"/>
                <w:szCs w:val="16"/>
              </w:rPr>
            </w:pPr>
            <w:proofErr w:type="spellStart"/>
            <w:r w:rsidRPr="00D14CD7">
              <w:rPr>
                <w:rFonts w:eastAsia="Times New Roman"/>
                <w:color w:val="000000" w:themeColor="text1"/>
                <w:sz w:val="16"/>
              </w:rPr>
              <w:t>na</w:t>
            </w:r>
            <w:proofErr w:type="spellEnd"/>
          </w:p>
        </w:tc>
        <w:tc>
          <w:tcPr>
            <w:tcW w:w="184" w:type="pct"/>
            <w:tcBorders>
              <w:left w:val="double" w:sz="4" w:space="0" w:color="auto"/>
            </w:tcBorders>
            <w:shd w:val="clear" w:color="auto" w:fill="auto"/>
            <w:noWrap/>
            <w:vAlign w:val="center"/>
            <w:hideMark/>
          </w:tcPr>
          <w:p w14:paraId="3C802EF5" w14:textId="77777777" w:rsidR="00BE151D" w:rsidRPr="00D14CD7" w:rsidRDefault="00BE151D" w:rsidP="00567BE9">
            <w:pPr>
              <w:spacing w:after="0" w:line="240" w:lineRule="auto"/>
              <w:jc w:val="right"/>
              <w:rPr>
                <w:rFonts w:eastAsia="Times New Roman"/>
                <w:color w:val="000000" w:themeColor="text1"/>
                <w:sz w:val="16"/>
                <w:szCs w:val="16"/>
              </w:rPr>
            </w:pPr>
            <w:r w:rsidRPr="00D14CD7">
              <w:rPr>
                <w:rFonts w:eastAsia="Times New Roman"/>
                <w:color w:val="000000" w:themeColor="text1"/>
                <w:sz w:val="16"/>
              </w:rPr>
              <w:t>—</w:t>
            </w:r>
          </w:p>
        </w:tc>
        <w:tc>
          <w:tcPr>
            <w:tcW w:w="184" w:type="pct"/>
            <w:tcBorders>
              <w:top w:val="single" w:sz="4" w:space="0" w:color="auto"/>
              <w:bottom w:val="single" w:sz="4" w:space="0" w:color="auto"/>
              <w:right w:val="single" w:sz="8" w:space="0" w:color="auto"/>
            </w:tcBorders>
            <w:shd w:val="clear" w:color="auto" w:fill="auto"/>
            <w:noWrap/>
            <w:vAlign w:val="center"/>
            <w:hideMark/>
          </w:tcPr>
          <w:p w14:paraId="1C9645DF" w14:textId="77777777" w:rsidR="00BE151D" w:rsidRPr="00D14CD7" w:rsidRDefault="00BE151D" w:rsidP="00567BE9">
            <w:pPr>
              <w:spacing w:after="0" w:line="240" w:lineRule="auto"/>
              <w:jc w:val="right"/>
              <w:rPr>
                <w:rFonts w:eastAsia="Times New Roman"/>
                <w:color w:val="000000" w:themeColor="text1"/>
                <w:sz w:val="16"/>
                <w:szCs w:val="16"/>
              </w:rPr>
            </w:pPr>
            <w:r w:rsidRPr="00D14CD7">
              <w:rPr>
                <w:rFonts w:eastAsia="Times New Roman"/>
                <w:color w:val="000000" w:themeColor="text1"/>
                <w:sz w:val="16"/>
              </w:rPr>
              <w:t>—</w:t>
            </w:r>
          </w:p>
        </w:tc>
        <w:tc>
          <w:tcPr>
            <w:tcW w:w="184" w:type="pct"/>
            <w:tcBorders>
              <w:top w:val="single" w:sz="4" w:space="0" w:color="auto"/>
              <w:left w:val="single" w:sz="8" w:space="0" w:color="auto"/>
              <w:bottom w:val="single" w:sz="4" w:space="0" w:color="auto"/>
            </w:tcBorders>
            <w:shd w:val="clear" w:color="auto" w:fill="auto"/>
            <w:noWrap/>
            <w:vAlign w:val="center"/>
            <w:hideMark/>
          </w:tcPr>
          <w:p w14:paraId="4C033FD2" w14:textId="77777777" w:rsidR="00BE151D" w:rsidRPr="00D14CD7" w:rsidRDefault="00BE151D" w:rsidP="00567BE9">
            <w:pPr>
              <w:spacing w:after="0" w:line="240" w:lineRule="auto"/>
              <w:jc w:val="right"/>
              <w:rPr>
                <w:rFonts w:eastAsia="Times New Roman"/>
                <w:color w:val="000000" w:themeColor="text1"/>
                <w:sz w:val="16"/>
                <w:szCs w:val="16"/>
              </w:rPr>
            </w:pPr>
            <w:r w:rsidRPr="00D14CD7">
              <w:rPr>
                <w:rFonts w:eastAsia="Times New Roman"/>
                <w:color w:val="000000" w:themeColor="text1"/>
                <w:sz w:val="16"/>
              </w:rPr>
              <w:t>—</w:t>
            </w:r>
          </w:p>
        </w:tc>
        <w:tc>
          <w:tcPr>
            <w:tcW w:w="185" w:type="pct"/>
            <w:tcBorders>
              <w:top w:val="single" w:sz="4" w:space="0" w:color="auto"/>
              <w:bottom w:val="single" w:sz="4" w:space="0" w:color="auto"/>
              <w:right w:val="single" w:sz="8" w:space="0" w:color="auto"/>
            </w:tcBorders>
            <w:shd w:val="clear" w:color="auto" w:fill="auto"/>
            <w:noWrap/>
            <w:vAlign w:val="center"/>
            <w:hideMark/>
          </w:tcPr>
          <w:p w14:paraId="33B443E4" w14:textId="77777777" w:rsidR="00BE151D" w:rsidRPr="00D14CD7" w:rsidRDefault="00BE151D" w:rsidP="00567BE9">
            <w:pPr>
              <w:spacing w:after="0" w:line="240" w:lineRule="auto"/>
              <w:jc w:val="right"/>
              <w:rPr>
                <w:rFonts w:eastAsia="Times New Roman"/>
                <w:color w:val="000000" w:themeColor="text1"/>
                <w:sz w:val="16"/>
                <w:szCs w:val="16"/>
              </w:rPr>
            </w:pPr>
            <w:r w:rsidRPr="00D14CD7">
              <w:rPr>
                <w:rFonts w:eastAsia="Times New Roman"/>
                <w:color w:val="000000" w:themeColor="text1"/>
                <w:sz w:val="16"/>
              </w:rPr>
              <w:t>—</w:t>
            </w:r>
          </w:p>
        </w:tc>
        <w:tc>
          <w:tcPr>
            <w:tcW w:w="185" w:type="pct"/>
            <w:tcBorders>
              <w:top w:val="single" w:sz="4" w:space="0" w:color="auto"/>
              <w:left w:val="single" w:sz="8" w:space="0" w:color="auto"/>
              <w:bottom w:val="single" w:sz="4" w:space="0" w:color="auto"/>
            </w:tcBorders>
            <w:shd w:val="clear" w:color="auto" w:fill="auto"/>
            <w:noWrap/>
            <w:vAlign w:val="center"/>
            <w:hideMark/>
          </w:tcPr>
          <w:p w14:paraId="259D4B2F" w14:textId="77777777" w:rsidR="00BE151D" w:rsidRPr="00D14CD7" w:rsidRDefault="00BE151D" w:rsidP="00567BE9">
            <w:pPr>
              <w:spacing w:after="0" w:line="240" w:lineRule="auto"/>
              <w:jc w:val="right"/>
              <w:rPr>
                <w:rFonts w:eastAsia="Times New Roman"/>
                <w:color w:val="000000" w:themeColor="text1"/>
                <w:sz w:val="16"/>
                <w:szCs w:val="16"/>
              </w:rPr>
            </w:pPr>
            <w:r w:rsidRPr="00D14CD7">
              <w:rPr>
                <w:rFonts w:eastAsia="Times New Roman"/>
                <w:color w:val="000000" w:themeColor="text1"/>
                <w:sz w:val="16"/>
              </w:rPr>
              <w:t>—</w:t>
            </w:r>
          </w:p>
        </w:tc>
        <w:tc>
          <w:tcPr>
            <w:tcW w:w="185" w:type="pct"/>
            <w:tcBorders>
              <w:top w:val="single" w:sz="4" w:space="0" w:color="auto"/>
              <w:bottom w:val="single" w:sz="4" w:space="0" w:color="auto"/>
              <w:right w:val="single" w:sz="8" w:space="0" w:color="auto"/>
            </w:tcBorders>
            <w:shd w:val="clear" w:color="auto" w:fill="auto"/>
            <w:noWrap/>
            <w:vAlign w:val="center"/>
            <w:hideMark/>
          </w:tcPr>
          <w:p w14:paraId="1E5A1D3F" w14:textId="77777777" w:rsidR="00BE151D" w:rsidRPr="00D14CD7" w:rsidRDefault="00BE151D" w:rsidP="00567BE9">
            <w:pPr>
              <w:spacing w:after="0" w:line="240" w:lineRule="auto"/>
              <w:jc w:val="right"/>
              <w:rPr>
                <w:rFonts w:eastAsia="Times New Roman"/>
                <w:color w:val="000000" w:themeColor="text1"/>
                <w:sz w:val="16"/>
                <w:szCs w:val="16"/>
              </w:rPr>
            </w:pPr>
            <w:r w:rsidRPr="00D14CD7">
              <w:rPr>
                <w:rFonts w:eastAsia="Times New Roman"/>
                <w:color w:val="000000" w:themeColor="text1"/>
                <w:sz w:val="16"/>
              </w:rPr>
              <w:t>—</w:t>
            </w:r>
          </w:p>
        </w:tc>
        <w:tc>
          <w:tcPr>
            <w:tcW w:w="156" w:type="pct"/>
            <w:tcBorders>
              <w:left w:val="single" w:sz="8" w:space="0" w:color="auto"/>
            </w:tcBorders>
            <w:shd w:val="clear" w:color="auto" w:fill="auto"/>
            <w:noWrap/>
            <w:vAlign w:val="center"/>
            <w:hideMark/>
          </w:tcPr>
          <w:p w14:paraId="0220C532" w14:textId="77777777" w:rsidR="00BE151D" w:rsidRPr="00D14CD7" w:rsidRDefault="00BE151D" w:rsidP="00567BE9">
            <w:pPr>
              <w:spacing w:after="0" w:line="240" w:lineRule="auto"/>
              <w:jc w:val="right"/>
              <w:rPr>
                <w:rFonts w:eastAsia="Times New Roman"/>
                <w:color w:val="000000" w:themeColor="text1"/>
                <w:sz w:val="16"/>
                <w:szCs w:val="16"/>
              </w:rPr>
            </w:pPr>
            <w:proofErr w:type="spellStart"/>
            <w:r w:rsidRPr="00D14CD7">
              <w:rPr>
                <w:rFonts w:eastAsia="Times New Roman"/>
                <w:color w:val="000000" w:themeColor="text1"/>
                <w:sz w:val="16"/>
              </w:rPr>
              <w:t>na</w:t>
            </w:r>
            <w:proofErr w:type="spellEnd"/>
          </w:p>
        </w:tc>
        <w:tc>
          <w:tcPr>
            <w:tcW w:w="157" w:type="pct"/>
            <w:tcBorders>
              <w:right w:val="double" w:sz="4" w:space="0" w:color="auto"/>
            </w:tcBorders>
            <w:shd w:val="clear" w:color="auto" w:fill="auto"/>
            <w:noWrap/>
            <w:vAlign w:val="center"/>
            <w:hideMark/>
          </w:tcPr>
          <w:p w14:paraId="3E39B155" w14:textId="77777777" w:rsidR="00BE151D" w:rsidRPr="00D14CD7" w:rsidRDefault="00BE151D" w:rsidP="00567BE9">
            <w:pPr>
              <w:spacing w:after="0" w:line="240" w:lineRule="auto"/>
              <w:jc w:val="right"/>
              <w:rPr>
                <w:rFonts w:eastAsia="Times New Roman"/>
                <w:color w:val="000000" w:themeColor="text1"/>
                <w:sz w:val="16"/>
                <w:szCs w:val="16"/>
              </w:rPr>
            </w:pPr>
            <w:proofErr w:type="spellStart"/>
            <w:r w:rsidRPr="00D14CD7">
              <w:rPr>
                <w:rFonts w:eastAsia="Times New Roman"/>
                <w:color w:val="000000" w:themeColor="text1"/>
                <w:sz w:val="16"/>
              </w:rPr>
              <w:t>na</w:t>
            </w:r>
            <w:proofErr w:type="spellEnd"/>
          </w:p>
        </w:tc>
        <w:tc>
          <w:tcPr>
            <w:tcW w:w="187" w:type="pct"/>
            <w:tcBorders>
              <w:top w:val="single" w:sz="4" w:space="0" w:color="auto"/>
              <w:left w:val="double" w:sz="4" w:space="0" w:color="auto"/>
              <w:bottom w:val="single" w:sz="4" w:space="0" w:color="auto"/>
            </w:tcBorders>
            <w:shd w:val="clear" w:color="auto" w:fill="auto"/>
            <w:noWrap/>
            <w:vAlign w:val="bottom"/>
          </w:tcPr>
          <w:p w14:paraId="4654DD20" w14:textId="77777777" w:rsidR="00BE151D" w:rsidRPr="00D14CD7" w:rsidRDefault="00BE151D" w:rsidP="00567BE9">
            <w:pPr>
              <w:spacing w:after="0" w:line="240" w:lineRule="auto"/>
              <w:jc w:val="right"/>
              <w:rPr>
                <w:rFonts w:eastAsia="Times New Roman"/>
                <w:color w:val="000000" w:themeColor="text1"/>
                <w:sz w:val="16"/>
                <w:szCs w:val="16"/>
              </w:rPr>
            </w:pPr>
            <w:r w:rsidRPr="00D14CD7">
              <w:rPr>
                <w:color w:val="000000" w:themeColor="text1"/>
                <w:sz w:val="16"/>
                <w:szCs w:val="16"/>
              </w:rPr>
              <w:t>0.527</w:t>
            </w:r>
          </w:p>
        </w:tc>
        <w:tc>
          <w:tcPr>
            <w:tcW w:w="183" w:type="pct"/>
            <w:shd w:val="clear" w:color="auto" w:fill="auto"/>
            <w:noWrap/>
            <w:vAlign w:val="bottom"/>
          </w:tcPr>
          <w:p w14:paraId="40B3FDE6" w14:textId="77777777" w:rsidR="00BE151D" w:rsidRPr="00D14CD7" w:rsidRDefault="00BE151D" w:rsidP="00567BE9">
            <w:pPr>
              <w:spacing w:after="0" w:line="240" w:lineRule="auto"/>
              <w:jc w:val="right"/>
              <w:rPr>
                <w:rFonts w:eastAsia="Times New Roman"/>
                <w:color w:val="000000" w:themeColor="text1"/>
                <w:sz w:val="16"/>
                <w:szCs w:val="16"/>
              </w:rPr>
            </w:pPr>
            <w:r w:rsidRPr="00D14CD7">
              <w:rPr>
                <w:color w:val="000000" w:themeColor="text1"/>
                <w:sz w:val="16"/>
                <w:szCs w:val="16"/>
              </w:rPr>
              <w:t>3.84</w:t>
            </w:r>
          </w:p>
        </w:tc>
      </w:tr>
      <w:tr w:rsidR="00D14CD7" w:rsidRPr="00D14CD7" w14:paraId="564885D1" w14:textId="77777777" w:rsidTr="00567BE9">
        <w:trPr>
          <w:trHeight w:val="80"/>
        </w:trPr>
        <w:tc>
          <w:tcPr>
            <w:tcW w:w="1709" w:type="pct"/>
            <w:tcBorders>
              <w:top w:val="single" w:sz="4" w:space="0" w:color="auto"/>
              <w:bottom w:val="single" w:sz="4" w:space="0" w:color="auto"/>
              <w:right w:val="double" w:sz="4" w:space="0" w:color="auto"/>
            </w:tcBorders>
            <w:shd w:val="clear" w:color="auto" w:fill="auto"/>
            <w:noWrap/>
            <w:vAlign w:val="center"/>
            <w:hideMark/>
          </w:tcPr>
          <w:p w14:paraId="749AD8C8" w14:textId="77777777" w:rsidR="00BE151D" w:rsidRPr="00D14CD7" w:rsidRDefault="00BE151D" w:rsidP="00567BE9">
            <w:pPr>
              <w:spacing w:after="0" w:line="240" w:lineRule="auto"/>
              <w:ind w:firstLine="140"/>
              <w:rPr>
                <w:rFonts w:eastAsia="Times New Roman"/>
                <w:color w:val="000000" w:themeColor="text1"/>
                <w:sz w:val="16"/>
                <w:szCs w:val="16"/>
              </w:rPr>
            </w:pPr>
            <w:r w:rsidRPr="00D14CD7">
              <w:rPr>
                <w:rFonts w:eastAsia="Times New Roman"/>
                <w:color w:val="000000" w:themeColor="text1"/>
                <w:sz w:val="16"/>
              </w:rPr>
              <w:t>$100,000 - $149,999</w:t>
            </w:r>
          </w:p>
        </w:tc>
        <w:tc>
          <w:tcPr>
            <w:tcW w:w="227" w:type="pct"/>
            <w:tcBorders>
              <w:top w:val="single" w:sz="4" w:space="0" w:color="auto"/>
              <w:left w:val="double" w:sz="4" w:space="0" w:color="auto"/>
              <w:bottom w:val="single" w:sz="4" w:space="0" w:color="auto"/>
            </w:tcBorders>
            <w:shd w:val="clear" w:color="auto" w:fill="auto"/>
            <w:noWrap/>
            <w:vAlign w:val="bottom"/>
          </w:tcPr>
          <w:p w14:paraId="737B65B1" w14:textId="77777777" w:rsidR="00BE151D" w:rsidRPr="00D14CD7" w:rsidRDefault="00BE151D" w:rsidP="00567BE9">
            <w:pPr>
              <w:spacing w:after="0" w:line="240" w:lineRule="auto"/>
              <w:jc w:val="right"/>
              <w:rPr>
                <w:rFonts w:eastAsia="Times New Roman"/>
                <w:color w:val="000000" w:themeColor="text1"/>
                <w:sz w:val="16"/>
                <w:szCs w:val="16"/>
              </w:rPr>
            </w:pPr>
            <w:r w:rsidRPr="00D14CD7">
              <w:rPr>
                <w:color w:val="000000" w:themeColor="text1"/>
                <w:sz w:val="16"/>
                <w:szCs w:val="16"/>
              </w:rPr>
              <w:t>-0.805</w:t>
            </w:r>
          </w:p>
        </w:tc>
        <w:tc>
          <w:tcPr>
            <w:tcW w:w="199" w:type="pct"/>
            <w:tcBorders>
              <w:top w:val="single" w:sz="4" w:space="0" w:color="auto"/>
              <w:bottom w:val="single" w:sz="4" w:space="0" w:color="auto"/>
              <w:right w:val="single" w:sz="8" w:space="0" w:color="auto"/>
            </w:tcBorders>
            <w:shd w:val="clear" w:color="auto" w:fill="auto"/>
            <w:noWrap/>
            <w:vAlign w:val="bottom"/>
          </w:tcPr>
          <w:p w14:paraId="5FF92D03" w14:textId="77777777" w:rsidR="00BE151D" w:rsidRPr="00D14CD7" w:rsidRDefault="00BE151D" w:rsidP="00567BE9">
            <w:pPr>
              <w:spacing w:after="0" w:line="240" w:lineRule="auto"/>
              <w:jc w:val="right"/>
              <w:rPr>
                <w:rFonts w:eastAsia="Times New Roman"/>
                <w:color w:val="000000" w:themeColor="text1"/>
                <w:sz w:val="16"/>
                <w:szCs w:val="16"/>
              </w:rPr>
            </w:pPr>
            <w:r w:rsidRPr="00D14CD7">
              <w:rPr>
                <w:color w:val="000000" w:themeColor="text1"/>
                <w:sz w:val="16"/>
                <w:szCs w:val="16"/>
              </w:rPr>
              <w:t>-6.49</w:t>
            </w:r>
          </w:p>
        </w:tc>
        <w:tc>
          <w:tcPr>
            <w:tcW w:w="184" w:type="pct"/>
            <w:tcBorders>
              <w:top w:val="single" w:sz="4" w:space="0" w:color="auto"/>
              <w:left w:val="single" w:sz="8" w:space="0" w:color="auto"/>
              <w:bottom w:val="single" w:sz="4" w:space="0" w:color="auto"/>
            </w:tcBorders>
            <w:shd w:val="clear" w:color="auto" w:fill="auto"/>
            <w:noWrap/>
            <w:vAlign w:val="bottom"/>
          </w:tcPr>
          <w:p w14:paraId="7540B3B6" w14:textId="77777777" w:rsidR="00BE151D" w:rsidRPr="00D14CD7" w:rsidRDefault="00BE151D" w:rsidP="00567BE9">
            <w:pPr>
              <w:spacing w:after="0" w:line="240" w:lineRule="auto"/>
              <w:jc w:val="right"/>
              <w:rPr>
                <w:rFonts w:eastAsia="Times New Roman"/>
                <w:color w:val="000000" w:themeColor="text1"/>
                <w:sz w:val="16"/>
                <w:szCs w:val="16"/>
              </w:rPr>
            </w:pPr>
            <w:r w:rsidRPr="00D14CD7">
              <w:rPr>
                <w:color w:val="000000" w:themeColor="text1"/>
                <w:sz w:val="16"/>
                <w:szCs w:val="16"/>
              </w:rPr>
              <w:t>-0.722</w:t>
            </w:r>
          </w:p>
        </w:tc>
        <w:tc>
          <w:tcPr>
            <w:tcW w:w="185" w:type="pct"/>
            <w:tcBorders>
              <w:top w:val="single" w:sz="4" w:space="0" w:color="auto"/>
              <w:bottom w:val="single" w:sz="4" w:space="0" w:color="auto"/>
              <w:right w:val="single" w:sz="8" w:space="0" w:color="auto"/>
            </w:tcBorders>
            <w:shd w:val="clear" w:color="auto" w:fill="auto"/>
            <w:noWrap/>
            <w:vAlign w:val="bottom"/>
          </w:tcPr>
          <w:p w14:paraId="4E3B5556" w14:textId="77777777" w:rsidR="00BE151D" w:rsidRPr="00D14CD7" w:rsidRDefault="00BE151D" w:rsidP="00567BE9">
            <w:pPr>
              <w:spacing w:after="0" w:line="240" w:lineRule="auto"/>
              <w:jc w:val="right"/>
              <w:rPr>
                <w:rFonts w:eastAsia="Times New Roman"/>
                <w:color w:val="000000" w:themeColor="text1"/>
                <w:sz w:val="16"/>
                <w:szCs w:val="16"/>
              </w:rPr>
            </w:pPr>
            <w:r w:rsidRPr="00D14CD7">
              <w:rPr>
                <w:color w:val="000000" w:themeColor="text1"/>
                <w:sz w:val="16"/>
                <w:szCs w:val="16"/>
              </w:rPr>
              <w:t>-6.36</w:t>
            </w:r>
          </w:p>
        </w:tc>
        <w:tc>
          <w:tcPr>
            <w:tcW w:w="184" w:type="pct"/>
            <w:tcBorders>
              <w:top w:val="single" w:sz="4" w:space="0" w:color="auto"/>
              <w:left w:val="single" w:sz="8" w:space="0" w:color="auto"/>
              <w:bottom w:val="single" w:sz="4" w:space="0" w:color="auto"/>
            </w:tcBorders>
            <w:shd w:val="clear" w:color="auto" w:fill="auto"/>
            <w:noWrap/>
            <w:vAlign w:val="center"/>
            <w:hideMark/>
          </w:tcPr>
          <w:p w14:paraId="5545A6C6" w14:textId="77777777" w:rsidR="00BE151D" w:rsidRPr="00D14CD7" w:rsidRDefault="00BE151D" w:rsidP="00567BE9">
            <w:pPr>
              <w:spacing w:after="0" w:line="240" w:lineRule="auto"/>
              <w:jc w:val="right"/>
              <w:rPr>
                <w:rFonts w:eastAsia="Times New Roman"/>
                <w:color w:val="000000" w:themeColor="text1"/>
                <w:sz w:val="16"/>
                <w:szCs w:val="16"/>
              </w:rPr>
            </w:pPr>
            <w:r w:rsidRPr="00D14CD7">
              <w:rPr>
                <w:rFonts w:eastAsia="Times New Roman"/>
                <w:color w:val="000000" w:themeColor="text1"/>
                <w:sz w:val="16"/>
              </w:rPr>
              <w:t>—</w:t>
            </w:r>
          </w:p>
        </w:tc>
        <w:tc>
          <w:tcPr>
            <w:tcW w:w="188" w:type="pct"/>
            <w:tcBorders>
              <w:top w:val="single" w:sz="4" w:space="0" w:color="auto"/>
              <w:bottom w:val="single" w:sz="4" w:space="0" w:color="auto"/>
              <w:right w:val="single" w:sz="8" w:space="0" w:color="auto"/>
            </w:tcBorders>
            <w:shd w:val="clear" w:color="auto" w:fill="auto"/>
            <w:noWrap/>
            <w:vAlign w:val="center"/>
            <w:hideMark/>
          </w:tcPr>
          <w:p w14:paraId="6C1BCE4C" w14:textId="77777777" w:rsidR="00BE151D" w:rsidRPr="00D14CD7" w:rsidRDefault="00BE151D" w:rsidP="00567BE9">
            <w:pPr>
              <w:spacing w:after="0" w:line="240" w:lineRule="auto"/>
              <w:jc w:val="right"/>
              <w:rPr>
                <w:rFonts w:eastAsia="Times New Roman"/>
                <w:color w:val="000000" w:themeColor="text1"/>
                <w:sz w:val="16"/>
                <w:szCs w:val="16"/>
              </w:rPr>
            </w:pPr>
            <w:r w:rsidRPr="00D14CD7">
              <w:rPr>
                <w:rFonts w:eastAsia="Times New Roman"/>
                <w:color w:val="000000" w:themeColor="text1"/>
                <w:sz w:val="16"/>
              </w:rPr>
              <w:t>—</w:t>
            </w:r>
          </w:p>
        </w:tc>
        <w:tc>
          <w:tcPr>
            <w:tcW w:w="188" w:type="pct"/>
            <w:tcBorders>
              <w:top w:val="single" w:sz="4" w:space="0" w:color="auto"/>
              <w:left w:val="single" w:sz="8" w:space="0" w:color="auto"/>
              <w:bottom w:val="single" w:sz="4" w:space="0" w:color="auto"/>
            </w:tcBorders>
            <w:shd w:val="clear" w:color="auto" w:fill="auto"/>
            <w:noWrap/>
            <w:vAlign w:val="center"/>
            <w:hideMark/>
          </w:tcPr>
          <w:p w14:paraId="01C627AF" w14:textId="77777777" w:rsidR="00BE151D" w:rsidRPr="00D14CD7" w:rsidRDefault="00BE151D" w:rsidP="00567BE9">
            <w:pPr>
              <w:spacing w:after="0" w:line="240" w:lineRule="auto"/>
              <w:jc w:val="right"/>
              <w:rPr>
                <w:rFonts w:eastAsia="Times New Roman"/>
                <w:color w:val="000000" w:themeColor="text1"/>
                <w:sz w:val="16"/>
                <w:szCs w:val="16"/>
              </w:rPr>
            </w:pPr>
            <w:proofErr w:type="spellStart"/>
            <w:r w:rsidRPr="00D14CD7">
              <w:rPr>
                <w:rFonts w:eastAsia="Times New Roman"/>
                <w:color w:val="000000" w:themeColor="text1"/>
                <w:sz w:val="16"/>
              </w:rPr>
              <w:t>na</w:t>
            </w:r>
            <w:proofErr w:type="spellEnd"/>
          </w:p>
        </w:tc>
        <w:tc>
          <w:tcPr>
            <w:tcW w:w="146" w:type="pct"/>
            <w:tcBorders>
              <w:top w:val="single" w:sz="4" w:space="0" w:color="auto"/>
              <w:bottom w:val="single" w:sz="4" w:space="0" w:color="auto"/>
              <w:right w:val="double" w:sz="4" w:space="0" w:color="auto"/>
            </w:tcBorders>
            <w:shd w:val="clear" w:color="auto" w:fill="auto"/>
            <w:noWrap/>
            <w:vAlign w:val="center"/>
            <w:hideMark/>
          </w:tcPr>
          <w:p w14:paraId="29ED119C" w14:textId="77777777" w:rsidR="00BE151D" w:rsidRPr="00D14CD7" w:rsidRDefault="00BE151D" w:rsidP="00567BE9">
            <w:pPr>
              <w:spacing w:after="0" w:line="240" w:lineRule="auto"/>
              <w:jc w:val="right"/>
              <w:rPr>
                <w:rFonts w:eastAsia="Times New Roman"/>
                <w:color w:val="000000" w:themeColor="text1"/>
                <w:sz w:val="16"/>
                <w:szCs w:val="16"/>
              </w:rPr>
            </w:pPr>
            <w:proofErr w:type="spellStart"/>
            <w:r w:rsidRPr="00D14CD7">
              <w:rPr>
                <w:rFonts w:eastAsia="Times New Roman"/>
                <w:color w:val="000000" w:themeColor="text1"/>
                <w:sz w:val="16"/>
              </w:rPr>
              <w:t>na</w:t>
            </w:r>
            <w:proofErr w:type="spellEnd"/>
          </w:p>
        </w:tc>
        <w:tc>
          <w:tcPr>
            <w:tcW w:w="184" w:type="pct"/>
            <w:tcBorders>
              <w:left w:val="double" w:sz="4" w:space="0" w:color="auto"/>
            </w:tcBorders>
            <w:shd w:val="clear" w:color="auto" w:fill="auto"/>
            <w:noWrap/>
            <w:vAlign w:val="center"/>
            <w:hideMark/>
          </w:tcPr>
          <w:p w14:paraId="06C94786" w14:textId="77777777" w:rsidR="00BE151D" w:rsidRPr="00D14CD7" w:rsidRDefault="00BE151D" w:rsidP="00567BE9">
            <w:pPr>
              <w:spacing w:after="0" w:line="240" w:lineRule="auto"/>
              <w:jc w:val="right"/>
              <w:rPr>
                <w:rFonts w:eastAsia="Times New Roman"/>
                <w:color w:val="000000" w:themeColor="text1"/>
                <w:sz w:val="16"/>
                <w:szCs w:val="16"/>
              </w:rPr>
            </w:pPr>
            <w:r w:rsidRPr="00D14CD7">
              <w:rPr>
                <w:rFonts w:eastAsia="Times New Roman"/>
                <w:color w:val="000000" w:themeColor="text1"/>
                <w:sz w:val="16"/>
              </w:rPr>
              <w:t>—</w:t>
            </w:r>
          </w:p>
        </w:tc>
        <w:tc>
          <w:tcPr>
            <w:tcW w:w="184" w:type="pct"/>
            <w:tcBorders>
              <w:top w:val="single" w:sz="4" w:space="0" w:color="auto"/>
              <w:bottom w:val="single" w:sz="4" w:space="0" w:color="auto"/>
              <w:right w:val="single" w:sz="8" w:space="0" w:color="auto"/>
            </w:tcBorders>
            <w:shd w:val="clear" w:color="auto" w:fill="auto"/>
            <w:noWrap/>
            <w:vAlign w:val="center"/>
            <w:hideMark/>
          </w:tcPr>
          <w:p w14:paraId="72C98C7C" w14:textId="77777777" w:rsidR="00BE151D" w:rsidRPr="00D14CD7" w:rsidRDefault="00BE151D" w:rsidP="00567BE9">
            <w:pPr>
              <w:spacing w:after="0" w:line="240" w:lineRule="auto"/>
              <w:jc w:val="right"/>
              <w:rPr>
                <w:rFonts w:eastAsia="Times New Roman"/>
                <w:color w:val="000000" w:themeColor="text1"/>
                <w:sz w:val="16"/>
                <w:szCs w:val="16"/>
              </w:rPr>
            </w:pPr>
            <w:r w:rsidRPr="00D14CD7">
              <w:rPr>
                <w:rFonts w:eastAsia="Times New Roman"/>
                <w:color w:val="000000" w:themeColor="text1"/>
                <w:sz w:val="16"/>
              </w:rPr>
              <w:t>—</w:t>
            </w:r>
          </w:p>
        </w:tc>
        <w:tc>
          <w:tcPr>
            <w:tcW w:w="184" w:type="pct"/>
            <w:tcBorders>
              <w:top w:val="single" w:sz="4" w:space="0" w:color="auto"/>
              <w:left w:val="single" w:sz="8" w:space="0" w:color="auto"/>
              <w:bottom w:val="single" w:sz="4" w:space="0" w:color="auto"/>
            </w:tcBorders>
            <w:shd w:val="clear" w:color="auto" w:fill="auto"/>
            <w:noWrap/>
            <w:vAlign w:val="center"/>
            <w:hideMark/>
          </w:tcPr>
          <w:p w14:paraId="391F62B7" w14:textId="77777777" w:rsidR="00BE151D" w:rsidRPr="00D14CD7" w:rsidRDefault="00BE151D" w:rsidP="00567BE9">
            <w:pPr>
              <w:spacing w:after="0" w:line="240" w:lineRule="auto"/>
              <w:jc w:val="right"/>
              <w:rPr>
                <w:rFonts w:eastAsia="Times New Roman"/>
                <w:color w:val="000000" w:themeColor="text1"/>
                <w:sz w:val="16"/>
                <w:szCs w:val="16"/>
              </w:rPr>
            </w:pPr>
            <w:r w:rsidRPr="00D14CD7">
              <w:rPr>
                <w:rFonts w:eastAsia="Times New Roman"/>
                <w:color w:val="000000" w:themeColor="text1"/>
                <w:sz w:val="16"/>
              </w:rPr>
              <w:t>—</w:t>
            </w:r>
          </w:p>
        </w:tc>
        <w:tc>
          <w:tcPr>
            <w:tcW w:w="185" w:type="pct"/>
            <w:tcBorders>
              <w:top w:val="single" w:sz="4" w:space="0" w:color="auto"/>
              <w:bottom w:val="single" w:sz="4" w:space="0" w:color="auto"/>
              <w:right w:val="single" w:sz="8" w:space="0" w:color="auto"/>
            </w:tcBorders>
            <w:shd w:val="clear" w:color="auto" w:fill="auto"/>
            <w:noWrap/>
            <w:vAlign w:val="center"/>
            <w:hideMark/>
          </w:tcPr>
          <w:p w14:paraId="041ACF17" w14:textId="77777777" w:rsidR="00BE151D" w:rsidRPr="00D14CD7" w:rsidRDefault="00BE151D" w:rsidP="00567BE9">
            <w:pPr>
              <w:spacing w:after="0" w:line="240" w:lineRule="auto"/>
              <w:jc w:val="right"/>
              <w:rPr>
                <w:rFonts w:eastAsia="Times New Roman"/>
                <w:color w:val="000000" w:themeColor="text1"/>
                <w:sz w:val="16"/>
                <w:szCs w:val="16"/>
              </w:rPr>
            </w:pPr>
            <w:r w:rsidRPr="00D14CD7">
              <w:rPr>
                <w:rFonts w:eastAsia="Times New Roman"/>
                <w:color w:val="000000" w:themeColor="text1"/>
                <w:sz w:val="16"/>
              </w:rPr>
              <w:t>—</w:t>
            </w:r>
          </w:p>
        </w:tc>
        <w:tc>
          <w:tcPr>
            <w:tcW w:w="185" w:type="pct"/>
            <w:tcBorders>
              <w:top w:val="single" w:sz="4" w:space="0" w:color="auto"/>
              <w:left w:val="single" w:sz="8" w:space="0" w:color="auto"/>
              <w:bottom w:val="single" w:sz="4" w:space="0" w:color="auto"/>
            </w:tcBorders>
            <w:shd w:val="clear" w:color="auto" w:fill="auto"/>
            <w:noWrap/>
            <w:vAlign w:val="center"/>
            <w:hideMark/>
          </w:tcPr>
          <w:p w14:paraId="13875935" w14:textId="77777777" w:rsidR="00BE151D" w:rsidRPr="00D14CD7" w:rsidRDefault="00BE151D" w:rsidP="00567BE9">
            <w:pPr>
              <w:spacing w:after="0" w:line="240" w:lineRule="auto"/>
              <w:jc w:val="right"/>
              <w:rPr>
                <w:rFonts w:eastAsia="Times New Roman"/>
                <w:color w:val="000000" w:themeColor="text1"/>
                <w:sz w:val="16"/>
                <w:szCs w:val="16"/>
              </w:rPr>
            </w:pPr>
            <w:r w:rsidRPr="00D14CD7">
              <w:rPr>
                <w:rFonts w:eastAsia="Times New Roman"/>
                <w:color w:val="000000" w:themeColor="text1"/>
                <w:sz w:val="16"/>
              </w:rPr>
              <w:t>—</w:t>
            </w:r>
          </w:p>
        </w:tc>
        <w:tc>
          <w:tcPr>
            <w:tcW w:w="185" w:type="pct"/>
            <w:tcBorders>
              <w:top w:val="single" w:sz="4" w:space="0" w:color="auto"/>
              <w:bottom w:val="single" w:sz="4" w:space="0" w:color="auto"/>
              <w:right w:val="single" w:sz="8" w:space="0" w:color="auto"/>
            </w:tcBorders>
            <w:shd w:val="clear" w:color="auto" w:fill="auto"/>
            <w:noWrap/>
            <w:vAlign w:val="center"/>
            <w:hideMark/>
          </w:tcPr>
          <w:p w14:paraId="4A761467" w14:textId="77777777" w:rsidR="00BE151D" w:rsidRPr="00D14CD7" w:rsidRDefault="00BE151D" w:rsidP="00567BE9">
            <w:pPr>
              <w:spacing w:after="0" w:line="240" w:lineRule="auto"/>
              <w:jc w:val="right"/>
              <w:rPr>
                <w:rFonts w:eastAsia="Times New Roman"/>
                <w:color w:val="000000" w:themeColor="text1"/>
                <w:sz w:val="16"/>
                <w:szCs w:val="16"/>
              </w:rPr>
            </w:pPr>
            <w:r w:rsidRPr="00D14CD7">
              <w:rPr>
                <w:rFonts w:eastAsia="Times New Roman"/>
                <w:color w:val="000000" w:themeColor="text1"/>
                <w:sz w:val="16"/>
              </w:rPr>
              <w:t>—</w:t>
            </w:r>
          </w:p>
        </w:tc>
        <w:tc>
          <w:tcPr>
            <w:tcW w:w="156" w:type="pct"/>
            <w:tcBorders>
              <w:left w:val="single" w:sz="8" w:space="0" w:color="auto"/>
            </w:tcBorders>
            <w:shd w:val="clear" w:color="auto" w:fill="auto"/>
            <w:noWrap/>
            <w:vAlign w:val="center"/>
            <w:hideMark/>
          </w:tcPr>
          <w:p w14:paraId="2EF99E91" w14:textId="77777777" w:rsidR="00BE151D" w:rsidRPr="00D14CD7" w:rsidRDefault="00BE151D" w:rsidP="00567BE9">
            <w:pPr>
              <w:spacing w:after="0" w:line="240" w:lineRule="auto"/>
              <w:jc w:val="right"/>
              <w:rPr>
                <w:rFonts w:eastAsia="Times New Roman"/>
                <w:color w:val="000000" w:themeColor="text1"/>
                <w:sz w:val="16"/>
                <w:szCs w:val="16"/>
              </w:rPr>
            </w:pPr>
            <w:proofErr w:type="spellStart"/>
            <w:r w:rsidRPr="00D14CD7">
              <w:rPr>
                <w:rFonts w:eastAsia="Times New Roman"/>
                <w:color w:val="000000" w:themeColor="text1"/>
                <w:sz w:val="16"/>
              </w:rPr>
              <w:t>na</w:t>
            </w:r>
            <w:proofErr w:type="spellEnd"/>
          </w:p>
        </w:tc>
        <w:tc>
          <w:tcPr>
            <w:tcW w:w="157" w:type="pct"/>
            <w:tcBorders>
              <w:right w:val="double" w:sz="4" w:space="0" w:color="auto"/>
            </w:tcBorders>
            <w:shd w:val="clear" w:color="auto" w:fill="auto"/>
            <w:noWrap/>
            <w:vAlign w:val="center"/>
            <w:hideMark/>
          </w:tcPr>
          <w:p w14:paraId="3944F0C6" w14:textId="77777777" w:rsidR="00BE151D" w:rsidRPr="00D14CD7" w:rsidRDefault="00BE151D" w:rsidP="00567BE9">
            <w:pPr>
              <w:spacing w:after="0" w:line="240" w:lineRule="auto"/>
              <w:jc w:val="right"/>
              <w:rPr>
                <w:rFonts w:eastAsia="Times New Roman"/>
                <w:color w:val="000000" w:themeColor="text1"/>
                <w:sz w:val="16"/>
                <w:szCs w:val="16"/>
              </w:rPr>
            </w:pPr>
            <w:proofErr w:type="spellStart"/>
            <w:r w:rsidRPr="00D14CD7">
              <w:rPr>
                <w:rFonts w:eastAsia="Times New Roman"/>
                <w:color w:val="000000" w:themeColor="text1"/>
                <w:sz w:val="16"/>
              </w:rPr>
              <w:t>na</w:t>
            </w:r>
            <w:proofErr w:type="spellEnd"/>
          </w:p>
        </w:tc>
        <w:tc>
          <w:tcPr>
            <w:tcW w:w="187" w:type="pct"/>
            <w:tcBorders>
              <w:top w:val="single" w:sz="4" w:space="0" w:color="auto"/>
              <w:left w:val="double" w:sz="4" w:space="0" w:color="auto"/>
              <w:bottom w:val="single" w:sz="4" w:space="0" w:color="auto"/>
            </w:tcBorders>
            <w:shd w:val="clear" w:color="auto" w:fill="auto"/>
            <w:noWrap/>
            <w:vAlign w:val="bottom"/>
          </w:tcPr>
          <w:p w14:paraId="24D5BC70" w14:textId="77777777" w:rsidR="00BE151D" w:rsidRPr="00D14CD7" w:rsidRDefault="00BE151D" w:rsidP="00567BE9">
            <w:pPr>
              <w:spacing w:after="0" w:line="240" w:lineRule="auto"/>
              <w:jc w:val="right"/>
              <w:rPr>
                <w:rFonts w:eastAsia="Times New Roman"/>
                <w:color w:val="000000" w:themeColor="text1"/>
                <w:sz w:val="16"/>
                <w:szCs w:val="16"/>
              </w:rPr>
            </w:pPr>
            <w:r w:rsidRPr="00D14CD7">
              <w:rPr>
                <w:color w:val="000000" w:themeColor="text1"/>
                <w:sz w:val="16"/>
                <w:szCs w:val="16"/>
              </w:rPr>
              <w:t>0.579</w:t>
            </w:r>
          </w:p>
        </w:tc>
        <w:tc>
          <w:tcPr>
            <w:tcW w:w="183" w:type="pct"/>
            <w:shd w:val="clear" w:color="auto" w:fill="auto"/>
            <w:noWrap/>
            <w:vAlign w:val="bottom"/>
          </w:tcPr>
          <w:p w14:paraId="36AAECBB" w14:textId="77777777" w:rsidR="00BE151D" w:rsidRPr="00D14CD7" w:rsidRDefault="00BE151D" w:rsidP="00567BE9">
            <w:pPr>
              <w:spacing w:after="0" w:line="240" w:lineRule="auto"/>
              <w:jc w:val="right"/>
              <w:rPr>
                <w:rFonts w:eastAsia="Times New Roman"/>
                <w:color w:val="000000" w:themeColor="text1"/>
                <w:sz w:val="16"/>
                <w:szCs w:val="16"/>
              </w:rPr>
            </w:pPr>
            <w:r w:rsidRPr="00D14CD7">
              <w:rPr>
                <w:color w:val="000000" w:themeColor="text1"/>
                <w:sz w:val="16"/>
                <w:szCs w:val="16"/>
              </w:rPr>
              <w:t>4.15</w:t>
            </w:r>
          </w:p>
        </w:tc>
      </w:tr>
      <w:tr w:rsidR="00D14CD7" w:rsidRPr="00D14CD7" w14:paraId="0D74B43D" w14:textId="77777777" w:rsidTr="00567BE9">
        <w:trPr>
          <w:trHeight w:val="72"/>
        </w:trPr>
        <w:tc>
          <w:tcPr>
            <w:tcW w:w="1709" w:type="pct"/>
            <w:tcBorders>
              <w:top w:val="single" w:sz="4" w:space="0" w:color="auto"/>
              <w:bottom w:val="single" w:sz="8" w:space="0" w:color="auto"/>
              <w:right w:val="double" w:sz="4" w:space="0" w:color="auto"/>
            </w:tcBorders>
            <w:shd w:val="clear" w:color="auto" w:fill="auto"/>
            <w:noWrap/>
            <w:vAlign w:val="center"/>
            <w:hideMark/>
          </w:tcPr>
          <w:p w14:paraId="3742927F" w14:textId="77777777" w:rsidR="00BE151D" w:rsidRPr="00D14CD7" w:rsidRDefault="00BE151D" w:rsidP="00567BE9">
            <w:pPr>
              <w:spacing w:after="0" w:line="240" w:lineRule="auto"/>
              <w:ind w:firstLine="140"/>
              <w:rPr>
                <w:rFonts w:eastAsia="Times New Roman"/>
                <w:color w:val="000000" w:themeColor="text1"/>
                <w:sz w:val="16"/>
                <w:szCs w:val="16"/>
              </w:rPr>
            </w:pPr>
            <w:r w:rsidRPr="00D14CD7">
              <w:rPr>
                <w:rFonts w:eastAsia="Times New Roman"/>
                <w:color w:val="000000" w:themeColor="text1"/>
                <w:sz w:val="16"/>
              </w:rPr>
              <w:t>&gt;$150,000</w:t>
            </w:r>
          </w:p>
        </w:tc>
        <w:tc>
          <w:tcPr>
            <w:tcW w:w="227" w:type="pct"/>
            <w:tcBorders>
              <w:top w:val="single" w:sz="4" w:space="0" w:color="auto"/>
              <w:left w:val="double" w:sz="4" w:space="0" w:color="auto"/>
              <w:bottom w:val="single" w:sz="8" w:space="0" w:color="auto"/>
            </w:tcBorders>
            <w:shd w:val="clear" w:color="auto" w:fill="auto"/>
            <w:noWrap/>
            <w:vAlign w:val="bottom"/>
          </w:tcPr>
          <w:p w14:paraId="0FFAD760" w14:textId="77777777" w:rsidR="00BE151D" w:rsidRPr="00D14CD7" w:rsidRDefault="00BE151D" w:rsidP="00567BE9">
            <w:pPr>
              <w:spacing w:after="0" w:line="240" w:lineRule="auto"/>
              <w:jc w:val="right"/>
              <w:rPr>
                <w:rFonts w:eastAsia="Times New Roman"/>
                <w:color w:val="000000" w:themeColor="text1"/>
                <w:sz w:val="16"/>
                <w:szCs w:val="16"/>
              </w:rPr>
            </w:pPr>
            <w:r w:rsidRPr="00D14CD7">
              <w:rPr>
                <w:color w:val="000000" w:themeColor="text1"/>
                <w:sz w:val="16"/>
                <w:szCs w:val="16"/>
              </w:rPr>
              <w:t>-2.357</w:t>
            </w:r>
          </w:p>
        </w:tc>
        <w:tc>
          <w:tcPr>
            <w:tcW w:w="199" w:type="pct"/>
            <w:tcBorders>
              <w:top w:val="single" w:sz="4" w:space="0" w:color="auto"/>
              <w:bottom w:val="single" w:sz="8" w:space="0" w:color="auto"/>
              <w:right w:val="single" w:sz="8" w:space="0" w:color="auto"/>
            </w:tcBorders>
            <w:shd w:val="clear" w:color="auto" w:fill="auto"/>
            <w:noWrap/>
            <w:vAlign w:val="bottom"/>
          </w:tcPr>
          <w:p w14:paraId="25252B0F" w14:textId="77777777" w:rsidR="00BE151D" w:rsidRPr="00D14CD7" w:rsidRDefault="00BE151D" w:rsidP="00567BE9">
            <w:pPr>
              <w:spacing w:after="0" w:line="240" w:lineRule="auto"/>
              <w:jc w:val="right"/>
              <w:rPr>
                <w:rFonts w:eastAsia="Times New Roman"/>
                <w:color w:val="000000" w:themeColor="text1"/>
                <w:sz w:val="16"/>
                <w:szCs w:val="16"/>
              </w:rPr>
            </w:pPr>
            <w:r w:rsidRPr="00D14CD7">
              <w:rPr>
                <w:color w:val="000000" w:themeColor="text1"/>
                <w:sz w:val="16"/>
                <w:szCs w:val="16"/>
              </w:rPr>
              <w:t>-11.80</w:t>
            </w:r>
          </w:p>
        </w:tc>
        <w:tc>
          <w:tcPr>
            <w:tcW w:w="184" w:type="pct"/>
            <w:tcBorders>
              <w:top w:val="single" w:sz="4" w:space="0" w:color="auto"/>
              <w:left w:val="single" w:sz="8" w:space="0" w:color="auto"/>
              <w:bottom w:val="single" w:sz="8" w:space="0" w:color="auto"/>
            </w:tcBorders>
            <w:shd w:val="clear" w:color="auto" w:fill="auto"/>
            <w:noWrap/>
            <w:vAlign w:val="bottom"/>
          </w:tcPr>
          <w:p w14:paraId="1DF1A63C" w14:textId="77777777" w:rsidR="00BE151D" w:rsidRPr="00D14CD7" w:rsidRDefault="00BE151D" w:rsidP="00567BE9">
            <w:pPr>
              <w:spacing w:after="0" w:line="240" w:lineRule="auto"/>
              <w:jc w:val="right"/>
              <w:rPr>
                <w:rFonts w:eastAsia="Times New Roman"/>
                <w:color w:val="000000" w:themeColor="text1"/>
                <w:sz w:val="16"/>
                <w:szCs w:val="16"/>
              </w:rPr>
            </w:pPr>
            <w:r w:rsidRPr="00D14CD7">
              <w:rPr>
                <w:color w:val="000000" w:themeColor="text1"/>
                <w:sz w:val="16"/>
                <w:szCs w:val="16"/>
              </w:rPr>
              <w:t>-1.358</w:t>
            </w:r>
          </w:p>
        </w:tc>
        <w:tc>
          <w:tcPr>
            <w:tcW w:w="185" w:type="pct"/>
            <w:tcBorders>
              <w:top w:val="single" w:sz="4" w:space="0" w:color="auto"/>
              <w:bottom w:val="single" w:sz="8" w:space="0" w:color="auto"/>
              <w:right w:val="single" w:sz="8" w:space="0" w:color="auto"/>
            </w:tcBorders>
            <w:shd w:val="clear" w:color="auto" w:fill="auto"/>
            <w:noWrap/>
            <w:vAlign w:val="bottom"/>
          </w:tcPr>
          <w:p w14:paraId="5A82FFB9" w14:textId="77777777" w:rsidR="00BE151D" w:rsidRPr="00D14CD7" w:rsidRDefault="00BE151D" w:rsidP="00567BE9">
            <w:pPr>
              <w:spacing w:after="0" w:line="240" w:lineRule="auto"/>
              <w:jc w:val="right"/>
              <w:rPr>
                <w:rFonts w:eastAsia="Times New Roman"/>
                <w:color w:val="000000" w:themeColor="text1"/>
                <w:sz w:val="16"/>
                <w:szCs w:val="16"/>
              </w:rPr>
            </w:pPr>
            <w:r w:rsidRPr="00D14CD7">
              <w:rPr>
                <w:color w:val="000000" w:themeColor="text1"/>
                <w:sz w:val="16"/>
                <w:szCs w:val="16"/>
              </w:rPr>
              <w:t>-10.53</w:t>
            </w:r>
          </w:p>
        </w:tc>
        <w:tc>
          <w:tcPr>
            <w:tcW w:w="184" w:type="pct"/>
            <w:tcBorders>
              <w:top w:val="single" w:sz="4" w:space="0" w:color="auto"/>
              <w:left w:val="single" w:sz="8" w:space="0" w:color="auto"/>
              <w:bottom w:val="single" w:sz="8" w:space="0" w:color="auto"/>
            </w:tcBorders>
            <w:shd w:val="clear" w:color="auto" w:fill="auto"/>
            <w:noWrap/>
            <w:vAlign w:val="bottom"/>
          </w:tcPr>
          <w:p w14:paraId="6E993153" w14:textId="77777777" w:rsidR="00BE151D" w:rsidRPr="00D14CD7" w:rsidRDefault="00BE151D" w:rsidP="00567BE9">
            <w:pPr>
              <w:spacing w:after="0" w:line="240" w:lineRule="auto"/>
              <w:jc w:val="right"/>
              <w:rPr>
                <w:rFonts w:eastAsia="Times New Roman"/>
                <w:color w:val="000000" w:themeColor="text1"/>
                <w:sz w:val="16"/>
                <w:szCs w:val="16"/>
              </w:rPr>
            </w:pPr>
            <w:r w:rsidRPr="00D14CD7">
              <w:rPr>
                <w:color w:val="000000" w:themeColor="text1"/>
                <w:sz w:val="16"/>
                <w:szCs w:val="16"/>
              </w:rPr>
              <w:t>-1.050</w:t>
            </w:r>
          </w:p>
        </w:tc>
        <w:tc>
          <w:tcPr>
            <w:tcW w:w="188" w:type="pct"/>
            <w:tcBorders>
              <w:top w:val="single" w:sz="4" w:space="0" w:color="auto"/>
              <w:bottom w:val="single" w:sz="8" w:space="0" w:color="auto"/>
              <w:right w:val="single" w:sz="8" w:space="0" w:color="auto"/>
            </w:tcBorders>
            <w:shd w:val="clear" w:color="auto" w:fill="auto"/>
            <w:noWrap/>
            <w:vAlign w:val="bottom"/>
          </w:tcPr>
          <w:p w14:paraId="0606242F" w14:textId="77777777" w:rsidR="00BE151D" w:rsidRPr="00D14CD7" w:rsidRDefault="00BE151D" w:rsidP="00567BE9">
            <w:pPr>
              <w:spacing w:after="0" w:line="240" w:lineRule="auto"/>
              <w:jc w:val="right"/>
              <w:rPr>
                <w:rFonts w:eastAsia="Times New Roman"/>
                <w:color w:val="000000" w:themeColor="text1"/>
                <w:sz w:val="16"/>
                <w:szCs w:val="16"/>
              </w:rPr>
            </w:pPr>
            <w:r w:rsidRPr="00D14CD7">
              <w:rPr>
                <w:color w:val="000000" w:themeColor="text1"/>
                <w:sz w:val="16"/>
                <w:szCs w:val="16"/>
              </w:rPr>
              <w:t>-7.57</w:t>
            </w:r>
          </w:p>
        </w:tc>
        <w:tc>
          <w:tcPr>
            <w:tcW w:w="188" w:type="pct"/>
            <w:tcBorders>
              <w:top w:val="single" w:sz="4" w:space="0" w:color="auto"/>
              <w:left w:val="single" w:sz="8" w:space="0" w:color="auto"/>
              <w:bottom w:val="single" w:sz="8" w:space="0" w:color="auto"/>
            </w:tcBorders>
            <w:shd w:val="clear" w:color="auto" w:fill="auto"/>
            <w:noWrap/>
            <w:vAlign w:val="center"/>
            <w:hideMark/>
          </w:tcPr>
          <w:p w14:paraId="34A6C943" w14:textId="77777777" w:rsidR="00BE151D" w:rsidRPr="00D14CD7" w:rsidRDefault="00BE151D" w:rsidP="00567BE9">
            <w:pPr>
              <w:spacing w:after="0" w:line="240" w:lineRule="auto"/>
              <w:jc w:val="right"/>
              <w:rPr>
                <w:rFonts w:eastAsia="Times New Roman"/>
                <w:color w:val="000000" w:themeColor="text1"/>
                <w:sz w:val="16"/>
                <w:szCs w:val="16"/>
              </w:rPr>
            </w:pPr>
            <w:proofErr w:type="spellStart"/>
            <w:r w:rsidRPr="00D14CD7">
              <w:rPr>
                <w:rFonts w:eastAsia="Times New Roman"/>
                <w:color w:val="000000" w:themeColor="text1"/>
                <w:sz w:val="16"/>
              </w:rPr>
              <w:t>na</w:t>
            </w:r>
            <w:proofErr w:type="spellEnd"/>
          </w:p>
        </w:tc>
        <w:tc>
          <w:tcPr>
            <w:tcW w:w="146" w:type="pct"/>
            <w:tcBorders>
              <w:top w:val="single" w:sz="4" w:space="0" w:color="auto"/>
              <w:bottom w:val="single" w:sz="8" w:space="0" w:color="auto"/>
              <w:right w:val="double" w:sz="4" w:space="0" w:color="auto"/>
            </w:tcBorders>
            <w:shd w:val="clear" w:color="auto" w:fill="auto"/>
            <w:noWrap/>
            <w:vAlign w:val="center"/>
            <w:hideMark/>
          </w:tcPr>
          <w:p w14:paraId="7D83CCED" w14:textId="77777777" w:rsidR="00BE151D" w:rsidRPr="00D14CD7" w:rsidRDefault="00BE151D" w:rsidP="00567BE9">
            <w:pPr>
              <w:spacing w:after="0" w:line="240" w:lineRule="auto"/>
              <w:jc w:val="right"/>
              <w:rPr>
                <w:rFonts w:eastAsia="Times New Roman"/>
                <w:color w:val="000000" w:themeColor="text1"/>
                <w:sz w:val="16"/>
                <w:szCs w:val="16"/>
              </w:rPr>
            </w:pPr>
            <w:proofErr w:type="spellStart"/>
            <w:r w:rsidRPr="00D14CD7">
              <w:rPr>
                <w:rFonts w:eastAsia="Times New Roman"/>
                <w:color w:val="000000" w:themeColor="text1"/>
                <w:sz w:val="16"/>
              </w:rPr>
              <w:t>na</w:t>
            </w:r>
            <w:proofErr w:type="spellEnd"/>
          </w:p>
        </w:tc>
        <w:tc>
          <w:tcPr>
            <w:tcW w:w="184" w:type="pct"/>
            <w:tcBorders>
              <w:left w:val="double" w:sz="4" w:space="0" w:color="auto"/>
              <w:bottom w:val="single" w:sz="8" w:space="0" w:color="auto"/>
            </w:tcBorders>
            <w:shd w:val="clear" w:color="auto" w:fill="auto"/>
            <w:noWrap/>
            <w:vAlign w:val="bottom"/>
          </w:tcPr>
          <w:p w14:paraId="4459AC24" w14:textId="77777777" w:rsidR="00BE151D" w:rsidRPr="00D14CD7" w:rsidRDefault="00BE151D" w:rsidP="00567BE9">
            <w:pPr>
              <w:spacing w:after="0" w:line="240" w:lineRule="auto"/>
              <w:jc w:val="right"/>
              <w:rPr>
                <w:rFonts w:eastAsia="Times New Roman"/>
                <w:color w:val="000000" w:themeColor="text1"/>
                <w:sz w:val="16"/>
                <w:szCs w:val="16"/>
              </w:rPr>
            </w:pPr>
            <w:r w:rsidRPr="00D14CD7">
              <w:rPr>
                <w:color w:val="000000" w:themeColor="text1"/>
                <w:sz w:val="16"/>
                <w:szCs w:val="16"/>
              </w:rPr>
              <w:t>0.846</w:t>
            </w:r>
          </w:p>
        </w:tc>
        <w:tc>
          <w:tcPr>
            <w:tcW w:w="184" w:type="pct"/>
            <w:tcBorders>
              <w:top w:val="single" w:sz="4" w:space="0" w:color="auto"/>
              <w:bottom w:val="single" w:sz="8" w:space="0" w:color="auto"/>
              <w:right w:val="single" w:sz="8" w:space="0" w:color="auto"/>
            </w:tcBorders>
            <w:shd w:val="clear" w:color="auto" w:fill="auto"/>
            <w:noWrap/>
            <w:vAlign w:val="bottom"/>
          </w:tcPr>
          <w:p w14:paraId="3F2DA749" w14:textId="77777777" w:rsidR="00BE151D" w:rsidRPr="00D14CD7" w:rsidRDefault="00BE151D" w:rsidP="00567BE9">
            <w:pPr>
              <w:spacing w:after="0" w:line="240" w:lineRule="auto"/>
              <w:jc w:val="right"/>
              <w:rPr>
                <w:rFonts w:eastAsia="Times New Roman"/>
                <w:color w:val="000000" w:themeColor="text1"/>
                <w:sz w:val="16"/>
                <w:szCs w:val="16"/>
              </w:rPr>
            </w:pPr>
            <w:r w:rsidRPr="00D14CD7">
              <w:rPr>
                <w:color w:val="000000" w:themeColor="text1"/>
                <w:sz w:val="16"/>
                <w:szCs w:val="16"/>
              </w:rPr>
              <w:t>2.06</w:t>
            </w:r>
          </w:p>
        </w:tc>
        <w:tc>
          <w:tcPr>
            <w:tcW w:w="184" w:type="pct"/>
            <w:tcBorders>
              <w:top w:val="single" w:sz="4" w:space="0" w:color="auto"/>
              <w:left w:val="single" w:sz="8" w:space="0" w:color="auto"/>
              <w:bottom w:val="single" w:sz="8" w:space="0" w:color="auto"/>
            </w:tcBorders>
            <w:shd w:val="clear" w:color="auto" w:fill="auto"/>
            <w:noWrap/>
            <w:vAlign w:val="center"/>
            <w:hideMark/>
          </w:tcPr>
          <w:p w14:paraId="55777CED" w14:textId="77777777" w:rsidR="00BE151D" w:rsidRPr="00D14CD7" w:rsidRDefault="00BE151D" w:rsidP="00567BE9">
            <w:pPr>
              <w:spacing w:after="0" w:line="240" w:lineRule="auto"/>
              <w:jc w:val="right"/>
              <w:rPr>
                <w:rFonts w:eastAsia="Times New Roman"/>
                <w:color w:val="000000" w:themeColor="text1"/>
                <w:sz w:val="16"/>
                <w:szCs w:val="16"/>
              </w:rPr>
            </w:pPr>
            <w:r w:rsidRPr="00D14CD7">
              <w:rPr>
                <w:rFonts w:eastAsia="Times New Roman"/>
                <w:color w:val="000000" w:themeColor="text1"/>
                <w:sz w:val="16"/>
              </w:rPr>
              <w:t>—</w:t>
            </w:r>
          </w:p>
        </w:tc>
        <w:tc>
          <w:tcPr>
            <w:tcW w:w="185" w:type="pct"/>
            <w:tcBorders>
              <w:top w:val="single" w:sz="4" w:space="0" w:color="auto"/>
              <w:bottom w:val="single" w:sz="8" w:space="0" w:color="auto"/>
              <w:right w:val="single" w:sz="8" w:space="0" w:color="auto"/>
            </w:tcBorders>
            <w:shd w:val="clear" w:color="auto" w:fill="auto"/>
            <w:noWrap/>
            <w:vAlign w:val="center"/>
            <w:hideMark/>
          </w:tcPr>
          <w:p w14:paraId="64006F08" w14:textId="77777777" w:rsidR="00BE151D" w:rsidRPr="00D14CD7" w:rsidRDefault="00BE151D" w:rsidP="00567BE9">
            <w:pPr>
              <w:spacing w:after="0" w:line="240" w:lineRule="auto"/>
              <w:jc w:val="right"/>
              <w:rPr>
                <w:rFonts w:eastAsia="Times New Roman"/>
                <w:color w:val="000000" w:themeColor="text1"/>
                <w:sz w:val="16"/>
                <w:szCs w:val="16"/>
              </w:rPr>
            </w:pPr>
            <w:r w:rsidRPr="00D14CD7">
              <w:rPr>
                <w:rFonts w:eastAsia="Times New Roman"/>
                <w:color w:val="000000" w:themeColor="text1"/>
                <w:sz w:val="16"/>
              </w:rPr>
              <w:t>—</w:t>
            </w:r>
          </w:p>
        </w:tc>
        <w:tc>
          <w:tcPr>
            <w:tcW w:w="185" w:type="pct"/>
            <w:tcBorders>
              <w:top w:val="single" w:sz="4" w:space="0" w:color="auto"/>
              <w:left w:val="single" w:sz="8" w:space="0" w:color="auto"/>
              <w:bottom w:val="single" w:sz="8" w:space="0" w:color="auto"/>
            </w:tcBorders>
            <w:shd w:val="clear" w:color="auto" w:fill="auto"/>
            <w:noWrap/>
            <w:vAlign w:val="center"/>
            <w:hideMark/>
          </w:tcPr>
          <w:p w14:paraId="7FB06510" w14:textId="77777777" w:rsidR="00BE151D" w:rsidRPr="00D14CD7" w:rsidRDefault="00BE151D" w:rsidP="00567BE9">
            <w:pPr>
              <w:spacing w:after="0" w:line="240" w:lineRule="auto"/>
              <w:jc w:val="right"/>
              <w:rPr>
                <w:rFonts w:eastAsia="Times New Roman"/>
                <w:color w:val="000000" w:themeColor="text1"/>
                <w:sz w:val="16"/>
                <w:szCs w:val="16"/>
              </w:rPr>
            </w:pPr>
            <w:r w:rsidRPr="00D14CD7">
              <w:rPr>
                <w:rFonts w:eastAsia="Times New Roman"/>
                <w:color w:val="000000" w:themeColor="text1"/>
                <w:sz w:val="16"/>
              </w:rPr>
              <w:t>—</w:t>
            </w:r>
          </w:p>
        </w:tc>
        <w:tc>
          <w:tcPr>
            <w:tcW w:w="185" w:type="pct"/>
            <w:tcBorders>
              <w:top w:val="single" w:sz="4" w:space="0" w:color="auto"/>
              <w:bottom w:val="single" w:sz="8" w:space="0" w:color="auto"/>
              <w:right w:val="single" w:sz="8" w:space="0" w:color="auto"/>
            </w:tcBorders>
            <w:shd w:val="clear" w:color="auto" w:fill="auto"/>
            <w:noWrap/>
            <w:vAlign w:val="center"/>
            <w:hideMark/>
          </w:tcPr>
          <w:p w14:paraId="2D220AE1" w14:textId="77777777" w:rsidR="00BE151D" w:rsidRPr="00D14CD7" w:rsidRDefault="00BE151D" w:rsidP="00567BE9">
            <w:pPr>
              <w:spacing w:after="0" w:line="240" w:lineRule="auto"/>
              <w:jc w:val="right"/>
              <w:rPr>
                <w:rFonts w:eastAsia="Times New Roman"/>
                <w:color w:val="000000" w:themeColor="text1"/>
                <w:sz w:val="16"/>
                <w:szCs w:val="16"/>
              </w:rPr>
            </w:pPr>
            <w:r w:rsidRPr="00D14CD7">
              <w:rPr>
                <w:rFonts w:eastAsia="Times New Roman"/>
                <w:color w:val="000000" w:themeColor="text1"/>
                <w:sz w:val="16"/>
              </w:rPr>
              <w:t>—</w:t>
            </w:r>
          </w:p>
        </w:tc>
        <w:tc>
          <w:tcPr>
            <w:tcW w:w="156" w:type="pct"/>
            <w:tcBorders>
              <w:left w:val="single" w:sz="8" w:space="0" w:color="auto"/>
              <w:bottom w:val="single" w:sz="8" w:space="0" w:color="auto"/>
            </w:tcBorders>
            <w:shd w:val="clear" w:color="auto" w:fill="auto"/>
            <w:noWrap/>
            <w:vAlign w:val="center"/>
            <w:hideMark/>
          </w:tcPr>
          <w:p w14:paraId="0E081B27" w14:textId="77777777" w:rsidR="00BE151D" w:rsidRPr="00D14CD7" w:rsidRDefault="00BE151D" w:rsidP="00567BE9">
            <w:pPr>
              <w:spacing w:after="0" w:line="240" w:lineRule="auto"/>
              <w:jc w:val="right"/>
              <w:rPr>
                <w:rFonts w:eastAsia="Times New Roman"/>
                <w:color w:val="000000" w:themeColor="text1"/>
                <w:sz w:val="16"/>
                <w:szCs w:val="16"/>
              </w:rPr>
            </w:pPr>
            <w:proofErr w:type="spellStart"/>
            <w:r w:rsidRPr="00D14CD7">
              <w:rPr>
                <w:rFonts w:eastAsia="Times New Roman"/>
                <w:color w:val="000000" w:themeColor="text1"/>
                <w:sz w:val="16"/>
              </w:rPr>
              <w:t>na</w:t>
            </w:r>
            <w:proofErr w:type="spellEnd"/>
          </w:p>
        </w:tc>
        <w:tc>
          <w:tcPr>
            <w:tcW w:w="157" w:type="pct"/>
            <w:tcBorders>
              <w:bottom w:val="single" w:sz="8" w:space="0" w:color="auto"/>
              <w:right w:val="double" w:sz="4" w:space="0" w:color="auto"/>
            </w:tcBorders>
            <w:shd w:val="clear" w:color="auto" w:fill="auto"/>
            <w:noWrap/>
            <w:vAlign w:val="center"/>
            <w:hideMark/>
          </w:tcPr>
          <w:p w14:paraId="68067098" w14:textId="77777777" w:rsidR="00BE151D" w:rsidRPr="00D14CD7" w:rsidRDefault="00BE151D" w:rsidP="00567BE9">
            <w:pPr>
              <w:spacing w:after="0" w:line="240" w:lineRule="auto"/>
              <w:jc w:val="right"/>
              <w:rPr>
                <w:rFonts w:eastAsia="Times New Roman"/>
                <w:color w:val="000000" w:themeColor="text1"/>
                <w:sz w:val="16"/>
                <w:szCs w:val="16"/>
              </w:rPr>
            </w:pPr>
            <w:proofErr w:type="spellStart"/>
            <w:r w:rsidRPr="00D14CD7">
              <w:rPr>
                <w:rFonts w:eastAsia="Times New Roman"/>
                <w:color w:val="000000" w:themeColor="text1"/>
                <w:sz w:val="16"/>
              </w:rPr>
              <w:t>na</w:t>
            </w:r>
            <w:proofErr w:type="spellEnd"/>
          </w:p>
        </w:tc>
        <w:tc>
          <w:tcPr>
            <w:tcW w:w="187" w:type="pct"/>
            <w:tcBorders>
              <w:top w:val="single" w:sz="4" w:space="0" w:color="auto"/>
              <w:left w:val="double" w:sz="4" w:space="0" w:color="auto"/>
              <w:bottom w:val="single" w:sz="8" w:space="0" w:color="auto"/>
            </w:tcBorders>
            <w:shd w:val="clear" w:color="auto" w:fill="auto"/>
            <w:noWrap/>
            <w:vAlign w:val="bottom"/>
          </w:tcPr>
          <w:p w14:paraId="5A1A77B8" w14:textId="77777777" w:rsidR="00BE151D" w:rsidRPr="00D14CD7" w:rsidRDefault="00BE151D" w:rsidP="00567BE9">
            <w:pPr>
              <w:spacing w:after="0" w:line="240" w:lineRule="auto"/>
              <w:jc w:val="right"/>
              <w:rPr>
                <w:rFonts w:eastAsia="Times New Roman"/>
                <w:color w:val="000000" w:themeColor="text1"/>
                <w:sz w:val="16"/>
                <w:szCs w:val="16"/>
              </w:rPr>
            </w:pPr>
            <w:r w:rsidRPr="00D14CD7">
              <w:rPr>
                <w:color w:val="000000" w:themeColor="text1"/>
                <w:sz w:val="16"/>
                <w:szCs w:val="16"/>
              </w:rPr>
              <w:t>0.579</w:t>
            </w:r>
          </w:p>
        </w:tc>
        <w:tc>
          <w:tcPr>
            <w:tcW w:w="183" w:type="pct"/>
            <w:tcBorders>
              <w:bottom w:val="single" w:sz="8" w:space="0" w:color="auto"/>
            </w:tcBorders>
            <w:shd w:val="clear" w:color="auto" w:fill="auto"/>
            <w:noWrap/>
            <w:vAlign w:val="bottom"/>
          </w:tcPr>
          <w:p w14:paraId="446FBB64" w14:textId="77777777" w:rsidR="00BE151D" w:rsidRPr="00D14CD7" w:rsidRDefault="00BE151D" w:rsidP="00567BE9">
            <w:pPr>
              <w:spacing w:after="0" w:line="240" w:lineRule="auto"/>
              <w:jc w:val="right"/>
              <w:rPr>
                <w:rFonts w:eastAsia="Times New Roman"/>
                <w:color w:val="000000" w:themeColor="text1"/>
                <w:sz w:val="16"/>
                <w:szCs w:val="16"/>
              </w:rPr>
            </w:pPr>
            <w:r w:rsidRPr="00D14CD7">
              <w:rPr>
                <w:color w:val="000000" w:themeColor="text1"/>
                <w:sz w:val="16"/>
                <w:szCs w:val="16"/>
              </w:rPr>
              <w:t>4.15</w:t>
            </w:r>
          </w:p>
        </w:tc>
      </w:tr>
      <w:tr w:rsidR="00D14CD7" w:rsidRPr="00D14CD7" w14:paraId="33FF9F59" w14:textId="77777777" w:rsidTr="00567BE9">
        <w:trPr>
          <w:trHeight w:val="72"/>
        </w:trPr>
        <w:tc>
          <w:tcPr>
            <w:tcW w:w="5000" w:type="pct"/>
            <w:gridSpan w:val="19"/>
            <w:tcBorders>
              <w:top w:val="single" w:sz="8" w:space="0" w:color="auto"/>
              <w:bottom w:val="single" w:sz="4" w:space="0" w:color="auto"/>
            </w:tcBorders>
            <w:shd w:val="clear" w:color="auto" w:fill="auto"/>
            <w:noWrap/>
            <w:vAlign w:val="center"/>
            <w:hideMark/>
          </w:tcPr>
          <w:p w14:paraId="51333185" w14:textId="77777777" w:rsidR="00BE151D" w:rsidRPr="00D14CD7" w:rsidRDefault="00BE151D" w:rsidP="00567BE9">
            <w:pPr>
              <w:spacing w:after="0" w:line="240" w:lineRule="auto"/>
              <w:rPr>
                <w:rFonts w:eastAsia="Times New Roman"/>
                <w:color w:val="000000" w:themeColor="text1"/>
                <w:sz w:val="20"/>
                <w:szCs w:val="20"/>
              </w:rPr>
            </w:pPr>
            <w:r w:rsidRPr="00D14CD7">
              <w:rPr>
                <w:rFonts w:eastAsia="Times New Roman"/>
                <w:b/>
                <w:bCs/>
                <w:i/>
                <w:iCs/>
                <w:color w:val="000000" w:themeColor="text1"/>
                <w:sz w:val="16"/>
                <w:szCs w:val="16"/>
              </w:rPr>
              <w:t>Vehicle ownership (base: zero or one vehicle)</w:t>
            </w:r>
          </w:p>
        </w:tc>
      </w:tr>
      <w:tr w:rsidR="00D14CD7" w:rsidRPr="00D14CD7" w14:paraId="284626A9" w14:textId="77777777" w:rsidTr="00567BE9">
        <w:trPr>
          <w:trHeight w:val="72"/>
        </w:trPr>
        <w:tc>
          <w:tcPr>
            <w:tcW w:w="1709" w:type="pct"/>
            <w:tcBorders>
              <w:top w:val="single" w:sz="4" w:space="0" w:color="auto"/>
              <w:bottom w:val="single" w:sz="4" w:space="0" w:color="auto"/>
              <w:right w:val="double" w:sz="4" w:space="0" w:color="auto"/>
            </w:tcBorders>
            <w:shd w:val="clear" w:color="auto" w:fill="auto"/>
            <w:noWrap/>
            <w:vAlign w:val="center"/>
            <w:hideMark/>
          </w:tcPr>
          <w:p w14:paraId="7090DF9D" w14:textId="77777777" w:rsidR="00BE151D" w:rsidRPr="00D14CD7" w:rsidRDefault="00BE151D" w:rsidP="00567BE9">
            <w:pPr>
              <w:spacing w:after="0" w:line="240" w:lineRule="auto"/>
              <w:ind w:firstLine="140"/>
              <w:rPr>
                <w:rFonts w:eastAsia="Times New Roman"/>
                <w:color w:val="000000" w:themeColor="text1"/>
                <w:sz w:val="16"/>
                <w:szCs w:val="16"/>
              </w:rPr>
            </w:pPr>
            <w:r w:rsidRPr="00D14CD7">
              <w:rPr>
                <w:rFonts w:eastAsia="Times New Roman"/>
                <w:color w:val="000000" w:themeColor="text1"/>
                <w:sz w:val="16"/>
              </w:rPr>
              <w:t>Two vehicles</w:t>
            </w:r>
          </w:p>
        </w:tc>
        <w:tc>
          <w:tcPr>
            <w:tcW w:w="227" w:type="pct"/>
            <w:tcBorders>
              <w:top w:val="single" w:sz="4" w:space="0" w:color="auto"/>
              <w:left w:val="double" w:sz="4" w:space="0" w:color="auto"/>
              <w:bottom w:val="single" w:sz="4" w:space="0" w:color="auto"/>
            </w:tcBorders>
            <w:shd w:val="clear" w:color="auto" w:fill="auto"/>
            <w:noWrap/>
            <w:vAlign w:val="bottom"/>
          </w:tcPr>
          <w:p w14:paraId="00DF726A" w14:textId="77777777" w:rsidR="00BE151D" w:rsidRPr="00D14CD7" w:rsidRDefault="00BE151D" w:rsidP="00567BE9">
            <w:pPr>
              <w:spacing w:after="0" w:line="240" w:lineRule="auto"/>
              <w:jc w:val="right"/>
              <w:rPr>
                <w:rFonts w:eastAsia="Times New Roman"/>
                <w:color w:val="000000" w:themeColor="text1"/>
                <w:sz w:val="16"/>
                <w:szCs w:val="16"/>
              </w:rPr>
            </w:pPr>
            <w:r w:rsidRPr="00D14CD7">
              <w:rPr>
                <w:color w:val="000000" w:themeColor="text1"/>
                <w:sz w:val="16"/>
                <w:szCs w:val="16"/>
              </w:rPr>
              <w:t>0.322</w:t>
            </w:r>
          </w:p>
        </w:tc>
        <w:tc>
          <w:tcPr>
            <w:tcW w:w="199" w:type="pct"/>
            <w:tcBorders>
              <w:top w:val="single" w:sz="4" w:space="0" w:color="auto"/>
              <w:bottom w:val="single" w:sz="4" w:space="0" w:color="auto"/>
              <w:right w:val="single" w:sz="8" w:space="0" w:color="auto"/>
            </w:tcBorders>
            <w:shd w:val="clear" w:color="auto" w:fill="auto"/>
            <w:noWrap/>
            <w:vAlign w:val="bottom"/>
          </w:tcPr>
          <w:p w14:paraId="17350109" w14:textId="77777777" w:rsidR="00BE151D" w:rsidRPr="00D14CD7" w:rsidRDefault="00BE151D" w:rsidP="00567BE9">
            <w:pPr>
              <w:spacing w:after="0" w:line="240" w:lineRule="auto"/>
              <w:jc w:val="right"/>
              <w:rPr>
                <w:rFonts w:eastAsia="Times New Roman"/>
                <w:color w:val="000000" w:themeColor="text1"/>
                <w:sz w:val="16"/>
                <w:szCs w:val="16"/>
              </w:rPr>
            </w:pPr>
            <w:r w:rsidRPr="00D14CD7">
              <w:rPr>
                <w:color w:val="000000" w:themeColor="text1"/>
                <w:sz w:val="16"/>
                <w:szCs w:val="16"/>
              </w:rPr>
              <w:t>2.13</w:t>
            </w:r>
          </w:p>
        </w:tc>
        <w:tc>
          <w:tcPr>
            <w:tcW w:w="184" w:type="pct"/>
            <w:tcBorders>
              <w:top w:val="single" w:sz="4" w:space="0" w:color="auto"/>
              <w:left w:val="single" w:sz="8" w:space="0" w:color="auto"/>
              <w:bottom w:val="single" w:sz="4" w:space="0" w:color="auto"/>
            </w:tcBorders>
            <w:shd w:val="clear" w:color="auto" w:fill="auto"/>
            <w:noWrap/>
            <w:vAlign w:val="bottom"/>
          </w:tcPr>
          <w:p w14:paraId="67757668" w14:textId="77777777" w:rsidR="00BE151D" w:rsidRPr="00D14CD7" w:rsidRDefault="00BE151D" w:rsidP="00567BE9">
            <w:pPr>
              <w:spacing w:after="0" w:line="240" w:lineRule="auto"/>
              <w:jc w:val="right"/>
              <w:rPr>
                <w:rFonts w:eastAsia="Times New Roman"/>
                <w:color w:val="000000" w:themeColor="text1"/>
                <w:sz w:val="16"/>
                <w:szCs w:val="16"/>
              </w:rPr>
            </w:pPr>
            <w:r w:rsidRPr="00D14CD7">
              <w:rPr>
                <w:color w:val="000000" w:themeColor="text1"/>
                <w:sz w:val="16"/>
                <w:szCs w:val="16"/>
              </w:rPr>
              <w:t>0.172</w:t>
            </w:r>
          </w:p>
        </w:tc>
        <w:tc>
          <w:tcPr>
            <w:tcW w:w="185" w:type="pct"/>
            <w:tcBorders>
              <w:top w:val="single" w:sz="4" w:space="0" w:color="auto"/>
              <w:bottom w:val="single" w:sz="4" w:space="0" w:color="auto"/>
              <w:right w:val="single" w:sz="8" w:space="0" w:color="auto"/>
            </w:tcBorders>
            <w:shd w:val="clear" w:color="auto" w:fill="auto"/>
            <w:noWrap/>
            <w:vAlign w:val="bottom"/>
          </w:tcPr>
          <w:p w14:paraId="204C6BB5" w14:textId="77777777" w:rsidR="00BE151D" w:rsidRPr="00D14CD7" w:rsidRDefault="00BE151D" w:rsidP="00567BE9">
            <w:pPr>
              <w:spacing w:after="0" w:line="240" w:lineRule="auto"/>
              <w:jc w:val="right"/>
              <w:rPr>
                <w:rFonts w:eastAsia="Times New Roman"/>
                <w:color w:val="000000" w:themeColor="text1"/>
                <w:sz w:val="16"/>
                <w:szCs w:val="16"/>
              </w:rPr>
            </w:pPr>
            <w:r w:rsidRPr="00D14CD7">
              <w:rPr>
                <w:color w:val="000000" w:themeColor="text1"/>
                <w:sz w:val="16"/>
                <w:szCs w:val="16"/>
              </w:rPr>
              <w:t>1.52</w:t>
            </w:r>
          </w:p>
        </w:tc>
        <w:tc>
          <w:tcPr>
            <w:tcW w:w="184" w:type="pct"/>
            <w:tcBorders>
              <w:top w:val="single" w:sz="4" w:space="0" w:color="auto"/>
              <w:left w:val="single" w:sz="8" w:space="0" w:color="auto"/>
              <w:bottom w:val="single" w:sz="4" w:space="0" w:color="auto"/>
            </w:tcBorders>
            <w:shd w:val="clear" w:color="auto" w:fill="auto"/>
            <w:noWrap/>
            <w:vAlign w:val="center"/>
            <w:hideMark/>
          </w:tcPr>
          <w:p w14:paraId="2ECCBA8C" w14:textId="77777777" w:rsidR="00BE151D" w:rsidRPr="00D14CD7" w:rsidRDefault="00BE151D" w:rsidP="00567BE9">
            <w:pPr>
              <w:spacing w:after="0" w:line="240" w:lineRule="auto"/>
              <w:jc w:val="right"/>
              <w:rPr>
                <w:rFonts w:eastAsia="Times New Roman"/>
                <w:color w:val="000000" w:themeColor="text1"/>
                <w:sz w:val="16"/>
                <w:szCs w:val="16"/>
              </w:rPr>
            </w:pPr>
            <w:r w:rsidRPr="00D14CD7">
              <w:rPr>
                <w:rFonts w:eastAsia="Times New Roman"/>
                <w:color w:val="000000" w:themeColor="text1"/>
                <w:sz w:val="16"/>
              </w:rPr>
              <w:t>—</w:t>
            </w:r>
          </w:p>
        </w:tc>
        <w:tc>
          <w:tcPr>
            <w:tcW w:w="188" w:type="pct"/>
            <w:tcBorders>
              <w:top w:val="single" w:sz="4" w:space="0" w:color="auto"/>
              <w:bottom w:val="single" w:sz="4" w:space="0" w:color="auto"/>
              <w:right w:val="single" w:sz="8" w:space="0" w:color="auto"/>
            </w:tcBorders>
            <w:shd w:val="clear" w:color="auto" w:fill="auto"/>
            <w:noWrap/>
            <w:vAlign w:val="center"/>
            <w:hideMark/>
          </w:tcPr>
          <w:p w14:paraId="7F1D64BF" w14:textId="77777777" w:rsidR="00BE151D" w:rsidRPr="00D14CD7" w:rsidRDefault="00BE151D" w:rsidP="00567BE9">
            <w:pPr>
              <w:spacing w:after="0" w:line="240" w:lineRule="auto"/>
              <w:jc w:val="right"/>
              <w:rPr>
                <w:rFonts w:eastAsia="Times New Roman"/>
                <w:color w:val="000000" w:themeColor="text1"/>
                <w:sz w:val="16"/>
                <w:szCs w:val="16"/>
              </w:rPr>
            </w:pPr>
            <w:r w:rsidRPr="00D14CD7">
              <w:rPr>
                <w:rFonts w:eastAsia="Times New Roman"/>
                <w:color w:val="000000" w:themeColor="text1"/>
                <w:sz w:val="16"/>
              </w:rPr>
              <w:t>—</w:t>
            </w:r>
          </w:p>
        </w:tc>
        <w:tc>
          <w:tcPr>
            <w:tcW w:w="188" w:type="pct"/>
            <w:tcBorders>
              <w:top w:val="single" w:sz="4" w:space="0" w:color="auto"/>
              <w:left w:val="single" w:sz="8" w:space="0" w:color="auto"/>
              <w:bottom w:val="single" w:sz="4" w:space="0" w:color="auto"/>
            </w:tcBorders>
            <w:shd w:val="clear" w:color="auto" w:fill="auto"/>
            <w:noWrap/>
            <w:vAlign w:val="center"/>
            <w:hideMark/>
          </w:tcPr>
          <w:p w14:paraId="25AEF610" w14:textId="77777777" w:rsidR="00BE151D" w:rsidRPr="00D14CD7" w:rsidRDefault="00BE151D" w:rsidP="00567BE9">
            <w:pPr>
              <w:spacing w:after="0" w:line="240" w:lineRule="auto"/>
              <w:jc w:val="right"/>
              <w:rPr>
                <w:rFonts w:eastAsia="Times New Roman"/>
                <w:color w:val="000000" w:themeColor="text1"/>
                <w:sz w:val="16"/>
                <w:szCs w:val="16"/>
              </w:rPr>
            </w:pPr>
            <w:proofErr w:type="spellStart"/>
            <w:r w:rsidRPr="00D14CD7">
              <w:rPr>
                <w:rFonts w:eastAsia="Times New Roman"/>
                <w:color w:val="000000" w:themeColor="text1"/>
                <w:sz w:val="16"/>
              </w:rPr>
              <w:t>na</w:t>
            </w:r>
            <w:proofErr w:type="spellEnd"/>
          </w:p>
        </w:tc>
        <w:tc>
          <w:tcPr>
            <w:tcW w:w="146" w:type="pct"/>
            <w:tcBorders>
              <w:top w:val="single" w:sz="4" w:space="0" w:color="auto"/>
              <w:bottom w:val="single" w:sz="4" w:space="0" w:color="auto"/>
              <w:right w:val="double" w:sz="4" w:space="0" w:color="auto"/>
            </w:tcBorders>
            <w:shd w:val="clear" w:color="auto" w:fill="auto"/>
            <w:noWrap/>
            <w:vAlign w:val="center"/>
            <w:hideMark/>
          </w:tcPr>
          <w:p w14:paraId="44229542" w14:textId="77777777" w:rsidR="00BE151D" w:rsidRPr="00D14CD7" w:rsidRDefault="00BE151D" w:rsidP="00567BE9">
            <w:pPr>
              <w:spacing w:after="0" w:line="240" w:lineRule="auto"/>
              <w:jc w:val="right"/>
              <w:rPr>
                <w:rFonts w:eastAsia="Times New Roman"/>
                <w:color w:val="000000" w:themeColor="text1"/>
                <w:sz w:val="16"/>
                <w:szCs w:val="16"/>
              </w:rPr>
            </w:pPr>
            <w:proofErr w:type="spellStart"/>
            <w:r w:rsidRPr="00D14CD7">
              <w:rPr>
                <w:rFonts w:eastAsia="Times New Roman"/>
                <w:color w:val="000000" w:themeColor="text1"/>
                <w:sz w:val="16"/>
              </w:rPr>
              <w:t>na</w:t>
            </w:r>
            <w:proofErr w:type="spellEnd"/>
          </w:p>
        </w:tc>
        <w:tc>
          <w:tcPr>
            <w:tcW w:w="184" w:type="pct"/>
            <w:tcBorders>
              <w:left w:val="double" w:sz="4" w:space="0" w:color="auto"/>
            </w:tcBorders>
            <w:shd w:val="clear" w:color="auto" w:fill="auto"/>
            <w:noWrap/>
            <w:vAlign w:val="center"/>
            <w:hideMark/>
          </w:tcPr>
          <w:p w14:paraId="7DC4EFD2" w14:textId="77777777" w:rsidR="00BE151D" w:rsidRPr="00D14CD7" w:rsidRDefault="00BE151D" w:rsidP="00567BE9">
            <w:pPr>
              <w:spacing w:after="0" w:line="240" w:lineRule="auto"/>
              <w:jc w:val="right"/>
              <w:rPr>
                <w:rFonts w:eastAsia="Times New Roman"/>
                <w:color w:val="000000" w:themeColor="text1"/>
                <w:sz w:val="16"/>
                <w:szCs w:val="16"/>
              </w:rPr>
            </w:pPr>
            <w:r w:rsidRPr="00D14CD7">
              <w:rPr>
                <w:rFonts w:eastAsia="Times New Roman"/>
                <w:color w:val="000000" w:themeColor="text1"/>
                <w:sz w:val="16"/>
              </w:rPr>
              <w:t>—</w:t>
            </w:r>
          </w:p>
        </w:tc>
        <w:tc>
          <w:tcPr>
            <w:tcW w:w="184" w:type="pct"/>
            <w:tcBorders>
              <w:top w:val="single" w:sz="4" w:space="0" w:color="auto"/>
              <w:bottom w:val="single" w:sz="4" w:space="0" w:color="auto"/>
              <w:right w:val="single" w:sz="8" w:space="0" w:color="auto"/>
            </w:tcBorders>
            <w:shd w:val="clear" w:color="auto" w:fill="auto"/>
            <w:noWrap/>
            <w:vAlign w:val="center"/>
            <w:hideMark/>
          </w:tcPr>
          <w:p w14:paraId="07314C3F" w14:textId="77777777" w:rsidR="00BE151D" w:rsidRPr="00D14CD7" w:rsidRDefault="00BE151D" w:rsidP="00567BE9">
            <w:pPr>
              <w:spacing w:after="0" w:line="240" w:lineRule="auto"/>
              <w:jc w:val="right"/>
              <w:rPr>
                <w:rFonts w:eastAsia="Times New Roman"/>
                <w:color w:val="000000" w:themeColor="text1"/>
                <w:sz w:val="16"/>
                <w:szCs w:val="16"/>
              </w:rPr>
            </w:pPr>
            <w:r w:rsidRPr="00D14CD7">
              <w:rPr>
                <w:rFonts w:eastAsia="Times New Roman"/>
                <w:color w:val="000000" w:themeColor="text1"/>
                <w:sz w:val="16"/>
              </w:rPr>
              <w:t>—</w:t>
            </w:r>
          </w:p>
        </w:tc>
        <w:tc>
          <w:tcPr>
            <w:tcW w:w="184" w:type="pct"/>
            <w:tcBorders>
              <w:left w:val="single" w:sz="8" w:space="0" w:color="auto"/>
            </w:tcBorders>
            <w:shd w:val="clear" w:color="auto" w:fill="auto"/>
            <w:noWrap/>
            <w:vAlign w:val="center"/>
            <w:hideMark/>
          </w:tcPr>
          <w:p w14:paraId="0946B13B" w14:textId="77777777" w:rsidR="00BE151D" w:rsidRPr="00D14CD7" w:rsidRDefault="00BE151D" w:rsidP="00567BE9">
            <w:pPr>
              <w:spacing w:after="0" w:line="240" w:lineRule="auto"/>
              <w:jc w:val="right"/>
              <w:rPr>
                <w:rFonts w:eastAsia="Times New Roman"/>
                <w:color w:val="000000" w:themeColor="text1"/>
                <w:sz w:val="16"/>
                <w:szCs w:val="16"/>
              </w:rPr>
            </w:pPr>
            <w:r w:rsidRPr="00D14CD7">
              <w:rPr>
                <w:rFonts w:eastAsia="Times New Roman"/>
                <w:color w:val="000000" w:themeColor="text1"/>
                <w:sz w:val="16"/>
              </w:rPr>
              <w:t>—</w:t>
            </w:r>
          </w:p>
        </w:tc>
        <w:tc>
          <w:tcPr>
            <w:tcW w:w="185" w:type="pct"/>
            <w:tcBorders>
              <w:top w:val="single" w:sz="4" w:space="0" w:color="auto"/>
              <w:bottom w:val="single" w:sz="4" w:space="0" w:color="auto"/>
              <w:right w:val="single" w:sz="8" w:space="0" w:color="auto"/>
            </w:tcBorders>
            <w:shd w:val="clear" w:color="auto" w:fill="auto"/>
            <w:noWrap/>
            <w:vAlign w:val="center"/>
            <w:hideMark/>
          </w:tcPr>
          <w:p w14:paraId="7809DB94" w14:textId="77777777" w:rsidR="00BE151D" w:rsidRPr="00D14CD7" w:rsidRDefault="00BE151D" w:rsidP="00567BE9">
            <w:pPr>
              <w:spacing w:after="0" w:line="240" w:lineRule="auto"/>
              <w:jc w:val="right"/>
              <w:rPr>
                <w:rFonts w:eastAsia="Times New Roman"/>
                <w:color w:val="000000" w:themeColor="text1"/>
                <w:sz w:val="16"/>
                <w:szCs w:val="16"/>
              </w:rPr>
            </w:pPr>
            <w:r w:rsidRPr="00D14CD7">
              <w:rPr>
                <w:rFonts w:eastAsia="Times New Roman"/>
                <w:color w:val="000000" w:themeColor="text1"/>
                <w:sz w:val="16"/>
              </w:rPr>
              <w:t>—</w:t>
            </w:r>
          </w:p>
        </w:tc>
        <w:tc>
          <w:tcPr>
            <w:tcW w:w="185" w:type="pct"/>
            <w:tcBorders>
              <w:left w:val="single" w:sz="8" w:space="0" w:color="auto"/>
            </w:tcBorders>
            <w:shd w:val="clear" w:color="auto" w:fill="auto"/>
            <w:noWrap/>
            <w:vAlign w:val="center"/>
            <w:hideMark/>
          </w:tcPr>
          <w:p w14:paraId="2D39B0FB" w14:textId="77777777" w:rsidR="00BE151D" w:rsidRPr="00D14CD7" w:rsidRDefault="00BE151D" w:rsidP="00567BE9">
            <w:pPr>
              <w:spacing w:after="0" w:line="240" w:lineRule="auto"/>
              <w:jc w:val="right"/>
              <w:rPr>
                <w:rFonts w:eastAsia="Times New Roman"/>
                <w:color w:val="000000" w:themeColor="text1"/>
                <w:sz w:val="16"/>
                <w:szCs w:val="16"/>
              </w:rPr>
            </w:pPr>
            <w:r w:rsidRPr="00D14CD7">
              <w:rPr>
                <w:rFonts w:eastAsia="Times New Roman"/>
                <w:color w:val="000000" w:themeColor="text1"/>
                <w:sz w:val="16"/>
              </w:rPr>
              <w:t>—</w:t>
            </w:r>
          </w:p>
        </w:tc>
        <w:tc>
          <w:tcPr>
            <w:tcW w:w="185" w:type="pct"/>
            <w:tcBorders>
              <w:top w:val="single" w:sz="4" w:space="0" w:color="auto"/>
              <w:bottom w:val="single" w:sz="4" w:space="0" w:color="auto"/>
              <w:right w:val="single" w:sz="8" w:space="0" w:color="auto"/>
            </w:tcBorders>
            <w:shd w:val="clear" w:color="auto" w:fill="auto"/>
            <w:noWrap/>
            <w:vAlign w:val="center"/>
            <w:hideMark/>
          </w:tcPr>
          <w:p w14:paraId="19475C89" w14:textId="77777777" w:rsidR="00BE151D" w:rsidRPr="00D14CD7" w:rsidRDefault="00BE151D" w:rsidP="00567BE9">
            <w:pPr>
              <w:spacing w:after="0" w:line="240" w:lineRule="auto"/>
              <w:jc w:val="right"/>
              <w:rPr>
                <w:rFonts w:eastAsia="Times New Roman"/>
                <w:color w:val="000000" w:themeColor="text1"/>
                <w:sz w:val="16"/>
                <w:szCs w:val="16"/>
              </w:rPr>
            </w:pPr>
            <w:r w:rsidRPr="00D14CD7">
              <w:rPr>
                <w:rFonts w:eastAsia="Times New Roman"/>
                <w:color w:val="000000" w:themeColor="text1"/>
                <w:sz w:val="16"/>
              </w:rPr>
              <w:t>—</w:t>
            </w:r>
          </w:p>
        </w:tc>
        <w:tc>
          <w:tcPr>
            <w:tcW w:w="156" w:type="pct"/>
            <w:tcBorders>
              <w:left w:val="single" w:sz="8" w:space="0" w:color="auto"/>
            </w:tcBorders>
            <w:shd w:val="clear" w:color="auto" w:fill="auto"/>
            <w:noWrap/>
            <w:vAlign w:val="center"/>
            <w:hideMark/>
          </w:tcPr>
          <w:p w14:paraId="61B5B4F5" w14:textId="77777777" w:rsidR="00BE151D" w:rsidRPr="00D14CD7" w:rsidRDefault="00BE151D" w:rsidP="00567BE9">
            <w:pPr>
              <w:spacing w:after="0" w:line="240" w:lineRule="auto"/>
              <w:jc w:val="right"/>
              <w:rPr>
                <w:rFonts w:eastAsia="Times New Roman"/>
                <w:color w:val="000000" w:themeColor="text1"/>
                <w:sz w:val="16"/>
                <w:szCs w:val="16"/>
              </w:rPr>
            </w:pPr>
            <w:proofErr w:type="spellStart"/>
            <w:r w:rsidRPr="00D14CD7">
              <w:rPr>
                <w:rFonts w:eastAsia="Times New Roman"/>
                <w:color w:val="000000" w:themeColor="text1"/>
                <w:sz w:val="16"/>
              </w:rPr>
              <w:t>na</w:t>
            </w:r>
            <w:proofErr w:type="spellEnd"/>
          </w:p>
        </w:tc>
        <w:tc>
          <w:tcPr>
            <w:tcW w:w="157" w:type="pct"/>
            <w:tcBorders>
              <w:right w:val="double" w:sz="4" w:space="0" w:color="auto"/>
            </w:tcBorders>
            <w:shd w:val="clear" w:color="auto" w:fill="auto"/>
            <w:noWrap/>
            <w:vAlign w:val="center"/>
            <w:hideMark/>
          </w:tcPr>
          <w:p w14:paraId="12EBF5E5" w14:textId="77777777" w:rsidR="00BE151D" w:rsidRPr="00D14CD7" w:rsidRDefault="00BE151D" w:rsidP="00567BE9">
            <w:pPr>
              <w:spacing w:after="0" w:line="240" w:lineRule="auto"/>
              <w:jc w:val="right"/>
              <w:rPr>
                <w:rFonts w:eastAsia="Times New Roman"/>
                <w:color w:val="000000" w:themeColor="text1"/>
                <w:sz w:val="16"/>
                <w:szCs w:val="16"/>
              </w:rPr>
            </w:pPr>
            <w:proofErr w:type="spellStart"/>
            <w:r w:rsidRPr="00D14CD7">
              <w:rPr>
                <w:rFonts w:eastAsia="Times New Roman"/>
                <w:color w:val="000000" w:themeColor="text1"/>
                <w:sz w:val="16"/>
              </w:rPr>
              <w:t>na</w:t>
            </w:r>
            <w:proofErr w:type="spellEnd"/>
          </w:p>
        </w:tc>
        <w:tc>
          <w:tcPr>
            <w:tcW w:w="187" w:type="pct"/>
            <w:tcBorders>
              <w:top w:val="single" w:sz="4" w:space="0" w:color="auto"/>
              <w:left w:val="double" w:sz="4" w:space="0" w:color="auto"/>
              <w:bottom w:val="single" w:sz="4" w:space="0" w:color="auto"/>
            </w:tcBorders>
            <w:shd w:val="clear" w:color="auto" w:fill="auto"/>
            <w:noWrap/>
            <w:vAlign w:val="center"/>
            <w:hideMark/>
          </w:tcPr>
          <w:p w14:paraId="01451256" w14:textId="77777777" w:rsidR="00BE151D" w:rsidRPr="00D14CD7" w:rsidRDefault="00BE151D" w:rsidP="00567BE9">
            <w:pPr>
              <w:spacing w:after="0" w:line="240" w:lineRule="auto"/>
              <w:jc w:val="right"/>
              <w:rPr>
                <w:rFonts w:eastAsia="Times New Roman"/>
                <w:color w:val="000000" w:themeColor="text1"/>
                <w:sz w:val="16"/>
                <w:szCs w:val="16"/>
              </w:rPr>
            </w:pPr>
            <w:r w:rsidRPr="00D14CD7">
              <w:rPr>
                <w:rFonts w:eastAsia="Times New Roman"/>
                <w:color w:val="000000" w:themeColor="text1"/>
                <w:sz w:val="16"/>
              </w:rPr>
              <w:t>—</w:t>
            </w:r>
          </w:p>
        </w:tc>
        <w:tc>
          <w:tcPr>
            <w:tcW w:w="183" w:type="pct"/>
            <w:shd w:val="clear" w:color="auto" w:fill="auto"/>
            <w:noWrap/>
            <w:vAlign w:val="center"/>
            <w:hideMark/>
          </w:tcPr>
          <w:p w14:paraId="51DD0CF0" w14:textId="77777777" w:rsidR="00BE151D" w:rsidRPr="00D14CD7" w:rsidRDefault="00BE151D" w:rsidP="00567BE9">
            <w:pPr>
              <w:spacing w:after="0" w:line="240" w:lineRule="auto"/>
              <w:jc w:val="right"/>
              <w:rPr>
                <w:rFonts w:eastAsia="Times New Roman"/>
                <w:color w:val="000000" w:themeColor="text1"/>
                <w:sz w:val="16"/>
                <w:szCs w:val="16"/>
              </w:rPr>
            </w:pPr>
            <w:r w:rsidRPr="00D14CD7">
              <w:rPr>
                <w:rFonts w:eastAsia="Times New Roman"/>
                <w:color w:val="000000" w:themeColor="text1"/>
                <w:sz w:val="16"/>
              </w:rPr>
              <w:t>—</w:t>
            </w:r>
          </w:p>
        </w:tc>
      </w:tr>
      <w:tr w:rsidR="00D14CD7" w:rsidRPr="00D14CD7" w14:paraId="2D2366FD" w14:textId="77777777" w:rsidTr="00567BE9">
        <w:trPr>
          <w:trHeight w:val="72"/>
        </w:trPr>
        <w:tc>
          <w:tcPr>
            <w:tcW w:w="1709" w:type="pct"/>
            <w:tcBorders>
              <w:top w:val="single" w:sz="4" w:space="0" w:color="auto"/>
              <w:bottom w:val="single" w:sz="8" w:space="0" w:color="auto"/>
              <w:right w:val="double" w:sz="4" w:space="0" w:color="auto"/>
            </w:tcBorders>
            <w:shd w:val="clear" w:color="auto" w:fill="auto"/>
            <w:noWrap/>
            <w:vAlign w:val="center"/>
            <w:hideMark/>
          </w:tcPr>
          <w:p w14:paraId="2645EDAC" w14:textId="77777777" w:rsidR="00BE151D" w:rsidRPr="00D14CD7" w:rsidRDefault="00BE151D" w:rsidP="00567BE9">
            <w:pPr>
              <w:spacing w:after="0" w:line="240" w:lineRule="auto"/>
              <w:ind w:firstLine="140"/>
              <w:rPr>
                <w:rFonts w:eastAsia="Times New Roman"/>
                <w:color w:val="000000" w:themeColor="text1"/>
                <w:sz w:val="16"/>
                <w:szCs w:val="16"/>
              </w:rPr>
            </w:pPr>
            <w:r w:rsidRPr="00D14CD7">
              <w:rPr>
                <w:rFonts w:eastAsia="Times New Roman"/>
                <w:color w:val="000000" w:themeColor="text1"/>
                <w:sz w:val="16"/>
              </w:rPr>
              <w:t>Three or more vehicles</w:t>
            </w:r>
          </w:p>
        </w:tc>
        <w:tc>
          <w:tcPr>
            <w:tcW w:w="227" w:type="pct"/>
            <w:tcBorders>
              <w:top w:val="single" w:sz="4" w:space="0" w:color="auto"/>
              <w:left w:val="double" w:sz="4" w:space="0" w:color="auto"/>
              <w:bottom w:val="single" w:sz="8" w:space="0" w:color="auto"/>
            </w:tcBorders>
            <w:shd w:val="clear" w:color="auto" w:fill="auto"/>
            <w:noWrap/>
            <w:vAlign w:val="bottom"/>
          </w:tcPr>
          <w:p w14:paraId="63BBB5E0" w14:textId="77777777" w:rsidR="00BE151D" w:rsidRPr="00D14CD7" w:rsidRDefault="00BE151D" w:rsidP="00567BE9">
            <w:pPr>
              <w:spacing w:after="0" w:line="240" w:lineRule="auto"/>
              <w:jc w:val="right"/>
              <w:rPr>
                <w:rFonts w:eastAsia="Times New Roman"/>
                <w:color w:val="000000" w:themeColor="text1"/>
                <w:sz w:val="16"/>
                <w:szCs w:val="16"/>
              </w:rPr>
            </w:pPr>
            <w:r w:rsidRPr="00D14CD7">
              <w:rPr>
                <w:color w:val="000000" w:themeColor="text1"/>
                <w:sz w:val="16"/>
                <w:szCs w:val="16"/>
              </w:rPr>
              <w:t>0.436</w:t>
            </w:r>
          </w:p>
        </w:tc>
        <w:tc>
          <w:tcPr>
            <w:tcW w:w="199" w:type="pct"/>
            <w:tcBorders>
              <w:top w:val="single" w:sz="4" w:space="0" w:color="auto"/>
              <w:bottom w:val="single" w:sz="8" w:space="0" w:color="auto"/>
              <w:right w:val="single" w:sz="8" w:space="0" w:color="auto"/>
            </w:tcBorders>
            <w:shd w:val="clear" w:color="auto" w:fill="auto"/>
            <w:noWrap/>
            <w:vAlign w:val="bottom"/>
          </w:tcPr>
          <w:p w14:paraId="333D3CC6" w14:textId="77777777" w:rsidR="00BE151D" w:rsidRPr="00D14CD7" w:rsidRDefault="00BE151D" w:rsidP="00567BE9">
            <w:pPr>
              <w:spacing w:after="0" w:line="240" w:lineRule="auto"/>
              <w:jc w:val="right"/>
              <w:rPr>
                <w:rFonts w:eastAsia="Times New Roman"/>
                <w:color w:val="000000" w:themeColor="text1"/>
                <w:sz w:val="16"/>
                <w:szCs w:val="16"/>
              </w:rPr>
            </w:pPr>
            <w:r w:rsidRPr="00D14CD7">
              <w:rPr>
                <w:color w:val="000000" w:themeColor="text1"/>
                <w:sz w:val="16"/>
                <w:szCs w:val="16"/>
              </w:rPr>
              <w:t>2.67</w:t>
            </w:r>
          </w:p>
        </w:tc>
        <w:tc>
          <w:tcPr>
            <w:tcW w:w="184" w:type="pct"/>
            <w:tcBorders>
              <w:top w:val="single" w:sz="4" w:space="0" w:color="auto"/>
              <w:left w:val="single" w:sz="8" w:space="0" w:color="auto"/>
              <w:bottom w:val="single" w:sz="8" w:space="0" w:color="auto"/>
            </w:tcBorders>
            <w:shd w:val="clear" w:color="auto" w:fill="auto"/>
            <w:noWrap/>
            <w:vAlign w:val="bottom"/>
          </w:tcPr>
          <w:p w14:paraId="4F514F12" w14:textId="77777777" w:rsidR="00BE151D" w:rsidRPr="00D14CD7" w:rsidRDefault="00BE151D" w:rsidP="00567BE9">
            <w:pPr>
              <w:spacing w:after="0" w:line="240" w:lineRule="auto"/>
              <w:jc w:val="right"/>
              <w:rPr>
                <w:rFonts w:eastAsia="Times New Roman"/>
                <w:color w:val="000000" w:themeColor="text1"/>
                <w:sz w:val="16"/>
                <w:szCs w:val="16"/>
              </w:rPr>
            </w:pPr>
            <w:r w:rsidRPr="00D14CD7">
              <w:rPr>
                <w:color w:val="000000" w:themeColor="text1"/>
                <w:sz w:val="16"/>
                <w:szCs w:val="16"/>
              </w:rPr>
              <w:t>0.156</w:t>
            </w:r>
          </w:p>
        </w:tc>
        <w:tc>
          <w:tcPr>
            <w:tcW w:w="185" w:type="pct"/>
            <w:tcBorders>
              <w:top w:val="single" w:sz="4" w:space="0" w:color="auto"/>
              <w:bottom w:val="single" w:sz="8" w:space="0" w:color="auto"/>
              <w:right w:val="single" w:sz="8" w:space="0" w:color="auto"/>
            </w:tcBorders>
            <w:shd w:val="clear" w:color="auto" w:fill="auto"/>
            <w:noWrap/>
            <w:vAlign w:val="bottom"/>
          </w:tcPr>
          <w:p w14:paraId="7D5348E4" w14:textId="77777777" w:rsidR="00BE151D" w:rsidRPr="00D14CD7" w:rsidRDefault="00BE151D" w:rsidP="00567BE9">
            <w:pPr>
              <w:spacing w:after="0" w:line="240" w:lineRule="auto"/>
              <w:jc w:val="right"/>
              <w:rPr>
                <w:rFonts w:eastAsia="Times New Roman"/>
                <w:color w:val="000000" w:themeColor="text1"/>
                <w:sz w:val="16"/>
                <w:szCs w:val="16"/>
              </w:rPr>
            </w:pPr>
            <w:r w:rsidRPr="00D14CD7">
              <w:rPr>
                <w:color w:val="000000" w:themeColor="text1"/>
                <w:sz w:val="16"/>
                <w:szCs w:val="16"/>
              </w:rPr>
              <w:t>1.45</w:t>
            </w:r>
          </w:p>
        </w:tc>
        <w:tc>
          <w:tcPr>
            <w:tcW w:w="184" w:type="pct"/>
            <w:tcBorders>
              <w:top w:val="single" w:sz="4" w:space="0" w:color="auto"/>
              <w:left w:val="single" w:sz="8" w:space="0" w:color="auto"/>
              <w:bottom w:val="single" w:sz="8" w:space="0" w:color="auto"/>
            </w:tcBorders>
            <w:shd w:val="clear" w:color="auto" w:fill="auto"/>
            <w:noWrap/>
            <w:vAlign w:val="center"/>
            <w:hideMark/>
          </w:tcPr>
          <w:p w14:paraId="7F204D7B" w14:textId="77777777" w:rsidR="00BE151D" w:rsidRPr="00D14CD7" w:rsidRDefault="00BE151D" w:rsidP="00567BE9">
            <w:pPr>
              <w:spacing w:after="0" w:line="240" w:lineRule="auto"/>
              <w:jc w:val="right"/>
              <w:rPr>
                <w:rFonts w:eastAsia="Times New Roman"/>
                <w:color w:val="000000" w:themeColor="text1"/>
                <w:sz w:val="16"/>
                <w:szCs w:val="16"/>
              </w:rPr>
            </w:pPr>
            <w:r w:rsidRPr="00D14CD7">
              <w:rPr>
                <w:rFonts w:eastAsia="Times New Roman"/>
                <w:color w:val="000000" w:themeColor="text1"/>
                <w:sz w:val="16"/>
              </w:rPr>
              <w:t>—</w:t>
            </w:r>
          </w:p>
        </w:tc>
        <w:tc>
          <w:tcPr>
            <w:tcW w:w="188" w:type="pct"/>
            <w:tcBorders>
              <w:top w:val="single" w:sz="4" w:space="0" w:color="auto"/>
              <w:bottom w:val="single" w:sz="8" w:space="0" w:color="auto"/>
              <w:right w:val="single" w:sz="8" w:space="0" w:color="auto"/>
            </w:tcBorders>
            <w:shd w:val="clear" w:color="auto" w:fill="auto"/>
            <w:noWrap/>
            <w:vAlign w:val="center"/>
            <w:hideMark/>
          </w:tcPr>
          <w:p w14:paraId="1549753A" w14:textId="77777777" w:rsidR="00BE151D" w:rsidRPr="00D14CD7" w:rsidRDefault="00BE151D" w:rsidP="00567BE9">
            <w:pPr>
              <w:spacing w:after="0" w:line="240" w:lineRule="auto"/>
              <w:jc w:val="right"/>
              <w:rPr>
                <w:rFonts w:eastAsia="Times New Roman"/>
                <w:color w:val="000000" w:themeColor="text1"/>
                <w:sz w:val="16"/>
                <w:szCs w:val="16"/>
              </w:rPr>
            </w:pPr>
            <w:r w:rsidRPr="00D14CD7">
              <w:rPr>
                <w:rFonts w:eastAsia="Times New Roman"/>
                <w:color w:val="000000" w:themeColor="text1"/>
                <w:sz w:val="16"/>
              </w:rPr>
              <w:t>—</w:t>
            </w:r>
          </w:p>
        </w:tc>
        <w:tc>
          <w:tcPr>
            <w:tcW w:w="188" w:type="pct"/>
            <w:tcBorders>
              <w:top w:val="single" w:sz="4" w:space="0" w:color="auto"/>
              <w:left w:val="single" w:sz="8" w:space="0" w:color="auto"/>
              <w:bottom w:val="single" w:sz="8" w:space="0" w:color="auto"/>
            </w:tcBorders>
            <w:shd w:val="clear" w:color="auto" w:fill="auto"/>
            <w:noWrap/>
            <w:vAlign w:val="center"/>
            <w:hideMark/>
          </w:tcPr>
          <w:p w14:paraId="3E22EA31" w14:textId="77777777" w:rsidR="00BE151D" w:rsidRPr="00D14CD7" w:rsidRDefault="00BE151D" w:rsidP="00567BE9">
            <w:pPr>
              <w:spacing w:after="0" w:line="240" w:lineRule="auto"/>
              <w:jc w:val="right"/>
              <w:rPr>
                <w:rFonts w:eastAsia="Times New Roman"/>
                <w:color w:val="000000" w:themeColor="text1"/>
                <w:sz w:val="16"/>
                <w:szCs w:val="16"/>
              </w:rPr>
            </w:pPr>
            <w:proofErr w:type="spellStart"/>
            <w:r w:rsidRPr="00D14CD7">
              <w:rPr>
                <w:rFonts w:eastAsia="Times New Roman"/>
                <w:color w:val="000000" w:themeColor="text1"/>
                <w:sz w:val="16"/>
              </w:rPr>
              <w:t>na</w:t>
            </w:r>
            <w:proofErr w:type="spellEnd"/>
          </w:p>
        </w:tc>
        <w:tc>
          <w:tcPr>
            <w:tcW w:w="146" w:type="pct"/>
            <w:tcBorders>
              <w:top w:val="single" w:sz="4" w:space="0" w:color="auto"/>
              <w:bottom w:val="single" w:sz="8" w:space="0" w:color="auto"/>
              <w:right w:val="double" w:sz="4" w:space="0" w:color="auto"/>
            </w:tcBorders>
            <w:shd w:val="clear" w:color="auto" w:fill="auto"/>
            <w:noWrap/>
            <w:vAlign w:val="center"/>
            <w:hideMark/>
          </w:tcPr>
          <w:p w14:paraId="5C7F3583" w14:textId="77777777" w:rsidR="00BE151D" w:rsidRPr="00D14CD7" w:rsidRDefault="00BE151D" w:rsidP="00567BE9">
            <w:pPr>
              <w:spacing w:after="0" w:line="240" w:lineRule="auto"/>
              <w:jc w:val="right"/>
              <w:rPr>
                <w:rFonts w:eastAsia="Times New Roman"/>
                <w:color w:val="000000" w:themeColor="text1"/>
                <w:sz w:val="16"/>
                <w:szCs w:val="16"/>
              </w:rPr>
            </w:pPr>
            <w:proofErr w:type="spellStart"/>
            <w:r w:rsidRPr="00D14CD7">
              <w:rPr>
                <w:rFonts w:eastAsia="Times New Roman"/>
                <w:color w:val="000000" w:themeColor="text1"/>
                <w:sz w:val="16"/>
              </w:rPr>
              <w:t>na</w:t>
            </w:r>
            <w:proofErr w:type="spellEnd"/>
          </w:p>
        </w:tc>
        <w:tc>
          <w:tcPr>
            <w:tcW w:w="184" w:type="pct"/>
            <w:tcBorders>
              <w:left w:val="double" w:sz="4" w:space="0" w:color="auto"/>
              <w:bottom w:val="single" w:sz="8" w:space="0" w:color="auto"/>
            </w:tcBorders>
            <w:shd w:val="clear" w:color="auto" w:fill="auto"/>
            <w:noWrap/>
            <w:vAlign w:val="center"/>
            <w:hideMark/>
          </w:tcPr>
          <w:p w14:paraId="1734C905" w14:textId="77777777" w:rsidR="00BE151D" w:rsidRPr="00D14CD7" w:rsidRDefault="00BE151D" w:rsidP="00567BE9">
            <w:pPr>
              <w:spacing w:after="0" w:line="240" w:lineRule="auto"/>
              <w:jc w:val="right"/>
              <w:rPr>
                <w:rFonts w:eastAsia="Times New Roman"/>
                <w:color w:val="000000" w:themeColor="text1"/>
                <w:sz w:val="16"/>
                <w:szCs w:val="16"/>
              </w:rPr>
            </w:pPr>
            <w:r w:rsidRPr="00D14CD7">
              <w:rPr>
                <w:rFonts w:eastAsia="Times New Roman"/>
                <w:color w:val="000000" w:themeColor="text1"/>
                <w:sz w:val="16"/>
              </w:rPr>
              <w:t>—</w:t>
            </w:r>
          </w:p>
        </w:tc>
        <w:tc>
          <w:tcPr>
            <w:tcW w:w="184" w:type="pct"/>
            <w:tcBorders>
              <w:top w:val="single" w:sz="4" w:space="0" w:color="auto"/>
              <w:bottom w:val="single" w:sz="8" w:space="0" w:color="auto"/>
              <w:right w:val="single" w:sz="8" w:space="0" w:color="auto"/>
            </w:tcBorders>
            <w:shd w:val="clear" w:color="auto" w:fill="auto"/>
            <w:noWrap/>
            <w:vAlign w:val="center"/>
            <w:hideMark/>
          </w:tcPr>
          <w:p w14:paraId="5F1083E8" w14:textId="77777777" w:rsidR="00BE151D" w:rsidRPr="00D14CD7" w:rsidRDefault="00BE151D" w:rsidP="00567BE9">
            <w:pPr>
              <w:spacing w:after="0" w:line="240" w:lineRule="auto"/>
              <w:jc w:val="right"/>
              <w:rPr>
                <w:rFonts w:eastAsia="Times New Roman"/>
                <w:color w:val="000000" w:themeColor="text1"/>
                <w:sz w:val="16"/>
                <w:szCs w:val="16"/>
              </w:rPr>
            </w:pPr>
            <w:r w:rsidRPr="00D14CD7">
              <w:rPr>
                <w:rFonts w:eastAsia="Times New Roman"/>
                <w:color w:val="000000" w:themeColor="text1"/>
                <w:sz w:val="16"/>
              </w:rPr>
              <w:t>—</w:t>
            </w:r>
          </w:p>
        </w:tc>
        <w:tc>
          <w:tcPr>
            <w:tcW w:w="184" w:type="pct"/>
            <w:tcBorders>
              <w:left w:val="single" w:sz="8" w:space="0" w:color="auto"/>
              <w:bottom w:val="single" w:sz="8" w:space="0" w:color="auto"/>
            </w:tcBorders>
            <w:shd w:val="clear" w:color="auto" w:fill="auto"/>
            <w:noWrap/>
            <w:vAlign w:val="center"/>
            <w:hideMark/>
          </w:tcPr>
          <w:p w14:paraId="17A132E0" w14:textId="77777777" w:rsidR="00BE151D" w:rsidRPr="00D14CD7" w:rsidRDefault="00BE151D" w:rsidP="00567BE9">
            <w:pPr>
              <w:spacing w:after="0" w:line="240" w:lineRule="auto"/>
              <w:jc w:val="right"/>
              <w:rPr>
                <w:rFonts w:eastAsia="Times New Roman"/>
                <w:color w:val="000000" w:themeColor="text1"/>
                <w:sz w:val="16"/>
                <w:szCs w:val="16"/>
              </w:rPr>
            </w:pPr>
            <w:r w:rsidRPr="00D14CD7">
              <w:rPr>
                <w:rFonts w:eastAsia="Times New Roman"/>
                <w:color w:val="000000" w:themeColor="text1"/>
                <w:sz w:val="16"/>
              </w:rPr>
              <w:t>—</w:t>
            </w:r>
          </w:p>
        </w:tc>
        <w:tc>
          <w:tcPr>
            <w:tcW w:w="185" w:type="pct"/>
            <w:tcBorders>
              <w:top w:val="single" w:sz="4" w:space="0" w:color="auto"/>
              <w:bottom w:val="single" w:sz="8" w:space="0" w:color="auto"/>
              <w:right w:val="single" w:sz="8" w:space="0" w:color="auto"/>
            </w:tcBorders>
            <w:shd w:val="clear" w:color="auto" w:fill="auto"/>
            <w:noWrap/>
            <w:vAlign w:val="center"/>
            <w:hideMark/>
          </w:tcPr>
          <w:p w14:paraId="1E297BD1" w14:textId="77777777" w:rsidR="00BE151D" w:rsidRPr="00D14CD7" w:rsidRDefault="00BE151D" w:rsidP="00567BE9">
            <w:pPr>
              <w:spacing w:after="0" w:line="240" w:lineRule="auto"/>
              <w:jc w:val="right"/>
              <w:rPr>
                <w:rFonts w:eastAsia="Times New Roman"/>
                <w:color w:val="000000" w:themeColor="text1"/>
                <w:sz w:val="16"/>
                <w:szCs w:val="16"/>
              </w:rPr>
            </w:pPr>
            <w:r w:rsidRPr="00D14CD7">
              <w:rPr>
                <w:rFonts w:eastAsia="Times New Roman"/>
                <w:color w:val="000000" w:themeColor="text1"/>
                <w:sz w:val="16"/>
              </w:rPr>
              <w:t>—</w:t>
            </w:r>
          </w:p>
        </w:tc>
        <w:tc>
          <w:tcPr>
            <w:tcW w:w="185" w:type="pct"/>
            <w:tcBorders>
              <w:left w:val="single" w:sz="8" w:space="0" w:color="auto"/>
              <w:bottom w:val="single" w:sz="8" w:space="0" w:color="auto"/>
            </w:tcBorders>
            <w:shd w:val="clear" w:color="auto" w:fill="auto"/>
            <w:noWrap/>
            <w:vAlign w:val="center"/>
            <w:hideMark/>
          </w:tcPr>
          <w:p w14:paraId="387FBC7F" w14:textId="77777777" w:rsidR="00BE151D" w:rsidRPr="00D14CD7" w:rsidRDefault="00BE151D" w:rsidP="00567BE9">
            <w:pPr>
              <w:spacing w:after="0" w:line="240" w:lineRule="auto"/>
              <w:jc w:val="right"/>
              <w:rPr>
                <w:rFonts w:eastAsia="Times New Roman"/>
                <w:color w:val="000000" w:themeColor="text1"/>
                <w:sz w:val="16"/>
                <w:szCs w:val="16"/>
              </w:rPr>
            </w:pPr>
            <w:r w:rsidRPr="00D14CD7">
              <w:rPr>
                <w:rFonts w:eastAsia="Times New Roman"/>
                <w:color w:val="000000" w:themeColor="text1"/>
                <w:sz w:val="16"/>
              </w:rPr>
              <w:t>—</w:t>
            </w:r>
          </w:p>
        </w:tc>
        <w:tc>
          <w:tcPr>
            <w:tcW w:w="185" w:type="pct"/>
            <w:tcBorders>
              <w:top w:val="single" w:sz="4" w:space="0" w:color="auto"/>
              <w:bottom w:val="single" w:sz="8" w:space="0" w:color="auto"/>
              <w:right w:val="single" w:sz="8" w:space="0" w:color="auto"/>
            </w:tcBorders>
            <w:shd w:val="clear" w:color="auto" w:fill="auto"/>
            <w:noWrap/>
            <w:vAlign w:val="center"/>
            <w:hideMark/>
          </w:tcPr>
          <w:p w14:paraId="176F1720" w14:textId="77777777" w:rsidR="00BE151D" w:rsidRPr="00D14CD7" w:rsidRDefault="00BE151D" w:rsidP="00567BE9">
            <w:pPr>
              <w:spacing w:after="0" w:line="240" w:lineRule="auto"/>
              <w:jc w:val="right"/>
              <w:rPr>
                <w:rFonts w:eastAsia="Times New Roman"/>
                <w:color w:val="000000" w:themeColor="text1"/>
                <w:sz w:val="16"/>
                <w:szCs w:val="16"/>
              </w:rPr>
            </w:pPr>
            <w:r w:rsidRPr="00D14CD7">
              <w:rPr>
                <w:rFonts w:eastAsia="Times New Roman"/>
                <w:color w:val="000000" w:themeColor="text1"/>
                <w:sz w:val="16"/>
              </w:rPr>
              <w:t>—</w:t>
            </w:r>
          </w:p>
        </w:tc>
        <w:tc>
          <w:tcPr>
            <w:tcW w:w="156" w:type="pct"/>
            <w:tcBorders>
              <w:left w:val="single" w:sz="8" w:space="0" w:color="auto"/>
              <w:bottom w:val="single" w:sz="8" w:space="0" w:color="auto"/>
            </w:tcBorders>
            <w:shd w:val="clear" w:color="auto" w:fill="auto"/>
            <w:noWrap/>
            <w:vAlign w:val="center"/>
            <w:hideMark/>
          </w:tcPr>
          <w:p w14:paraId="1BD6E8F0" w14:textId="77777777" w:rsidR="00BE151D" w:rsidRPr="00D14CD7" w:rsidRDefault="00BE151D" w:rsidP="00567BE9">
            <w:pPr>
              <w:spacing w:after="0" w:line="240" w:lineRule="auto"/>
              <w:jc w:val="right"/>
              <w:rPr>
                <w:rFonts w:eastAsia="Times New Roman"/>
                <w:color w:val="000000" w:themeColor="text1"/>
                <w:sz w:val="16"/>
                <w:szCs w:val="16"/>
              </w:rPr>
            </w:pPr>
            <w:proofErr w:type="spellStart"/>
            <w:r w:rsidRPr="00D14CD7">
              <w:rPr>
                <w:rFonts w:eastAsia="Times New Roman"/>
                <w:color w:val="000000" w:themeColor="text1"/>
                <w:sz w:val="16"/>
              </w:rPr>
              <w:t>na</w:t>
            </w:r>
            <w:proofErr w:type="spellEnd"/>
          </w:p>
        </w:tc>
        <w:tc>
          <w:tcPr>
            <w:tcW w:w="157" w:type="pct"/>
            <w:tcBorders>
              <w:bottom w:val="single" w:sz="8" w:space="0" w:color="auto"/>
              <w:right w:val="double" w:sz="4" w:space="0" w:color="auto"/>
            </w:tcBorders>
            <w:shd w:val="clear" w:color="auto" w:fill="auto"/>
            <w:noWrap/>
            <w:vAlign w:val="center"/>
            <w:hideMark/>
          </w:tcPr>
          <w:p w14:paraId="1EB30F83" w14:textId="77777777" w:rsidR="00BE151D" w:rsidRPr="00D14CD7" w:rsidRDefault="00BE151D" w:rsidP="00567BE9">
            <w:pPr>
              <w:spacing w:after="0" w:line="240" w:lineRule="auto"/>
              <w:jc w:val="right"/>
              <w:rPr>
                <w:rFonts w:eastAsia="Times New Roman"/>
                <w:color w:val="000000" w:themeColor="text1"/>
                <w:sz w:val="16"/>
                <w:szCs w:val="16"/>
              </w:rPr>
            </w:pPr>
            <w:proofErr w:type="spellStart"/>
            <w:r w:rsidRPr="00D14CD7">
              <w:rPr>
                <w:rFonts w:eastAsia="Times New Roman"/>
                <w:color w:val="000000" w:themeColor="text1"/>
                <w:sz w:val="16"/>
              </w:rPr>
              <w:t>na</w:t>
            </w:r>
            <w:proofErr w:type="spellEnd"/>
          </w:p>
        </w:tc>
        <w:tc>
          <w:tcPr>
            <w:tcW w:w="187" w:type="pct"/>
            <w:tcBorders>
              <w:top w:val="single" w:sz="4" w:space="0" w:color="auto"/>
              <w:left w:val="double" w:sz="4" w:space="0" w:color="auto"/>
              <w:bottom w:val="single" w:sz="8" w:space="0" w:color="auto"/>
            </w:tcBorders>
            <w:shd w:val="clear" w:color="auto" w:fill="auto"/>
            <w:noWrap/>
            <w:vAlign w:val="center"/>
            <w:hideMark/>
          </w:tcPr>
          <w:p w14:paraId="5666E3A3" w14:textId="77777777" w:rsidR="00BE151D" w:rsidRPr="00D14CD7" w:rsidRDefault="00BE151D" w:rsidP="00567BE9">
            <w:pPr>
              <w:spacing w:after="0" w:line="240" w:lineRule="auto"/>
              <w:jc w:val="right"/>
              <w:rPr>
                <w:rFonts w:eastAsia="Times New Roman"/>
                <w:color w:val="000000" w:themeColor="text1"/>
                <w:sz w:val="16"/>
                <w:szCs w:val="16"/>
              </w:rPr>
            </w:pPr>
            <w:r w:rsidRPr="00D14CD7">
              <w:rPr>
                <w:rFonts w:eastAsia="Times New Roman"/>
                <w:color w:val="000000" w:themeColor="text1"/>
                <w:sz w:val="16"/>
              </w:rPr>
              <w:t>—</w:t>
            </w:r>
          </w:p>
        </w:tc>
        <w:tc>
          <w:tcPr>
            <w:tcW w:w="183" w:type="pct"/>
            <w:tcBorders>
              <w:bottom w:val="single" w:sz="8" w:space="0" w:color="auto"/>
            </w:tcBorders>
            <w:shd w:val="clear" w:color="auto" w:fill="auto"/>
            <w:noWrap/>
            <w:vAlign w:val="center"/>
            <w:hideMark/>
          </w:tcPr>
          <w:p w14:paraId="4437D641" w14:textId="77777777" w:rsidR="00BE151D" w:rsidRPr="00D14CD7" w:rsidRDefault="00BE151D" w:rsidP="00567BE9">
            <w:pPr>
              <w:spacing w:after="0" w:line="240" w:lineRule="auto"/>
              <w:jc w:val="right"/>
              <w:rPr>
                <w:rFonts w:eastAsia="Times New Roman"/>
                <w:color w:val="000000" w:themeColor="text1"/>
                <w:sz w:val="16"/>
                <w:szCs w:val="16"/>
              </w:rPr>
            </w:pPr>
            <w:r w:rsidRPr="00D14CD7">
              <w:rPr>
                <w:rFonts w:eastAsia="Times New Roman"/>
                <w:color w:val="000000" w:themeColor="text1"/>
                <w:sz w:val="16"/>
              </w:rPr>
              <w:t>—</w:t>
            </w:r>
          </w:p>
        </w:tc>
      </w:tr>
      <w:tr w:rsidR="00D14CD7" w:rsidRPr="00D14CD7" w14:paraId="2E92135E" w14:textId="77777777" w:rsidTr="00567BE9">
        <w:trPr>
          <w:trHeight w:val="72"/>
        </w:trPr>
        <w:tc>
          <w:tcPr>
            <w:tcW w:w="5000" w:type="pct"/>
            <w:gridSpan w:val="19"/>
            <w:tcBorders>
              <w:top w:val="single" w:sz="8" w:space="0" w:color="auto"/>
              <w:bottom w:val="single" w:sz="4" w:space="0" w:color="auto"/>
            </w:tcBorders>
            <w:shd w:val="clear" w:color="auto" w:fill="auto"/>
            <w:noWrap/>
            <w:vAlign w:val="center"/>
            <w:hideMark/>
          </w:tcPr>
          <w:p w14:paraId="4232B68D" w14:textId="455C63C5" w:rsidR="00BE151D" w:rsidRPr="00D14CD7" w:rsidRDefault="00BE151D" w:rsidP="00567BE9">
            <w:pPr>
              <w:spacing w:after="0" w:line="240" w:lineRule="auto"/>
              <w:rPr>
                <w:rFonts w:eastAsia="Times New Roman"/>
                <w:color w:val="000000" w:themeColor="text1"/>
                <w:sz w:val="20"/>
                <w:szCs w:val="20"/>
              </w:rPr>
            </w:pPr>
            <w:r w:rsidRPr="00D14CD7">
              <w:rPr>
                <w:rFonts w:eastAsia="Times New Roman"/>
                <w:b/>
                <w:bCs/>
                <w:i/>
                <w:iCs/>
                <w:color w:val="000000" w:themeColor="text1"/>
                <w:sz w:val="16"/>
                <w:szCs w:val="16"/>
              </w:rPr>
              <w:t xml:space="preserve">Household structure (base: </w:t>
            </w:r>
            <w:r w:rsidR="00306BFA">
              <w:rPr>
                <w:rFonts w:eastAsia="Times New Roman"/>
                <w:b/>
                <w:bCs/>
                <w:i/>
                <w:iCs/>
                <w:color w:val="000000" w:themeColor="text1"/>
                <w:sz w:val="16"/>
                <w:szCs w:val="16"/>
              </w:rPr>
              <w:t>s</w:t>
            </w:r>
            <w:r w:rsidRPr="00D14CD7">
              <w:rPr>
                <w:rFonts w:eastAsia="Times New Roman"/>
                <w:b/>
                <w:bCs/>
                <w:i/>
                <w:iCs/>
                <w:color w:val="000000" w:themeColor="text1"/>
                <w:sz w:val="16"/>
                <w:szCs w:val="16"/>
              </w:rPr>
              <w:t xml:space="preserve">ingle </w:t>
            </w:r>
            <w:r w:rsidR="00306BFA">
              <w:rPr>
                <w:rFonts w:eastAsia="Times New Roman"/>
                <w:b/>
                <w:bCs/>
                <w:i/>
                <w:iCs/>
                <w:color w:val="000000" w:themeColor="text1"/>
                <w:sz w:val="16"/>
                <w:szCs w:val="16"/>
              </w:rPr>
              <w:t>m</w:t>
            </w:r>
            <w:r w:rsidRPr="00D14CD7">
              <w:rPr>
                <w:rFonts w:eastAsia="Times New Roman"/>
                <w:b/>
                <w:bCs/>
                <w:i/>
                <w:iCs/>
                <w:color w:val="000000" w:themeColor="text1"/>
                <w:sz w:val="16"/>
                <w:szCs w:val="16"/>
              </w:rPr>
              <w:t>ale)</w:t>
            </w:r>
          </w:p>
        </w:tc>
      </w:tr>
      <w:tr w:rsidR="00D14CD7" w:rsidRPr="00D14CD7" w14:paraId="75047BF6" w14:textId="77777777" w:rsidTr="00567BE9">
        <w:trPr>
          <w:trHeight w:val="72"/>
        </w:trPr>
        <w:tc>
          <w:tcPr>
            <w:tcW w:w="1709" w:type="pct"/>
            <w:tcBorders>
              <w:top w:val="single" w:sz="4" w:space="0" w:color="auto"/>
              <w:bottom w:val="single" w:sz="4" w:space="0" w:color="auto"/>
              <w:right w:val="double" w:sz="4" w:space="0" w:color="auto"/>
            </w:tcBorders>
            <w:shd w:val="clear" w:color="auto" w:fill="auto"/>
            <w:noWrap/>
            <w:vAlign w:val="center"/>
            <w:hideMark/>
          </w:tcPr>
          <w:p w14:paraId="34FDD650" w14:textId="77777777" w:rsidR="00BE151D" w:rsidRPr="00D14CD7" w:rsidRDefault="00BE151D" w:rsidP="00567BE9">
            <w:pPr>
              <w:spacing w:after="0" w:line="240" w:lineRule="auto"/>
              <w:ind w:firstLine="140"/>
              <w:rPr>
                <w:rFonts w:eastAsia="Times New Roman"/>
                <w:color w:val="000000" w:themeColor="text1"/>
                <w:sz w:val="16"/>
                <w:szCs w:val="16"/>
              </w:rPr>
            </w:pPr>
            <w:r w:rsidRPr="00D14CD7">
              <w:rPr>
                <w:rFonts w:eastAsia="Times New Roman"/>
                <w:color w:val="000000" w:themeColor="text1"/>
                <w:sz w:val="16"/>
              </w:rPr>
              <w:t>Single female</w:t>
            </w:r>
          </w:p>
        </w:tc>
        <w:tc>
          <w:tcPr>
            <w:tcW w:w="227" w:type="pct"/>
            <w:tcBorders>
              <w:top w:val="single" w:sz="4" w:space="0" w:color="auto"/>
              <w:left w:val="double" w:sz="4" w:space="0" w:color="auto"/>
              <w:bottom w:val="single" w:sz="4" w:space="0" w:color="auto"/>
            </w:tcBorders>
            <w:shd w:val="clear" w:color="auto" w:fill="auto"/>
            <w:noWrap/>
            <w:vAlign w:val="center"/>
            <w:hideMark/>
          </w:tcPr>
          <w:p w14:paraId="09139AC0" w14:textId="77777777" w:rsidR="00BE151D" w:rsidRPr="00D14CD7" w:rsidRDefault="00BE151D" w:rsidP="00567BE9">
            <w:pPr>
              <w:spacing w:after="0" w:line="240" w:lineRule="auto"/>
              <w:jc w:val="right"/>
              <w:rPr>
                <w:rFonts w:eastAsia="Times New Roman"/>
                <w:color w:val="000000" w:themeColor="text1"/>
                <w:sz w:val="16"/>
                <w:szCs w:val="16"/>
              </w:rPr>
            </w:pPr>
            <w:r w:rsidRPr="00D14CD7">
              <w:rPr>
                <w:rFonts w:eastAsia="Times New Roman"/>
                <w:color w:val="000000" w:themeColor="text1"/>
                <w:sz w:val="16"/>
              </w:rPr>
              <w:t>—</w:t>
            </w:r>
          </w:p>
        </w:tc>
        <w:tc>
          <w:tcPr>
            <w:tcW w:w="199" w:type="pct"/>
            <w:tcBorders>
              <w:top w:val="single" w:sz="4" w:space="0" w:color="auto"/>
              <w:bottom w:val="single" w:sz="4" w:space="0" w:color="auto"/>
              <w:right w:val="single" w:sz="8" w:space="0" w:color="auto"/>
            </w:tcBorders>
            <w:shd w:val="clear" w:color="auto" w:fill="auto"/>
            <w:noWrap/>
            <w:vAlign w:val="center"/>
            <w:hideMark/>
          </w:tcPr>
          <w:p w14:paraId="50246980" w14:textId="77777777" w:rsidR="00BE151D" w:rsidRPr="00D14CD7" w:rsidRDefault="00BE151D" w:rsidP="00567BE9">
            <w:pPr>
              <w:spacing w:after="0" w:line="240" w:lineRule="auto"/>
              <w:jc w:val="right"/>
              <w:rPr>
                <w:rFonts w:eastAsia="Times New Roman"/>
                <w:color w:val="000000" w:themeColor="text1"/>
                <w:sz w:val="16"/>
                <w:szCs w:val="16"/>
              </w:rPr>
            </w:pPr>
            <w:r w:rsidRPr="00D14CD7">
              <w:rPr>
                <w:rFonts w:eastAsia="Times New Roman"/>
                <w:color w:val="000000" w:themeColor="text1"/>
                <w:sz w:val="16"/>
              </w:rPr>
              <w:t>—</w:t>
            </w:r>
          </w:p>
        </w:tc>
        <w:tc>
          <w:tcPr>
            <w:tcW w:w="184" w:type="pct"/>
            <w:tcBorders>
              <w:top w:val="single" w:sz="4" w:space="0" w:color="auto"/>
              <w:left w:val="single" w:sz="8" w:space="0" w:color="auto"/>
              <w:bottom w:val="single" w:sz="4" w:space="0" w:color="auto"/>
            </w:tcBorders>
            <w:shd w:val="clear" w:color="auto" w:fill="auto"/>
            <w:noWrap/>
            <w:vAlign w:val="center"/>
            <w:hideMark/>
          </w:tcPr>
          <w:p w14:paraId="1FF044B8" w14:textId="77777777" w:rsidR="00BE151D" w:rsidRPr="00D14CD7" w:rsidRDefault="00BE151D" w:rsidP="00567BE9">
            <w:pPr>
              <w:spacing w:after="0" w:line="240" w:lineRule="auto"/>
              <w:jc w:val="right"/>
              <w:rPr>
                <w:rFonts w:eastAsia="Times New Roman"/>
                <w:color w:val="000000" w:themeColor="text1"/>
                <w:sz w:val="16"/>
                <w:szCs w:val="16"/>
              </w:rPr>
            </w:pPr>
            <w:r w:rsidRPr="00D14CD7">
              <w:rPr>
                <w:rFonts w:eastAsia="Times New Roman"/>
                <w:color w:val="000000" w:themeColor="text1"/>
                <w:sz w:val="16"/>
              </w:rPr>
              <w:t>—</w:t>
            </w:r>
          </w:p>
        </w:tc>
        <w:tc>
          <w:tcPr>
            <w:tcW w:w="185" w:type="pct"/>
            <w:tcBorders>
              <w:top w:val="single" w:sz="4" w:space="0" w:color="auto"/>
              <w:bottom w:val="single" w:sz="4" w:space="0" w:color="auto"/>
              <w:right w:val="single" w:sz="8" w:space="0" w:color="auto"/>
            </w:tcBorders>
            <w:shd w:val="clear" w:color="auto" w:fill="auto"/>
            <w:noWrap/>
            <w:vAlign w:val="center"/>
            <w:hideMark/>
          </w:tcPr>
          <w:p w14:paraId="5F890BED" w14:textId="77777777" w:rsidR="00BE151D" w:rsidRPr="00D14CD7" w:rsidRDefault="00BE151D" w:rsidP="00567BE9">
            <w:pPr>
              <w:spacing w:after="0" w:line="240" w:lineRule="auto"/>
              <w:jc w:val="right"/>
              <w:rPr>
                <w:rFonts w:eastAsia="Times New Roman"/>
                <w:color w:val="000000" w:themeColor="text1"/>
                <w:sz w:val="16"/>
                <w:szCs w:val="16"/>
              </w:rPr>
            </w:pPr>
            <w:r w:rsidRPr="00D14CD7">
              <w:rPr>
                <w:rFonts w:eastAsia="Times New Roman"/>
                <w:color w:val="000000" w:themeColor="text1"/>
                <w:sz w:val="16"/>
              </w:rPr>
              <w:t>—</w:t>
            </w:r>
          </w:p>
        </w:tc>
        <w:tc>
          <w:tcPr>
            <w:tcW w:w="184" w:type="pct"/>
            <w:tcBorders>
              <w:top w:val="single" w:sz="4" w:space="0" w:color="auto"/>
              <w:left w:val="single" w:sz="8" w:space="0" w:color="auto"/>
              <w:bottom w:val="single" w:sz="4" w:space="0" w:color="auto"/>
            </w:tcBorders>
            <w:shd w:val="clear" w:color="auto" w:fill="auto"/>
            <w:noWrap/>
            <w:vAlign w:val="center"/>
            <w:hideMark/>
          </w:tcPr>
          <w:p w14:paraId="279B6F12" w14:textId="77777777" w:rsidR="00BE151D" w:rsidRPr="00D14CD7" w:rsidRDefault="00BE151D" w:rsidP="00567BE9">
            <w:pPr>
              <w:spacing w:after="0" w:line="240" w:lineRule="auto"/>
              <w:jc w:val="right"/>
              <w:rPr>
                <w:rFonts w:eastAsia="Times New Roman"/>
                <w:color w:val="000000" w:themeColor="text1"/>
                <w:sz w:val="16"/>
                <w:szCs w:val="16"/>
              </w:rPr>
            </w:pPr>
            <w:r w:rsidRPr="00D14CD7">
              <w:rPr>
                <w:rFonts w:eastAsia="Times New Roman"/>
                <w:color w:val="000000" w:themeColor="text1"/>
                <w:sz w:val="16"/>
              </w:rPr>
              <w:t>—</w:t>
            </w:r>
          </w:p>
        </w:tc>
        <w:tc>
          <w:tcPr>
            <w:tcW w:w="188" w:type="pct"/>
            <w:tcBorders>
              <w:top w:val="single" w:sz="4" w:space="0" w:color="auto"/>
              <w:bottom w:val="single" w:sz="4" w:space="0" w:color="auto"/>
              <w:right w:val="single" w:sz="8" w:space="0" w:color="auto"/>
            </w:tcBorders>
            <w:shd w:val="clear" w:color="auto" w:fill="auto"/>
            <w:noWrap/>
            <w:vAlign w:val="center"/>
            <w:hideMark/>
          </w:tcPr>
          <w:p w14:paraId="1100D591" w14:textId="77777777" w:rsidR="00BE151D" w:rsidRPr="00D14CD7" w:rsidRDefault="00BE151D" w:rsidP="00567BE9">
            <w:pPr>
              <w:spacing w:after="0" w:line="240" w:lineRule="auto"/>
              <w:jc w:val="right"/>
              <w:rPr>
                <w:rFonts w:eastAsia="Times New Roman"/>
                <w:color w:val="000000" w:themeColor="text1"/>
                <w:sz w:val="16"/>
                <w:szCs w:val="16"/>
              </w:rPr>
            </w:pPr>
            <w:r w:rsidRPr="00D14CD7">
              <w:rPr>
                <w:rFonts w:eastAsia="Times New Roman"/>
                <w:color w:val="000000" w:themeColor="text1"/>
                <w:sz w:val="16"/>
              </w:rPr>
              <w:t>—</w:t>
            </w:r>
          </w:p>
        </w:tc>
        <w:tc>
          <w:tcPr>
            <w:tcW w:w="188" w:type="pct"/>
            <w:tcBorders>
              <w:top w:val="single" w:sz="4" w:space="0" w:color="auto"/>
              <w:left w:val="single" w:sz="8" w:space="0" w:color="auto"/>
              <w:bottom w:val="single" w:sz="4" w:space="0" w:color="auto"/>
            </w:tcBorders>
            <w:shd w:val="clear" w:color="auto" w:fill="auto"/>
            <w:noWrap/>
            <w:vAlign w:val="center"/>
            <w:hideMark/>
          </w:tcPr>
          <w:p w14:paraId="680DCEDA" w14:textId="77777777" w:rsidR="00BE151D" w:rsidRPr="00D14CD7" w:rsidRDefault="00BE151D" w:rsidP="00567BE9">
            <w:pPr>
              <w:spacing w:after="0" w:line="240" w:lineRule="auto"/>
              <w:jc w:val="right"/>
              <w:rPr>
                <w:rFonts w:eastAsia="Times New Roman"/>
                <w:color w:val="000000" w:themeColor="text1"/>
                <w:sz w:val="16"/>
                <w:szCs w:val="16"/>
              </w:rPr>
            </w:pPr>
            <w:proofErr w:type="spellStart"/>
            <w:r w:rsidRPr="00D14CD7">
              <w:rPr>
                <w:rFonts w:eastAsia="Times New Roman"/>
                <w:color w:val="000000" w:themeColor="text1"/>
                <w:sz w:val="16"/>
              </w:rPr>
              <w:t>na</w:t>
            </w:r>
            <w:proofErr w:type="spellEnd"/>
          </w:p>
        </w:tc>
        <w:tc>
          <w:tcPr>
            <w:tcW w:w="146" w:type="pct"/>
            <w:tcBorders>
              <w:top w:val="single" w:sz="4" w:space="0" w:color="auto"/>
              <w:bottom w:val="single" w:sz="4" w:space="0" w:color="auto"/>
              <w:right w:val="double" w:sz="4" w:space="0" w:color="auto"/>
            </w:tcBorders>
            <w:shd w:val="clear" w:color="auto" w:fill="auto"/>
            <w:noWrap/>
            <w:vAlign w:val="center"/>
            <w:hideMark/>
          </w:tcPr>
          <w:p w14:paraId="74C55D5B" w14:textId="77777777" w:rsidR="00BE151D" w:rsidRPr="00D14CD7" w:rsidRDefault="00BE151D" w:rsidP="00567BE9">
            <w:pPr>
              <w:spacing w:after="0" w:line="240" w:lineRule="auto"/>
              <w:jc w:val="right"/>
              <w:rPr>
                <w:rFonts w:eastAsia="Times New Roman"/>
                <w:color w:val="000000" w:themeColor="text1"/>
                <w:sz w:val="16"/>
                <w:szCs w:val="16"/>
              </w:rPr>
            </w:pPr>
            <w:proofErr w:type="spellStart"/>
            <w:r w:rsidRPr="00D14CD7">
              <w:rPr>
                <w:rFonts w:eastAsia="Times New Roman"/>
                <w:color w:val="000000" w:themeColor="text1"/>
                <w:sz w:val="16"/>
              </w:rPr>
              <w:t>na</w:t>
            </w:r>
            <w:proofErr w:type="spellEnd"/>
          </w:p>
        </w:tc>
        <w:tc>
          <w:tcPr>
            <w:tcW w:w="184" w:type="pct"/>
            <w:tcBorders>
              <w:left w:val="double" w:sz="4" w:space="0" w:color="auto"/>
            </w:tcBorders>
            <w:shd w:val="clear" w:color="auto" w:fill="auto"/>
            <w:noWrap/>
            <w:vAlign w:val="center"/>
            <w:hideMark/>
          </w:tcPr>
          <w:p w14:paraId="529B55EE" w14:textId="77777777" w:rsidR="00BE151D" w:rsidRPr="00D14CD7" w:rsidRDefault="00BE151D" w:rsidP="00567BE9">
            <w:pPr>
              <w:spacing w:after="0" w:line="240" w:lineRule="auto"/>
              <w:jc w:val="right"/>
              <w:rPr>
                <w:rFonts w:eastAsia="Times New Roman"/>
                <w:color w:val="000000" w:themeColor="text1"/>
                <w:sz w:val="16"/>
                <w:szCs w:val="16"/>
              </w:rPr>
            </w:pPr>
            <w:r w:rsidRPr="00D14CD7">
              <w:rPr>
                <w:rFonts w:eastAsia="Times New Roman"/>
                <w:color w:val="000000" w:themeColor="text1"/>
                <w:sz w:val="16"/>
              </w:rPr>
              <w:t>—</w:t>
            </w:r>
          </w:p>
        </w:tc>
        <w:tc>
          <w:tcPr>
            <w:tcW w:w="184" w:type="pct"/>
            <w:tcBorders>
              <w:top w:val="single" w:sz="4" w:space="0" w:color="auto"/>
              <w:bottom w:val="single" w:sz="4" w:space="0" w:color="auto"/>
              <w:right w:val="single" w:sz="8" w:space="0" w:color="auto"/>
            </w:tcBorders>
            <w:shd w:val="clear" w:color="auto" w:fill="auto"/>
            <w:noWrap/>
            <w:vAlign w:val="center"/>
            <w:hideMark/>
          </w:tcPr>
          <w:p w14:paraId="2C3C7EA1" w14:textId="77777777" w:rsidR="00BE151D" w:rsidRPr="00D14CD7" w:rsidRDefault="00BE151D" w:rsidP="00567BE9">
            <w:pPr>
              <w:spacing w:after="0" w:line="240" w:lineRule="auto"/>
              <w:jc w:val="right"/>
              <w:rPr>
                <w:rFonts w:eastAsia="Times New Roman"/>
                <w:color w:val="000000" w:themeColor="text1"/>
                <w:sz w:val="16"/>
                <w:szCs w:val="16"/>
              </w:rPr>
            </w:pPr>
            <w:r w:rsidRPr="00D14CD7">
              <w:rPr>
                <w:rFonts w:eastAsia="Times New Roman"/>
                <w:color w:val="000000" w:themeColor="text1"/>
                <w:sz w:val="16"/>
              </w:rPr>
              <w:t>—</w:t>
            </w:r>
          </w:p>
        </w:tc>
        <w:tc>
          <w:tcPr>
            <w:tcW w:w="184" w:type="pct"/>
            <w:tcBorders>
              <w:left w:val="single" w:sz="8" w:space="0" w:color="auto"/>
            </w:tcBorders>
            <w:shd w:val="clear" w:color="auto" w:fill="auto"/>
            <w:noWrap/>
            <w:vAlign w:val="center"/>
            <w:hideMark/>
          </w:tcPr>
          <w:p w14:paraId="27D2A0EF" w14:textId="77777777" w:rsidR="00BE151D" w:rsidRPr="00D14CD7" w:rsidRDefault="00BE151D" w:rsidP="00567BE9">
            <w:pPr>
              <w:spacing w:after="0" w:line="240" w:lineRule="auto"/>
              <w:jc w:val="right"/>
              <w:rPr>
                <w:rFonts w:eastAsia="Times New Roman"/>
                <w:color w:val="000000" w:themeColor="text1"/>
                <w:sz w:val="16"/>
                <w:szCs w:val="16"/>
              </w:rPr>
            </w:pPr>
            <w:r w:rsidRPr="00D14CD7">
              <w:rPr>
                <w:rFonts w:eastAsia="Times New Roman"/>
                <w:color w:val="000000" w:themeColor="text1"/>
                <w:sz w:val="16"/>
              </w:rPr>
              <w:t>—</w:t>
            </w:r>
          </w:p>
        </w:tc>
        <w:tc>
          <w:tcPr>
            <w:tcW w:w="185" w:type="pct"/>
            <w:tcBorders>
              <w:top w:val="single" w:sz="4" w:space="0" w:color="auto"/>
              <w:bottom w:val="single" w:sz="4" w:space="0" w:color="auto"/>
              <w:right w:val="single" w:sz="8" w:space="0" w:color="auto"/>
            </w:tcBorders>
            <w:shd w:val="clear" w:color="auto" w:fill="auto"/>
            <w:noWrap/>
            <w:vAlign w:val="center"/>
            <w:hideMark/>
          </w:tcPr>
          <w:p w14:paraId="5674BE60" w14:textId="77777777" w:rsidR="00BE151D" w:rsidRPr="00D14CD7" w:rsidRDefault="00BE151D" w:rsidP="00567BE9">
            <w:pPr>
              <w:spacing w:after="0" w:line="240" w:lineRule="auto"/>
              <w:jc w:val="right"/>
              <w:rPr>
                <w:rFonts w:eastAsia="Times New Roman"/>
                <w:color w:val="000000" w:themeColor="text1"/>
                <w:sz w:val="16"/>
                <w:szCs w:val="16"/>
              </w:rPr>
            </w:pPr>
            <w:r w:rsidRPr="00D14CD7">
              <w:rPr>
                <w:rFonts w:eastAsia="Times New Roman"/>
                <w:color w:val="000000" w:themeColor="text1"/>
                <w:sz w:val="16"/>
              </w:rPr>
              <w:t>—</w:t>
            </w:r>
          </w:p>
        </w:tc>
        <w:tc>
          <w:tcPr>
            <w:tcW w:w="185" w:type="pct"/>
            <w:tcBorders>
              <w:left w:val="single" w:sz="8" w:space="0" w:color="auto"/>
            </w:tcBorders>
            <w:shd w:val="clear" w:color="auto" w:fill="auto"/>
            <w:noWrap/>
            <w:vAlign w:val="bottom"/>
          </w:tcPr>
          <w:p w14:paraId="57B842A3" w14:textId="77777777" w:rsidR="00BE151D" w:rsidRPr="00D14CD7" w:rsidRDefault="00BE151D" w:rsidP="00567BE9">
            <w:pPr>
              <w:spacing w:after="0" w:line="240" w:lineRule="auto"/>
              <w:jc w:val="right"/>
              <w:rPr>
                <w:rFonts w:eastAsia="Times New Roman"/>
                <w:color w:val="000000" w:themeColor="text1"/>
                <w:sz w:val="16"/>
                <w:szCs w:val="16"/>
              </w:rPr>
            </w:pPr>
            <w:r w:rsidRPr="00D14CD7">
              <w:rPr>
                <w:color w:val="000000" w:themeColor="text1"/>
                <w:sz w:val="16"/>
                <w:szCs w:val="16"/>
              </w:rPr>
              <w:t>0.845</w:t>
            </w:r>
          </w:p>
        </w:tc>
        <w:tc>
          <w:tcPr>
            <w:tcW w:w="185" w:type="pct"/>
            <w:tcBorders>
              <w:top w:val="single" w:sz="4" w:space="0" w:color="auto"/>
              <w:bottom w:val="single" w:sz="4" w:space="0" w:color="auto"/>
              <w:right w:val="single" w:sz="8" w:space="0" w:color="auto"/>
            </w:tcBorders>
            <w:shd w:val="clear" w:color="auto" w:fill="auto"/>
            <w:noWrap/>
            <w:vAlign w:val="bottom"/>
          </w:tcPr>
          <w:p w14:paraId="52E15848" w14:textId="77777777" w:rsidR="00BE151D" w:rsidRPr="00D14CD7" w:rsidRDefault="00BE151D" w:rsidP="00567BE9">
            <w:pPr>
              <w:spacing w:after="0" w:line="240" w:lineRule="auto"/>
              <w:jc w:val="right"/>
              <w:rPr>
                <w:rFonts w:eastAsia="Times New Roman"/>
                <w:color w:val="000000" w:themeColor="text1"/>
                <w:sz w:val="16"/>
                <w:szCs w:val="16"/>
              </w:rPr>
            </w:pPr>
            <w:r w:rsidRPr="00D14CD7">
              <w:rPr>
                <w:color w:val="000000" w:themeColor="text1"/>
                <w:sz w:val="16"/>
                <w:szCs w:val="16"/>
              </w:rPr>
              <w:t>2.87</w:t>
            </w:r>
          </w:p>
        </w:tc>
        <w:tc>
          <w:tcPr>
            <w:tcW w:w="156" w:type="pct"/>
            <w:tcBorders>
              <w:left w:val="single" w:sz="8" w:space="0" w:color="auto"/>
            </w:tcBorders>
            <w:shd w:val="clear" w:color="auto" w:fill="auto"/>
            <w:noWrap/>
            <w:vAlign w:val="center"/>
            <w:hideMark/>
          </w:tcPr>
          <w:p w14:paraId="2A049FAB" w14:textId="77777777" w:rsidR="00BE151D" w:rsidRPr="00D14CD7" w:rsidRDefault="00BE151D" w:rsidP="00567BE9">
            <w:pPr>
              <w:spacing w:after="0" w:line="240" w:lineRule="auto"/>
              <w:jc w:val="right"/>
              <w:rPr>
                <w:rFonts w:eastAsia="Times New Roman"/>
                <w:color w:val="000000" w:themeColor="text1"/>
                <w:sz w:val="16"/>
                <w:szCs w:val="16"/>
              </w:rPr>
            </w:pPr>
            <w:proofErr w:type="spellStart"/>
            <w:r w:rsidRPr="00D14CD7">
              <w:rPr>
                <w:rFonts w:eastAsia="Times New Roman"/>
                <w:color w:val="000000" w:themeColor="text1"/>
                <w:sz w:val="16"/>
              </w:rPr>
              <w:t>na</w:t>
            </w:r>
            <w:proofErr w:type="spellEnd"/>
          </w:p>
        </w:tc>
        <w:tc>
          <w:tcPr>
            <w:tcW w:w="157" w:type="pct"/>
            <w:tcBorders>
              <w:right w:val="double" w:sz="4" w:space="0" w:color="auto"/>
            </w:tcBorders>
            <w:shd w:val="clear" w:color="auto" w:fill="auto"/>
            <w:noWrap/>
            <w:vAlign w:val="center"/>
            <w:hideMark/>
          </w:tcPr>
          <w:p w14:paraId="0E6E30FA" w14:textId="77777777" w:rsidR="00BE151D" w:rsidRPr="00D14CD7" w:rsidRDefault="00BE151D" w:rsidP="00567BE9">
            <w:pPr>
              <w:spacing w:after="0" w:line="240" w:lineRule="auto"/>
              <w:jc w:val="right"/>
              <w:rPr>
                <w:rFonts w:eastAsia="Times New Roman"/>
                <w:color w:val="000000" w:themeColor="text1"/>
                <w:sz w:val="16"/>
                <w:szCs w:val="16"/>
              </w:rPr>
            </w:pPr>
            <w:proofErr w:type="spellStart"/>
            <w:r w:rsidRPr="00D14CD7">
              <w:rPr>
                <w:rFonts w:eastAsia="Times New Roman"/>
                <w:color w:val="000000" w:themeColor="text1"/>
                <w:sz w:val="16"/>
              </w:rPr>
              <w:t>na</w:t>
            </w:r>
            <w:proofErr w:type="spellEnd"/>
          </w:p>
        </w:tc>
        <w:tc>
          <w:tcPr>
            <w:tcW w:w="187" w:type="pct"/>
            <w:tcBorders>
              <w:top w:val="single" w:sz="4" w:space="0" w:color="auto"/>
              <w:left w:val="double" w:sz="4" w:space="0" w:color="auto"/>
              <w:bottom w:val="single" w:sz="4" w:space="0" w:color="auto"/>
            </w:tcBorders>
            <w:shd w:val="clear" w:color="auto" w:fill="auto"/>
            <w:noWrap/>
            <w:vAlign w:val="bottom"/>
          </w:tcPr>
          <w:p w14:paraId="34598FBB" w14:textId="77777777" w:rsidR="00BE151D" w:rsidRPr="00D14CD7" w:rsidRDefault="00BE151D" w:rsidP="00567BE9">
            <w:pPr>
              <w:spacing w:after="0" w:line="240" w:lineRule="auto"/>
              <w:jc w:val="right"/>
              <w:rPr>
                <w:rFonts w:eastAsia="Times New Roman"/>
                <w:color w:val="000000" w:themeColor="text1"/>
                <w:sz w:val="16"/>
                <w:szCs w:val="16"/>
              </w:rPr>
            </w:pPr>
            <w:r w:rsidRPr="00D14CD7">
              <w:rPr>
                <w:color w:val="000000" w:themeColor="text1"/>
                <w:sz w:val="16"/>
                <w:szCs w:val="16"/>
              </w:rPr>
              <w:t>-0.170</w:t>
            </w:r>
          </w:p>
        </w:tc>
        <w:tc>
          <w:tcPr>
            <w:tcW w:w="183" w:type="pct"/>
            <w:shd w:val="clear" w:color="auto" w:fill="auto"/>
            <w:noWrap/>
            <w:vAlign w:val="bottom"/>
          </w:tcPr>
          <w:p w14:paraId="6AEBD984" w14:textId="77777777" w:rsidR="00BE151D" w:rsidRPr="00D14CD7" w:rsidRDefault="00BE151D" w:rsidP="00567BE9">
            <w:pPr>
              <w:spacing w:after="0" w:line="240" w:lineRule="auto"/>
              <w:jc w:val="right"/>
              <w:rPr>
                <w:rFonts w:eastAsia="Times New Roman"/>
                <w:color w:val="000000" w:themeColor="text1"/>
                <w:sz w:val="16"/>
                <w:szCs w:val="16"/>
              </w:rPr>
            </w:pPr>
            <w:r w:rsidRPr="00D14CD7">
              <w:rPr>
                <w:color w:val="000000" w:themeColor="text1"/>
                <w:sz w:val="16"/>
                <w:szCs w:val="16"/>
              </w:rPr>
              <w:t>-1.94</w:t>
            </w:r>
          </w:p>
        </w:tc>
      </w:tr>
      <w:tr w:rsidR="00D14CD7" w:rsidRPr="00D14CD7" w14:paraId="3907B177" w14:textId="77777777" w:rsidTr="00567BE9">
        <w:trPr>
          <w:trHeight w:val="72"/>
        </w:trPr>
        <w:tc>
          <w:tcPr>
            <w:tcW w:w="1709" w:type="pct"/>
            <w:tcBorders>
              <w:top w:val="single" w:sz="4" w:space="0" w:color="auto"/>
              <w:bottom w:val="single" w:sz="4" w:space="0" w:color="auto"/>
              <w:right w:val="double" w:sz="4" w:space="0" w:color="auto"/>
            </w:tcBorders>
            <w:shd w:val="clear" w:color="auto" w:fill="auto"/>
            <w:noWrap/>
            <w:vAlign w:val="center"/>
            <w:hideMark/>
          </w:tcPr>
          <w:p w14:paraId="4814727F" w14:textId="77777777" w:rsidR="00BE151D" w:rsidRPr="00D14CD7" w:rsidRDefault="00BE151D" w:rsidP="00567BE9">
            <w:pPr>
              <w:spacing w:after="0" w:line="240" w:lineRule="auto"/>
              <w:ind w:firstLine="140"/>
              <w:rPr>
                <w:rFonts w:eastAsia="Times New Roman"/>
                <w:color w:val="000000" w:themeColor="text1"/>
                <w:sz w:val="16"/>
                <w:szCs w:val="16"/>
              </w:rPr>
            </w:pPr>
            <w:r w:rsidRPr="00D14CD7">
              <w:rPr>
                <w:rFonts w:eastAsia="Times New Roman"/>
                <w:color w:val="000000" w:themeColor="text1"/>
                <w:sz w:val="16"/>
              </w:rPr>
              <w:t>Multiple related adults</w:t>
            </w:r>
          </w:p>
        </w:tc>
        <w:tc>
          <w:tcPr>
            <w:tcW w:w="227" w:type="pct"/>
            <w:tcBorders>
              <w:top w:val="single" w:sz="4" w:space="0" w:color="auto"/>
              <w:left w:val="double" w:sz="4" w:space="0" w:color="auto"/>
              <w:bottom w:val="single" w:sz="4" w:space="0" w:color="auto"/>
            </w:tcBorders>
            <w:shd w:val="clear" w:color="auto" w:fill="auto"/>
            <w:noWrap/>
            <w:vAlign w:val="center"/>
            <w:hideMark/>
          </w:tcPr>
          <w:p w14:paraId="53793BCA" w14:textId="77777777" w:rsidR="00BE151D" w:rsidRPr="00D14CD7" w:rsidRDefault="00BE151D" w:rsidP="00567BE9">
            <w:pPr>
              <w:spacing w:after="0" w:line="240" w:lineRule="auto"/>
              <w:jc w:val="right"/>
              <w:rPr>
                <w:rFonts w:eastAsia="Times New Roman"/>
                <w:color w:val="000000" w:themeColor="text1"/>
                <w:sz w:val="16"/>
                <w:szCs w:val="16"/>
              </w:rPr>
            </w:pPr>
            <w:r w:rsidRPr="00D14CD7">
              <w:rPr>
                <w:rFonts w:eastAsia="Times New Roman"/>
                <w:color w:val="000000" w:themeColor="text1"/>
                <w:sz w:val="16"/>
              </w:rPr>
              <w:t>—</w:t>
            </w:r>
          </w:p>
        </w:tc>
        <w:tc>
          <w:tcPr>
            <w:tcW w:w="199" w:type="pct"/>
            <w:tcBorders>
              <w:top w:val="single" w:sz="4" w:space="0" w:color="auto"/>
              <w:bottom w:val="single" w:sz="4" w:space="0" w:color="auto"/>
              <w:right w:val="single" w:sz="8" w:space="0" w:color="auto"/>
            </w:tcBorders>
            <w:shd w:val="clear" w:color="auto" w:fill="auto"/>
            <w:noWrap/>
            <w:vAlign w:val="center"/>
            <w:hideMark/>
          </w:tcPr>
          <w:p w14:paraId="6CF7A36D" w14:textId="77777777" w:rsidR="00BE151D" w:rsidRPr="00D14CD7" w:rsidRDefault="00BE151D" w:rsidP="00567BE9">
            <w:pPr>
              <w:spacing w:after="0" w:line="240" w:lineRule="auto"/>
              <w:jc w:val="right"/>
              <w:rPr>
                <w:rFonts w:eastAsia="Times New Roman"/>
                <w:color w:val="000000" w:themeColor="text1"/>
                <w:sz w:val="16"/>
                <w:szCs w:val="16"/>
              </w:rPr>
            </w:pPr>
            <w:r w:rsidRPr="00D14CD7">
              <w:rPr>
                <w:rFonts w:eastAsia="Times New Roman"/>
                <w:color w:val="000000" w:themeColor="text1"/>
                <w:sz w:val="16"/>
              </w:rPr>
              <w:t>—</w:t>
            </w:r>
          </w:p>
        </w:tc>
        <w:tc>
          <w:tcPr>
            <w:tcW w:w="184" w:type="pct"/>
            <w:tcBorders>
              <w:top w:val="single" w:sz="4" w:space="0" w:color="auto"/>
              <w:left w:val="single" w:sz="8" w:space="0" w:color="auto"/>
              <w:bottom w:val="single" w:sz="4" w:space="0" w:color="auto"/>
            </w:tcBorders>
            <w:shd w:val="clear" w:color="auto" w:fill="auto"/>
            <w:noWrap/>
            <w:vAlign w:val="center"/>
            <w:hideMark/>
          </w:tcPr>
          <w:p w14:paraId="73456DC7" w14:textId="77777777" w:rsidR="00BE151D" w:rsidRPr="00D14CD7" w:rsidRDefault="00BE151D" w:rsidP="00567BE9">
            <w:pPr>
              <w:spacing w:after="0" w:line="240" w:lineRule="auto"/>
              <w:jc w:val="right"/>
              <w:rPr>
                <w:rFonts w:eastAsia="Times New Roman"/>
                <w:color w:val="000000" w:themeColor="text1"/>
                <w:sz w:val="16"/>
                <w:szCs w:val="16"/>
              </w:rPr>
            </w:pPr>
            <w:r w:rsidRPr="00D14CD7">
              <w:rPr>
                <w:rFonts w:eastAsia="Times New Roman"/>
                <w:color w:val="000000" w:themeColor="text1"/>
                <w:sz w:val="16"/>
              </w:rPr>
              <w:t>—</w:t>
            </w:r>
          </w:p>
        </w:tc>
        <w:tc>
          <w:tcPr>
            <w:tcW w:w="185" w:type="pct"/>
            <w:tcBorders>
              <w:top w:val="single" w:sz="4" w:space="0" w:color="auto"/>
              <w:bottom w:val="single" w:sz="4" w:space="0" w:color="auto"/>
              <w:right w:val="single" w:sz="8" w:space="0" w:color="auto"/>
            </w:tcBorders>
            <w:shd w:val="clear" w:color="auto" w:fill="auto"/>
            <w:noWrap/>
            <w:vAlign w:val="center"/>
            <w:hideMark/>
          </w:tcPr>
          <w:p w14:paraId="49915BC3" w14:textId="77777777" w:rsidR="00BE151D" w:rsidRPr="00D14CD7" w:rsidRDefault="00BE151D" w:rsidP="00567BE9">
            <w:pPr>
              <w:spacing w:after="0" w:line="240" w:lineRule="auto"/>
              <w:jc w:val="right"/>
              <w:rPr>
                <w:rFonts w:eastAsia="Times New Roman"/>
                <w:color w:val="000000" w:themeColor="text1"/>
                <w:sz w:val="16"/>
                <w:szCs w:val="16"/>
              </w:rPr>
            </w:pPr>
            <w:r w:rsidRPr="00D14CD7">
              <w:rPr>
                <w:rFonts w:eastAsia="Times New Roman"/>
                <w:color w:val="000000" w:themeColor="text1"/>
                <w:sz w:val="16"/>
              </w:rPr>
              <w:t>—</w:t>
            </w:r>
          </w:p>
        </w:tc>
        <w:tc>
          <w:tcPr>
            <w:tcW w:w="184" w:type="pct"/>
            <w:tcBorders>
              <w:top w:val="single" w:sz="4" w:space="0" w:color="auto"/>
              <w:left w:val="single" w:sz="8" w:space="0" w:color="auto"/>
              <w:bottom w:val="single" w:sz="4" w:space="0" w:color="auto"/>
            </w:tcBorders>
            <w:shd w:val="clear" w:color="auto" w:fill="auto"/>
            <w:noWrap/>
            <w:vAlign w:val="center"/>
            <w:hideMark/>
          </w:tcPr>
          <w:p w14:paraId="687A140A" w14:textId="77777777" w:rsidR="00BE151D" w:rsidRPr="00D14CD7" w:rsidRDefault="00BE151D" w:rsidP="00567BE9">
            <w:pPr>
              <w:spacing w:after="0" w:line="240" w:lineRule="auto"/>
              <w:jc w:val="right"/>
              <w:rPr>
                <w:rFonts w:eastAsia="Times New Roman"/>
                <w:color w:val="000000" w:themeColor="text1"/>
                <w:sz w:val="16"/>
                <w:szCs w:val="16"/>
              </w:rPr>
            </w:pPr>
            <w:r w:rsidRPr="00D14CD7">
              <w:rPr>
                <w:rFonts w:eastAsia="Times New Roman"/>
                <w:color w:val="000000" w:themeColor="text1"/>
                <w:sz w:val="16"/>
              </w:rPr>
              <w:t>—</w:t>
            </w:r>
          </w:p>
        </w:tc>
        <w:tc>
          <w:tcPr>
            <w:tcW w:w="188" w:type="pct"/>
            <w:tcBorders>
              <w:top w:val="single" w:sz="4" w:space="0" w:color="auto"/>
              <w:bottom w:val="single" w:sz="4" w:space="0" w:color="auto"/>
              <w:right w:val="single" w:sz="8" w:space="0" w:color="auto"/>
            </w:tcBorders>
            <w:shd w:val="clear" w:color="auto" w:fill="auto"/>
            <w:noWrap/>
            <w:vAlign w:val="center"/>
            <w:hideMark/>
          </w:tcPr>
          <w:p w14:paraId="2E5FB96C" w14:textId="77777777" w:rsidR="00BE151D" w:rsidRPr="00D14CD7" w:rsidRDefault="00BE151D" w:rsidP="00567BE9">
            <w:pPr>
              <w:spacing w:after="0" w:line="240" w:lineRule="auto"/>
              <w:jc w:val="right"/>
              <w:rPr>
                <w:rFonts w:eastAsia="Times New Roman"/>
                <w:color w:val="000000" w:themeColor="text1"/>
                <w:sz w:val="16"/>
                <w:szCs w:val="16"/>
              </w:rPr>
            </w:pPr>
            <w:r w:rsidRPr="00D14CD7">
              <w:rPr>
                <w:rFonts w:eastAsia="Times New Roman"/>
                <w:color w:val="000000" w:themeColor="text1"/>
                <w:sz w:val="16"/>
              </w:rPr>
              <w:t>—</w:t>
            </w:r>
          </w:p>
        </w:tc>
        <w:tc>
          <w:tcPr>
            <w:tcW w:w="188" w:type="pct"/>
            <w:tcBorders>
              <w:top w:val="single" w:sz="4" w:space="0" w:color="auto"/>
              <w:left w:val="single" w:sz="8" w:space="0" w:color="auto"/>
              <w:bottom w:val="single" w:sz="4" w:space="0" w:color="auto"/>
            </w:tcBorders>
            <w:shd w:val="clear" w:color="auto" w:fill="auto"/>
            <w:noWrap/>
            <w:vAlign w:val="center"/>
            <w:hideMark/>
          </w:tcPr>
          <w:p w14:paraId="29592C64" w14:textId="77777777" w:rsidR="00BE151D" w:rsidRPr="00D14CD7" w:rsidRDefault="00BE151D" w:rsidP="00567BE9">
            <w:pPr>
              <w:spacing w:after="0" w:line="240" w:lineRule="auto"/>
              <w:jc w:val="right"/>
              <w:rPr>
                <w:rFonts w:eastAsia="Times New Roman"/>
                <w:color w:val="000000" w:themeColor="text1"/>
                <w:sz w:val="16"/>
                <w:szCs w:val="16"/>
              </w:rPr>
            </w:pPr>
            <w:proofErr w:type="spellStart"/>
            <w:r w:rsidRPr="00D14CD7">
              <w:rPr>
                <w:rFonts w:eastAsia="Times New Roman"/>
                <w:color w:val="000000" w:themeColor="text1"/>
                <w:sz w:val="16"/>
              </w:rPr>
              <w:t>na</w:t>
            </w:r>
            <w:proofErr w:type="spellEnd"/>
          </w:p>
        </w:tc>
        <w:tc>
          <w:tcPr>
            <w:tcW w:w="146" w:type="pct"/>
            <w:tcBorders>
              <w:top w:val="single" w:sz="4" w:space="0" w:color="auto"/>
              <w:bottom w:val="single" w:sz="4" w:space="0" w:color="auto"/>
              <w:right w:val="double" w:sz="4" w:space="0" w:color="auto"/>
            </w:tcBorders>
            <w:shd w:val="clear" w:color="auto" w:fill="auto"/>
            <w:noWrap/>
            <w:vAlign w:val="center"/>
            <w:hideMark/>
          </w:tcPr>
          <w:p w14:paraId="5D08CF18" w14:textId="77777777" w:rsidR="00BE151D" w:rsidRPr="00D14CD7" w:rsidRDefault="00BE151D" w:rsidP="00567BE9">
            <w:pPr>
              <w:spacing w:after="0" w:line="240" w:lineRule="auto"/>
              <w:jc w:val="right"/>
              <w:rPr>
                <w:rFonts w:eastAsia="Times New Roman"/>
                <w:color w:val="000000" w:themeColor="text1"/>
                <w:sz w:val="16"/>
                <w:szCs w:val="16"/>
              </w:rPr>
            </w:pPr>
            <w:proofErr w:type="spellStart"/>
            <w:r w:rsidRPr="00D14CD7">
              <w:rPr>
                <w:rFonts w:eastAsia="Times New Roman"/>
                <w:color w:val="000000" w:themeColor="text1"/>
                <w:sz w:val="16"/>
              </w:rPr>
              <w:t>na</w:t>
            </w:r>
            <w:proofErr w:type="spellEnd"/>
          </w:p>
        </w:tc>
        <w:tc>
          <w:tcPr>
            <w:tcW w:w="184" w:type="pct"/>
            <w:tcBorders>
              <w:left w:val="double" w:sz="4" w:space="0" w:color="auto"/>
            </w:tcBorders>
            <w:shd w:val="clear" w:color="auto" w:fill="auto"/>
            <w:noWrap/>
            <w:vAlign w:val="bottom"/>
          </w:tcPr>
          <w:p w14:paraId="35FDB299" w14:textId="77777777" w:rsidR="00BE151D" w:rsidRPr="00D14CD7" w:rsidRDefault="00BE151D" w:rsidP="00567BE9">
            <w:pPr>
              <w:spacing w:after="0" w:line="240" w:lineRule="auto"/>
              <w:jc w:val="right"/>
              <w:rPr>
                <w:rFonts w:eastAsia="Times New Roman"/>
                <w:color w:val="000000" w:themeColor="text1"/>
                <w:sz w:val="16"/>
                <w:szCs w:val="16"/>
              </w:rPr>
            </w:pPr>
            <w:r w:rsidRPr="00D14CD7">
              <w:rPr>
                <w:color w:val="000000" w:themeColor="text1"/>
                <w:sz w:val="16"/>
                <w:szCs w:val="16"/>
              </w:rPr>
              <w:t>-0.244</w:t>
            </w:r>
          </w:p>
        </w:tc>
        <w:tc>
          <w:tcPr>
            <w:tcW w:w="184" w:type="pct"/>
            <w:tcBorders>
              <w:top w:val="single" w:sz="4" w:space="0" w:color="auto"/>
              <w:bottom w:val="single" w:sz="4" w:space="0" w:color="auto"/>
              <w:right w:val="single" w:sz="8" w:space="0" w:color="auto"/>
            </w:tcBorders>
            <w:shd w:val="clear" w:color="auto" w:fill="auto"/>
            <w:noWrap/>
            <w:vAlign w:val="bottom"/>
          </w:tcPr>
          <w:p w14:paraId="60B95A1E" w14:textId="77777777" w:rsidR="00BE151D" w:rsidRPr="00D14CD7" w:rsidRDefault="00BE151D" w:rsidP="00567BE9">
            <w:pPr>
              <w:spacing w:after="0" w:line="240" w:lineRule="auto"/>
              <w:jc w:val="right"/>
              <w:rPr>
                <w:rFonts w:eastAsia="Times New Roman"/>
                <w:color w:val="000000" w:themeColor="text1"/>
                <w:sz w:val="16"/>
                <w:szCs w:val="16"/>
              </w:rPr>
            </w:pPr>
            <w:r w:rsidRPr="00D14CD7">
              <w:rPr>
                <w:color w:val="000000" w:themeColor="text1"/>
                <w:sz w:val="16"/>
                <w:szCs w:val="16"/>
              </w:rPr>
              <w:t>-1.12</w:t>
            </w:r>
          </w:p>
        </w:tc>
        <w:tc>
          <w:tcPr>
            <w:tcW w:w="184" w:type="pct"/>
            <w:tcBorders>
              <w:left w:val="single" w:sz="8" w:space="0" w:color="auto"/>
            </w:tcBorders>
            <w:shd w:val="clear" w:color="auto" w:fill="auto"/>
            <w:noWrap/>
            <w:vAlign w:val="center"/>
            <w:hideMark/>
          </w:tcPr>
          <w:p w14:paraId="41C31620" w14:textId="77777777" w:rsidR="00BE151D" w:rsidRPr="00D14CD7" w:rsidRDefault="00BE151D" w:rsidP="00567BE9">
            <w:pPr>
              <w:spacing w:after="0" w:line="240" w:lineRule="auto"/>
              <w:jc w:val="right"/>
              <w:rPr>
                <w:rFonts w:eastAsia="Times New Roman"/>
                <w:color w:val="000000" w:themeColor="text1"/>
                <w:sz w:val="16"/>
                <w:szCs w:val="16"/>
              </w:rPr>
            </w:pPr>
            <w:r w:rsidRPr="00D14CD7">
              <w:rPr>
                <w:rFonts w:eastAsia="Times New Roman"/>
                <w:color w:val="000000" w:themeColor="text1"/>
                <w:sz w:val="16"/>
              </w:rPr>
              <w:t>—</w:t>
            </w:r>
          </w:p>
        </w:tc>
        <w:tc>
          <w:tcPr>
            <w:tcW w:w="185" w:type="pct"/>
            <w:tcBorders>
              <w:top w:val="single" w:sz="4" w:space="0" w:color="auto"/>
              <w:bottom w:val="single" w:sz="4" w:space="0" w:color="auto"/>
              <w:right w:val="single" w:sz="8" w:space="0" w:color="auto"/>
            </w:tcBorders>
            <w:shd w:val="clear" w:color="auto" w:fill="auto"/>
            <w:noWrap/>
            <w:vAlign w:val="center"/>
            <w:hideMark/>
          </w:tcPr>
          <w:p w14:paraId="7434B2AC" w14:textId="77777777" w:rsidR="00BE151D" w:rsidRPr="00D14CD7" w:rsidRDefault="00BE151D" w:rsidP="00567BE9">
            <w:pPr>
              <w:spacing w:after="0" w:line="240" w:lineRule="auto"/>
              <w:jc w:val="right"/>
              <w:rPr>
                <w:rFonts w:eastAsia="Times New Roman"/>
                <w:color w:val="000000" w:themeColor="text1"/>
                <w:sz w:val="16"/>
                <w:szCs w:val="16"/>
              </w:rPr>
            </w:pPr>
            <w:r w:rsidRPr="00D14CD7">
              <w:rPr>
                <w:rFonts w:eastAsia="Times New Roman"/>
                <w:color w:val="000000" w:themeColor="text1"/>
                <w:sz w:val="16"/>
              </w:rPr>
              <w:t>—</w:t>
            </w:r>
          </w:p>
        </w:tc>
        <w:tc>
          <w:tcPr>
            <w:tcW w:w="185" w:type="pct"/>
            <w:tcBorders>
              <w:left w:val="single" w:sz="8" w:space="0" w:color="auto"/>
            </w:tcBorders>
            <w:shd w:val="clear" w:color="auto" w:fill="auto"/>
            <w:noWrap/>
            <w:vAlign w:val="center"/>
            <w:hideMark/>
          </w:tcPr>
          <w:p w14:paraId="24B763A7" w14:textId="77777777" w:rsidR="00BE151D" w:rsidRPr="00D14CD7" w:rsidRDefault="00BE151D" w:rsidP="00567BE9">
            <w:pPr>
              <w:spacing w:after="0" w:line="240" w:lineRule="auto"/>
              <w:jc w:val="right"/>
              <w:rPr>
                <w:rFonts w:eastAsia="Times New Roman"/>
                <w:color w:val="000000" w:themeColor="text1"/>
                <w:sz w:val="16"/>
                <w:szCs w:val="16"/>
              </w:rPr>
            </w:pPr>
            <w:r w:rsidRPr="00D14CD7">
              <w:rPr>
                <w:rFonts w:eastAsia="Times New Roman"/>
                <w:color w:val="000000" w:themeColor="text1"/>
                <w:sz w:val="16"/>
              </w:rPr>
              <w:t>—</w:t>
            </w:r>
          </w:p>
        </w:tc>
        <w:tc>
          <w:tcPr>
            <w:tcW w:w="185" w:type="pct"/>
            <w:tcBorders>
              <w:top w:val="single" w:sz="4" w:space="0" w:color="auto"/>
              <w:bottom w:val="single" w:sz="4" w:space="0" w:color="auto"/>
              <w:right w:val="single" w:sz="8" w:space="0" w:color="auto"/>
            </w:tcBorders>
            <w:shd w:val="clear" w:color="auto" w:fill="auto"/>
            <w:noWrap/>
            <w:vAlign w:val="center"/>
            <w:hideMark/>
          </w:tcPr>
          <w:p w14:paraId="2A76B830" w14:textId="77777777" w:rsidR="00BE151D" w:rsidRPr="00D14CD7" w:rsidRDefault="00BE151D" w:rsidP="00567BE9">
            <w:pPr>
              <w:spacing w:after="0" w:line="240" w:lineRule="auto"/>
              <w:jc w:val="right"/>
              <w:rPr>
                <w:rFonts w:eastAsia="Times New Roman"/>
                <w:color w:val="000000" w:themeColor="text1"/>
                <w:sz w:val="16"/>
                <w:szCs w:val="16"/>
              </w:rPr>
            </w:pPr>
            <w:r w:rsidRPr="00D14CD7">
              <w:rPr>
                <w:rFonts w:eastAsia="Times New Roman"/>
                <w:color w:val="000000" w:themeColor="text1"/>
                <w:sz w:val="16"/>
              </w:rPr>
              <w:t>—</w:t>
            </w:r>
          </w:p>
        </w:tc>
        <w:tc>
          <w:tcPr>
            <w:tcW w:w="156" w:type="pct"/>
            <w:tcBorders>
              <w:left w:val="single" w:sz="8" w:space="0" w:color="auto"/>
            </w:tcBorders>
            <w:shd w:val="clear" w:color="auto" w:fill="auto"/>
            <w:noWrap/>
            <w:vAlign w:val="center"/>
            <w:hideMark/>
          </w:tcPr>
          <w:p w14:paraId="2784DDF5" w14:textId="77777777" w:rsidR="00BE151D" w:rsidRPr="00D14CD7" w:rsidRDefault="00BE151D" w:rsidP="00567BE9">
            <w:pPr>
              <w:spacing w:after="0" w:line="240" w:lineRule="auto"/>
              <w:jc w:val="right"/>
              <w:rPr>
                <w:rFonts w:eastAsia="Times New Roman"/>
                <w:color w:val="000000" w:themeColor="text1"/>
                <w:sz w:val="16"/>
                <w:szCs w:val="16"/>
              </w:rPr>
            </w:pPr>
            <w:proofErr w:type="spellStart"/>
            <w:r w:rsidRPr="00D14CD7">
              <w:rPr>
                <w:rFonts w:eastAsia="Times New Roman"/>
                <w:color w:val="000000" w:themeColor="text1"/>
                <w:sz w:val="16"/>
              </w:rPr>
              <w:t>na</w:t>
            </w:r>
            <w:proofErr w:type="spellEnd"/>
          </w:p>
        </w:tc>
        <w:tc>
          <w:tcPr>
            <w:tcW w:w="157" w:type="pct"/>
            <w:tcBorders>
              <w:right w:val="double" w:sz="4" w:space="0" w:color="auto"/>
            </w:tcBorders>
            <w:shd w:val="clear" w:color="auto" w:fill="auto"/>
            <w:noWrap/>
            <w:vAlign w:val="center"/>
            <w:hideMark/>
          </w:tcPr>
          <w:p w14:paraId="2F43D5A6" w14:textId="77777777" w:rsidR="00BE151D" w:rsidRPr="00D14CD7" w:rsidRDefault="00BE151D" w:rsidP="00567BE9">
            <w:pPr>
              <w:spacing w:after="0" w:line="240" w:lineRule="auto"/>
              <w:jc w:val="right"/>
              <w:rPr>
                <w:rFonts w:eastAsia="Times New Roman"/>
                <w:color w:val="000000" w:themeColor="text1"/>
                <w:sz w:val="16"/>
                <w:szCs w:val="16"/>
              </w:rPr>
            </w:pPr>
            <w:proofErr w:type="spellStart"/>
            <w:r w:rsidRPr="00D14CD7">
              <w:rPr>
                <w:rFonts w:eastAsia="Times New Roman"/>
                <w:color w:val="000000" w:themeColor="text1"/>
                <w:sz w:val="16"/>
              </w:rPr>
              <w:t>na</w:t>
            </w:r>
            <w:proofErr w:type="spellEnd"/>
          </w:p>
        </w:tc>
        <w:tc>
          <w:tcPr>
            <w:tcW w:w="187" w:type="pct"/>
            <w:tcBorders>
              <w:top w:val="single" w:sz="4" w:space="0" w:color="auto"/>
              <w:left w:val="double" w:sz="4" w:space="0" w:color="auto"/>
              <w:bottom w:val="single" w:sz="4" w:space="0" w:color="auto"/>
            </w:tcBorders>
            <w:shd w:val="clear" w:color="auto" w:fill="auto"/>
            <w:noWrap/>
            <w:vAlign w:val="bottom"/>
          </w:tcPr>
          <w:p w14:paraId="58680C62" w14:textId="77777777" w:rsidR="00BE151D" w:rsidRPr="00D14CD7" w:rsidRDefault="00BE151D" w:rsidP="00567BE9">
            <w:pPr>
              <w:spacing w:after="0" w:line="240" w:lineRule="auto"/>
              <w:jc w:val="right"/>
              <w:rPr>
                <w:rFonts w:eastAsia="Times New Roman"/>
                <w:color w:val="000000" w:themeColor="text1"/>
                <w:sz w:val="16"/>
                <w:szCs w:val="16"/>
              </w:rPr>
            </w:pPr>
            <w:r w:rsidRPr="00D14CD7">
              <w:rPr>
                <w:color w:val="000000" w:themeColor="text1"/>
                <w:sz w:val="16"/>
                <w:szCs w:val="16"/>
              </w:rPr>
              <w:t>-0.117</w:t>
            </w:r>
          </w:p>
        </w:tc>
        <w:tc>
          <w:tcPr>
            <w:tcW w:w="183" w:type="pct"/>
            <w:shd w:val="clear" w:color="auto" w:fill="auto"/>
            <w:noWrap/>
            <w:vAlign w:val="bottom"/>
          </w:tcPr>
          <w:p w14:paraId="2AAFE598" w14:textId="77777777" w:rsidR="00BE151D" w:rsidRPr="00D14CD7" w:rsidRDefault="00BE151D" w:rsidP="00567BE9">
            <w:pPr>
              <w:spacing w:after="0" w:line="240" w:lineRule="auto"/>
              <w:jc w:val="right"/>
              <w:rPr>
                <w:rFonts w:eastAsia="Times New Roman"/>
                <w:color w:val="000000" w:themeColor="text1"/>
                <w:sz w:val="16"/>
                <w:szCs w:val="16"/>
              </w:rPr>
            </w:pPr>
            <w:r w:rsidRPr="00D14CD7">
              <w:rPr>
                <w:color w:val="000000" w:themeColor="text1"/>
                <w:sz w:val="16"/>
                <w:szCs w:val="16"/>
              </w:rPr>
              <w:t>-2.40</w:t>
            </w:r>
          </w:p>
        </w:tc>
      </w:tr>
      <w:tr w:rsidR="00D14CD7" w:rsidRPr="00D14CD7" w14:paraId="07352049" w14:textId="77777777" w:rsidTr="00567BE9">
        <w:trPr>
          <w:trHeight w:val="72"/>
        </w:trPr>
        <w:tc>
          <w:tcPr>
            <w:tcW w:w="1709" w:type="pct"/>
            <w:tcBorders>
              <w:top w:val="single" w:sz="4" w:space="0" w:color="auto"/>
              <w:bottom w:val="single" w:sz="4" w:space="0" w:color="auto"/>
              <w:right w:val="double" w:sz="4" w:space="0" w:color="auto"/>
            </w:tcBorders>
            <w:shd w:val="clear" w:color="auto" w:fill="auto"/>
            <w:noWrap/>
            <w:vAlign w:val="center"/>
            <w:hideMark/>
          </w:tcPr>
          <w:p w14:paraId="772FF360" w14:textId="77777777" w:rsidR="00BE151D" w:rsidRPr="00D14CD7" w:rsidRDefault="00BE151D" w:rsidP="00567BE9">
            <w:pPr>
              <w:spacing w:after="0" w:line="240" w:lineRule="auto"/>
              <w:ind w:firstLine="140"/>
              <w:rPr>
                <w:rFonts w:eastAsia="Times New Roman"/>
                <w:color w:val="000000" w:themeColor="text1"/>
                <w:sz w:val="16"/>
                <w:szCs w:val="16"/>
              </w:rPr>
            </w:pPr>
            <w:r w:rsidRPr="00D14CD7">
              <w:rPr>
                <w:rFonts w:eastAsia="Times New Roman"/>
                <w:color w:val="000000" w:themeColor="text1"/>
                <w:sz w:val="16"/>
              </w:rPr>
              <w:t>Multiple unrelated adults</w:t>
            </w:r>
          </w:p>
        </w:tc>
        <w:tc>
          <w:tcPr>
            <w:tcW w:w="227" w:type="pct"/>
            <w:tcBorders>
              <w:top w:val="single" w:sz="4" w:space="0" w:color="auto"/>
              <w:left w:val="double" w:sz="4" w:space="0" w:color="auto"/>
              <w:bottom w:val="single" w:sz="4" w:space="0" w:color="auto"/>
            </w:tcBorders>
            <w:shd w:val="clear" w:color="auto" w:fill="auto"/>
            <w:noWrap/>
            <w:vAlign w:val="bottom"/>
          </w:tcPr>
          <w:p w14:paraId="05989F37" w14:textId="77777777" w:rsidR="00BE151D" w:rsidRPr="00D14CD7" w:rsidRDefault="00BE151D" w:rsidP="00567BE9">
            <w:pPr>
              <w:spacing w:after="0" w:line="240" w:lineRule="auto"/>
              <w:jc w:val="right"/>
              <w:rPr>
                <w:rFonts w:eastAsia="Times New Roman"/>
                <w:color w:val="000000" w:themeColor="text1"/>
                <w:sz w:val="16"/>
                <w:szCs w:val="16"/>
              </w:rPr>
            </w:pPr>
            <w:r w:rsidRPr="00D14CD7">
              <w:rPr>
                <w:color w:val="000000" w:themeColor="text1"/>
                <w:sz w:val="16"/>
                <w:szCs w:val="16"/>
              </w:rPr>
              <w:t>0.741</w:t>
            </w:r>
          </w:p>
        </w:tc>
        <w:tc>
          <w:tcPr>
            <w:tcW w:w="199" w:type="pct"/>
            <w:tcBorders>
              <w:top w:val="single" w:sz="4" w:space="0" w:color="auto"/>
              <w:bottom w:val="single" w:sz="4" w:space="0" w:color="auto"/>
              <w:right w:val="single" w:sz="8" w:space="0" w:color="auto"/>
            </w:tcBorders>
            <w:shd w:val="clear" w:color="auto" w:fill="auto"/>
            <w:noWrap/>
            <w:vAlign w:val="bottom"/>
          </w:tcPr>
          <w:p w14:paraId="4B20C5D7" w14:textId="77777777" w:rsidR="00BE151D" w:rsidRPr="00D14CD7" w:rsidRDefault="00BE151D" w:rsidP="00567BE9">
            <w:pPr>
              <w:spacing w:after="0" w:line="240" w:lineRule="auto"/>
              <w:jc w:val="right"/>
              <w:rPr>
                <w:rFonts w:eastAsia="Times New Roman"/>
                <w:color w:val="000000" w:themeColor="text1"/>
                <w:sz w:val="16"/>
                <w:szCs w:val="16"/>
              </w:rPr>
            </w:pPr>
            <w:r w:rsidRPr="00D14CD7">
              <w:rPr>
                <w:color w:val="000000" w:themeColor="text1"/>
                <w:sz w:val="16"/>
                <w:szCs w:val="16"/>
              </w:rPr>
              <w:t>1.74</w:t>
            </w:r>
          </w:p>
        </w:tc>
        <w:tc>
          <w:tcPr>
            <w:tcW w:w="184" w:type="pct"/>
            <w:tcBorders>
              <w:top w:val="single" w:sz="4" w:space="0" w:color="auto"/>
              <w:left w:val="single" w:sz="8" w:space="0" w:color="auto"/>
              <w:bottom w:val="single" w:sz="4" w:space="0" w:color="auto"/>
            </w:tcBorders>
            <w:shd w:val="clear" w:color="auto" w:fill="auto"/>
            <w:noWrap/>
            <w:vAlign w:val="center"/>
            <w:hideMark/>
          </w:tcPr>
          <w:p w14:paraId="4352A02C" w14:textId="77777777" w:rsidR="00BE151D" w:rsidRPr="00D14CD7" w:rsidRDefault="00BE151D" w:rsidP="00567BE9">
            <w:pPr>
              <w:spacing w:after="0" w:line="240" w:lineRule="auto"/>
              <w:jc w:val="right"/>
              <w:rPr>
                <w:rFonts w:eastAsia="Times New Roman"/>
                <w:color w:val="000000" w:themeColor="text1"/>
                <w:sz w:val="16"/>
                <w:szCs w:val="16"/>
              </w:rPr>
            </w:pPr>
            <w:r w:rsidRPr="00D14CD7">
              <w:rPr>
                <w:rFonts w:eastAsia="Times New Roman"/>
                <w:color w:val="000000" w:themeColor="text1"/>
                <w:sz w:val="16"/>
              </w:rPr>
              <w:t>—</w:t>
            </w:r>
          </w:p>
        </w:tc>
        <w:tc>
          <w:tcPr>
            <w:tcW w:w="185" w:type="pct"/>
            <w:tcBorders>
              <w:top w:val="single" w:sz="4" w:space="0" w:color="auto"/>
              <w:bottom w:val="single" w:sz="4" w:space="0" w:color="auto"/>
              <w:right w:val="single" w:sz="8" w:space="0" w:color="auto"/>
            </w:tcBorders>
            <w:shd w:val="clear" w:color="auto" w:fill="auto"/>
            <w:noWrap/>
            <w:vAlign w:val="center"/>
            <w:hideMark/>
          </w:tcPr>
          <w:p w14:paraId="53D7945F" w14:textId="77777777" w:rsidR="00BE151D" w:rsidRPr="00D14CD7" w:rsidRDefault="00BE151D" w:rsidP="00567BE9">
            <w:pPr>
              <w:spacing w:after="0" w:line="240" w:lineRule="auto"/>
              <w:jc w:val="right"/>
              <w:rPr>
                <w:rFonts w:eastAsia="Times New Roman"/>
                <w:color w:val="000000" w:themeColor="text1"/>
                <w:sz w:val="16"/>
                <w:szCs w:val="16"/>
              </w:rPr>
            </w:pPr>
            <w:r w:rsidRPr="00D14CD7">
              <w:rPr>
                <w:rFonts w:eastAsia="Times New Roman"/>
                <w:color w:val="000000" w:themeColor="text1"/>
                <w:sz w:val="16"/>
              </w:rPr>
              <w:t>—</w:t>
            </w:r>
          </w:p>
        </w:tc>
        <w:tc>
          <w:tcPr>
            <w:tcW w:w="184" w:type="pct"/>
            <w:tcBorders>
              <w:top w:val="single" w:sz="4" w:space="0" w:color="auto"/>
              <w:left w:val="single" w:sz="8" w:space="0" w:color="auto"/>
              <w:bottom w:val="single" w:sz="4" w:space="0" w:color="auto"/>
            </w:tcBorders>
            <w:shd w:val="clear" w:color="auto" w:fill="auto"/>
            <w:noWrap/>
            <w:vAlign w:val="center"/>
            <w:hideMark/>
          </w:tcPr>
          <w:p w14:paraId="1063D8EE" w14:textId="77777777" w:rsidR="00BE151D" w:rsidRPr="00D14CD7" w:rsidRDefault="00BE151D" w:rsidP="00567BE9">
            <w:pPr>
              <w:spacing w:after="0" w:line="240" w:lineRule="auto"/>
              <w:jc w:val="right"/>
              <w:rPr>
                <w:rFonts w:eastAsia="Times New Roman"/>
                <w:color w:val="000000" w:themeColor="text1"/>
                <w:sz w:val="16"/>
                <w:szCs w:val="16"/>
              </w:rPr>
            </w:pPr>
            <w:r w:rsidRPr="00D14CD7">
              <w:rPr>
                <w:rFonts w:eastAsia="Times New Roman"/>
                <w:color w:val="000000" w:themeColor="text1"/>
                <w:sz w:val="16"/>
              </w:rPr>
              <w:t>—</w:t>
            </w:r>
          </w:p>
        </w:tc>
        <w:tc>
          <w:tcPr>
            <w:tcW w:w="188" w:type="pct"/>
            <w:tcBorders>
              <w:top w:val="single" w:sz="4" w:space="0" w:color="auto"/>
              <w:bottom w:val="single" w:sz="4" w:space="0" w:color="auto"/>
              <w:right w:val="single" w:sz="8" w:space="0" w:color="auto"/>
            </w:tcBorders>
            <w:shd w:val="clear" w:color="auto" w:fill="auto"/>
            <w:noWrap/>
            <w:vAlign w:val="center"/>
            <w:hideMark/>
          </w:tcPr>
          <w:p w14:paraId="6185E2D3" w14:textId="77777777" w:rsidR="00BE151D" w:rsidRPr="00D14CD7" w:rsidRDefault="00BE151D" w:rsidP="00567BE9">
            <w:pPr>
              <w:spacing w:after="0" w:line="240" w:lineRule="auto"/>
              <w:jc w:val="right"/>
              <w:rPr>
                <w:rFonts w:eastAsia="Times New Roman"/>
                <w:color w:val="000000" w:themeColor="text1"/>
                <w:sz w:val="16"/>
                <w:szCs w:val="16"/>
              </w:rPr>
            </w:pPr>
            <w:r w:rsidRPr="00D14CD7">
              <w:rPr>
                <w:rFonts w:eastAsia="Times New Roman"/>
                <w:color w:val="000000" w:themeColor="text1"/>
                <w:sz w:val="16"/>
              </w:rPr>
              <w:t>—</w:t>
            </w:r>
          </w:p>
        </w:tc>
        <w:tc>
          <w:tcPr>
            <w:tcW w:w="188" w:type="pct"/>
            <w:tcBorders>
              <w:top w:val="single" w:sz="4" w:space="0" w:color="auto"/>
              <w:left w:val="single" w:sz="8" w:space="0" w:color="auto"/>
              <w:bottom w:val="single" w:sz="4" w:space="0" w:color="auto"/>
            </w:tcBorders>
            <w:shd w:val="clear" w:color="auto" w:fill="auto"/>
            <w:noWrap/>
            <w:vAlign w:val="center"/>
            <w:hideMark/>
          </w:tcPr>
          <w:p w14:paraId="685B939D" w14:textId="77777777" w:rsidR="00BE151D" w:rsidRPr="00D14CD7" w:rsidRDefault="00BE151D" w:rsidP="00567BE9">
            <w:pPr>
              <w:spacing w:after="0" w:line="240" w:lineRule="auto"/>
              <w:jc w:val="right"/>
              <w:rPr>
                <w:rFonts w:eastAsia="Times New Roman"/>
                <w:color w:val="000000" w:themeColor="text1"/>
                <w:sz w:val="16"/>
                <w:szCs w:val="16"/>
              </w:rPr>
            </w:pPr>
            <w:proofErr w:type="spellStart"/>
            <w:r w:rsidRPr="00D14CD7">
              <w:rPr>
                <w:rFonts w:eastAsia="Times New Roman"/>
                <w:color w:val="000000" w:themeColor="text1"/>
                <w:sz w:val="16"/>
              </w:rPr>
              <w:t>na</w:t>
            </w:r>
            <w:proofErr w:type="spellEnd"/>
          </w:p>
        </w:tc>
        <w:tc>
          <w:tcPr>
            <w:tcW w:w="146" w:type="pct"/>
            <w:tcBorders>
              <w:top w:val="single" w:sz="4" w:space="0" w:color="auto"/>
              <w:bottom w:val="single" w:sz="4" w:space="0" w:color="auto"/>
              <w:right w:val="double" w:sz="4" w:space="0" w:color="auto"/>
            </w:tcBorders>
            <w:shd w:val="clear" w:color="auto" w:fill="auto"/>
            <w:noWrap/>
            <w:vAlign w:val="center"/>
            <w:hideMark/>
          </w:tcPr>
          <w:p w14:paraId="1C3ADB82" w14:textId="77777777" w:rsidR="00BE151D" w:rsidRPr="00D14CD7" w:rsidRDefault="00BE151D" w:rsidP="00567BE9">
            <w:pPr>
              <w:spacing w:after="0" w:line="240" w:lineRule="auto"/>
              <w:jc w:val="right"/>
              <w:rPr>
                <w:rFonts w:eastAsia="Times New Roman"/>
                <w:color w:val="000000" w:themeColor="text1"/>
                <w:sz w:val="16"/>
                <w:szCs w:val="16"/>
              </w:rPr>
            </w:pPr>
            <w:proofErr w:type="spellStart"/>
            <w:r w:rsidRPr="00D14CD7">
              <w:rPr>
                <w:rFonts w:eastAsia="Times New Roman"/>
                <w:color w:val="000000" w:themeColor="text1"/>
                <w:sz w:val="16"/>
              </w:rPr>
              <w:t>na</w:t>
            </w:r>
            <w:proofErr w:type="spellEnd"/>
          </w:p>
        </w:tc>
        <w:tc>
          <w:tcPr>
            <w:tcW w:w="184" w:type="pct"/>
            <w:tcBorders>
              <w:left w:val="double" w:sz="4" w:space="0" w:color="auto"/>
            </w:tcBorders>
            <w:shd w:val="clear" w:color="auto" w:fill="auto"/>
            <w:noWrap/>
            <w:vAlign w:val="bottom"/>
          </w:tcPr>
          <w:p w14:paraId="1903CC2B" w14:textId="77777777" w:rsidR="00BE151D" w:rsidRPr="00D14CD7" w:rsidRDefault="00BE151D" w:rsidP="00567BE9">
            <w:pPr>
              <w:spacing w:after="0" w:line="240" w:lineRule="auto"/>
              <w:jc w:val="right"/>
              <w:rPr>
                <w:rFonts w:eastAsia="Times New Roman"/>
                <w:color w:val="000000" w:themeColor="text1"/>
                <w:sz w:val="16"/>
                <w:szCs w:val="16"/>
              </w:rPr>
            </w:pPr>
            <w:r w:rsidRPr="00D14CD7">
              <w:rPr>
                <w:color w:val="000000" w:themeColor="text1"/>
                <w:sz w:val="16"/>
                <w:szCs w:val="16"/>
              </w:rPr>
              <w:t>-1.669</w:t>
            </w:r>
          </w:p>
        </w:tc>
        <w:tc>
          <w:tcPr>
            <w:tcW w:w="184" w:type="pct"/>
            <w:tcBorders>
              <w:top w:val="single" w:sz="4" w:space="0" w:color="auto"/>
              <w:bottom w:val="single" w:sz="4" w:space="0" w:color="auto"/>
              <w:right w:val="single" w:sz="8" w:space="0" w:color="auto"/>
            </w:tcBorders>
            <w:shd w:val="clear" w:color="auto" w:fill="auto"/>
            <w:noWrap/>
            <w:vAlign w:val="bottom"/>
          </w:tcPr>
          <w:p w14:paraId="41BC3B1A" w14:textId="77777777" w:rsidR="00BE151D" w:rsidRPr="00D14CD7" w:rsidRDefault="00BE151D" w:rsidP="00567BE9">
            <w:pPr>
              <w:spacing w:after="0" w:line="240" w:lineRule="auto"/>
              <w:jc w:val="right"/>
              <w:rPr>
                <w:rFonts w:eastAsia="Times New Roman"/>
                <w:color w:val="000000" w:themeColor="text1"/>
                <w:sz w:val="16"/>
                <w:szCs w:val="16"/>
              </w:rPr>
            </w:pPr>
            <w:r w:rsidRPr="00D14CD7">
              <w:rPr>
                <w:color w:val="000000" w:themeColor="text1"/>
                <w:sz w:val="16"/>
                <w:szCs w:val="16"/>
              </w:rPr>
              <w:t>-2.95</w:t>
            </w:r>
          </w:p>
        </w:tc>
        <w:tc>
          <w:tcPr>
            <w:tcW w:w="184" w:type="pct"/>
            <w:tcBorders>
              <w:left w:val="single" w:sz="8" w:space="0" w:color="auto"/>
            </w:tcBorders>
            <w:shd w:val="clear" w:color="auto" w:fill="auto"/>
            <w:noWrap/>
            <w:vAlign w:val="center"/>
            <w:hideMark/>
          </w:tcPr>
          <w:p w14:paraId="6D343819" w14:textId="77777777" w:rsidR="00BE151D" w:rsidRPr="00D14CD7" w:rsidRDefault="00BE151D" w:rsidP="00567BE9">
            <w:pPr>
              <w:spacing w:after="0" w:line="240" w:lineRule="auto"/>
              <w:jc w:val="right"/>
              <w:rPr>
                <w:rFonts w:eastAsia="Times New Roman"/>
                <w:color w:val="000000" w:themeColor="text1"/>
                <w:sz w:val="16"/>
                <w:szCs w:val="16"/>
              </w:rPr>
            </w:pPr>
            <w:r w:rsidRPr="00D14CD7">
              <w:rPr>
                <w:rFonts w:eastAsia="Times New Roman"/>
                <w:color w:val="000000" w:themeColor="text1"/>
                <w:sz w:val="16"/>
              </w:rPr>
              <w:t>—</w:t>
            </w:r>
          </w:p>
        </w:tc>
        <w:tc>
          <w:tcPr>
            <w:tcW w:w="185" w:type="pct"/>
            <w:tcBorders>
              <w:top w:val="single" w:sz="4" w:space="0" w:color="auto"/>
              <w:bottom w:val="single" w:sz="4" w:space="0" w:color="auto"/>
              <w:right w:val="single" w:sz="8" w:space="0" w:color="auto"/>
            </w:tcBorders>
            <w:shd w:val="clear" w:color="auto" w:fill="auto"/>
            <w:noWrap/>
            <w:vAlign w:val="center"/>
            <w:hideMark/>
          </w:tcPr>
          <w:p w14:paraId="07590741" w14:textId="77777777" w:rsidR="00BE151D" w:rsidRPr="00D14CD7" w:rsidRDefault="00BE151D" w:rsidP="00567BE9">
            <w:pPr>
              <w:spacing w:after="0" w:line="240" w:lineRule="auto"/>
              <w:jc w:val="right"/>
              <w:rPr>
                <w:rFonts w:eastAsia="Times New Roman"/>
                <w:color w:val="000000" w:themeColor="text1"/>
                <w:sz w:val="16"/>
                <w:szCs w:val="16"/>
              </w:rPr>
            </w:pPr>
            <w:r w:rsidRPr="00D14CD7">
              <w:rPr>
                <w:rFonts w:eastAsia="Times New Roman"/>
                <w:color w:val="000000" w:themeColor="text1"/>
                <w:sz w:val="16"/>
              </w:rPr>
              <w:t>—</w:t>
            </w:r>
          </w:p>
        </w:tc>
        <w:tc>
          <w:tcPr>
            <w:tcW w:w="185" w:type="pct"/>
            <w:tcBorders>
              <w:left w:val="single" w:sz="8" w:space="0" w:color="auto"/>
            </w:tcBorders>
            <w:shd w:val="clear" w:color="auto" w:fill="auto"/>
            <w:noWrap/>
            <w:vAlign w:val="center"/>
            <w:hideMark/>
          </w:tcPr>
          <w:p w14:paraId="7D77F8F0" w14:textId="77777777" w:rsidR="00BE151D" w:rsidRPr="00D14CD7" w:rsidRDefault="00BE151D" w:rsidP="00567BE9">
            <w:pPr>
              <w:spacing w:after="0" w:line="240" w:lineRule="auto"/>
              <w:jc w:val="right"/>
              <w:rPr>
                <w:rFonts w:eastAsia="Times New Roman"/>
                <w:color w:val="000000" w:themeColor="text1"/>
                <w:sz w:val="16"/>
                <w:szCs w:val="16"/>
              </w:rPr>
            </w:pPr>
            <w:r w:rsidRPr="00D14CD7">
              <w:rPr>
                <w:rFonts w:eastAsia="Times New Roman"/>
                <w:color w:val="000000" w:themeColor="text1"/>
                <w:sz w:val="16"/>
              </w:rPr>
              <w:t>—</w:t>
            </w:r>
          </w:p>
        </w:tc>
        <w:tc>
          <w:tcPr>
            <w:tcW w:w="185" w:type="pct"/>
            <w:tcBorders>
              <w:top w:val="single" w:sz="4" w:space="0" w:color="auto"/>
              <w:bottom w:val="single" w:sz="4" w:space="0" w:color="auto"/>
              <w:right w:val="single" w:sz="8" w:space="0" w:color="auto"/>
            </w:tcBorders>
            <w:shd w:val="clear" w:color="auto" w:fill="auto"/>
            <w:noWrap/>
            <w:vAlign w:val="center"/>
            <w:hideMark/>
          </w:tcPr>
          <w:p w14:paraId="7E961575" w14:textId="77777777" w:rsidR="00BE151D" w:rsidRPr="00D14CD7" w:rsidRDefault="00BE151D" w:rsidP="00567BE9">
            <w:pPr>
              <w:spacing w:after="0" w:line="240" w:lineRule="auto"/>
              <w:jc w:val="right"/>
              <w:rPr>
                <w:rFonts w:eastAsia="Times New Roman"/>
                <w:color w:val="000000" w:themeColor="text1"/>
                <w:sz w:val="16"/>
                <w:szCs w:val="16"/>
              </w:rPr>
            </w:pPr>
            <w:r w:rsidRPr="00D14CD7">
              <w:rPr>
                <w:rFonts w:eastAsia="Times New Roman"/>
                <w:color w:val="000000" w:themeColor="text1"/>
                <w:sz w:val="16"/>
              </w:rPr>
              <w:t>—</w:t>
            </w:r>
          </w:p>
        </w:tc>
        <w:tc>
          <w:tcPr>
            <w:tcW w:w="156" w:type="pct"/>
            <w:tcBorders>
              <w:left w:val="single" w:sz="8" w:space="0" w:color="auto"/>
            </w:tcBorders>
            <w:shd w:val="clear" w:color="auto" w:fill="auto"/>
            <w:noWrap/>
            <w:vAlign w:val="center"/>
            <w:hideMark/>
          </w:tcPr>
          <w:p w14:paraId="5EC21686" w14:textId="77777777" w:rsidR="00BE151D" w:rsidRPr="00D14CD7" w:rsidRDefault="00BE151D" w:rsidP="00567BE9">
            <w:pPr>
              <w:spacing w:after="0" w:line="240" w:lineRule="auto"/>
              <w:jc w:val="right"/>
              <w:rPr>
                <w:rFonts w:eastAsia="Times New Roman"/>
                <w:color w:val="000000" w:themeColor="text1"/>
                <w:sz w:val="16"/>
                <w:szCs w:val="16"/>
              </w:rPr>
            </w:pPr>
            <w:proofErr w:type="spellStart"/>
            <w:r w:rsidRPr="00D14CD7">
              <w:rPr>
                <w:rFonts w:eastAsia="Times New Roman"/>
                <w:color w:val="000000" w:themeColor="text1"/>
                <w:sz w:val="16"/>
              </w:rPr>
              <w:t>na</w:t>
            </w:r>
            <w:proofErr w:type="spellEnd"/>
          </w:p>
        </w:tc>
        <w:tc>
          <w:tcPr>
            <w:tcW w:w="157" w:type="pct"/>
            <w:tcBorders>
              <w:right w:val="double" w:sz="4" w:space="0" w:color="auto"/>
            </w:tcBorders>
            <w:shd w:val="clear" w:color="auto" w:fill="auto"/>
            <w:noWrap/>
            <w:vAlign w:val="center"/>
            <w:hideMark/>
          </w:tcPr>
          <w:p w14:paraId="56E6F79B" w14:textId="77777777" w:rsidR="00BE151D" w:rsidRPr="00D14CD7" w:rsidRDefault="00BE151D" w:rsidP="00567BE9">
            <w:pPr>
              <w:spacing w:after="0" w:line="240" w:lineRule="auto"/>
              <w:jc w:val="right"/>
              <w:rPr>
                <w:rFonts w:eastAsia="Times New Roman"/>
                <w:color w:val="000000" w:themeColor="text1"/>
                <w:sz w:val="16"/>
                <w:szCs w:val="16"/>
              </w:rPr>
            </w:pPr>
            <w:proofErr w:type="spellStart"/>
            <w:r w:rsidRPr="00D14CD7">
              <w:rPr>
                <w:rFonts w:eastAsia="Times New Roman"/>
                <w:color w:val="000000" w:themeColor="text1"/>
                <w:sz w:val="16"/>
              </w:rPr>
              <w:t>na</w:t>
            </w:r>
            <w:proofErr w:type="spellEnd"/>
          </w:p>
        </w:tc>
        <w:tc>
          <w:tcPr>
            <w:tcW w:w="187" w:type="pct"/>
            <w:tcBorders>
              <w:top w:val="single" w:sz="4" w:space="0" w:color="auto"/>
              <w:left w:val="double" w:sz="4" w:space="0" w:color="auto"/>
              <w:bottom w:val="single" w:sz="4" w:space="0" w:color="auto"/>
            </w:tcBorders>
            <w:shd w:val="clear" w:color="auto" w:fill="auto"/>
            <w:noWrap/>
            <w:vAlign w:val="bottom"/>
          </w:tcPr>
          <w:p w14:paraId="75B5E8D8" w14:textId="77777777" w:rsidR="00BE151D" w:rsidRPr="00D14CD7" w:rsidRDefault="00BE151D" w:rsidP="00567BE9">
            <w:pPr>
              <w:spacing w:after="0" w:line="240" w:lineRule="auto"/>
              <w:jc w:val="right"/>
              <w:rPr>
                <w:rFonts w:eastAsia="Times New Roman"/>
                <w:color w:val="000000" w:themeColor="text1"/>
                <w:sz w:val="16"/>
                <w:szCs w:val="16"/>
              </w:rPr>
            </w:pPr>
            <w:r w:rsidRPr="00D14CD7">
              <w:rPr>
                <w:color w:val="000000" w:themeColor="text1"/>
                <w:sz w:val="16"/>
                <w:szCs w:val="16"/>
              </w:rPr>
              <w:t>0.360</w:t>
            </w:r>
          </w:p>
        </w:tc>
        <w:tc>
          <w:tcPr>
            <w:tcW w:w="183" w:type="pct"/>
            <w:shd w:val="clear" w:color="auto" w:fill="auto"/>
            <w:noWrap/>
            <w:vAlign w:val="bottom"/>
          </w:tcPr>
          <w:p w14:paraId="5EB2AA1E" w14:textId="77777777" w:rsidR="00BE151D" w:rsidRPr="00D14CD7" w:rsidRDefault="00BE151D" w:rsidP="00567BE9">
            <w:pPr>
              <w:spacing w:after="0" w:line="240" w:lineRule="auto"/>
              <w:jc w:val="right"/>
              <w:rPr>
                <w:rFonts w:eastAsia="Times New Roman"/>
                <w:color w:val="000000" w:themeColor="text1"/>
                <w:sz w:val="16"/>
                <w:szCs w:val="16"/>
              </w:rPr>
            </w:pPr>
            <w:r w:rsidRPr="00D14CD7">
              <w:rPr>
                <w:color w:val="000000" w:themeColor="text1"/>
                <w:sz w:val="16"/>
                <w:szCs w:val="16"/>
              </w:rPr>
              <w:t>2.38</w:t>
            </w:r>
          </w:p>
        </w:tc>
      </w:tr>
      <w:tr w:rsidR="00D14CD7" w:rsidRPr="00D14CD7" w14:paraId="09E12197" w14:textId="77777777" w:rsidTr="00567BE9">
        <w:trPr>
          <w:trHeight w:val="125"/>
        </w:trPr>
        <w:tc>
          <w:tcPr>
            <w:tcW w:w="1709" w:type="pct"/>
            <w:tcBorders>
              <w:top w:val="single" w:sz="4" w:space="0" w:color="auto"/>
              <w:bottom w:val="single" w:sz="8" w:space="0" w:color="auto"/>
              <w:right w:val="double" w:sz="4" w:space="0" w:color="auto"/>
            </w:tcBorders>
            <w:shd w:val="clear" w:color="auto" w:fill="auto"/>
            <w:noWrap/>
            <w:vAlign w:val="center"/>
            <w:hideMark/>
          </w:tcPr>
          <w:p w14:paraId="1C244CC4" w14:textId="77777777" w:rsidR="00BE151D" w:rsidRPr="00D14CD7" w:rsidRDefault="00BE151D" w:rsidP="00567BE9">
            <w:pPr>
              <w:spacing w:after="0" w:line="240" w:lineRule="auto"/>
              <w:ind w:firstLine="140"/>
              <w:rPr>
                <w:rFonts w:eastAsia="Times New Roman"/>
                <w:color w:val="000000" w:themeColor="text1"/>
                <w:sz w:val="16"/>
                <w:szCs w:val="16"/>
              </w:rPr>
            </w:pPr>
            <w:r w:rsidRPr="00D14CD7">
              <w:rPr>
                <w:rFonts w:eastAsia="Times New Roman"/>
                <w:color w:val="000000" w:themeColor="text1"/>
                <w:sz w:val="16"/>
              </w:rPr>
              <w:t>Presence of children</w:t>
            </w:r>
          </w:p>
        </w:tc>
        <w:tc>
          <w:tcPr>
            <w:tcW w:w="227" w:type="pct"/>
            <w:tcBorders>
              <w:top w:val="single" w:sz="4" w:space="0" w:color="auto"/>
              <w:left w:val="double" w:sz="4" w:space="0" w:color="auto"/>
              <w:bottom w:val="single" w:sz="8" w:space="0" w:color="auto"/>
            </w:tcBorders>
            <w:shd w:val="clear" w:color="auto" w:fill="auto"/>
            <w:noWrap/>
            <w:vAlign w:val="bottom"/>
          </w:tcPr>
          <w:p w14:paraId="37A1B02E" w14:textId="77777777" w:rsidR="00BE151D" w:rsidRPr="00D14CD7" w:rsidRDefault="00BE151D" w:rsidP="00567BE9">
            <w:pPr>
              <w:spacing w:after="0" w:line="240" w:lineRule="auto"/>
              <w:jc w:val="right"/>
              <w:rPr>
                <w:rFonts w:eastAsia="Times New Roman"/>
                <w:color w:val="000000" w:themeColor="text1"/>
                <w:sz w:val="16"/>
                <w:szCs w:val="16"/>
              </w:rPr>
            </w:pPr>
            <w:r w:rsidRPr="00D14CD7">
              <w:rPr>
                <w:color w:val="000000" w:themeColor="text1"/>
                <w:sz w:val="16"/>
                <w:szCs w:val="16"/>
              </w:rPr>
              <w:t>1.019</w:t>
            </w:r>
          </w:p>
        </w:tc>
        <w:tc>
          <w:tcPr>
            <w:tcW w:w="199" w:type="pct"/>
            <w:tcBorders>
              <w:top w:val="single" w:sz="4" w:space="0" w:color="auto"/>
              <w:bottom w:val="single" w:sz="8" w:space="0" w:color="auto"/>
              <w:right w:val="single" w:sz="8" w:space="0" w:color="auto"/>
            </w:tcBorders>
            <w:shd w:val="clear" w:color="auto" w:fill="auto"/>
            <w:noWrap/>
            <w:vAlign w:val="bottom"/>
          </w:tcPr>
          <w:p w14:paraId="50F0984C" w14:textId="77777777" w:rsidR="00BE151D" w:rsidRPr="00D14CD7" w:rsidRDefault="00BE151D" w:rsidP="00567BE9">
            <w:pPr>
              <w:spacing w:after="0" w:line="240" w:lineRule="auto"/>
              <w:jc w:val="right"/>
              <w:rPr>
                <w:rFonts w:eastAsia="Times New Roman"/>
                <w:color w:val="000000" w:themeColor="text1"/>
                <w:sz w:val="16"/>
                <w:szCs w:val="16"/>
              </w:rPr>
            </w:pPr>
            <w:r w:rsidRPr="00D14CD7">
              <w:rPr>
                <w:color w:val="000000" w:themeColor="text1"/>
                <w:sz w:val="16"/>
                <w:szCs w:val="16"/>
              </w:rPr>
              <w:t>9.71</w:t>
            </w:r>
          </w:p>
        </w:tc>
        <w:tc>
          <w:tcPr>
            <w:tcW w:w="184" w:type="pct"/>
            <w:tcBorders>
              <w:top w:val="single" w:sz="4" w:space="0" w:color="auto"/>
              <w:left w:val="single" w:sz="8" w:space="0" w:color="auto"/>
              <w:bottom w:val="single" w:sz="8" w:space="0" w:color="auto"/>
            </w:tcBorders>
            <w:shd w:val="clear" w:color="auto" w:fill="auto"/>
            <w:noWrap/>
            <w:vAlign w:val="center"/>
            <w:hideMark/>
          </w:tcPr>
          <w:p w14:paraId="390F6F4E" w14:textId="77777777" w:rsidR="00BE151D" w:rsidRPr="00D14CD7" w:rsidRDefault="00BE151D" w:rsidP="00567BE9">
            <w:pPr>
              <w:spacing w:after="0" w:line="240" w:lineRule="auto"/>
              <w:jc w:val="right"/>
              <w:rPr>
                <w:rFonts w:eastAsia="Times New Roman"/>
                <w:color w:val="000000" w:themeColor="text1"/>
                <w:sz w:val="16"/>
                <w:szCs w:val="16"/>
              </w:rPr>
            </w:pPr>
            <w:r w:rsidRPr="00D14CD7">
              <w:rPr>
                <w:rFonts w:eastAsia="Times New Roman"/>
                <w:color w:val="000000" w:themeColor="text1"/>
                <w:sz w:val="16"/>
              </w:rPr>
              <w:t>—</w:t>
            </w:r>
          </w:p>
        </w:tc>
        <w:tc>
          <w:tcPr>
            <w:tcW w:w="185" w:type="pct"/>
            <w:tcBorders>
              <w:top w:val="single" w:sz="4" w:space="0" w:color="auto"/>
              <w:bottom w:val="single" w:sz="8" w:space="0" w:color="auto"/>
              <w:right w:val="single" w:sz="8" w:space="0" w:color="auto"/>
            </w:tcBorders>
            <w:shd w:val="clear" w:color="auto" w:fill="auto"/>
            <w:noWrap/>
            <w:vAlign w:val="center"/>
            <w:hideMark/>
          </w:tcPr>
          <w:p w14:paraId="202DD90E" w14:textId="77777777" w:rsidR="00BE151D" w:rsidRPr="00D14CD7" w:rsidRDefault="00BE151D" w:rsidP="00567BE9">
            <w:pPr>
              <w:spacing w:after="0" w:line="240" w:lineRule="auto"/>
              <w:jc w:val="right"/>
              <w:rPr>
                <w:rFonts w:eastAsia="Times New Roman"/>
                <w:color w:val="000000" w:themeColor="text1"/>
                <w:sz w:val="16"/>
                <w:szCs w:val="16"/>
              </w:rPr>
            </w:pPr>
            <w:r w:rsidRPr="00D14CD7">
              <w:rPr>
                <w:rFonts w:eastAsia="Times New Roman"/>
                <w:color w:val="000000" w:themeColor="text1"/>
                <w:sz w:val="16"/>
              </w:rPr>
              <w:t>—</w:t>
            </w:r>
          </w:p>
        </w:tc>
        <w:tc>
          <w:tcPr>
            <w:tcW w:w="184" w:type="pct"/>
            <w:tcBorders>
              <w:top w:val="single" w:sz="4" w:space="0" w:color="auto"/>
              <w:left w:val="single" w:sz="8" w:space="0" w:color="auto"/>
              <w:bottom w:val="single" w:sz="8" w:space="0" w:color="auto"/>
            </w:tcBorders>
            <w:shd w:val="clear" w:color="auto" w:fill="auto"/>
            <w:noWrap/>
            <w:vAlign w:val="center"/>
            <w:hideMark/>
          </w:tcPr>
          <w:p w14:paraId="19ECC023" w14:textId="77777777" w:rsidR="00BE151D" w:rsidRPr="00D14CD7" w:rsidRDefault="00BE151D" w:rsidP="00567BE9">
            <w:pPr>
              <w:spacing w:after="0" w:line="240" w:lineRule="auto"/>
              <w:jc w:val="right"/>
              <w:rPr>
                <w:rFonts w:eastAsia="Times New Roman"/>
                <w:color w:val="000000" w:themeColor="text1"/>
                <w:sz w:val="16"/>
                <w:szCs w:val="16"/>
              </w:rPr>
            </w:pPr>
            <w:r w:rsidRPr="00D14CD7">
              <w:rPr>
                <w:rFonts w:eastAsia="Times New Roman"/>
                <w:color w:val="000000" w:themeColor="text1"/>
                <w:sz w:val="16"/>
              </w:rPr>
              <w:t>—</w:t>
            </w:r>
          </w:p>
        </w:tc>
        <w:tc>
          <w:tcPr>
            <w:tcW w:w="188" w:type="pct"/>
            <w:tcBorders>
              <w:top w:val="single" w:sz="4" w:space="0" w:color="auto"/>
              <w:bottom w:val="single" w:sz="8" w:space="0" w:color="auto"/>
              <w:right w:val="single" w:sz="8" w:space="0" w:color="auto"/>
            </w:tcBorders>
            <w:shd w:val="clear" w:color="auto" w:fill="auto"/>
            <w:noWrap/>
            <w:vAlign w:val="center"/>
            <w:hideMark/>
          </w:tcPr>
          <w:p w14:paraId="2A93AE39" w14:textId="77777777" w:rsidR="00BE151D" w:rsidRPr="00D14CD7" w:rsidRDefault="00BE151D" w:rsidP="00567BE9">
            <w:pPr>
              <w:spacing w:after="0" w:line="240" w:lineRule="auto"/>
              <w:jc w:val="right"/>
              <w:rPr>
                <w:rFonts w:eastAsia="Times New Roman"/>
                <w:color w:val="000000" w:themeColor="text1"/>
                <w:sz w:val="16"/>
                <w:szCs w:val="16"/>
              </w:rPr>
            </w:pPr>
            <w:r w:rsidRPr="00D14CD7">
              <w:rPr>
                <w:rFonts w:eastAsia="Times New Roman"/>
                <w:color w:val="000000" w:themeColor="text1"/>
                <w:sz w:val="16"/>
              </w:rPr>
              <w:t>—</w:t>
            </w:r>
          </w:p>
        </w:tc>
        <w:tc>
          <w:tcPr>
            <w:tcW w:w="188" w:type="pct"/>
            <w:tcBorders>
              <w:top w:val="single" w:sz="4" w:space="0" w:color="auto"/>
              <w:left w:val="single" w:sz="8" w:space="0" w:color="auto"/>
              <w:bottom w:val="single" w:sz="8" w:space="0" w:color="auto"/>
            </w:tcBorders>
            <w:shd w:val="clear" w:color="auto" w:fill="auto"/>
            <w:noWrap/>
            <w:vAlign w:val="center"/>
            <w:hideMark/>
          </w:tcPr>
          <w:p w14:paraId="7E8F7A53" w14:textId="77777777" w:rsidR="00BE151D" w:rsidRPr="00D14CD7" w:rsidRDefault="00BE151D" w:rsidP="00567BE9">
            <w:pPr>
              <w:spacing w:after="0" w:line="240" w:lineRule="auto"/>
              <w:jc w:val="right"/>
              <w:rPr>
                <w:rFonts w:eastAsia="Times New Roman"/>
                <w:color w:val="000000" w:themeColor="text1"/>
                <w:sz w:val="16"/>
                <w:szCs w:val="16"/>
              </w:rPr>
            </w:pPr>
            <w:proofErr w:type="spellStart"/>
            <w:r w:rsidRPr="00D14CD7">
              <w:rPr>
                <w:rFonts w:eastAsia="Times New Roman"/>
                <w:color w:val="000000" w:themeColor="text1"/>
                <w:sz w:val="16"/>
              </w:rPr>
              <w:t>na</w:t>
            </w:r>
            <w:proofErr w:type="spellEnd"/>
          </w:p>
        </w:tc>
        <w:tc>
          <w:tcPr>
            <w:tcW w:w="146" w:type="pct"/>
            <w:tcBorders>
              <w:top w:val="single" w:sz="4" w:space="0" w:color="auto"/>
              <w:bottom w:val="single" w:sz="8" w:space="0" w:color="auto"/>
              <w:right w:val="double" w:sz="4" w:space="0" w:color="auto"/>
            </w:tcBorders>
            <w:shd w:val="clear" w:color="auto" w:fill="auto"/>
            <w:noWrap/>
            <w:vAlign w:val="center"/>
            <w:hideMark/>
          </w:tcPr>
          <w:p w14:paraId="6154B624" w14:textId="77777777" w:rsidR="00BE151D" w:rsidRPr="00D14CD7" w:rsidRDefault="00BE151D" w:rsidP="00567BE9">
            <w:pPr>
              <w:spacing w:after="0" w:line="240" w:lineRule="auto"/>
              <w:jc w:val="right"/>
              <w:rPr>
                <w:rFonts w:eastAsia="Times New Roman"/>
                <w:color w:val="000000" w:themeColor="text1"/>
                <w:sz w:val="16"/>
                <w:szCs w:val="16"/>
              </w:rPr>
            </w:pPr>
            <w:proofErr w:type="spellStart"/>
            <w:r w:rsidRPr="00D14CD7">
              <w:rPr>
                <w:rFonts w:eastAsia="Times New Roman"/>
                <w:color w:val="000000" w:themeColor="text1"/>
                <w:sz w:val="16"/>
              </w:rPr>
              <w:t>na</w:t>
            </w:r>
            <w:proofErr w:type="spellEnd"/>
          </w:p>
        </w:tc>
        <w:tc>
          <w:tcPr>
            <w:tcW w:w="184" w:type="pct"/>
            <w:tcBorders>
              <w:left w:val="double" w:sz="4" w:space="0" w:color="auto"/>
              <w:bottom w:val="single" w:sz="8" w:space="0" w:color="auto"/>
            </w:tcBorders>
            <w:shd w:val="clear" w:color="auto" w:fill="auto"/>
            <w:noWrap/>
            <w:vAlign w:val="center"/>
            <w:hideMark/>
          </w:tcPr>
          <w:p w14:paraId="09DC63D0" w14:textId="77777777" w:rsidR="00BE151D" w:rsidRPr="00D14CD7" w:rsidRDefault="00BE151D" w:rsidP="00567BE9">
            <w:pPr>
              <w:spacing w:after="0" w:line="240" w:lineRule="auto"/>
              <w:jc w:val="right"/>
              <w:rPr>
                <w:rFonts w:eastAsia="Times New Roman"/>
                <w:color w:val="000000" w:themeColor="text1"/>
                <w:sz w:val="16"/>
                <w:szCs w:val="16"/>
              </w:rPr>
            </w:pPr>
            <w:r w:rsidRPr="00D14CD7">
              <w:rPr>
                <w:rFonts w:eastAsia="Times New Roman"/>
                <w:color w:val="000000" w:themeColor="text1"/>
                <w:sz w:val="16"/>
              </w:rPr>
              <w:t>—</w:t>
            </w:r>
          </w:p>
        </w:tc>
        <w:tc>
          <w:tcPr>
            <w:tcW w:w="184" w:type="pct"/>
            <w:tcBorders>
              <w:top w:val="single" w:sz="4" w:space="0" w:color="auto"/>
              <w:bottom w:val="single" w:sz="8" w:space="0" w:color="auto"/>
              <w:right w:val="single" w:sz="8" w:space="0" w:color="auto"/>
            </w:tcBorders>
            <w:shd w:val="clear" w:color="auto" w:fill="auto"/>
            <w:noWrap/>
            <w:vAlign w:val="center"/>
            <w:hideMark/>
          </w:tcPr>
          <w:p w14:paraId="66EDE925" w14:textId="77777777" w:rsidR="00BE151D" w:rsidRPr="00D14CD7" w:rsidRDefault="00BE151D" w:rsidP="00567BE9">
            <w:pPr>
              <w:spacing w:after="0" w:line="240" w:lineRule="auto"/>
              <w:jc w:val="right"/>
              <w:rPr>
                <w:rFonts w:eastAsia="Times New Roman"/>
                <w:color w:val="000000" w:themeColor="text1"/>
                <w:sz w:val="16"/>
                <w:szCs w:val="16"/>
              </w:rPr>
            </w:pPr>
            <w:r w:rsidRPr="00D14CD7">
              <w:rPr>
                <w:rFonts w:eastAsia="Times New Roman"/>
                <w:color w:val="000000" w:themeColor="text1"/>
                <w:sz w:val="16"/>
              </w:rPr>
              <w:t>—</w:t>
            </w:r>
          </w:p>
        </w:tc>
        <w:tc>
          <w:tcPr>
            <w:tcW w:w="184" w:type="pct"/>
            <w:tcBorders>
              <w:left w:val="single" w:sz="8" w:space="0" w:color="auto"/>
              <w:bottom w:val="single" w:sz="8" w:space="0" w:color="auto"/>
            </w:tcBorders>
            <w:shd w:val="clear" w:color="auto" w:fill="auto"/>
            <w:noWrap/>
            <w:vAlign w:val="center"/>
            <w:hideMark/>
          </w:tcPr>
          <w:p w14:paraId="50160E53" w14:textId="77777777" w:rsidR="00BE151D" w:rsidRPr="00D14CD7" w:rsidRDefault="00BE151D" w:rsidP="00567BE9">
            <w:pPr>
              <w:spacing w:after="0" w:line="240" w:lineRule="auto"/>
              <w:jc w:val="right"/>
              <w:rPr>
                <w:rFonts w:eastAsia="Times New Roman"/>
                <w:color w:val="000000" w:themeColor="text1"/>
                <w:sz w:val="16"/>
                <w:szCs w:val="16"/>
              </w:rPr>
            </w:pPr>
            <w:r w:rsidRPr="00D14CD7">
              <w:rPr>
                <w:rFonts w:eastAsia="Times New Roman"/>
                <w:color w:val="000000" w:themeColor="text1"/>
                <w:sz w:val="16"/>
              </w:rPr>
              <w:t>—</w:t>
            </w:r>
          </w:p>
        </w:tc>
        <w:tc>
          <w:tcPr>
            <w:tcW w:w="185" w:type="pct"/>
            <w:tcBorders>
              <w:top w:val="single" w:sz="4" w:space="0" w:color="auto"/>
              <w:bottom w:val="single" w:sz="8" w:space="0" w:color="auto"/>
              <w:right w:val="single" w:sz="8" w:space="0" w:color="auto"/>
            </w:tcBorders>
            <w:shd w:val="clear" w:color="auto" w:fill="auto"/>
            <w:noWrap/>
            <w:vAlign w:val="center"/>
            <w:hideMark/>
          </w:tcPr>
          <w:p w14:paraId="793076D7" w14:textId="77777777" w:rsidR="00BE151D" w:rsidRPr="00D14CD7" w:rsidRDefault="00BE151D" w:rsidP="00567BE9">
            <w:pPr>
              <w:spacing w:after="0" w:line="240" w:lineRule="auto"/>
              <w:jc w:val="right"/>
              <w:rPr>
                <w:rFonts w:eastAsia="Times New Roman"/>
                <w:color w:val="000000" w:themeColor="text1"/>
                <w:sz w:val="16"/>
                <w:szCs w:val="16"/>
              </w:rPr>
            </w:pPr>
            <w:r w:rsidRPr="00D14CD7">
              <w:rPr>
                <w:rFonts w:eastAsia="Times New Roman"/>
                <w:color w:val="000000" w:themeColor="text1"/>
                <w:sz w:val="16"/>
              </w:rPr>
              <w:t>—</w:t>
            </w:r>
          </w:p>
        </w:tc>
        <w:tc>
          <w:tcPr>
            <w:tcW w:w="185" w:type="pct"/>
            <w:tcBorders>
              <w:left w:val="single" w:sz="8" w:space="0" w:color="auto"/>
              <w:bottom w:val="single" w:sz="8" w:space="0" w:color="auto"/>
            </w:tcBorders>
            <w:shd w:val="clear" w:color="auto" w:fill="auto"/>
            <w:noWrap/>
            <w:vAlign w:val="center"/>
            <w:hideMark/>
          </w:tcPr>
          <w:p w14:paraId="534C1D80" w14:textId="77777777" w:rsidR="00BE151D" w:rsidRPr="00D14CD7" w:rsidRDefault="00BE151D" w:rsidP="00567BE9">
            <w:pPr>
              <w:spacing w:after="0" w:line="240" w:lineRule="auto"/>
              <w:jc w:val="right"/>
              <w:rPr>
                <w:rFonts w:eastAsia="Times New Roman"/>
                <w:color w:val="000000" w:themeColor="text1"/>
                <w:sz w:val="16"/>
                <w:szCs w:val="16"/>
              </w:rPr>
            </w:pPr>
            <w:r w:rsidRPr="00D14CD7">
              <w:rPr>
                <w:rFonts w:eastAsia="Times New Roman"/>
                <w:color w:val="000000" w:themeColor="text1"/>
                <w:sz w:val="16"/>
              </w:rPr>
              <w:t>—</w:t>
            </w:r>
          </w:p>
        </w:tc>
        <w:tc>
          <w:tcPr>
            <w:tcW w:w="185" w:type="pct"/>
            <w:tcBorders>
              <w:top w:val="single" w:sz="4" w:space="0" w:color="auto"/>
              <w:bottom w:val="single" w:sz="8" w:space="0" w:color="auto"/>
              <w:right w:val="single" w:sz="8" w:space="0" w:color="auto"/>
            </w:tcBorders>
            <w:shd w:val="clear" w:color="auto" w:fill="auto"/>
            <w:noWrap/>
            <w:vAlign w:val="center"/>
            <w:hideMark/>
          </w:tcPr>
          <w:p w14:paraId="2A149A08" w14:textId="77777777" w:rsidR="00BE151D" w:rsidRPr="00D14CD7" w:rsidRDefault="00BE151D" w:rsidP="00567BE9">
            <w:pPr>
              <w:spacing w:after="0" w:line="240" w:lineRule="auto"/>
              <w:jc w:val="right"/>
              <w:rPr>
                <w:rFonts w:eastAsia="Times New Roman"/>
                <w:color w:val="000000" w:themeColor="text1"/>
                <w:sz w:val="16"/>
                <w:szCs w:val="16"/>
              </w:rPr>
            </w:pPr>
            <w:r w:rsidRPr="00D14CD7">
              <w:rPr>
                <w:rFonts w:eastAsia="Times New Roman"/>
                <w:color w:val="000000" w:themeColor="text1"/>
                <w:sz w:val="16"/>
              </w:rPr>
              <w:t>—</w:t>
            </w:r>
          </w:p>
        </w:tc>
        <w:tc>
          <w:tcPr>
            <w:tcW w:w="156" w:type="pct"/>
            <w:tcBorders>
              <w:left w:val="single" w:sz="8" w:space="0" w:color="auto"/>
              <w:bottom w:val="single" w:sz="8" w:space="0" w:color="auto"/>
            </w:tcBorders>
            <w:shd w:val="clear" w:color="auto" w:fill="auto"/>
            <w:noWrap/>
            <w:vAlign w:val="center"/>
            <w:hideMark/>
          </w:tcPr>
          <w:p w14:paraId="7365F946" w14:textId="77777777" w:rsidR="00BE151D" w:rsidRPr="00D14CD7" w:rsidRDefault="00BE151D" w:rsidP="00567BE9">
            <w:pPr>
              <w:spacing w:after="0" w:line="240" w:lineRule="auto"/>
              <w:jc w:val="right"/>
              <w:rPr>
                <w:rFonts w:eastAsia="Times New Roman"/>
                <w:color w:val="000000" w:themeColor="text1"/>
                <w:sz w:val="16"/>
                <w:szCs w:val="16"/>
              </w:rPr>
            </w:pPr>
            <w:proofErr w:type="spellStart"/>
            <w:r w:rsidRPr="00D14CD7">
              <w:rPr>
                <w:rFonts w:eastAsia="Times New Roman"/>
                <w:color w:val="000000" w:themeColor="text1"/>
                <w:sz w:val="16"/>
              </w:rPr>
              <w:t>na</w:t>
            </w:r>
            <w:proofErr w:type="spellEnd"/>
          </w:p>
        </w:tc>
        <w:tc>
          <w:tcPr>
            <w:tcW w:w="157" w:type="pct"/>
            <w:tcBorders>
              <w:bottom w:val="single" w:sz="8" w:space="0" w:color="auto"/>
              <w:right w:val="double" w:sz="4" w:space="0" w:color="auto"/>
            </w:tcBorders>
            <w:shd w:val="clear" w:color="auto" w:fill="auto"/>
            <w:noWrap/>
            <w:vAlign w:val="center"/>
            <w:hideMark/>
          </w:tcPr>
          <w:p w14:paraId="2A18E080" w14:textId="77777777" w:rsidR="00BE151D" w:rsidRPr="00D14CD7" w:rsidRDefault="00BE151D" w:rsidP="00567BE9">
            <w:pPr>
              <w:spacing w:after="0" w:line="240" w:lineRule="auto"/>
              <w:jc w:val="right"/>
              <w:rPr>
                <w:rFonts w:eastAsia="Times New Roman"/>
                <w:color w:val="000000" w:themeColor="text1"/>
                <w:sz w:val="16"/>
                <w:szCs w:val="16"/>
              </w:rPr>
            </w:pPr>
            <w:proofErr w:type="spellStart"/>
            <w:r w:rsidRPr="00D14CD7">
              <w:rPr>
                <w:rFonts w:eastAsia="Times New Roman"/>
                <w:color w:val="000000" w:themeColor="text1"/>
                <w:sz w:val="16"/>
              </w:rPr>
              <w:t>na</w:t>
            </w:r>
            <w:proofErr w:type="spellEnd"/>
          </w:p>
        </w:tc>
        <w:tc>
          <w:tcPr>
            <w:tcW w:w="187" w:type="pct"/>
            <w:tcBorders>
              <w:top w:val="single" w:sz="4" w:space="0" w:color="auto"/>
              <w:left w:val="double" w:sz="4" w:space="0" w:color="auto"/>
              <w:bottom w:val="single" w:sz="8" w:space="0" w:color="auto"/>
            </w:tcBorders>
            <w:shd w:val="clear" w:color="auto" w:fill="auto"/>
            <w:noWrap/>
            <w:vAlign w:val="bottom"/>
          </w:tcPr>
          <w:p w14:paraId="176961E6" w14:textId="77777777" w:rsidR="00BE151D" w:rsidRPr="00D14CD7" w:rsidRDefault="00BE151D" w:rsidP="00567BE9">
            <w:pPr>
              <w:spacing w:after="0" w:line="240" w:lineRule="auto"/>
              <w:jc w:val="right"/>
              <w:rPr>
                <w:rFonts w:eastAsia="Times New Roman"/>
                <w:color w:val="000000" w:themeColor="text1"/>
                <w:sz w:val="16"/>
                <w:szCs w:val="16"/>
              </w:rPr>
            </w:pPr>
            <w:r w:rsidRPr="00D14CD7">
              <w:rPr>
                <w:color w:val="000000" w:themeColor="text1"/>
                <w:sz w:val="16"/>
                <w:szCs w:val="16"/>
              </w:rPr>
              <w:t>-0.081</w:t>
            </w:r>
          </w:p>
        </w:tc>
        <w:tc>
          <w:tcPr>
            <w:tcW w:w="183" w:type="pct"/>
            <w:tcBorders>
              <w:bottom w:val="single" w:sz="8" w:space="0" w:color="auto"/>
            </w:tcBorders>
            <w:shd w:val="clear" w:color="auto" w:fill="auto"/>
            <w:noWrap/>
            <w:vAlign w:val="bottom"/>
          </w:tcPr>
          <w:p w14:paraId="40DD6E66" w14:textId="77777777" w:rsidR="00BE151D" w:rsidRPr="00D14CD7" w:rsidRDefault="00BE151D" w:rsidP="00567BE9">
            <w:pPr>
              <w:spacing w:after="0" w:line="240" w:lineRule="auto"/>
              <w:jc w:val="right"/>
              <w:rPr>
                <w:rFonts w:eastAsia="Times New Roman"/>
                <w:color w:val="000000" w:themeColor="text1"/>
                <w:sz w:val="16"/>
                <w:szCs w:val="16"/>
              </w:rPr>
            </w:pPr>
            <w:r w:rsidRPr="00D14CD7">
              <w:rPr>
                <w:color w:val="000000" w:themeColor="text1"/>
                <w:sz w:val="16"/>
                <w:szCs w:val="16"/>
              </w:rPr>
              <w:t>-1.50</w:t>
            </w:r>
          </w:p>
        </w:tc>
      </w:tr>
      <w:tr w:rsidR="00D14CD7" w:rsidRPr="00D14CD7" w14:paraId="4AB524FE" w14:textId="77777777" w:rsidTr="00567BE9">
        <w:trPr>
          <w:trHeight w:val="72"/>
        </w:trPr>
        <w:tc>
          <w:tcPr>
            <w:tcW w:w="5000" w:type="pct"/>
            <w:gridSpan w:val="19"/>
            <w:tcBorders>
              <w:top w:val="single" w:sz="8" w:space="0" w:color="auto"/>
              <w:bottom w:val="single" w:sz="8" w:space="0" w:color="auto"/>
            </w:tcBorders>
            <w:shd w:val="clear" w:color="auto" w:fill="auto"/>
            <w:noWrap/>
            <w:vAlign w:val="center"/>
            <w:hideMark/>
          </w:tcPr>
          <w:p w14:paraId="1CD24BDD" w14:textId="77777777" w:rsidR="00BE151D" w:rsidRPr="00D14CD7" w:rsidRDefault="00BE151D" w:rsidP="00567BE9">
            <w:pPr>
              <w:spacing w:after="0" w:line="240" w:lineRule="auto"/>
              <w:rPr>
                <w:rFonts w:eastAsia="Times New Roman"/>
                <w:color w:val="000000" w:themeColor="text1"/>
                <w:sz w:val="20"/>
                <w:szCs w:val="20"/>
              </w:rPr>
            </w:pPr>
            <w:r w:rsidRPr="00D14CD7">
              <w:rPr>
                <w:rFonts w:eastAsia="Times New Roman"/>
                <w:b/>
                <w:bCs/>
                <w:color w:val="000000" w:themeColor="text1"/>
                <w:sz w:val="16"/>
                <w:szCs w:val="16"/>
              </w:rPr>
              <w:t>Employment Status/Job Characteristics</w:t>
            </w:r>
          </w:p>
        </w:tc>
      </w:tr>
      <w:tr w:rsidR="00D14CD7" w:rsidRPr="00D14CD7" w14:paraId="4A1F5B75" w14:textId="77777777" w:rsidTr="00567BE9">
        <w:trPr>
          <w:trHeight w:val="72"/>
        </w:trPr>
        <w:tc>
          <w:tcPr>
            <w:tcW w:w="5000" w:type="pct"/>
            <w:gridSpan w:val="19"/>
            <w:tcBorders>
              <w:top w:val="single" w:sz="8" w:space="0" w:color="auto"/>
              <w:bottom w:val="single" w:sz="4" w:space="0" w:color="auto"/>
            </w:tcBorders>
            <w:shd w:val="clear" w:color="auto" w:fill="auto"/>
            <w:noWrap/>
            <w:vAlign w:val="center"/>
            <w:hideMark/>
          </w:tcPr>
          <w:p w14:paraId="2258F799" w14:textId="77777777" w:rsidR="00BE151D" w:rsidRPr="00D14CD7" w:rsidRDefault="00BE151D" w:rsidP="00567BE9">
            <w:pPr>
              <w:spacing w:after="0" w:line="240" w:lineRule="auto"/>
              <w:rPr>
                <w:rFonts w:eastAsia="Times New Roman"/>
                <w:color w:val="000000" w:themeColor="text1"/>
                <w:sz w:val="20"/>
                <w:szCs w:val="20"/>
              </w:rPr>
            </w:pPr>
            <w:r w:rsidRPr="00D14CD7">
              <w:rPr>
                <w:rFonts w:eastAsia="Times New Roman"/>
                <w:b/>
                <w:bCs/>
                <w:i/>
                <w:iCs/>
                <w:color w:val="000000" w:themeColor="text1"/>
                <w:sz w:val="16"/>
                <w:szCs w:val="16"/>
              </w:rPr>
              <w:t>Number of workdays per month</w:t>
            </w:r>
          </w:p>
        </w:tc>
      </w:tr>
      <w:tr w:rsidR="00D14CD7" w:rsidRPr="00D14CD7" w14:paraId="57E978C0" w14:textId="77777777" w:rsidTr="00567BE9">
        <w:trPr>
          <w:trHeight w:val="72"/>
        </w:trPr>
        <w:tc>
          <w:tcPr>
            <w:tcW w:w="1709" w:type="pct"/>
            <w:tcBorders>
              <w:top w:val="single" w:sz="4" w:space="0" w:color="auto"/>
              <w:bottom w:val="single" w:sz="8" w:space="0" w:color="auto"/>
              <w:right w:val="double" w:sz="4" w:space="0" w:color="auto"/>
            </w:tcBorders>
            <w:shd w:val="clear" w:color="auto" w:fill="auto"/>
            <w:noWrap/>
            <w:vAlign w:val="center"/>
            <w:hideMark/>
          </w:tcPr>
          <w:p w14:paraId="30047E28" w14:textId="77777777" w:rsidR="00BE151D" w:rsidRPr="00D14CD7" w:rsidRDefault="00BE151D" w:rsidP="00567BE9">
            <w:pPr>
              <w:spacing w:after="0" w:line="240" w:lineRule="auto"/>
              <w:ind w:firstLine="140"/>
              <w:rPr>
                <w:rFonts w:eastAsia="Times New Roman"/>
                <w:color w:val="000000" w:themeColor="text1"/>
                <w:sz w:val="16"/>
                <w:szCs w:val="16"/>
              </w:rPr>
            </w:pPr>
            <w:r w:rsidRPr="00D14CD7">
              <w:rPr>
                <w:rFonts w:eastAsia="Times New Roman"/>
                <w:color w:val="000000" w:themeColor="text1"/>
                <w:sz w:val="16"/>
              </w:rPr>
              <w:t>Number of workdays</w:t>
            </w:r>
          </w:p>
        </w:tc>
        <w:tc>
          <w:tcPr>
            <w:tcW w:w="227" w:type="pct"/>
            <w:tcBorders>
              <w:top w:val="single" w:sz="4" w:space="0" w:color="auto"/>
              <w:left w:val="double" w:sz="4" w:space="0" w:color="auto"/>
              <w:bottom w:val="single" w:sz="8" w:space="0" w:color="auto"/>
            </w:tcBorders>
            <w:shd w:val="clear" w:color="auto" w:fill="auto"/>
            <w:noWrap/>
            <w:vAlign w:val="center"/>
            <w:hideMark/>
          </w:tcPr>
          <w:p w14:paraId="37689887" w14:textId="77777777" w:rsidR="00BE151D" w:rsidRPr="00D14CD7" w:rsidRDefault="00BE151D" w:rsidP="00567BE9">
            <w:pPr>
              <w:spacing w:after="0" w:line="240" w:lineRule="auto"/>
              <w:jc w:val="right"/>
              <w:rPr>
                <w:rFonts w:eastAsia="Times New Roman"/>
                <w:color w:val="000000" w:themeColor="text1"/>
                <w:sz w:val="16"/>
                <w:szCs w:val="16"/>
              </w:rPr>
            </w:pPr>
            <w:r w:rsidRPr="00D14CD7">
              <w:rPr>
                <w:rFonts w:eastAsia="Times New Roman"/>
                <w:color w:val="000000" w:themeColor="text1"/>
                <w:sz w:val="16"/>
              </w:rPr>
              <w:t>—</w:t>
            </w:r>
          </w:p>
        </w:tc>
        <w:tc>
          <w:tcPr>
            <w:tcW w:w="199" w:type="pct"/>
            <w:tcBorders>
              <w:top w:val="single" w:sz="4" w:space="0" w:color="auto"/>
              <w:bottom w:val="single" w:sz="8" w:space="0" w:color="auto"/>
              <w:right w:val="single" w:sz="8" w:space="0" w:color="auto"/>
            </w:tcBorders>
            <w:shd w:val="clear" w:color="auto" w:fill="auto"/>
            <w:noWrap/>
            <w:vAlign w:val="center"/>
            <w:hideMark/>
          </w:tcPr>
          <w:p w14:paraId="42B03E45" w14:textId="77777777" w:rsidR="00BE151D" w:rsidRPr="00D14CD7" w:rsidRDefault="00BE151D" w:rsidP="00567BE9">
            <w:pPr>
              <w:spacing w:after="0" w:line="240" w:lineRule="auto"/>
              <w:jc w:val="right"/>
              <w:rPr>
                <w:rFonts w:eastAsia="Times New Roman"/>
                <w:color w:val="000000" w:themeColor="text1"/>
                <w:sz w:val="16"/>
                <w:szCs w:val="16"/>
              </w:rPr>
            </w:pPr>
            <w:r w:rsidRPr="00D14CD7">
              <w:rPr>
                <w:rFonts w:eastAsia="Times New Roman"/>
                <w:color w:val="000000" w:themeColor="text1"/>
                <w:sz w:val="16"/>
              </w:rPr>
              <w:t>—</w:t>
            </w:r>
          </w:p>
        </w:tc>
        <w:tc>
          <w:tcPr>
            <w:tcW w:w="184" w:type="pct"/>
            <w:tcBorders>
              <w:top w:val="single" w:sz="4" w:space="0" w:color="auto"/>
              <w:left w:val="single" w:sz="8" w:space="0" w:color="auto"/>
              <w:bottom w:val="single" w:sz="8" w:space="0" w:color="auto"/>
            </w:tcBorders>
            <w:shd w:val="clear" w:color="auto" w:fill="auto"/>
            <w:noWrap/>
            <w:vAlign w:val="center"/>
            <w:hideMark/>
          </w:tcPr>
          <w:p w14:paraId="7E51C4FD" w14:textId="77777777" w:rsidR="00BE151D" w:rsidRPr="00D14CD7" w:rsidRDefault="00BE151D" w:rsidP="00567BE9">
            <w:pPr>
              <w:spacing w:after="0" w:line="240" w:lineRule="auto"/>
              <w:jc w:val="right"/>
              <w:rPr>
                <w:rFonts w:eastAsia="Times New Roman"/>
                <w:color w:val="000000" w:themeColor="text1"/>
                <w:sz w:val="16"/>
                <w:szCs w:val="16"/>
              </w:rPr>
            </w:pPr>
            <w:r w:rsidRPr="00D14CD7">
              <w:rPr>
                <w:rFonts w:eastAsia="Times New Roman"/>
                <w:color w:val="000000" w:themeColor="text1"/>
                <w:sz w:val="16"/>
              </w:rPr>
              <w:t>—</w:t>
            </w:r>
          </w:p>
        </w:tc>
        <w:tc>
          <w:tcPr>
            <w:tcW w:w="185" w:type="pct"/>
            <w:tcBorders>
              <w:top w:val="single" w:sz="4" w:space="0" w:color="auto"/>
              <w:bottom w:val="single" w:sz="8" w:space="0" w:color="auto"/>
              <w:right w:val="single" w:sz="8" w:space="0" w:color="auto"/>
            </w:tcBorders>
            <w:shd w:val="clear" w:color="auto" w:fill="auto"/>
            <w:noWrap/>
            <w:vAlign w:val="center"/>
            <w:hideMark/>
          </w:tcPr>
          <w:p w14:paraId="21FF1BA4" w14:textId="77777777" w:rsidR="00BE151D" w:rsidRPr="00D14CD7" w:rsidRDefault="00BE151D" w:rsidP="00567BE9">
            <w:pPr>
              <w:spacing w:after="0" w:line="240" w:lineRule="auto"/>
              <w:jc w:val="right"/>
              <w:rPr>
                <w:rFonts w:eastAsia="Times New Roman"/>
                <w:color w:val="000000" w:themeColor="text1"/>
                <w:sz w:val="16"/>
                <w:szCs w:val="16"/>
              </w:rPr>
            </w:pPr>
            <w:r w:rsidRPr="00D14CD7">
              <w:rPr>
                <w:rFonts w:eastAsia="Times New Roman"/>
                <w:color w:val="000000" w:themeColor="text1"/>
                <w:sz w:val="16"/>
              </w:rPr>
              <w:t>—</w:t>
            </w:r>
          </w:p>
        </w:tc>
        <w:tc>
          <w:tcPr>
            <w:tcW w:w="184" w:type="pct"/>
            <w:tcBorders>
              <w:top w:val="single" w:sz="4" w:space="0" w:color="auto"/>
              <w:left w:val="single" w:sz="8" w:space="0" w:color="auto"/>
              <w:bottom w:val="single" w:sz="8" w:space="0" w:color="auto"/>
            </w:tcBorders>
            <w:shd w:val="clear" w:color="auto" w:fill="auto"/>
            <w:noWrap/>
            <w:vAlign w:val="center"/>
            <w:hideMark/>
          </w:tcPr>
          <w:p w14:paraId="52D434A0" w14:textId="77777777" w:rsidR="00BE151D" w:rsidRPr="00D14CD7" w:rsidRDefault="00BE151D" w:rsidP="00567BE9">
            <w:pPr>
              <w:spacing w:after="0" w:line="240" w:lineRule="auto"/>
              <w:jc w:val="right"/>
              <w:rPr>
                <w:rFonts w:eastAsia="Times New Roman"/>
                <w:color w:val="000000" w:themeColor="text1"/>
                <w:sz w:val="16"/>
                <w:szCs w:val="16"/>
              </w:rPr>
            </w:pPr>
            <w:r w:rsidRPr="00D14CD7">
              <w:rPr>
                <w:rFonts w:eastAsia="Times New Roman"/>
                <w:color w:val="000000" w:themeColor="text1"/>
                <w:sz w:val="16"/>
              </w:rPr>
              <w:t>—</w:t>
            </w:r>
          </w:p>
        </w:tc>
        <w:tc>
          <w:tcPr>
            <w:tcW w:w="188" w:type="pct"/>
            <w:tcBorders>
              <w:top w:val="single" w:sz="4" w:space="0" w:color="auto"/>
              <w:bottom w:val="single" w:sz="8" w:space="0" w:color="auto"/>
              <w:right w:val="single" w:sz="8" w:space="0" w:color="auto"/>
            </w:tcBorders>
            <w:shd w:val="clear" w:color="auto" w:fill="auto"/>
            <w:noWrap/>
            <w:vAlign w:val="center"/>
            <w:hideMark/>
          </w:tcPr>
          <w:p w14:paraId="31F3B3FE" w14:textId="77777777" w:rsidR="00BE151D" w:rsidRPr="00D14CD7" w:rsidRDefault="00BE151D" w:rsidP="00567BE9">
            <w:pPr>
              <w:spacing w:after="0" w:line="240" w:lineRule="auto"/>
              <w:jc w:val="right"/>
              <w:rPr>
                <w:rFonts w:eastAsia="Times New Roman"/>
                <w:color w:val="000000" w:themeColor="text1"/>
                <w:sz w:val="16"/>
                <w:szCs w:val="16"/>
              </w:rPr>
            </w:pPr>
            <w:r w:rsidRPr="00D14CD7">
              <w:rPr>
                <w:rFonts w:eastAsia="Times New Roman"/>
                <w:color w:val="000000" w:themeColor="text1"/>
                <w:sz w:val="16"/>
              </w:rPr>
              <w:t>—</w:t>
            </w:r>
          </w:p>
        </w:tc>
        <w:tc>
          <w:tcPr>
            <w:tcW w:w="188" w:type="pct"/>
            <w:tcBorders>
              <w:top w:val="single" w:sz="4" w:space="0" w:color="auto"/>
              <w:left w:val="single" w:sz="8" w:space="0" w:color="auto"/>
              <w:bottom w:val="single" w:sz="8" w:space="0" w:color="auto"/>
            </w:tcBorders>
            <w:shd w:val="clear" w:color="auto" w:fill="auto"/>
            <w:noWrap/>
            <w:vAlign w:val="center"/>
            <w:hideMark/>
          </w:tcPr>
          <w:p w14:paraId="6D4CF741" w14:textId="77777777" w:rsidR="00BE151D" w:rsidRPr="00D14CD7" w:rsidRDefault="00BE151D" w:rsidP="00567BE9">
            <w:pPr>
              <w:spacing w:after="0" w:line="240" w:lineRule="auto"/>
              <w:jc w:val="right"/>
              <w:rPr>
                <w:rFonts w:eastAsia="Times New Roman"/>
                <w:color w:val="000000" w:themeColor="text1"/>
                <w:sz w:val="16"/>
                <w:szCs w:val="16"/>
              </w:rPr>
            </w:pPr>
            <w:proofErr w:type="spellStart"/>
            <w:r w:rsidRPr="00D14CD7">
              <w:rPr>
                <w:rFonts w:eastAsia="Times New Roman"/>
                <w:color w:val="000000" w:themeColor="text1"/>
                <w:sz w:val="16"/>
              </w:rPr>
              <w:t>na</w:t>
            </w:r>
            <w:proofErr w:type="spellEnd"/>
          </w:p>
        </w:tc>
        <w:tc>
          <w:tcPr>
            <w:tcW w:w="146" w:type="pct"/>
            <w:tcBorders>
              <w:top w:val="single" w:sz="4" w:space="0" w:color="auto"/>
              <w:bottom w:val="single" w:sz="8" w:space="0" w:color="auto"/>
              <w:right w:val="double" w:sz="4" w:space="0" w:color="auto"/>
            </w:tcBorders>
            <w:shd w:val="clear" w:color="auto" w:fill="auto"/>
            <w:noWrap/>
            <w:vAlign w:val="center"/>
            <w:hideMark/>
          </w:tcPr>
          <w:p w14:paraId="3CB66C9A" w14:textId="77777777" w:rsidR="00BE151D" w:rsidRPr="00D14CD7" w:rsidRDefault="00BE151D" w:rsidP="00567BE9">
            <w:pPr>
              <w:spacing w:after="0" w:line="240" w:lineRule="auto"/>
              <w:jc w:val="right"/>
              <w:rPr>
                <w:rFonts w:eastAsia="Times New Roman"/>
                <w:color w:val="000000" w:themeColor="text1"/>
                <w:sz w:val="16"/>
                <w:szCs w:val="16"/>
              </w:rPr>
            </w:pPr>
            <w:proofErr w:type="spellStart"/>
            <w:r w:rsidRPr="00D14CD7">
              <w:rPr>
                <w:rFonts w:eastAsia="Times New Roman"/>
                <w:color w:val="000000" w:themeColor="text1"/>
                <w:sz w:val="16"/>
              </w:rPr>
              <w:t>na</w:t>
            </w:r>
            <w:proofErr w:type="spellEnd"/>
          </w:p>
        </w:tc>
        <w:tc>
          <w:tcPr>
            <w:tcW w:w="184" w:type="pct"/>
            <w:tcBorders>
              <w:left w:val="double" w:sz="4" w:space="0" w:color="auto"/>
              <w:bottom w:val="single" w:sz="8" w:space="0" w:color="auto"/>
            </w:tcBorders>
            <w:shd w:val="clear" w:color="auto" w:fill="auto"/>
            <w:noWrap/>
            <w:vAlign w:val="center"/>
            <w:hideMark/>
          </w:tcPr>
          <w:p w14:paraId="3D7130AE" w14:textId="77777777" w:rsidR="00BE151D" w:rsidRPr="00D14CD7" w:rsidRDefault="00BE151D" w:rsidP="00567BE9">
            <w:pPr>
              <w:spacing w:after="0" w:line="240" w:lineRule="auto"/>
              <w:jc w:val="right"/>
              <w:rPr>
                <w:rFonts w:eastAsia="Times New Roman"/>
                <w:color w:val="000000" w:themeColor="text1"/>
                <w:sz w:val="16"/>
                <w:szCs w:val="16"/>
              </w:rPr>
            </w:pPr>
            <w:r w:rsidRPr="00D14CD7">
              <w:rPr>
                <w:rFonts w:eastAsia="Times New Roman"/>
                <w:color w:val="000000" w:themeColor="text1"/>
                <w:sz w:val="16"/>
              </w:rPr>
              <w:t>—</w:t>
            </w:r>
          </w:p>
        </w:tc>
        <w:tc>
          <w:tcPr>
            <w:tcW w:w="184" w:type="pct"/>
            <w:tcBorders>
              <w:top w:val="single" w:sz="4" w:space="0" w:color="auto"/>
              <w:bottom w:val="single" w:sz="8" w:space="0" w:color="auto"/>
              <w:right w:val="single" w:sz="8" w:space="0" w:color="auto"/>
            </w:tcBorders>
            <w:shd w:val="clear" w:color="auto" w:fill="auto"/>
            <w:noWrap/>
            <w:vAlign w:val="center"/>
            <w:hideMark/>
          </w:tcPr>
          <w:p w14:paraId="3A6549CB" w14:textId="77777777" w:rsidR="00BE151D" w:rsidRPr="00D14CD7" w:rsidRDefault="00BE151D" w:rsidP="00567BE9">
            <w:pPr>
              <w:spacing w:after="0" w:line="240" w:lineRule="auto"/>
              <w:jc w:val="right"/>
              <w:rPr>
                <w:rFonts w:eastAsia="Times New Roman"/>
                <w:color w:val="000000" w:themeColor="text1"/>
                <w:sz w:val="16"/>
                <w:szCs w:val="16"/>
              </w:rPr>
            </w:pPr>
            <w:r w:rsidRPr="00D14CD7">
              <w:rPr>
                <w:rFonts w:eastAsia="Times New Roman"/>
                <w:color w:val="000000" w:themeColor="text1"/>
                <w:sz w:val="16"/>
              </w:rPr>
              <w:t>—</w:t>
            </w:r>
          </w:p>
        </w:tc>
        <w:tc>
          <w:tcPr>
            <w:tcW w:w="184" w:type="pct"/>
            <w:tcBorders>
              <w:left w:val="single" w:sz="8" w:space="0" w:color="auto"/>
              <w:bottom w:val="single" w:sz="8" w:space="0" w:color="auto"/>
            </w:tcBorders>
            <w:shd w:val="clear" w:color="auto" w:fill="auto"/>
            <w:noWrap/>
            <w:vAlign w:val="center"/>
            <w:hideMark/>
          </w:tcPr>
          <w:p w14:paraId="5ACCCEA1" w14:textId="77777777" w:rsidR="00BE151D" w:rsidRPr="00D14CD7" w:rsidRDefault="00BE151D" w:rsidP="00567BE9">
            <w:pPr>
              <w:spacing w:after="0" w:line="240" w:lineRule="auto"/>
              <w:jc w:val="right"/>
              <w:rPr>
                <w:rFonts w:eastAsia="Times New Roman"/>
                <w:color w:val="000000" w:themeColor="text1"/>
                <w:sz w:val="16"/>
                <w:szCs w:val="16"/>
              </w:rPr>
            </w:pPr>
            <w:r w:rsidRPr="00D14CD7">
              <w:rPr>
                <w:rFonts w:eastAsia="Times New Roman"/>
                <w:color w:val="000000" w:themeColor="text1"/>
                <w:sz w:val="16"/>
              </w:rPr>
              <w:t>—</w:t>
            </w:r>
          </w:p>
        </w:tc>
        <w:tc>
          <w:tcPr>
            <w:tcW w:w="185" w:type="pct"/>
            <w:tcBorders>
              <w:top w:val="single" w:sz="4" w:space="0" w:color="auto"/>
              <w:bottom w:val="single" w:sz="8" w:space="0" w:color="auto"/>
              <w:right w:val="single" w:sz="8" w:space="0" w:color="auto"/>
            </w:tcBorders>
            <w:shd w:val="clear" w:color="auto" w:fill="auto"/>
            <w:noWrap/>
            <w:vAlign w:val="center"/>
            <w:hideMark/>
          </w:tcPr>
          <w:p w14:paraId="7E1FE72D" w14:textId="77777777" w:rsidR="00BE151D" w:rsidRPr="00D14CD7" w:rsidRDefault="00BE151D" w:rsidP="00567BE9">
            <w:pPr>
              <w:spacing w:after="0" w:line="240" w:lineRule="auto"/>
              <w:jc w:val="right"/>
              <w:rPr>
                <w:rFonts w:eastAsia="Times New Roman"/>
                <w:color w:val="000000" w:themeColor="text1"/>
                <w:sz w:val="16"/>
                <w:szCs w:val="16"/>
              </w:rPr>
            </w:pPr>
            <w:r w:rsidRPr="00D14CD7">
              <w:rPr>
                <w:rFonts w:eastAsia="Times New Roman"/>
                <w:color w:val="000000" w:themeColor="text1"/>
                <w:sz w:val="16"/>
              </w:rPr>
              <w:t>—</w:t>
            </w:r>
          </w:p>
        </w:tc>
        <w:tc>
          <w:tcPr>
            <w:tcW w:w="185" w:type="pct"/>
            <w:tcBorders>
              <w:left w:val="single" w:sz="8" w:space="0" w:color="auto"/>
              <w:bottom w:val="single" w:sz="8" w:space="0" w:color="auto"/>
            </w:tcBorders>
            <w:shd w:val="clear" w:color="auto" w:fill="auto"/>
            <w:noWrap/>
            <w:vAlign w:val="center"/>
            <w:hideMark/>
          </w:tcPr>
          <w:p w14:paraId="28F4B0BF" w14:textId="77777777" w:rsidR="00BE151D" w:rsidRPr="00D14CD7" w:rsidRDefault="00BE151D" w:rsidP="00567BE9">
            <w:pPr>
              <w:spacing w:after="0" w:line="240" w:lineRule="auto"/>
              <w:jc w:val="right"/>
              <w:rPr>
                <w:rFonts w:eastAsia="Times New Roman"/>
                <w:color w:val="000000" w:themeColor="text1"/>
                <w:sz w:val="16"/>
                <w:szCs w:val="16"/>
              </w:rPr>
            </w:pPr>
            <w:r w:rsidRPr="00D14CD7">
              <w:rPr>
                <w:rFonts w:eastAsia="Times New Roman"/>
                <w:color w:val="000000" w:themeColor="text1"/>
                <w:sz w:val="16"/>
              </w:rPr>
              <w:t>—</w:t>
            </w:r>
          </w:p>
        </w:tc>
        <w:tc>
          <w:tcPr>
            <w:tcW w:w="185" w:type="pct"/>
            <w:tcBorders>
              <w:top w:val="single" w:sz="4" w:space="0" w:color="auto"/>
              <w:bottom w:val="single" w:sz="8" w:space="0" w:color="auto"/>
              <w:right w:val="single" w:sz="8" w:space="0" w:color="auto"/>
            </w:tcBorders>
            <w:shd w:val="clear" w:color="auto" w:fill="auto"/>
            <w:noWrap/>
            <w:vAlign w:val="center"/>
            <w:hideMark/>
          </w:tcPr>
          <w:p w14:paraId="4E2D4B8E" w14:textId="77777777" w:rsidR="00BE151D" w:rsidRPr="00D14CD7" w:rsidRDefault="00BE151D" w:rsidP="00567BE9">
            <w:pPr>
              <w:spacing w:after="0" w:line="240" w:lineRule="auto"/>
              <w:jc w:val="right"/>
              <w:rPr>
                <w:rFonts w:eastAsia="Times New Roman"/>
                <w:color w:val="000000" w:themeColor="text1"/>
                <w:sz w:val="16"/>
                <w:szCs w:val="16"/>
              </w:rPr>
            </w:pPr>
            <w:r w:rsidRPr="00D14CD7">
              <w:rPr>
                <w:rFonts w:eastAsia="Times New Roman"/>
                <w:color w:val="000000" w:themeColor="text1"/>
                <w:sz w:val="16"/>
              </w:rPr>
              <w:t>—</w:t>
            </w:r>
          </w:p>
        </w:tc>
        <w:tc>
          <w:tcPr>
            <w:tcW w:w="156" w:type="pct"/>
            <w:tcBorders>
              <w:left w:val="single" w:sz="8" w:space="0" w:color="auto"/>
              <w:bottom w:val="single" w:sz="8" w:space="0" w:color="auto"/>
            </w:tcBorders>
            <w:shd w:val="clear" w:color="auto" w:fill="auto"/>
            <w:noWrap/>
            <w:vAlign w:val="center"/>
            <w:hideMark/>
          </w:tcPr>
          <w:p w14:paraId="3AB85AF5" w14:textId="77777777" w:rsidR="00BE151D" w:rsidRPr="00D14CD7" w:rsidRDefault="00BE151D" w:rsidP="00567BE9">
            <w:pPr>
              <w:spacing w:after="0" w:line="240" w:lineRule="auto"/>
              <w:jc w:val="right"/>
              <w:rPr>
                <w:rFonts w:eastAsia="Times New Roman"/>
                <w:color w:val="000000" w:themeColor="text1"/>
                <w:sz w:val="16"/>
                <w:szCs w:val="16"/>
              </w:rPr>
            </w:pPr>
            <w:proofErr w:type="spellStart"/>
            <w:r w:rsidRPr="00D14CD7">
              <w:rPr>
                <w:rFonts w:eastAsia="Times New Roman"/>
                <w:color w:val="000000" w:themeColor="text1"/>
                <w:sz w:val="16"/>
              </w:rPr>
              <w:t>na</w:t>
            </w:r>
            <w:proofErr w:type="spellEnd"/>
          </w:p>
        </w:tc>
        <w:tc>
          <w:tcPr>
            <w:tcW w:w="157" w:type="pct"/>
            <w:tcBorders>
              <w:bottom w:val="single" w:sz="8" w:space="0" w:color="auto"/>
              <w:right w:val="double" w:sz="4" w:space="0" w:color="auto"/>
            </w:tcBorders>
            <w:shd w:val="clear" w:color="auto" w:fill="auto"/>
            <w:noWrap/>
            <w:vAlign w:val="center"/>
            <w:hideMark/>
          </w:tcPr>
          <w:p w14:paraId="4D8630B6" w14:textId="77777777" w:rsidR="00BE151D" w:rsidRPr="00D14CD7" w:rsidRDefault="00BE151D" w:rsidP="00567BE9">
            <w:pPr>
              <w:spacing w:after="0" w:line="240" w:lineRule="auto"/>
              <w:jc w:val="right"/>
              <w:rPr>
                <w:rFonts w:eastAsia="Times New Roman"/>
                <w:color w:val="000000" w:themeColor="text1"/>
                <w:sz w:val="16"/>
                <w:szCs w:val="16"/>
              </w:rPr>
            </w:pPr>
            <w:proofErr w:type="spellStart"/>
            <w:r w:rsidRPr="00D14CD7">
              <w:rPr>
                <w:rFonts w:eastAsia="Times New Roman"/>
                <w:color w:val="000000" w:themeColor="text1"/>
                <w:sz w:val="16"/>
              </w:rPr>
              <w:t>na</w:t>
            </w:r>
            <w:proofErr w:type="spellEnd"/>
          </w:p>
        </w:tc>
        <w:tc>
          <w:tcPr>
            <w:tcW w:w="187" w:type="pct"/>
            <w:tcBorders>
              <w:top w:val="single" w:sz="4" w:space="0" w:color="auto"/>
              <w:left w:val="double" w:sz="4" w:space="0" w:color="auto"/>
              <w:bottom w:val="single" w:sz="8" w:space="0" w:color="auto"/>
            </w:tcBorders>
            <w:shd w:val="clear" w:color="auto" w:fill="auto"/>
            <w:noWrap/>
            <w:vAlign w:val="bottom"/>
          </w:tcPr>
          <w:p w14:paraId="30078970" w14:textId="77777777" w:rsidR="00BE151D" w:rsidRPr="00D14CD7" w:rsidRDefault="00BE151D" w:rsidP="00567BE9">
            <w:pPr>
              <w:spacing w:after="0" w:line="240" w:lineRule="auto"/>
              <w:jc w:val="right"/>
              <w:rPr>
                <w:rFonts w:eastAsia="Times New Roman"/>
                <w:color w:val="000000" w:themeColor="text1"/>
                <w:sz w:val="16"/>
                <w:szCs w:val="16"/>
              </w:rPr>
            </w:pPr>
            <w:r w:rsidRPr="00D14CD7">
              <w:rPr>
                <w:color w:val="000000" w:themeColor="text1"/>
                <w:sz w:val="16"/>
                <w:szCs w:val="16"/>
              </w:rPr>
              <w:t>1.295</w:t>
            </w:r>
          </w:p>
        </w:tc>
        <w:tc>
          <w:tcPr>
            <w:tcW w:w="183" w:type="pct"/>
            <w:tcBorders>
              <w:bottom w:val="single" w:sz="8" w:space="0" w:color="auto"/>
            </w:tcBorders>
            <w:shd w:val="clear" w:color="auto" w:fill="auto"/>
            <w:noWrap/>
            <w:vAlign w:val="bottom"/>
          </w:tcPr>
          <w:p w14:paraId="2C3066EE" w14:textId="77777777" w:rsidR="00BE151D" w:rsidRPr="00D14CD7" w:rsidRDefault="00BE151D" w:rsidP="00567BE9">
            <w:pPr>
              <w:spacing w:after="0" w:line="240" w:lineRule="auto"/>
              <w:jc w:val="right"/>
              <w:rPr>
                <w:rFonts w:eastAsia="Times New Roman"/>
                <w:color w:val="000000" w:themeColor="text1"/>
                <w:sz w:val="16"/>
                <w:szCs w:val="16"/>
              </w:rPr>
            </w:pPr>
            <w:r w:rsidRPr="00D14CD7">
              <w:rPr>
                <w:color w:val="000000" w:themeColor="text1"/>
                <w:sz w:val="16"/>
                <w:szCs w:val="16"/>
              </w:rPr>
              <w:t>4.51</w:t>
            </w:r>
          </w:p>
        </w:tc>
      </w:tr>
      <w:tr w:rsidR="00D14CD7" w:rsidRPr="00D14CD7" w14:paraId="11E3379E" w14:textId="77777777" w:rsidTr="00567BE9">
        <w:trPr>
          <w:trHeight w:val="72"/>
        </w:trPr>
        <w:tc>
          <w:tcPr>
            <w:tcW w:w="5000" w:type="pct"/>
            <w:gridSpan w:val="19"/>
            <w:tcBorders>
              <w:top w:val="single" w:sz="4" w:space="0" w:color="auto"/>
              <w:bottom w:val="single" w:sz="8" w:space="0" w:color="auto"/>
            </w:tcBorders>
            <w:shd w:val="clear" w:color="auto" w:fill="auto"/>
            <w:noWrap/>
            <w:vAlign w:val="center"/>
          </w:tcPr>
          <w:p w14:paraId="32CA31BF" w14:textId="77777777" w:rsidR="00BE151D" w:rsidRPr="00D14CD7" w:rsidRDefault="00BE151D" w:rsidP="00567BE9">
            <w:pPr>
              <w:spacing w:after="0" w:line="240" w:lineRule="auto"/>
              <w:rPr>
                <w:rFonts w:eastAsia="Times New Roman"/>
                <w:color w:val="000000" w:themeColor="text1"/>
                <w:sz w:val="16"/>
                <w:szCs w:val="16"/>
              </w:rPr>
            </w:pPr>
            <w:r w:rsidRPr="00D14CD7">
              <w:rPr>
                <w:rFonts w:eastAsia="Times New Roman"/>
                <w:b/>
                <w:bCs/>
                <w:i/>
                <w:iCs/>
                <w:color w:val="000000" w:themeColor="text1"/>
                <w:sz w:val="16"/>
                <w:szCs w:val="16"/>
              </w:rPr>
              <w:t>Workplace location</w:t>
            </w:r>
          </w:p>
        </w:tc>
      </w:tr>
      <w:tr w:rsidR="00D14CD7" w:rsidRPr="00D14CD7" w14:paraId="05A884C4" w14:textId="77777777" w:rsidTr="00567BE9">
        <w:trPr>
          <w:trHeight w:val="72"/>
        </w:trPr>
        <w:tc>
          <w:tcPr>
            <w:tcW w:w="1709" w:type="pct"/>
            <w:tcBorders>
              <w:top w:val="single" w:sz="4" w:space="0" w:color="auto"/>
              <w:bottom w:val="single" w:sz="8" w:space="0" w:color="auto"/>
              <w:right w:val="double" w:sz="4" w:space="0" w:color="auto"/>
            </w:tcBorders>
            <w:shd w:val="clear" w:color="auto" w:fill="auto"/>
            <w:noWrap/>
            <w:vAlign w:val="center"/>
          </w:tcPr>
          <w:p w14:paraId="54D969F6" w14:textId="77777777" w:rsidR="00BE151D" w:rsidRPr="00D14CD7" w:rsidRDefault="00BE151D" w:rsidP="00567BE9">
            <w:pPr>
              <w:spacing w:after="0" w:line="240" w:lineRule="auto"/>
              <w:ind w:firstLine="140"/>
              <w:rPr>
                <w:rFonts w:eastAsia="Times New Roman"/>
                <w:color w:val="000000" w:themeColor="text1"/>
                <w:sz w:val="16"/>
              </w:rPr>
            </w:pPr>
            <w:r w:rsidRPr="00D14CD7">
              <w:rPr>
                <w:rFonts w:eastAsia="Times New Roman"/>
                <w:color w:val="000000" w:themeColor="text1"/>
                <w:sz w:val="16"/>
              </w:rPr>
              <w:t xml:space="preserve">Fraction of work days from home in the past month </w:t>
            </w:r>
          </w:p>
        </w:tc>
        <w:tc>
          <w:tcPr>
            <w:tcW w:w="227" w:type="pct"/>
            <w:tcBorders>
              <w:top w:val="single" w:sz="4" w:space="0" w:color="auto"/>
              <w:left w:val="double" w:sz="4" w:space="0" w:color="auto"/>
              <w:bottom w:val="single" w:sz="8" w:space="0" w:color="auto"/>
            </w:tcBorders>
            <w:shd w:val="clear" w:color="auto" w:fill="auto"/>
            <w:noWrap/>
            <w:vAlign w:val="center"/>
          </w:tcPr>
          <w:p w14:paraId="33C2D9BC" w14:textId="77777777" w:rsidR="00BE151D" w:rsidRPr="00D14CD7" w:rsidRDefault="00BE151D" w:rsidP="00567BE9">
            <w:pPr>
              <w:spacing w:after="0" w:line="240" w:lineRule="auto"/>
              <w:jc w:val="right"/>
              <w:rPr>
                <w:rFonts w:eastAsia="Times New Roman"/>
                <w:color w:val="000000" w:themeColor="text1"/>
                <w:sz w:val="16"/>
              </w:rPr>
            </w:pPr>
            <w:r w:rsidRPr="00D14CD7">
              <w:rPr>
                <w:rFonts w:eastAsia="Times New Roman"/>
                <w:color w:val="000000" w:themeColor="text1"/>
                <w:sz w:val="16"/>
              </w:rPr>
              <w:t>—</w:t>
            </w:r>
          </w:p>
        </w:tc>
        <w:tc>
          <w:tcPr>
            <w:tcW w:w="199" w:type="pct"/>
            <w:tcBorders>
              <w:top w:val="single" w:sz="4" w:space="0" w:color="auto"/>
              <w:bottom w:val="single" w:sz="8" w:space="0" w:color="auto"/>
              <w:right w:val="single" w:sz="8" w:space="0" w:color="auto"/>
            </w:tcBorders>
            <w:shd w:val="clear" w:color="auto" w:fill="auto"/>
            <w:noWrap/>
            <w:vAlign w:val="center"/>
          </w:tcPr>
          <w:p w14:paraId="5527D331" w14:textId="77777777" w:rsidR="00BE151D" w:rsidRPr="00D14CD7" w:rsidRDefault="00BE151D" w:rsidP="00567BE9">
            <w:pPr>
              <w:spacing w:after="0" w:line="240" w:lineRule="auto"/>
              <w:jc w:val="right"/>
              <w:rPr>
                <w:rFonts w:eastAsia="Times New Roman"/>
                <w:color w:val="000000" w:themeColor="text1"/>
                <w:sz w:val="16"/>
              </w:rPr>
            </w:pPr>
            <w:r w:rsidRPr="00D14CD7">
              <w:rPr>
                <w:rFonts w:eastAsia="Times New Roman"/>
                <w:color w:val="000000" w:themeColor="text1"/>
                <w:sz w:val="16"/>
              </w:rPr>
              <w:t>—</w:t>
            </w:r>
          </w:p>
        </w:tc>
        <w:tc>
          <w:tcPr>
            <w:tcW w:w="184" w:type="pct"/>
            <w:tcBorders>
              <w:top w:val="single" w:sz="4" w:space="0" w:color="auto"/>
              <w:left w:val="single" w:sz="8" w:space="0" w:color="auto"/>
              <w:bottom w:val="single" w:sz="8" w:space="0" w:color="auto"/>
            </w:tcBorders>
            <w:shd w:val="clear" w:color="auto" w:fill="auto"/>
            <w:noWrap/>
            <w:vAlign w:val="center"/>
          </w:tcPr>
          <w:p w14:paraId="73DDED18" w14:textId="77777777" w:rsidR="00BE151D" w:rsidRPr="00D14CD7" w:rsidRDefault="00BE151D" w:rsidP="00567BE9">
            <w:pPr>
              <w:spacing w:after="0" w:line="240" w:lineRule="auto"/>
              <w:jc w:val="right"/>
              <w:rPr>
                <w:rFonts w:eastAsia="Times New Roman"/>
                <w:color w:val="000000" w:themeColor="text1"/>
                <w:sz w:val="16"/>
              </w:rPr>
            </w:pPr>
            <w:r w:rsidRPr="00D14CD7">
              <w:rPr>
                <w:rFonts w:eastAsia="Times New Roman"/>
                <w:color w:val="000000" w:themeColor="text1"/>
                <w:sz w:val="16"/>
              </w:rPr>
              <w:t>—</w:t>
            </w:r>
          </w:p>
        </w:tc>
        <w:tc>
          <w:tcPr>
            <w:tcW w:w="185" w:type="pct"/>
            <w:tcBorders>
              <w:top w:val="single" w:sz="4" w:space="0" w:color="auto"/>
              <w:bottom w:val="single" w:sz="8" w:space="0" w:color="auto"/>
              <w:right w:val="single" w:sz="8" w:space="0" w:color="auto"/>
            </w:tcBorders>
            <w:shd w:val="clear" w:color="auto" w:fill="auto"/>
            <w:noWrap/>
            <w:vAlign w:val="center"/>
          </w:tcPr>
          <w:p w14:paraId="23DD99F2" w14:textId="77777777" w:rsidR="00BE151D" w:rsidRPr="00D14CD7" w:rsidRDefault="00BE151D" w:rsidP="00567BE9">
            <w:pPr>
              <w:spacing w:after="0" w:line="240" w:lineRule="auto"/>
              <w:jc w:val="right"/>
              <w:rPr>
                <w:rFonts w:eastAsia="Times New Roman"/>
                <w:color w:val="000000" w:themeColor="text1"/>
                <w:sz w:val="16"/>
              </w:rPr>
            </w:pPr>
            <w:r w:rsidRPr="00D14CD7">
              <w:rPr>
                <w:rFonts w:eastAsia="Times New Roman"/>
                <w:color w:val="000000" w:themeColor="text1"/>
                <w:sz w:val="16"/>
              </w:rPr>
              <w:t>—</w:t>
            </w:r>
          </w:p>
        </w:tc>
        <w:tc>
          <w:tcPr>
            <w:tcW w:w="184" w:type="pct"/>
            <w:tcBorders>
              <w:top w:val="single" w:sz="4" w:space="0" w:color="auto"/>
              <w:left w:val="single" w:sz="8" w:space="0" w:color="auto"/>
              <w:bottom w:val="single" w:sz="8" w:space="0" w:color="auto"/>
            </w:tcBorders>
            <w:shd w:val="clear" w:color="auto" w:fill="auto"/>
            <w:noWrap/>
            <w:vAlign w:val="center"/>
          </w:tcPr>
          <w:p w14:paraId="0767A5DF" w14:textId="77777777" w:rsidR="00BE151D" w:rsidRPr="00D14CD7" w:rsidRDefault="00BE151D" w:rsidP="00567BE9">
            <w:pPr>
              <w:spacing w:after="0" w:line="240" w:lineRule="auto"/>
              <w:jc w:val="right"/>
              <w:rPr>
                <w:rFonts w:eastAsia="Times New Roman"/>
                <w:color w:val="000000" w:themeColor="text1"/>
                <w:sz w:val="16"/>
              </w:rPr>
            </w:pPr>
            <w:r w:rsidRPr="00D14CD7">
              <w:rPr>
                <w:rFonts w:eastAsia="Times New Roman"/>
                <w:color w:val="000000" w:themeColor="text1"/>
                <w:sz w:val="16"/>
              </w:rPr>
              <w:t>—</w:t>
            </w:r>
          </w:p>
        </w:tc>
        <w:tc>
          <w:tcPr>
            <w:tcW w:w="188" w:type="pct"/>
            <w:tcBorders>
              <w:top w:val="single" w:sz="4" w:space="0" w:color="auto"/>
              <w:bottom w:val="single" w:sz="8" w:space="0" w:color="auto"/>
              <w:right w:val="single" w:sz="8" w:space="0" w:color="auto"/>
            </w:tcBorders>
            <w:shd w:val="clear" w:color="auto" w:fill="auto"/>
            <w:noWrap/>
            <w:vAlign w:val="center"/>
          </w:tcPr>
          <w:p w14:paraId="2E52FE08" w14:textId="77777777" w:rsidR="00BE151D" w:rsidRPr="00D14CD7" w:rsidRDefault="00BE151D" w:rsidP="00567BE9">
            <w:pPr>
              <w:spacing w:after="0" w:line="240" w:lineRule="auto"/>
              <w:jc w:val="right"/>
              <w:rPr>
                <w:rFonts w:eastAsia="Times New Roman"/>
                <w:color w:val="000000" w:themeColor="text1"/>
                <w:sz w:val="16"/>
              </w:rPr>
            </w:pPr>
            <w:r w:rsidRPr="00D14CD7">
              <w:rPr>
                <w:rFonts w:eastAsia="Times New Roman"/>
                <w:color w:val="000000" w:themeColor="text1"/>
                <w:sz w:val="16"/>
              </w:rPr>
              <w:t>—</w:t>
            </w:r>
          </w:p>
        </w:tc>
        <w:tc>
          <w:tcPr>
            <w:tcW w:w="188" w:type="pct"/>
            <w:tcBorders>
              <w:top w:val="single" w:sz="4" w:space="0" w:color="auto"/>
              <w:left w:val="single" w:sz="8" w:space="0" w:color="auto"/>
              <w:bottom w:val="single" w:sz="8" w:space="0" w:color="auto"/>
            </w:tcBorders>
            <w:shd w:val="clear" w:color="auto" w:fill="auto"/>
            <w:noWrap/>
            <w:vAlign w:val="center"/>
          </w:tcPr>
          <w:p w14:paraId="40E83E37" w14:textId="77777777" w:rsidR="00BE151D" w:rsidRPr="00D14CD7" w:rsidRDefault="00BE151D" w:rsidP="00567BE9">
            <w:pPr>
              <w:spacing w:after="0" w:line="240" w:lineRule="auto"/>
              <w:jc w:val="right"/>
              <w:rPr>
                <w:rFonts w:eastAsia="Times New Roman"/>
                <w:color w:val="000000" w:themeColor="text1"/>
                <w:sz w:val="16"/>
              </w:rPr>
            </w:pPr>
            <w:proofErr w:type="spellStart"/>
            <w:r w:rsidRPr="00D14CD7">
              <w:rPr>
                <w:rFonts w:eastAsia="Times New Roman"/>
                <w:color w:val="000000" w:themeColor="text1"/>
                <w:sz w:val="16"/>
              </w:rPr>
              <w:t>na</w:t>
            </w:r>
            <w:proofErr w:type="spellEnd"/>
          </w:p>
        </w:tc>
        <w:tc>
          <w:tcPr>
            <w:tcW w:w="146" w:type="pct"/>
            <w:tcBorders>
              <w:top w:val="single" w:sz="4" w:space="0" w:color="auto"/>
              <w:bottom w:val="single" w:sz="8" w:space="0" w:color="auto"/>
              <w:right w:val="double" w:sz="4" w:space="0" w:color="auto"/>
            </w:tcBorders>
            <w:shd w:val="clear" w:color="auto" w:fill="auto"/>
            <w:noWrap/>
            <w:vAlign w:val="center"/>
          </w:tcPr>
          <w:p w14:paraId="28A79E7F" w14:textId="77777777" w:rsidR="00BE151D" w:rsidRPr="00D14CD7" w:rsidRDefault="00BE151D" w:rsidP="00567BE9">
            <w:pPr>
              <w:spacing w:after="0" w:line="240" w:lineRule="auto"/>
              <w:jc w:val="right"/>
              <w:rPr>
                <w:rFonts w:eastAsia="Times New Roman"/>
                <w:color w:val="000000" w:themeColor="text1"/>
                <w:sz w:val="16"/>
              </w:rPr>
            </w:pPr>
            <w:proofErr w:type="spellStart"/>
            <w:r w:rsidRPr="00D14CD7">
              <w:rPr>
                <w:rFonts w:eastAsia="Times New Roman"/>
                <w:color w:val="000000" w:themeColor="text1"/>
                <w:sz w:val="16"/>
              </w:rPr>
              <w:t>na</w:t>
            </w:r>
            <w:proofErr w:type="spellEnd"/>
          </w:p>
        </w:tc>
        <w:tc>
          <w:tcPr>
            <w:tcW w:w="184" w:type="pct"/>
            <w:tcBorders>
              <w:left w:val="double" w:sz="4" w:space="0" w:color="auto"/>
              <w:bottom w:val="single" w:sz="8" w:space="0" w:color="auto"/>
            </w:tcBorders>
            <w:shd w:val="clear" w:color="auto" w:fill="auto"/>
            <w:noWrap/>
            <w:vAlign w:val="center"/>
          </w:tcPr>
          <w:p w14:paraId="417831CC" w14:textId="77777777" w:rsidR="00BE151D" w:rsidRPr="00D14CD7" w:rsidRDefault="00BE151D" w:rsidP="00567BE9">
            <w:pPr>
              <w:spacing w:after="0" w:line="240" w:lineRule="auto"/>
              <w:jc w:val="right"/>
              <w:rPr>
                <w:rFonts w:eastAsia="Times New Roman"/>
                <w:color w:val="000000" w:themeColor="text1"/>
                <w:sz w:val="16"/>
              </w:rPr>
            </w:pPr>
            <w:r w:rsidRPr="00D14CD7">
              <w:rPr>
                <w:rFonts w:eastAsia="Times New Roman"/>
                <w:color w:val="000000" w:themeColor="text1"/>
                <w:sz w:val="16"/>
              </w:rPr>
              <w:t>—</w:t>
            </w:r>
          </w:p>
        </w:tc>
        <w:tc>
          <w:tcPr>
            <w:tcW w:w="184" w:type="pct"/>
            <w:tcBorders>
              <w:top w:val="single" w:sz="4" w:space="0" w:color="auto"/>
              <w:bottom w:val="single" w:sz="8" w:space="0" w:color="auto"/>
              <w:right w:val="single" w:sz="8" w:space="0" w:color="auto"/>
            </w:tcBorders>
            <w:shd w:val="clear" w:color="auto" w:fill="auto"/>
            <w:noWrap/>
            <w:vAlign w:val="center"/>
          </w:tcPr>
          <w:p w14:paraId="3B1B39C6" w14:textId="77777777" w:rsidR="00BE151D" w:rsidRPr="00D14CD7" w:rsidRDefault="00BE151D" w:rsidP="00567BE9">
            <w:pPr>
              <w:spacing w:after="0" w:line="240" w:lineRule="auto"/>
              <w:jc w:val="right"/>
              <w:rPr>
                <w:rFonts w:eastAsia="Times New Roman"/>
                <w:color w:val="000000" w:themeColor="text1"/>
                <w:sz w:val="16"/>
              </w:rPr>
            </w:pPr>
            <w:r w:rsidRPr="00D14CD7">
              <w:rPr>
                <w:rFonts w:eastAsia="Times New Roman"/>
                <w:color w:val="000000" w:themeColor="text1"/>
                <w:sz w:val="16"/>
              </w:rPr>
              <w:t>—</w:t>
            </w:r>
          </w:p>
        </w:tc>
        <w:tc>
          <w:tcPr>
            <w:tcW w:w="184" w:type="pct"/>
            <w:tcBorders>
              <w:left w:val="single" w:sz="8" w:space="0" w:color="auto"/>
              <w:bottom w:val="single" w:sz="8" w:space="0" w:color="auto"/>
            </w:tcBorders>
            <w:shd w:val="clear" w:color="auto" w:fill="auto"/>
            <w:noWrap/>
            <w:vAlign w:val="center"/>
          </w:tcPr>
          <w:p w14:paraId="1E843287" w14:textId="77777777" w:rsidR="00BE151D" w:rsidRPr="00D14CD7" w:rsidRDefault="00BE151D" w:rsidP="00567BE9">
            <w:pPr>
              <w:spacing w:after="0" w:line="240" w:lineRule="auto"/>
              <w:jc w:val="right"/>
              <w:rPr>
                <w:rFonts w:eastAsia="Times New Roman"/>
                <w:color w:val="000000" w:themeColor="text1"/>
                <w:sz w:val="16"/>
              </w:rPr>
            </w:pPr>
            <w:r w:rsidRPr="00D14CD7">
              <w:rPr>
                <w:rFonts w:eastAsia="Times New Roman"/>
                <w:color w:val="000000" w:themeColor="text1"/>
                <w:sz w:val="16"/>
              </w:rPr>
              <w:t>—</w:t>
            </w:r>
          </w:p>
        </w:tc>
        <w:tc>
          <w:tcPr>
            <w:tcW w:w="185" w:type="pct"/>
            <w:tcBorders>
              <w:top w:val="single" w:sz="4" w:space="0" w:color="auto"/>
              <w:bottom w:val="single" w:sz="8" w:space="0" w:color="auto"/>
              <w:right w:val="single" w:sz="8" w:space="0" w:color="auto"/>
            </w:tcBorders>
            <w:shd w:val="clear" w:color="auto" w:fill="auto"/>
            <w:noWrap/>
            <w:vAlign w:val="center"/>
          </w:tcPr>
          <w:p w14:paraId="50933777" w14:textId="77777777" w:rsidR="00BE151D" w:rsidRPr="00D14CD7" w:rsidRDefault="00BE151D" w:rsidP="00567BE9">
            <w:pPr>
              <w:spacing w:after="0" w:line="240" w:lineRule="auto"/>
              <w:jc w:val="right"/>
              <w:rPr>
                <w:rFonts w:eastAsia="Times New Roman"/>
                <w:color w:val="000000" w:themeColor="text1"/>
                <w:sz w:val="16"/>
              </w:rPr>
            </w:pPr>
            <w:r w:rsidRPr="00D14CD7">
              <w:rPr>
                <w:rFonts w:eastAsia="Times New Roman"/>
                <w:color w:val="000000" w:themeColor="text1"/>
                <w:sz w:val="16"/>
              </w:rPr>
              <w:t>—</w:t>
            </w:r>
          </w:p>
        </w:tc>
        <w:tc>
          <w:tcPr>
            <w:tcW w:w="185" w:type="pct"/>
            <w:tcBorders>
              <w:left w:val="single" w:sz="8" w:space="0" w:color="auto"/>
              <w:bottom w:val="single" w:sz="8" w:space="0" w:color="auto"/>
            </w:tcBorders>
            <w:shd w:val="clear" w:color="auto" w:fill="auto"/>
            <w:noWrap/>
            <w:vAlign w:val="center"/>
          </w:tcPr>
          <w:p w14:paraId="3AC3A294" w14:textId="77777777" w:rsidR="00BE151D" w:rsidRPr="00D14CD7" w:rsidRDefault="00BE151D" w:rsidP="00567BE9">
            <w:pPr>
              <w:spacing w:after="0" w:line="240" w:lineRule="auto"/>
              <w:jc w:val="right"/>
              <w:rPr>
                <w:rFonts w:eastAsia="Times New Roman"/>
                <w:color w:val="000000" w:themeColor="text1"/>
                <w:sz w:val="16"/>
              </w:rPr>
            </w:pPr>
            <w:r w:rsidRPr="00D14CD7">
              <w:rPr>
                <w:rFonts w:eastAsia="Times New Roman"/>
                <w:color w:val="000000" w:themeColor="text1"/>
                <w:sz w:val="16"/>
              </w:rPr>
              <w:t>—</w:t>
            </w:r>
          </w:p>
        </w:tc>
        <w:tc>
          <w:tcPr>
            <w:tcW w:w="185" w:type="pct"/>
            <w:tcBorders>
              <w:top w:val="single" w:sz="4" w:space="0" w:color="auto"/>
              <w:bottom w:val="single" w:sz="8" w:space="0" w:color="auto"/>
              <w:right w:val="single" w:sz="8" w:space="0" w:color="auto"/>
            </w:tcBorders>
            <w:shd w:val="clear" w:color="auto" w:fill="auto"/>
            <w:noWrap/>
            <w:vAlign w:val="center"/>
          </w:tcPr>
          <w:p w14:paraId="7E40D324" w14:textId="77777777" w:rsidR="00BE151D" w:rsidRPr="00D14CD7" w:rsidRDefault="00BE151D" w:rsidP="00567BE9">
            <w:pPr>
              <w:spacing w:after="0" w:line="240" w:lineRule="auto"/>
              <w:jc w:val="right"/>
              <w:rPr>
                <w:rFonts w:eastAsia="Times New Roman"/>
                <w:color w:val="000000" w:themeColor="text1"/>
                <w:sz w:val="16"/>
              </w:rPr>
            </w:pPr>
            <w:r w:rsidRPr="00D14CD7">
              <w:rPr>
                <w:rFonts w:eastAsia="Times New Roman"/>
                <w:color w:val="000000" w:themeColor="text1"/>
                <w:sz w:val="16"/>
              </w:rPr>
              <w:t>—</w:t>
            </w:r>
          </w:p>
        </w:tc>
        <w:tc>
          <w:tcPr>
            <w:tcW w:w="156" w:type="pct"/>
            <w:tcBorders>
              <w:left w:val="single" w:sz="8" w:space="0" w:color="auto"/>
              <w:bottom w:val="single" w:sz="8" w:space="0" w:color="auto"/>
            </w:tcBorders>
            <w:shd w:val="clear" w:color="auto" w:fill="auto"/>
            <w:noWrap/>
            <w:vAlign w:val="center"/>
          </w:tcPr>
          <w:p w14:paraId="17F101F1" w14:textId="77777777" w:rsidR="00BE151D" w:rsidRPr="00D14CD7" w:rsidRDefault="00BE151D" w:rsidP="00567BE9">
            <w:pPr>
              <w:spacing w:after="0" w:line="240" w:lineRule="auto"/>
              <w:jc w:val="right"/>
              <w:rPr>
                <w:rFonts w:eastAsia="Times New Roman"/>
                <w:color w:val="000000" w:themeColor="text1"/>
                <w:sz w:val="16"/>
              </w:rPr>
            </w:pPr>
            <w:proofErr w:type="spellStart"/>
            <w:r w:rsidRPr="00D14CD7">
              <w:rPr>
                <w:rFonts w:eastAsia="Times New Roman"/>
                <w:color w:val="000000" w:themeColor="text1"/>
                <w:sz w:val="16"/>
              </w:rPr>
              <w:t>na</w:t>
            </w:r>
            <w:proofErr w:type="spellEnd"/>
          </w:p>
        </w:tc>
        <w:tc>
          <w:tcPr>
            <w:tcW w:w="157" w:type="pct"/>
            <w:tcBorders>
              <w:bottom w:val="single" w:sz="8" w:space="0" w:color="auto"/>
              <w:right w:val="double" w:sz="4" w:space="0" w:color="auto"/>
            </w:tcBorders>
            <w:shd w:val="clear" w:color="auto" w:fill="auto"/>
            <w:noWrap/>
            <w:vAlign w:val="center"/>
          </w:tcPr>
          <w:p w14:paraId="13E449C1" w14:textId="77777777" w:rsidR="00BE151D" w:rsidRPr="00D14CD7" w:rsidRDefault="00BE151D" w:rsidP="00567BE9">
            <w:pPr>
              <w:spacing w:after="0" w:line="240" w:lineRule="auto"/>
              <w:jc w:val="right"/>
              <w:rPr>
                <w:rFonts w:eastAsia="Times New Roman"/>
                <w:color w:val="000000" w:themeColor="text1"/>
                <w:sz w:val="16"/>
              </w:rPr>
            </w:pPr>
            <w:proofErr w:type="spellStart"/>
            <w:r w:rsidRPr="00D14CD7">
              <w:rPr>
                <w:rFonts w:eastAsia="Times New Roman"/>
                <w:color w:val="000000" w:themeColor="text1"/>
                <w:sz w:val="16"/>
              </w:rPr>
              <w:t>na</w:t>
            </w:r>
            <w:proofErr w:type="spellEnd"/>
          </w:p>
        </w:tc>
        <w:tc>
          <w:tcPr>
            <w:tcW w:w="187" w:type="pct"/>
            <w:tcBorders>
              <w:top w:val="single" w:sz="4" w:space="0" w:color="auto"/>
              <w:left w:val="double" w:sz="4" w:space="0" w:color="auto"/>
              <w:bottom w:val="single" w:sz="8" w:space="0" w:color="auto"/>
            </w:tcBorders>
            <w:shd w:val="clear" w:color="auto" w:fill="auto"/>
            <w:noWrap/>
            <w:vAlign w:val="bottom"/>
          </w:tcPr>
          <w:p w14:paraId="37EE245D" w14:textId="77777777" w:rsidR="00BE151D" w:rsidRPr="00D14CD7" w:rsidRDefault="00BE151D" w:rsidP="00567BE9">
            <w:pPr>
              <w:spacing w:after="0" w:line="240" w:lineRule="auto"/>
              <w:jc w:val="right"/>
              <w:rPr>
                <w:rFonts w:eastAsia="Times New Roman"/>
                <w:color w:val="000000" w:themeColor="text1"/>
                <w:sz w:val="16"/>
                <w:szCs w:val="16"/>
              </w:rPr>
            </w:pPr>
            <w:r w:rsidRPr="00D14CD7">
              <w:rPr>
                <w:color w:val="000000" w:themeColor="text1"/>
                <w:sz w:val="16"/>
                <w:szCs w:val="16"/>
              </w:rPr>
              <w:t>-0.325</w:t>
            </w:r>
          </w:p>
        </w:tc>
        <w:tc>
          <w:tcPr>
            <w:tcW w:w="183" w:type="pct"/>
            <w:tcBorders>
              <w:bottom w:val="single" w:sz="8" w:space="0" w:color="auto"/>
            </w:tcBorders>
            <w:shd w:val="clear" w:color="auto" w:fill="auto"/>
            <w:noWrap/>
            <w:vAlign w:val="bottom"/>
          </w:tcPr>
          <w:p w14:paraId="45F5E6EA" w14:textId="77777777" w:rsidR="00BE151D" w:rsidRPr="00D14CD7" w:rsidRDefault="00BE151D" w:rsidP="00567BE9">
            <w:pPr>
              <w:spacing w:after="0" w:line="240" w:lineRule="auto"/>
              <w:jc w:val="right"/>
              <w:rPr>
                <w:rFonts w:eastAsia="Times New Roman"/>
                <w:color w:val="000000" w:themeColor="text1"/>
                <w:sz w:val="16"/>
                <w:szCs w:val="16"/>
              </w:rPr>
            </w:pPr>
            <w:r w:rsidRPr="00D14CD7">
              <w:rPr>
                <w:color w:val="000000" w:themeColor="text1"/>
                <w:sz w:val="16"/>
                <w:szCs w:val="16"/>
              </w:rPr>
              <w:t>-4.11</w:t>
            </w:r>
          </w:p>
        </w:tc>
      </w:tr>
      <w:tr w:rsidR="00D14CD7" w:rsidRPr="00D14CD7" w14:paraId="0CF668DF" w14:textId="77777777" w:rsidTr="00567BE9">
        <w:trPr>
          <w:trHeight w:val="72"/>
        </w:trPr>
        <w:tc>
          <w:tcPr>
            <w:tcW w:w="5000" w:type="pct"/>
            <w:gridSpan w:val="19"/>
            <w:tcBorders>
              <w:top w:val="single" w:sz="8" w:space="0" w:color="auto"/>
              <w:bottom w:val="single" w:sz="4" w:space="0" w:color="auto"/>
            </w:tcBorders>
            <w:shd w:val="clear" w:color="auto" w:fill="auto"/>
            <w:noWrap/>
            <w:vAlign w:val="center"/>
            <w:hideMark/>
          </w:tcPr>
          <w:p w14:paraId="2CF9F9F1" w14:textId="77777777" w:rsidR="00BE151D" w:rsidRPr="00D14CD7" w:rsidRDefault="00BE151D" w:rsidP="00567BE9">
            <w:pPr>
              <w:spacing w:after="0" w:line="240" w:lineRule="auto"/>
              <w:rPr>
                <w:rFonts w:eastAsia="Times New Roman"/>
                <w:color w:val="000000" w:themeColor="text1"/>
                <w:sz w:val="20"/>
                <w:szCs w:val="20"/>
              </w:rPr>
            </w:pPr>
            <w:r w:rsidRPr="00D14CD7">
              <w:rPr>
                <w:rFonts w:eastAsia="Times New Roman"/>
                <w:b/>
                <w:bCs/>
                <w:i/>
                <w:iCs/>
                <w:color w:val="000000" w:themeColor="text1"/>
                <w:sz w:val="16"/>
                <w:szCs w:val="16"/>
              </w:rPr>
              <w:t>Employment status (base: not employed)</w:t>
            </w:r>
          </w:p>
        </w:tc>
      </w:tr>
      <w:tr w:rsidR="00D14CD7" w:rsidRPr="00D14CD7" w14:paraId="079E4211" w14:textId="77777777" w:rsidTr="00567BE9">
        <w:trPr>
          <w:trHeight w:val="161"/>
        </w:trPr>
        <w:tc>
          <w:tcPr>
            <w:tcW w:w="1709" w:type="pct"/>
            <w:tcBorders>
              <w:top w:val="single" w:sz="4" w:space="0" w:color="auto"/>
              <w:bottom w:val="single" w:sz="4" w:space="0" w:color="auto"/>
              <w:right w:val="double" w:sz="4" w:space="0" w:color="auto"/>
            </w:tcBorders>
            <w:shd w:val="clear" w:color="auto" w:fill="auto"/>
            <w:noWrap/>
            <w:vAlign w:val="center"/>
            <w:hideMark/>
          </w:tcPr>
          <w:p w14:paraId="6421F014" w14:textId="77777777" w:rsidR="00BE151D" w:rsidRPr="00D14CD7" w:rsidRDefault="00BE151D" w:rsidP="00567BE9">
            <w:pPr>
              <w:spacing w:after="0" w:line="240" w:lineRule="auto"/>
              <w:ind w:firstLine="140"/>
              <w:rPr>
                <w:rFonts w:eastAsia="Times New Roman"/>
                <w:color w:val="000000" w:themeColor="text1"/>
                <w:sz w:val="16"/>
                <w:szCs w:val="16"/>
              </w:rPr>
            </w:pPr>
            <w:r w:rsidRPr="00D14CD7">
              <w:rPr>
                <w:rFonts w:eastAsia="Times New Roman"/>
                <w:color w:val="000000" w:themeColor="text1"/>
                <w:sz w:val="16"/>
              </w:rPr>
              <w:t>Part-time</w:t>
            </w:r>
          </w:p>
        </w:tc>
        <w:tc>
          <w:tcPr>
            <w:tcW w:w="227" w:type="pct"/>
            <w:tcBorders>
              <w:top w:val="single" w:sz="4" w:space="0" w:color="auto"/>
              <w:left w:val="double" w:sz="4" w:space="0" w:color="auto"/>
              <w:bottom w:val="single" w:sz="4" w:space="0" w:color="auto"/>
            </w:tcBorders>
            <w:shd w:val="clear" w:color="auto" w:fill="auto"/>
            <w:noWrap/>
            <w:vAlign w:val="center"/>
            <w:hideMark/>
          </w:tcPr>
          <w:p w14:paraId="05040A88" w14:textId="77777777" w:rsidR="00BE151D" w:rsidRPr="00D14CD7" w:rsidRDefault="00BE151D" w:rsidP="00567BE9">
            <w:pPr>
              <w:spacing w:after="0" w:line="240" w:lineRule="auto"/>
              <w:jc w:val="right"/>
              <w:rPr>
                <w:rFonts w:eastAsia="Times New Roman"/>
                <w:color w:val="000000" w:themeColor="text1"/>
                <w:sz w:val="16"/>
                <w:szCs w:val="16"/>
              </w:rPr>
            </w:pPr>
            <w:r w:rsidRPr="00D14CD7">
              <w:rPr>
                <w:rFonts w:eastAsia="Times New Roman"/>
                <w:color w:val="000000" w:themeColor="text1"/>
                <w:sz w:val="16"/>
              </w:rPr>
              <w:t>—</w:t>
            </w:r>
          </w:p>
        </w:tc>
        <w:tc>
          <w:tcPr>
            <w:tcW w:w="199" w:type="pct"/>
            <w:tcBorders>
              <w:top w:val="single" w:sz="4" w:space="0" w:color="auto"/>
              <w:bottom w:val="single" w:sz="4" w:space="0" w:color="auto"/>
              <w:right w:val="single" w:sz="8" w:space="0" w:color="auto"/>
            </w:tcBorders>
            <w:shd w:val="clear" w:color="auto" w:fill="auto"/>
            <w:noWrap/>
            <w:vAlign w:val="center"/>
            <w:hideMark/>
          </w:tcPr>
          <w:p w14:paraId="0714C007" w14:textId="77777777" w:rsidR="00BE151D" w:rsidRPr="00D14CD7" w:rsidRDefault="00BE151D" w:rsidP="00567BE9">
            <w:pPr>
              <w:spacing w:after="0" w:line="240" w:lineRule="auto"/>
              <w:jc w:val="right"/>
              <w:rPr>
                <w:rFonts w:eastAsia="Times New Roman"/>
                <w:color w:val="000000" w:themeColor="text1"/>
                <w:sz w:val="16"/>
                <w:szCs w:val="16"/>
              </w:rPr>
            </w:pPr>
            <w:r w:rsidRPr="00D14CD7">
              <w:rPr>
                <w:rFonts w:eastAsia="Times New Roman"/>
                <w:color w:val="000000" w:themeColor="text1"/>
                <w:sz w:val="16"/>
              </w:rPr>
              <w:t>—</w:t>
            </w:r>
          </w:p>
        </w:tc>
        <w:tc>
          <w:tcPr>
            <w:tcW w:w="184" w:type="pct"/>
            <w:tcBorders>
              <w:top w:val="single" w:sz="4" w:space="0" w:color="auto"/>
              <w:left w:val="single" w:sz="8" w:space="0" w:color="auto"/>
              <w:bottom w:val="single" w:sz="4" w:space="0" w:color="auto"/>
            </w:tcBorders>
            <w:shd w:val="clear" w:color="auto" w:fill="auto"/>
            <w:noWrap/>
            <w:vAlign w:val="bottom"/>
          </w:tcPr>
          <w:p w14:paraId="42177DFF" w14:textId="77777777" w:rsidR="00BE151D" w:rsidRPr="00D14CD7" w:rsidRDefault="00BE151D" w:rsidP="00567BE9">
            <w:pPr>
              <w:spacing w:after="0" w:line="240" w:lineRule="auto"/>
              <w:jc w:val="right"/>
              <w:rPr>
                <w:rFonts w:eastAsia="Times New Roman"/>
                <w:color w:val="000000" w:themeColor="text1"/>
                <w:sz w:val="16"/>
                <w:szCs w:val="16"/>
              </w:rPr>
            </w:pPr>
            <w:r w:rsidRPr="00D14CD7">
              <w:rPr>
                <w:color w:val="000000" w:themeColor="text1"/>
                <w:sz w:val="16"/>
                <w:szCs w:val="16"/>
              </w:rPr>
              <w:t>0.778</w:t>
            </w:r>
          </w:p>
        </w:tc>
        <w:tc>
          <w:tcPr>
            <w:tcW w:w="185" w:type="pct"/>
            <w:tcBorders>
              <w:top w:val="single" w:sz="4" w:space="0" w:color="auto"/>
              <w:bottom w:val="single" w:sz="4" w:space="0" w:color="auto"/>
              <w:right w:val="single" w:sz="8" w:space="0" w:color="auto"/>
            </w:tcBorders>
            <w:shd w:val="clear" w:color="auto" w:fill="auto"/>
            <w:noWrap/>
            <w:vAlign w:val="bottom"/>
          </w:tcPr>
          <w:p w14:paraId="1A4974FC" w14:textId="77777777" w:rsidR="00BE151D" w:rsidRPr="00D14CD7" w:rsidRDefault="00BE151D" w:rsidP="00567BE9">
            <w:pPr>
              <w:spacing w:after="0" w:line="240" w:lineRule="auto"/>
              <w:jc w:val="right"/>
              <w:rPr>
                <w:rFonts w:eastAsia="Times New Roman"/>
                <w:color w:val="000000" w:themeColor="text1"/>
                <w:sz w:val="16"/>
                <w:szCs w:val="16"/>
              </w:rPr>
            </w:pPr>
            <w:r w:rsidRPr="00D14CD7">
              <w:rPr>
                <w:color w:val="000000" w:themeColor="text1"/>
                <w:sz w:val="16"/>
                <w:szCs w:val="16"/>
              </w:rPr>
              <w:t>5.62</w:t>
            </w:r>
          </w:p>
        </w:tc>
        <w:tc>
          <w:tcPr>
            <w:tcW w:w="184" w:type="pct"/>
            <w:tcBorders>
              <w:top w:val="single" w:sz="4" w:space="0" w:color="auto"/>
              <w:left w:val="single" w:sz="8" w:space="0" w:color="auto"/>
              <w:bottom w:val="single" w:sz="4" w:space="0" w:color="auto"/>
            </w:tcBorders>
            <w:shd w:val="clear" w:color="auto" w:fill="auto"/>
            <w:noWrap/>
            <w:vAlign w:val="center"/>
            <w:hideMark/>
          </w:tcPr>
          <w:p w14:paraId="0F1996C1" w14:textId="77777777" w:rsidR="00BE151D" w:rsidRPr="00D14CD7" w:rsidRDefault="00BE151D" w:rsidP="00567BE9">
            <w:pPr>
              <w:spacing w:after="0" w:line="240" w:lineRule="auto"/>
              <w:jc w:val="right"/>
              <w:rPr>
                <w:rFonts w:eastAsia="Times New Roman"/>
                <w:color w:val="000000" w:themeColor="text1"/>
                <w:sz w:val="16"/>
                <w:szCs w:val="16"/>
              </w:rPr>
            </w:pPr>
            <w:r w:rsidRPr="00D14CD7">
              <w:rPr>
                <w:rFonts w:eastAsia="Times New Roman"/>
                <w:color w:val="000000" w:themeColor="text1"/>
                <w:sz w:val="16"/>
              </w:rPr>
              <w:t>—</w:t>
            </w:r>
          </w:p>
        </w:tc>
        <w:tc>
          <w:tcPr>
            <w:tcW w:w="188" w:type="pct"/>
            <w:tcBorders>
              <w:top w:val="single" w:sz="4" w:space="0" w:color="auto"/>
              <w:bottom w:val="single" w:sz="4" w:space="0" w:color="auto"/>
              <w:right w:val="single" w:sz="8" w:space="0" w:color="auto"/>
            </w:tcBorders>
            <w:shd w:val="clear" w:color="auto" w:fill="auto"/>
            <w:noWrap/>
            <w:vAlign w:val="center"/>
            <w:hideMark/>
          </w:tcPr>
          <w:p w14:paraId="63B92E39" w14:textId="77777777" w:rsidR="00BE151D" w:rsidRPr="00D14CD7" w:rsidRDefault="00BE151D" w:rsidP="00567BE9">
            <w:pPr>
              <w:spacing w:after="0" w:line="240" w:lineRule="auto"/>
              <w:jc w:val="right"/>
              <w:rPr>
                <w:rFonts w:eastAsia="Times New Roman"/>
                <w:color w:val="000000" w:themeColor="text1"/>
                <w:sz w:val="16"/>
                <w:szCs w:val="16"/>
              </w:rPr>
            </w:pPr>
            <w:r w:rsidRPr="00D14CD7">
              <w:rPr>
                <w:rFonts w:eastAsia="Times New Roman"/>
                <w:color w:val="000000" w:themeColor="text1"/>
                <w:sz w:val="16"/>
              </w:rPr>
              <w:t>—</w:t>
            </w:r>
          </w:p>
        </w:tc>
        <w:tc>
          <w:tcPr>
            <w:tcW w:w="188" w:type="pct"/>
            <w:tcBorders>
              <w:top w:val="single" w:sz="4" w:space="0" w:color="auto"/>
              <w:left w:val="single" w:sz="8" w:space="0" w:color="auto"/>
              <w:bottom w:val="single" w:sz="4" w:space="0" w:color="auto"/>
            </w:tcBorders>
            <w:shd w:val="clear" w:color="auto" w:fill="auto"/>
            <w:noWrap/>
            <w:vAlign w:val="center"/>
            <w:hideMark/>
          </w:tcPr>
          <w:p w14:paraId="522F1ED1" w14:textId="77777777" w:rsidR="00BE151D" w:rsidRPr="00D14CD7" w:rsidRDefault="00BE151D" w:rsidP="00567BE9">
            <w:pPr>
              <w:spacing w:after="0" w:line="240" w:lineRule="auto"/>
              <w:jc w:val="right"/>
              <w:rPr>
                <w:rFonts w:eastAsia="Times New Roman"/>
                <w:color w:val="000000" w:themeColor="text1"/>
                <w:sz w:val="16"/>
                <w:szCs w:val="16"/>
              </w:rPr>
            </w:pPr>
            <w:proofErr w:type="spellStart"/>
            <w:r w:rsidRPr="00D14CD7">
              <w:rPr>
                <w:rFonts w:eastAsia="Times New Roman"/>
                <w:color w:val="000000" w:themeColor="text1"/>
                <w:sz w:val="16"/>
              </w:rPr>
              <w:t>na</w:t>
            </w:r>
            <w:proofErr w:type="spellEnd"/>
          </w:p>
        </w:tc>
        <w:tc>
          <w:tcPr>
            <w:tcW w:w="146" w:type="pct"/>
            <w:tcBorders>
              <w:top w:val="single" w:sz="4" w:space="0" w:color="auto"/>
              <w:bottom w:val="single" w:sz="4" w:space="0" w:color="auto"/>
              <w:right w:val="double" w:sz="4" w:space="0" w:color="auto"/>
            </w:tcBorders>
            <w:shd w:val="clear" w:color="auto" w:fill="auto"/>
            <w:noWrap/>
            <w:vAlign w:val="center"/>
            <w:hideMark/>
          </w:tcPr>
          <w:p w14:paraId="74BE1728" w14:textId="77777777" w:rsidR="00BE151D" w:rsidRPr="00D14CD7" w:rsidRDefault="00BE151D" w:rsidP="00567BE9">
            <w:pPr>
              <w:spacing w:after="0" w:line="240" w:lineRule="auto"/>
              <w:jc w:val="right"/>
              <w:rPr>
                <w:rFonts w:eastAsia="Times New Roman"/>
                <w:color w:val="000000" w:themeColor="text1"/>
                <w:sz w:val="16"/>
                <w:szCs w:val="16"/>
              </w:rPr>
            </w:pPr>
            <w:proofErr w:type="spellStart"/>
            <w:r w:rsidRPr="00D14CD7">
              <w:rPr>
                <w:rFonts w:eastAsia="Times New Roman"/>
                <w:color w:val="000000" w:themeColor="text1"/>
                <w:sz w:val="16"/>
              </w:rPr>
              <w:t>na</w:t>
            </w:r>
            <w:proofErr w:type="spellEnd"/>
          </w:p>
        </w:tc>
        <w:tc>
          <w:tcPr>
            <w:tcW w:w="184" w:type="pct"/>
            <w:tcBorders>
              <w:left w:val="double" w:sz="4" w:space="0" w:color="auto"/>
            </w:tcBorders>
            <w:shd w:val="clear" w:color="auto" w:fill="auto"/>
            <w:noWrap/>
            <w:vAlign w:val="bottom"/>
          </w:tcPr>
          <w:p w14:paraId="3B8B5490" w14:textId="77777777" w:rsidR="00BE151D" w:rsidRPr="00D14CD7" w:rsidRDefault="00BE151D" w:rsidP="00567BE9">
            <w:pPr>
              <w:spacing w:after="0" w:line="240" w:lineRule="auto"/>
              <w:jc w:val="right"/>
              <w:rPr>
                <w:rFonts w:eastAsia="Times New Roman"/>
                <w:color w:val="000000" w:themeColor="text1"/>
                <w:sz w:val="16"/>
                <w:szCs w:val="16"/>
              </w:rPr>
            </w:pPr>
            <w:r w:rsidRPr="00D14CD7">
              <w:rPr>
                <w:color w:val="000000" w:themeColor="text1"/>
                <w:sz w:val="16"/>
                <w:szCs w:val="16"/>
              </w:rPr>
              <w:t>-0.550</w:t>
            </w:r>
          </w:p>
        </w:tc>
        <w:tc>
          <w:tcPr>
            <w:tcW w:w="184" w:type="pct"/>
            <w:tcBorders>
              <w:top w:val="single" w:sz="4" w:space="0" w:color="auto"/>
              <w:bottom w:val="single" w:sz="4" w:space="0" w:color="auto"/>
              <w:right w:val="single" w:sz="8" w:space="0" w:color="auto"/>
            </w:tcBorders>
            <w:shd w:val="clear" w:color="auto" w:fill="auto"/>
            <w:noWrap/>
            <w:vAlign w:val="bottom"/>
          </w:tcPr>
          <w:p w14:paraId="6B37FC0A" w14:textId="77777777" w:rsidR="00BE151D" w:rsidRPr="00D14CD7" w:rsidRDefault="00BE151D" w:rsidP="00567BE9">
            <w:pPr>
              <w:spacing w:after="0" w:line="240" w:lineRule="auto"/>
              <w:jc w:val="right"/>
              <w:rPr>
                <w:rFonts w:eastAsia="Times New Roman"/>
                <w:color w:val="000000" w:themeColor="text1"/>
                <w:sz w:val="16"/>
                <w:szCs w:val="16"/>
              </w:rPr>
            </w:pPr>
            <w:r w:rsidRPr="00D14CD7">
              <w:rPr>
                <w:color w:val="000000" w:themeColor="text1"/>
                <w:sz w:val="16"/>
                <w:szCs w:val="16"/>
              </w:rPr>
              <w:t>-1.94</w:t>
            </w:r>
          </w:p>
        </w:tc>
        <w:tc>
          <w:tcPr>
            <w:tcW w:w="184" w:type="pct"/>
            <w:tcBorders>
              <w:left w:val="single" w:sz="8" w:space="0" w:color="auto"/>
            </w:tcBorders>
            <w:shd w:val="clear" w:color="auto" w:fill="auto"/>
            <w:noWrap/>
            <w:vAlign w:val="center"/>
            <w:hideMark/>
          </w:tcPr>
          <w:p w14:paraId="5DCD02C4" w14:textId="77777777" w:rsidR="00BE151D" w:rsidRPr="00D14CD7" w:rsidRDefault="00BE151D" w:rsidP="00567BE9">
            <w:pPr>
              <w:spacing w:after="0" w:line="240" w:lineRule="auto"/>
              <w:jc w:val="right"/>
              <w:rPr>
                <w:rFonts w:eastAsia="Times New Roman"/>
                <w:color w:val="000000" w:themeColor="text1"/>
                <w:sz w:val="16"/>
                <w:szCs w:val="16"/>
              </w:rPr>
            </w:pPr>
            <w:r w:rsidRPr="00D14CD7">
              <w:rPr>
                <w:rFonts w:eastAsia="Times New Roman"/>
                <w:color w:val="000000" w:themeColor="text1"/>
                <w:sz w:val="16"/>
              </w:rPr>
              <w:t>—</w:t>
            </w:r>
          </w:p>
        </w:tc>
        <w:tc>
          <w:tcPr>
            <w:tcW w:w="185" w:type="pct"/>
            <w:tcBorders>
              <w:top w:val="single" w:sz="4" w:space="0" w:color="auto"/>
              <w:bottom w:val="single" w:sz="4" w:space="0" w:color="auto"/>
              <w:right w:val="single" w:sz="8" w:space="0" w:color="auto"/>
            </w:tcBorders>
            <w:shd w:val="clear" w:color="auto" w:fill="auto"/>
            <w:noWrap/>
            <w:vAlign w:val="center"/>
            <w:hideMark/>
          </w:tcPr>
          <w:p w14:paraId="1CF01237" w14:textId="77777777" w:rsidR="00BE151D" w:rsidRPr="00D14CD7" w:rsidRDefault="00BE151D" w:rsidP="00567BE9">
            <w:pPr>
              <w:spacing w:after="0" w:line="240" w:lineRule="auto"/>
              <w:jc w:val="right"/>
              <w:rPr>
                <w:rFonts w:eastAsia="Times New Roman"/>
                <w:color w:val="000000" w:themeColor="text1"/>
                <w:sz w:val="16"/>
                <w:szCs w:val="16"/>
              </w:rPr>
            </w:pPr>
            <w:r w:rsidRPr="00D14CD7">
              <w:rPr>
                <w:rFonts w:eastAsia="Times New Roman"/>
                <w:color w:val="000000" w:themeColor="text1"/>
                <w:sz w:val="16"/>
              </w:rPr>
              <w:t>—</w:t>
            </w:r>
          </w:p>
        </w:tc>
        <w:tc>
          <w:tcPr>
            <w:tcW w:w="185" w:type="pct"/>
            <w:tcBorders>
              <w:left w:val="single" w:sz="8" w:space="0" w:color="auto"/>
            </w:tcBorders>
            <w:shd w:val="clear" w:color="auto" w:fill="auto"/>
            <w:noWrap/>
            <w:vAlign w:val="center"/>
            <w:hideMark/>
          </w:tcPr>
          <w:p w14:paraId="40F788DE" w14:textId="77777777" w:rsidR="00BE151D" w:rsidRPr="00D14CD7" w:rsidRDefault="00BE151D" w:rsidP="00567BE9">
            <w:pPr>
              <w:spacing w:after="0" w:line="240" w:lineRule="auto"/>
              <w:jc w:val="right"/>
              <w:rPr>
                <w:rFonts w:eastAsia="Times New Roman"/>
                <w:color w:val="000000" w:themeColor="text1"/>
                <w:sz w:val="16"/>
                <w:szCs w:val="16"/>
              </w:rPr>
            </w:pPr>
            <w:r w:rsidRPr="00D14CD7">
              <w:rPr>
                <w:rFonts w:eastAsia="Times New Roman"/>
                <w:color w:val="000000" w:themeColor="text1"/>
                <w:sz w:val="16"/>
              </w:rPr>
              <w:t>—</w:t>
            </w:r>
          </w:p>
        </w:tc>
        <w:tc>
          <w:tcPr>
            <w:tcW w:w="185" w:type="pct"/>
            <w:tcBorders>
              <w:top w:val="single" w:sz="4" w:space="0" w:color="auto"/>
              <w:bottom w:val="single" w:sz="4" w:space="0" w:color="auto"/>
              <w:right w:val="single" w:sz="8" w:space="0" w:color="auto"/>
            </w:tcBorders>
            <w:shd w:val="clear" w:color="auto" w:fill="auto"/>
            <w:noWrap/>
            <w:vAlign w:val="center"/>
            <w:hideMark/>
          </w:tcPr>
          <w:p w14:paraId="734A9206" w14:textId="77777777" w:rsidR="00BE151D" w:rsidRPr="00D14CD7" w:rsidRDefault="00BE151D" w:rsidP="00567BE9">
            <w:pPr>
              <w:spacing w:after="0" w:line="240" w:lineRule="auto"/>
              <w:jc w:val="right"/>
              <w:rPr>
                <w:rFonts w:eastAsia="Times New Roman"/>
                <w:color w:val="000000" w:themeColor="text1"/>
                <w:sz w:val="16"/>
                <w:szCs w:val="16"/>
              </w:rPr>
            </w:pPr>
            <w:r w:rsidRPr="00D14CD7">
              <w:rPr>
                <w:rFonts w:eastAsia="Times New Roman"/>
                <w:color w:val="000000" w:themeColor="text1"/>
                <w:sz w:val="16"/>
              </w:rPr>
              <w:t>—</w:t>
            </w:r>
          </w:p>
        </w:tc>
        <w:tc>
          <w:tcPr>
            <w:tcW w:w="156" w:type="pct"/>
            <w:tcBorders>
              <w:left w:val="single" w:sz="8" w:space="0" w:color="auto"/>
            </w:tcBorders>
            <w:shd w:val="clear" w:color="auto" w:fill="auto"/>
            <w:noWrap/>
            <w:vAlign w:val="center"/>
            <w:hideMark/>
          </w:tcPr>
          <w:p w14:paraId="0ED0E72B" w14:textId="77777777" w:rsidR="00BE151D" w:rsidRPr="00D14CD7" w:rsidRDefault="00BE151D" w:rsidP="00567BE9">
            <w:pPr>
              <w:spacing w:after="0" w:line="240" w:lineRule="auto"/>
              <w:jc w:val="right"/>
              <w:rPr>
                <w:rFonts w:eastAsia="Times New Roman"/>
                <w:color w:val="000000" w:themeColor="text1"/>
                <w:sz w:val="16"/>
                <w:szCs w:val="16"/>
              </w:rPr>
            </w:pPr>
            <w:proofErr w:type="spellStart"/>
            <w:r w:rsidRPr="00D14CD7">
              <w:rPr>
                <w:rFonts w:eastAsia="Times New Roman"/>
                <w:color w:val="000000" w:themeColor="text1"/>
                <w:sz w:val="16"/>
              </w:rPr>
              <w:t>na</w:t>
            </w:r>
            <w:proofErr w:type="spellEnd"/>
          </w:p>
        </w:tc>
        <w:tc>
          <w:tcPr>
            <w:tcW w:w="157" w:type="pct"/>
            <w:tcBorders>
              <w:top w:val="single" w:sz="4" w:space="0" w:color="auto"/>
              <w:bottom w:val="single" w:sz="4" w:space="0" w:color="auto"/>
              <w:right w:val="double" w:sz="4" w:space="0" w:color="auto"/>
            </w:tcBorders>
            <w:shd w:val="clear" w:color="auto" w:fill="auto"/>
            <w:noWrap/>
            <w:vAlign w:val="center"/>
            <w:hideMark/>
          </w:tcPr>
          <w:p w14:paraId="7F41212D" w14:textId="77777777" w:rsidR="00BE151D" w:rsidRPr="00D14CD7" w:rsidRDefault="00BE151D" w:rsidP="00567BE9">
            <w:pPr>
              <w:spacing w:after="0" w:line="240" w:lineRule="auto"/>
              <w:jc w:val="right"/>
              <w:rPr>
                <w:rFonts w:eastAsia="Times New Roman"/>
                <w:color w:val="000000" w:themeColor="text1"/>
                <w:sz w:val="16"/>
                <w:szCs w:val="16"/>
              </w:rPr>
            </w:pPr>
            <w:proofErr w:type="spellStart"/>
            <w:r w:rsidRPr="00D14CD7">
              <w:rPr>
                <w:rFonts w:eastAsia="Times New Roman"/>
                <w:color w:val="000000" w:themeColor="text1"/>
                <w:sz w:val="16"/>
              </w:rPr>
              <w:t>na</w:t>
            </w:r>
            <w:proofErr w:type="spellEnd"/>
          </w:p>
        </w:tc>
        <w:tc>
          <w:tcPr>
            <w:tcW w:w="187" w:type="pct"/>
            <w:tcBorders>
              <w:left w:val="double" w:sz="4" w:space="0" w:color="auto"/>
            </w:tcBorders>
            <w:shd w:val="clear" w:color="auto" w:fill="auto"/>
            <w:noWrap/>
            <w:vAlign w:val="center"/>
            <w:hideMark/>
          </w:tcPr>
          <w:p w14:paraId="00A2C346" w14:textId="77777777" w:rsidR="00BE151D" w:rsidRPr="00D14CD7" w:rsidRDefault="00BE151D" w:rsidP="00567BE9">
            <w:pPr>
              <w:spacing w:after="0" w:line="240" w:lineRule="auto"/>
              <w:jc w:val="right"/>
              <w:rPr>
                <w:rFonts w:eastAsia="Times New Roman"/>
                <w:color w:val="000000" w:themeColor="text1"/>
                <w:sz w:val="16"/>
                <w:szCs w:val="16"/>
              </w:rPr>
            </w:pPr>
            <w:r w:rsidRPr="00D14CD7">
              <w:rPr>
                <w:rFonts w:eastAsia="Times New Roman"/>
                <w:color w:val="000000" w:themeColor="text1"/>
                <w:sz w:val="16"/>
              </w:rPr>
              <w:t>—</w:t>
            </w:r>
          </w:p>
        </w:tc>
        <w:tc>
          <w:tcPr>
            <w:tcW w:w="183" w:type="pct"/>
            <w:shd w:val="clear" w:color="auto" w:fill="auto"/>
            <w:noWrap/>
            <w:vAlign w:val="center"/>
            <w:hideMark/>
          </w:tcPr>
          <w:p w14:paraId="7F29F4B8" w14:textId="77777777" w:rsidR="00BE151D" w:rsidRPr="00D14CD7" w:rsidRDefault="00BE151D" w:rsidP="00567BE9">
            <w:pPr>
              <w:spacing w:after="0" w:line="240" w:lineRule="auto"/>
              <w:jc w:val="right"/>
              <w:rPr>
                <w:rFonts w:eastAsia="Times New Roman"/>
                <w:color w:val="000000" w:themeColor="text1"/>
                <w:sz w:val="16"/>
                <w:szCs w:val="16"/>
              </w:rPr>
            </w:pPr>
            <w:r w:rsidRPr="00D14CD7">
              <w:rPr>
                <w:rFonts w:eastAsia="Times New Roman"/>
                <w:color w:val="000000" w:themeColor="text1"/>
                <w:sz w:val="16"/>
              </w:rPr>
              <w:t>—</w:t>
            </w:r>
          </w:p>
        </w:tc>
      </w:tr>
      <w:tr w:rsidR="00D14CD7" w:rsidRPr="00D14CD7" w14:paraId="64381BDC" w14:textId="77777777" w:rsidTr="00567BE9">
        <w:trPr>
          <w:trHeight w:val="72"/>
        </w:trPr>
        <w:tc>
          <w:tcPr>
            <w:tcW w:w="1709" w:type="pct"/>
            <w:tcBorders>
              <w:top w:val="single" w:sz="4" w:space="0" w:color="auto"/>
              <w:bottom w:val="single" w:sz="8" w:space="0" w:color="auto"/>
              <w:right w:val="double" w:sz="4" w:space="0" w:color="auto"/>
            </w:tcBorders>
            <w:shd w:val="clear" w:color="auto" w:fill="auto"/>
            <w:noWrap/>
            <w:vAlign w:val="center"/>
            <w:hideMark/>
          </w:tcPr>
          <w:p w14:paraId="5D59318F" w14:textId="77777777" w:rsidR="00BE151D" w:rsidRPr="00D14CD7" w:rsidRDefault="00BE151D" w:rsidP="00567BE9">
            <w:pPr>
              <w:spacing w:after="0" w:line="240" w:lineRule="auto"/>
              <w:ind w:firstLine="140"/>
              <w:rPr>
                <w:rFonts w:eastAsia="Times New Roman"/>
                <w:color w:val="000000" w:themeColor="text1"/>
                <w:sz w:val="16"/>
                <w:szCs w:val="16"/>
              </w:rPr>
            </w:pPr>
            <w:r w:rsidRPr="00D14CD7">
              <w:rPr>
                <w:rFonts w:eastAsia="Times New Roman"/>
                <w:color w:val="000000" w:themeColor="text1"/>
                <w:sz w:val="16"/>
              </w:rPr>
              <w:t>Full-time</w:t>
            </w:r>
          </w:p>
        </w:tc>
        <w:tc>
          <w:tcPr>
            <w:tcW w:w="227" w:type="pct"/>
            <w:tcBorders>
              <w:top w:val="single" w:sz="4" w:space="0" w:color="auto"/>
              <w:left w:val="double" w:sz="4" w:space="0" w:color="auto"/>
              <w:bottom w:val="single" w:sz="8" w:space="0" w:color="auto"/>
            </w:tcBorders>
            <w:shd w:val="clear" w:color="auto" w:fill="auto"/>
            <w:noWrap/>
            <w:vAlign w:val="center"/>
            <w:hideMark/>
          </w:tcPr>
          <w:p w14:paraId="41CF1B4F" w14:textId="77777777" w:rsidR="00BE151D" w:rsidRPr="00D14CD7" w:rsidRDefault="00BE151D" w:rsidP="00567BE9">
            <w:pPr>
              <w:spacing w:after="0" w:line="240" w:lineRule="auto"/>
              <w:jc w:val="right"/>
              <w:rPr>
                <w:rFonts w:eastAsia="Times New Roman"/>
                <w:color w:val="000000" w:themeColor="text1"/>
                <w:sz w:val="16"/>
                <w:szCs w:val="16"/>
              </w:rPr>
            </w:pPr>
            <w:r w:rsidRPr="00D14CD7">
              <w:rPr>
                <w:rFonts w:eastAsia="Times New Roman"/>
                <w:color w:val="000000" w:themeColor="text1"/>
                <w:sz w:val="16"/>
              </w:rPr>
              <w:t>—</w:t>
            </w:r>
          </w:p>
        </w:tc>
        <w:tc>
          <w:tcPr>
            <w:tcW w:w="199" w:type="pct"/>
            <w:tcBorders>
              <w:top w:val="single" w:sz="4" w:space="0" w:color="auto"/>
              <w:bottom w:val="single" w:sz="8" w:space="0" w:color="auto"/>
              <w:right w:val="single" w:sz="8" w:space="0" w:color="auto"/>
            </w:tcBorders>
            <w:shd w:val="clear" w:color="auto" w:fill="auto"/>
            <w:noWrap/>
            <w:vAlign w:val="center"/>
            <w:hideMark/>
          </w:tcPr>
          <w:p w14:paraId="41576FCE" w14:textId="77777777" w:rsidR="00BE151D" w:rsidRPr="00D14CD7" w:rsidRDefault="00BE151D" w:rsidP="00567BE9">
            <w:pPr>
              <w:spacing w:after="0" w:line="240" w:lineRule="auto"/>
              <w:jc w:val="right"/>
              <w:rPr>
                <w:rFonts w:eastAsia="Times New Roman"/>
                <w:color w:val="000000" w:themeColor="text1"/>
                <w:sz w:val="16"/>
                <w:szCs w:val="16"/>
              </w:rPr>
            </w:pPr>
            <w:r w:rsidRPr="00D14CD7">
              <w:rPr>
                <w:rFonts w:eastAsia="Times New Roman"/>
                <w:color w:val="000000" w:themeColor="text1"/>
                <w:sz w:val="16"/>
              </w:rPr>
              <w:t>—</w:t>
            </w:r>
          </w:p>
        </w:tc>
        <w:tc>
          <w:tcPr>
            <w:tcW w:w="184" w:type="pct"/>
            <w:tcBorders>
              <w:top w:val="single" w:sz="4" w:space="0" w:color="auto"/>
              <w:left w:val="single" w:sz="8" w:space="0" w:color="auto"/>
              <w:bottom w:val="single" w:sz="8" w:space="0" w:color="auto"/>
            </w:tcBorders>
            <w:shd w:val="clear" w:color="auto" w:fill="auto"/>
            <w:noWrap/>
            <w:vAlign w:val="bottom"/>
          </w:tcPr>
          <w:p w14:paraId="5268FDF6" w14:textId="77777777" w:rsidR="00BE151D" w:rsidRPr="00D14CD7" w:rsidRDefault="00BE151D" w:rsidP="00567BE9">
            <w:pPr>
              <w:spacing w:after="0" w:line="240" w:lineRule="auto"/>
              <w:jc w:val="right"/>
              <w:rPr>
                <w:rFonts w:eastAsia="Times New Roman"/>
                <w:color w:val="000000" w:themeColor="text1"/>
                <w:sz w:val="16"/>
                <w:szCs w:val="16"/>
              </w:rPr>
            </w:pPr>
            <w:r w:rsidRPr="00D14CD7">
              <w:rPr>
                <w:color w:val="000000" w:themeColor="text1"/>
                <w:sz w:val="16"/>
                <w:szCs w:val="16"/>
              </w:rPr>
              <w:t>0.778</w:t>
            </w:r>
          </w:p>
        </w:tc>
        <w:tc>
          <w:tcPr>
            <w:tcW w:w="185" w:type="pct"/>
            <w:tcBorders>
              <w:top w:val="single" w:sz="4" w:space="0" w:color="auto"/>
              <w:bottom w:val="single" w:sz="8" w:space="0" w:color="auto"/>
              <w:right w:val="single" w:sz="8" w:space="0" w:color="auto"/>
            </w:tcBorders>
            <w:shd w:val="clear" w:color="auto" w:fill="auto"/>
            <w:noWrap/>
            <w:vAlign w:val="bottom"/>
          </w:tcPr>
          <w:p w14:paraId="20E3B530" w14:textId="77777777" w:rsidR="00BE151D" w:rsidRPr="00D14CD7" w:rsidRDefault="00BE151D" w:rsidP="00567BE9">
            <w:pPr>
              <w:spacing w:after="0" w:line="240" w:lineRule="auto"/>
              <w:jc w:val="right"/>
              <w:rPr>
                <w:rFonts w:eastAsia="Times New Roman"/>
                <w:color w:val="000000" w:themeColor="text1"/>
                <w:sz w:val="16"/>
                <w:szCs w:val="16"/>
              </w:rPr>
            </w:pPr>
            <w:r w:rsidRPr="00D14CD7">
              <w:rPr>
                <w:color w:val="000000" w:themeColor="text1"/>
                <w:sz w:val="16"/>
                <w:szCs w:val="16"/>
              </w:rPr>
              <w:t>5.62</w:t>
            </w:r>
          </w:p>
        </w:tc>
        <w:tc>
          <w:tcPr>
            <w:tcW w:w="184" w:type="pct"/>
            <w:tcBorders>
              <w:top w:val="single" w:sz="4" w:space="0" w:color="auto"/>
              <w:left w:val="single" w:sz="8" w:space="0" w:color="auto"/>
              <w:bottom w:val="single" w:sz="8" w:space="0" w:color="auto"/>
            </w:tcBorders>
            <w:shd w:val="clear" w:color="auto" w:fill="auto"/>
            <w:noWrap/>
            <w:vAlign w:val="center"/>
            <w:hideMark/>
          </w:tcPr>
          <w:p w14:paraId="5AAABEB7" w14:textId="77777777" w:rsidR="00BE151D" w:rsidRPr="00D14CD7" w:rsidRDefault="00BE151D" w:rsidP="00567BE9">
            <w:pPr>
              <w:spacing w:after="0" w:line="240" w:lineRule="auto"/>
              <w:jc w:val="right"/>
              <w:rPr>
                <w:rFonts w:eastAsia="Times New Roman"/>
                <w:color w:val="000000" w:themeColor="text1"/>
                <w:sz w:val="16"/>
                <w:szCs w:val="16"/>
              </w:rPr>
            </w:pPr>
            <w:r w:rsidRPr="00D14CD7">
              <w:rPr>
                <w:rFonts w:eastAsia="Times New Roman"/>
                <w:color w:val="000000" w:themeColor="text1"/>
                <w:sz w:val="16"/>
              </w:rPr>
              <w:t>—</w:t>
            </w:r>
          </w:p>
        </w:tc>
        <w:tc>
          <w:tcPr>
            <w:tcW w:w="188" w:type="pct"/>
            <w:tcBorders>
              <w:top w:val="single" w:sz="4" w:space="0" w:color="auto"/>
              <w:bottom w:val="single" w:sz="8" w:space="0" w:color="auto"/>
              <w:right w:val="single" w:sz="8" w:space="0" w:color="auto"/>
            </w:tcBorders>
            <w:shd w:val="clear" w:color="auto" w:fill="auto"/>
            <w:noWrap/>
            <w:vAlign w:val="center"/>
            <w:hideMark/>
          </w:tcPr>
          <w:p w14:paraId="636348DF" w14:textId="77777777" w:rsidR="00BE151D" w:rsidRPr="00D14CD7" w:rsidRDefault="00BE151D" w:rsidP="00567BE9">
            <w:pPr>
              <w:spacing w:after="0" w:line="240" w:lineRule="auto"/>
              <w:jc w:val="right"/>
              <w:rPr>
                <w:rFonts w:eastAsia="Times New Roman"/>
                <w:color w:val="000000" w:themeColor="text1"/>
                <w:sz w:val="16"/>
                <w:szCs w:val="16"/>
              </w:rPr>
            </w:pPr>
            <w:r w:rsidRPr="00D14CD7">
              <w:rPr>
                <w:rFonts w:eastAsia="Times New Roman"/>
                <w:color w:val="000000" w:themeColor="text1"/>
                <w:sz w:val="16"/>
              </w:rPr>
              <w:t>—</w:t>
            </w:r>
          </w:p>
        </w:tc>
        <w:tc>
          <w:tcPr>
            <w:tcW w:w="188" w:type="pct"/>
            <w:tcBorders>
              <w:top w:val="single" w:sz="4" w:space="0" w:color="auto"/>
              <w:left w:val="single" w:sz="8" w:space="0" w:color="auto"/>
              <w:bottom w:val="single" w:sz="8" w:space="0" w:color="auto"/>
            </w:tcBorders>
            <w:shd w:val="clear" w:color="auto" w:fill="auto"/>
            <w:noWrap/>
            <w:vAlign w:val="center"/>
            <w:hideMark/>
          </w:tcPr>
          <w:p w14:paraId="72EF7D68" w14:textId="77777777" w:rsidR="00BE151D" w:rsidRPr="00D14CD7" w:rsidRDefault="00BE151D" w:rsidP="00567BE9">
            <w:pPr>
              <w:spacing w:after="0" w:line="240" w:lineRule="auto"/>
              <w:jc w:val="right"/>
              <w:rPr>
                <w:rFonts w:eastAsia="Times New Roman"/>
                <w:color w:val="000000" w:themeColor="text1"/>
                <w:sz w:val="16"/>
                <w:szCs w:val="16"/>
              </w:rPr>
            </w:pPr>
            <w:proofErr w:type="spellStart"/>
            <w:r w:rsidRPr="00D14CD7">
              <w:rPr>
                <w:rFonts w:eastAsia="Times New Roman"/>
                <w:color w:val="000000" w:themeColor="text1"/>
                <w:sz w:val="16"/>
              </w:rPr>
              <w:t>na</w:t>
            </w:r>
            <w:proofErr w:type="spellEnd"/>
          </w:p>
        </w:tc>
        <w:tc>
          <w:tcPr>
            <w:tcW w:w="146" w:type="pct"/>
            <w:tcBorders>
              <w:top w:val="single" w:sz="4" w:space="0" w:color="auto"/>
              <w:bottom w:val="single" w:sz="8" w:space="0" w:color="auto"/>
              <w:right w:val="double" w:sz="4" w:space="0" w:color="auto"/>
            </w:tcBorders>
            <w:shd w:val="clear" w:color="auto" w:fill="auto"/>
            <w:noWrap/>
            <w:vAlign w:val="center"/>
            <w:hideMark/>
          </w:tcPr>
          <w:p w14:paraId="68AAFC49" w14:textId="77777777" w:rsidR="00BE151D" w:rsidRPr="00D14CD7" w:rsidRDefault="00BE151D" w:rsidP="00567BE9">
            <w:pPr>
              <w:spacing w:after="0" w:line="240" w:lineRule="auto"/>
              <w:jc w:val="right"/>
              <w:rPr>
                <w:rFonts w:eastAsia="Times New Roman"/>
                <w:color w:val="000000" w:themeColor="text1"/>
                <w:sz w:val="16"/>
                <w:szCs w:val="16"/>
              </w:rPr>
            </w:pPr>
            <w:proofErr w:type="spellStart"/>
            <w:r w:rsidRPr="00D14CD7">
              <w:rPr>
                <w:rFonts w:eastAsia="Times New Roman"/>
                <w:color w:val="000000" w:themeColor="text1"/>
                <w:sz w:val="16"/>
              </w:rPr>
              <w:t>na</w:t>
            </w:r>
            <w:proofErr w:type="spellEnd"/>
          </w:p>
        </w:tc>
        <w:tc>
          <w:tcPr>
            <w:tcW w:w="184" w:type="pct"/>
            <w:tcBorders>
              <w:left w:val="double" w:sz="4" w:space="0" w:color="auto"/>
              <w:bottom w:val="single" w:sz="8" w:space="0" w:color="auto"/>
            </w:tcBorders>
            <w:shd w:val="clear" w:color="auto" w:fill="auto"/>
            <w:noWrap/>
            <w:vAlign w:val="bottom"/>
          </w:tcPr>
          <w:p w14:paraId="029D5FF4" w14:textId="77777777" w:rsidR="00BE151D" w:rsidRPr="00D14CD7" w:rsidRDefault="00BE151D" w:rsidP="00567BE9">
            <w:pPr>
              <w:spacing w:after="0" w:line="240" w:lineRule="auto"/>
              <w:jc w:val="right"/>
              <w:rPr>
                <w:rFonts w:eastAsia="Times New Roman"/>
                <w:color w:val="000000" w:themeColor="text1"/>
                <w:sz w:val="16"/>
                <w:szCs w:val="16"/>
              </w:rPr>
            </w:pPr>
            <w:r w:rsidRPr="00D14CD7">
              <w:rPr>
                <w:color w:val="000000" w:themeColor="text1"/>
                <w:sz w:val="16"/>
                <w:szCs w:val="16"/>
              </w:rPr>
              <w:t>-0.550</w:t>
            </w:r>
          </w:p>
        </w:tc>
        <w:tc>
          <w:tcPr>
            <w:tcW w:w="184" w:type="pct"/>
            <w:tcBorders>
              <w:top w:val="single" w:sz="4" w:space="0" w:color="auto"/>
              <w:bottom w:val="single" w:sz="8" w:space="0" w:color="auto"/>
              <w:right w:val="single" w:sz="8" w:space="0" w:color="auto"/>
            </w:tcBorders>
            <w:shd w:val="clear" w:color="auto" w:fill="auto"/>
            <w:noWrap/>
            <w:vAlign w:val="bottom"/>
          </w:tcPr>
          <w:p w14:paraId="6A76C88A" w14:textId="77777777" w:rsidR="00BE151D" w:rsidRPr="00D14CD7" w:rsidRDefault="00BE151D" w:rsidP="00567BE9">
            <w:pPr>
              <w:spacing w:after="0" w:line="240" w:lineRule="auto"/>
              <w:jc w:val="right"/>
              <w:rPr>
                <w:rFonts w:eastAsia="Times New Roman"/>
                <w:color w:val="000000" w:themeColor="text1"/>
                <w:sz w:val="16"/>
                <w:szCs w:val="16"/>
              </w:rPr>
            </w:pPr>
            <w:r w:rsidRPr="00D14CD7">
              <w:rPr>
                <w:color w:val="000000" w:themeColor="text1"/>
                <w:sz w:val="16"/>
                <w:szCs w:val="16"/>
              </w:rPr>
              <w:t>-1.94</w:t>
            </w:r>
          </w:p>
        </w:tc>
        <w:tc>
          <w:tcPr>
            <w:tcW w:w="184" w:type="pct"/>
            <w:tcBorders>
              <w:left w:val="single" w:sz="8" w:space="0" w:color="auto"/>
              <w:bottom w:val="single" w:sz="8" w:space="0" w:color="auto"/>
            </w:tcBorders>
            <w:shd w:val="clear" w:color="auto" w:fill="auto"/>
            <w:noWrap/>
            <w:vAlign w:val="center"/>
            <w:hideMark/>
          </w:tcPr>
          <w:p w14:paraId="69F8391D" w14:textId="77777777" w:rsidR="00BE151D" w:rsidRPr="00D14CD7" w:rsidRDefault="00BE151D" w:rsidP="00567BE9">
            <w:pPr>
              <w:spacing w:after="0" w:line="240" w:lineRule="auto"/>
              <w:jc w:val="right"/>
              <w:rPr>
                <w:rFonts w:eastAsia="Times New Roman"/>
                <w:color w:val="000000" w:themeColor="text1"/>
                <w:sz w:val="16"/>
                <w:szCs w:val="16"/>
              </w:rPr>
            </w:pPr>
            <w:r w:rsidRPr="00D14CD7">
              <w:rPr>
                <w:rFonts w:eastAsia="Times New Roman"/>
                <w:color w:val="000000" w:themeColor="text1"/>
                <w:sz w:val="16"/>
              </w:rPr>
              <w:t>—</w:t>
            </w:r>
          </w:p>
        </w:tc>
        <w:tc>
          <w:tcPr>
            <w:tcW w:w="185" w:type="pct"/>
            <w:tcBorders>
              <w:top w:val="single" w:sz="4" w:space="0" w:color="auto"/>
              <w:bottom w:val="single" w:sz="8" w:space="0" w:color="auto"/>
              <w:right w:val="single" w:sz="8" w:space="0" w:color="auto"/>
            </w:tcBorders>
            <w:shd w:val="clear" w:color="auto" w:fill="auto"/>
            <w:noWrap/>
            <w:vAlign w:val="center"/>
            <w:hideMark/>
          </w:tcPr>
          <w:p w14:paraId="72B3FC5A" w14:textId="77777777" w:rsidR="00BE151D" w:rsidRPr="00D14CD7" w:rsidRDefault="00BE151D" w:rsidP="00567BE9">
            <w:pPr>
              <w:spacing w:after="0" w:line="240" w:lineRule="auto"/>
              <w:jc w:val="right"/>
              <w:rPr>
                <w:rFonts w:eastAsia="Times New Roman"/>
                <w:color w:val="000000" w:themeColor="text1"/>
                <w:sz w:val="16"/>
                <w:szCs w:val="16"/>
              </w:rPr>
            </w:pPr>
            <w:r w:rsidRPr="00D14CD7">
              <w:rPr>
                <w:rFonts w:eastAsia="Times New Roman"/>
                <w:color w:val="000000" w:themeColor="text1"/>
                <w:sz w:val="16"/>
              </w:rPr>
              <w:t>—</w:t>
            </w:r>
          </w:p>
        </w:tc>
        <w:tc>
          <w:tcPr>
            <w:tcW w:w="185" w:type="pct"/>
            <w:tcBorders>
              <w:left w:val="single" w:sz="8" w:space="0" w:color="auto"/>
              <w:bottom w:val="single" w:sz="8" w:space="0" w:color="auto"/>
            </w:tcBorders>
            <w:shd w:val="clear" w:color="auto" w:fill="auto"/>
            <w:noWrap/>
            <w:vAlign w:val="center"/>
            <w:hideMark/>
          </w:tcPr>
          <w:p w14:paraId="7DE4FB55" w14:textId="77777777" w:rsidR="00BE151D" w:rsidRPr="00D14CD7" w:rsidRDefault="00BE151D" w:rsidP="00567BE9">
            <w:pPr>
              <w:spacing w:after="0" w:line="240" w:lineRule="auto"/>
              <w:jc w:val="right"/>
              <w:rPr>
                <w:rFonts w:eastAsia="Times New Roman"/>
                <w:color w:val="000000" w:themeColor="text1"/>
                <w:sz w:val="16"/>
                <w:szCs w:val="16"/>
              </w:rPr>
            </w:pPr>
            <w:r w:rsidRPr="00D14CD7">
              <w:rPr>
                <w:rFonts w:eastAsia="Times New Roman"/>
                <w:color w:val="000000" w:themeColor="text1"/>
                <w:sz w:val="16"/>
              </w:rPr>
              <w:t>—</w:t>
            </w:r>
          </w:p>
        </w:tc>
        <w:tc>
          <w:tcPr>
            <w:tcW w:w="185" w:type="pct"/>
            <w:tcBorders>
              <w:top w:val="single" w:sz="4" w:space="0" w:color="auto"/>
              <w:bottom w:val="single" w:sz="8" w:space="0" w:color="auto"/>
              <w:right w:val="single" w:sz="8" w:space="0" w:color="auto"/>
            </w:tcBorders>
            <w:shd w:val="clear" w:color="auto" w:fill="auto"/>
            <w:noWrap/>
            <w:vAlign w:val="center"/>
            <w:hideMark/>
          </w:tcPr>
          <w:p w14:paraId="548AE8C9" w14:textId="77777777" w:rsidR="00BE151D" w:rsidRPr="00D14CD7" w:rsidRDefault="00BE151D" w:rsidP="00567BE9">
            <w:pPr>
              <w:spacing w:after="0" w:line="240" w:lineRule="auto"/>
              <w:jc w:val="right"/>
              <w:rPr>
                <w:rFonts w:eastAsia="Times New Roman"/>
                <w:color w:val="000000" w:themeColor="text1"/>
                <w:sz w:val="16"/>
                <w:szCs w:val="16"/>
              </w:rPr>
            </w:pPr>
            <w:r w:rsidRPr="00D14CD7">
              <w:rPr>
                <w:rFonts w:eastAsia="Times New Roman"/>
                <w:color w:val="000000" w:themeColor="text1"/>
                <w:sz w:val="16"/>
              </w:rPr>
              <w:t>—</w:t>
            </w:r>
          </w:p>
        </w:tc>
        <w:tc>
          <w:tcPr>
            <w:tcW w:w="156" w:type="pct"/>
            <w:tcBorders>
              <w:left w:val="single" w:sz="8" w:space="0" w:color="auto"/>
              <w:bottom w:val="single" w:sz="8" w:space="0" w:color="auto"/>
            </w:tcBorders>
            <w:shd w:val="clear" w:color="auto" w:fill="auto"/>
            <w:noWrap/>
            <w:vAlign w:val="center"/>
            <w:hideMark/>
          </w:tcPr>
          <w:p w14:paraId="70113910" w14:textId="77777777" w:rsidR="00BE151D" w:rsidRPr="00D14CD7" w:rsidRDefault="00BE151D" w:rsidP="00567BE9">
            <w:pPr>
              <w:spacing w:after="0" w:line="240" w:lineRule="auto"/>
              <w:jc w:val="right"/>
              <w:rPr>
                <w:rFonts w:eastAsia="Times New Roman"/>
                <w:color w:val="000000" w:themeColor="text1"/>
                <w:sz w:val="16"/>
                <w:szCs w:val="16"/>
              </w:rPr>
            </w:pPr>
            <w:proofErr w:type="spellStart"/>
            <w:r w:rsidRPr="00D14CD7">
              <w:rPr>
                <w:rFonts w:eastAsia="Times New Roman"/>
                <w:color w:val="000000" w:themeColor="text1"/>
                <w:sz w:val="16"/>
              </w:rPr>
              <w:t>na</w:t>
            </w:r>
            <w:proofErr w:type="spellEnd"/>
          </w:p>
        </w:tc>
        <w:tc>
          <w:tcPr>
            <w:tcW w:w="157" w:type="pct"/>
            <w:tcBorders>
              <w:top w:val="single" w:sz="4" w:space="0" w:color="auto"/>
              <w:bottom w:val="single" w:sz="8" w:space="0" w:color="auto"/>
              <w:right w:val="double" w:sz="4" w:space="0" w:color="auto"/>
            </w:tcBorders>
            <w:shd w:val="clear" w:color="auto" w:fill="auto"/>
            <w:noWrap/>
            <w:vAlign w:val="center"/>
            <w:hideMark/>
          </w:tcPr>
          <w:p w14:paraId="5FC7170B" w14:textId="77777777" w:rsidR="00BE151D" w:rsidRPr="00D14CD7" w:rsidRDefault="00BE151D" w:rsidP="00567BE9">
            <w:pPr>
              <w:spacing w:after="0" w:line="240" w:lineRule="auto"/>
              <w:jc w:val="right"/>
              <w:rPr>
                <w:rFonts w:eastAsia="Times New Roman"/>
                <w:color w:val="000000" w:themeColor="text1"/>
                <w:sz w:val="16"/>
                <w:szCs w:val="16"/>
              </w:rPr>
            </w:pPr>
            <w:proofErr w:type="spellStart"/>
            <w:r w:rsidRPr="00D14CD7">
              <w:rPr>
                <w:rFonts w:eastAsia="Times New Roman"/>
                <w:color w:val="000000" w:themeColor="text1"/>
                <w:sz w:val="16"/>
              </w:rPr>
              <w:t>na</w:t>
            </w:r>
            <w:proofErr w:type="spellEnd"/>
          </w:p>
        </w:tc>
        <w:tc>
          <w:tcPr>
            <w:tcW w:w="187" w:type="pct"/>
            <w:tcBorders>
              <w:left w:val="double" w:sz="4" w:space="0" w:color="auto"/>
              <w:bottom w:val="single" w:sz="8" w:space="0" w:color="auto"/>
            </w:tcBorders>
            <w:shd w:val="clear" w:color="auto" w:fill="auto"/>
            <w:noWrap/>
            <w:vAlign w:val="center"/>
            <w:hideMark/>
          </w:tcPr>
          <w:p w14:paraId="73CBE120" w14:textId="77777777" w:rsidR="00BE151D" w:rsidRPr="00D14CD7" w:rsidRDefault="00BE151D" w:rsidP="00567BE9">
            <w:pPr>
              <w:spacing w:after="0" w:line="240" w:lineRule="auto"/>
              <w:jc w:val="right"/>
              <w:rPr>
                <w:rFonts w:eastAsia="Times New Roman"/>
                <w:color w:val="000000" w:themeColor="text1"/>
                <w:sz w:val="16"/>
                <w:szCs w:val="16"/>
              </w:rPr>
            </w:pPr>
            <w:r w:rsidRPr="00D14CD7">
              <w:rPr>
                <w:rFonts w:eastAsia="Times New Roman"/>
                <w:color w:val="000000" w:themeColor="text1"/>
                <w:sz w:val="16"/>
              </w:rPr>
              <w:t>—</w:t>
            </w:r>
          </w:p>
        </w:tc>
        <w:tc>
          <w:tcPr>
            <w:tcW w:w="183" w:type="pct"/>
            <w:tcBorders>
              <w:bottom w:val="single" w:sz="8" w:space="0" w:color="auto"/>
            </w:tcBorders>
            <w:shd w:val="clear" w:color="auto" w:fill="auto"/>
            <w:noWrap/>
            <w:vAlign w:val="center"/>
            <w:hideMark/>
          </w:tcPr>
          <w:p w14:paraId="6F888A8C" w14:textId="77777777" w:rsidR="00BE151D" w:rsidRPr="00D14CD7" w:rsidRDefault="00BE151D" w:rsidP="00567BE9">
            <w:pPr>
              <w:spacing w:after="0" w:line="240" w:lineRule="auto"/>
              <w:jc w:val="right"/>
              <w:rPr>
                <w:rFonts w:eastAsia="Times New Roman"/>
                <w:color w:val="000000" w:themeColor="text1"/>
                <w:sz w:val="16"/>
                <w:szCs w:val="16"/>
              </w:rPr>
            </w:pPr>
            <w:r w:rsidRPr="00D14CD7">
              <w:rPr>
                <w:rFonts w:eastAsia="Times New Roman"/>
                <w:color w:val="000000" w:themeColor="text1"/>
                <w:sz w:val="16"/>
              </w:rPr>
              <w:t>—</w:t>
            </w:r>
          </w:p>
        </w:tc>
      </w:tr>
      <w:tr w:rsidR="00D14CD7" w:rsidRPr="00D14CD7" w14:paraId="0DE4700F" w14:textId="77777777" w:rsidTr="00567BE9">
        <w:trPr>
          <w:trHeight w:val="72"/>
        </w:trPr>
        <w:tc>
          <w:tcPr>
            <w:tcW w:w="5000" w:type="pct"/>
            <w:gridSpan w:val="19"/>
            <w:tcBorders>
              <w:top w:val="single" w:sz="8" w:space="0" w:color="auto"/>
              <w:bottom w:val="single" w:sz="8" w:space="0" w:color="auto"/>
            </w:tcBorders>
            <w:shd w:val="clear" w:color="auto" w:fill="auto"/>
            <w:noWrap/>
            <w:vAlign w:val="center"/>
            <w:hideMark/>
          </w:tcPr>
          <w:p w14:paraId="5791C2A1" w14:textId="77777777" w:rsidR="00BE151D" w:rsidRPr="00D14CD7" w:rsidRDefault="00BE151D" w:rsidP="00567BE9">
            <w:pPr>
              <w:spacing w:after="0" w:line="240" w:lineRule="auto"/>
              <w:rPr>
                <w:rFonts w:eastAsia="Times New Roman"/>
                <w:color w:val="000000" w:themeColor="text1"/>
                <w:sz w:val="20"/>
                <w:szCs w:val="20"/>
              </w:rPr>
            </w:pPr>
            <w:r w:rsidRPr="00D14CD7">
              <w:rPr>
                <w:rFonts w:eastAsia="Times New Roman"/>
                <w:b/>
                <w:bCs/>
                <w:color w:val="000000" w:themeColor="text1"/>
                <w:sz w:val="16"/>
                <w:szCs w:val="16"/>
              </w:rPr>
              <w:t>Residential Location BE Factors</w:t>
            </w:r>
          </w:p>
        </w:tc>
      </w:tr>
      <w:tr w:rsidR="00D14CD7" w:rsidRPr="00D14CD7" w14:paraId="4914530F" w14:textId="77777777" w:rsidTr="00567BE9">
        <w:trPr>
          <w:trHeight w:val="72"/>
        </w:trPr>
        <w:tc>
          <w:tcPr>
            <w:tcW w:w="5000" w:type="pct"/>
            <w:gridSpan w:val="19"/>
            <w:tcBorders>
              <w:top w:val="single" w:sz="8" w:space="0" w:color="auto"/>
              <w:bottom w:val="single" w:sz="4" w:space="0" w:color="auto"/>
            </w:tcBorders>
            <w:shd w:val="clear" w:color="auto" w:fill="auto"/>
            <w:noWrap/>
            <w:vAlign w:val="center"/>
            <w:hideMark/>
          </w:tcPr>
          <w:p w14:paraId="0FABB390" w14:textId="77777777" w:rsidR="00BE151D" w:rsidRPr="00D14CD7" w:rsidRDefault="00BE151D" w:rsidP="00567BE9">
            <w:pPr>
              <w:spacing w:after="0" w:line="240" w:lineRule="auto"/>
              <w:rPr>
                <w:rFonts w:eastAsia="Times New Roman"/>
                <w:color w:val="000000" w:themeColor="text1"/>
                <w:sz w:val="20"/>
                <w:szCs w:val="20"/>
              </w:rPr>
            </w:pPr>
            <w:r w:rsidRPr="00D14CD7">
              <w:rPr>
                <w:rFonts w:eastAsia="Times New Roman"/>
                <w:b/>
                <w:bCs/>
                <w:i/>
                <w:iCs/>
                <w:color w:val="000000" w:themeColor="text1"/>
                <w:sz w:val="16"/>
                <w:szCs w:val="16"/>
              </w:rPr>
              <w:t>Land-use</w:t>
            </w:r>
          </w:p>
        </w:tc>
      </w:tr>
      <w:tr w:rsidR="00D14CD7" w:rsidRPr="00D14CD7" w14:paraId="31D8149B" w14:textId="77777777" w:rsidTr="00567BE9">
        <w:trPr>
          <w:trHeight w:val="72"/>
        </w:trPr>
        <w:tc>
          <w:tcPr>
            <w:tcW w:w="1709" w:type="pct"/>
            <w:tcBorders>
              <w:top w:val="single" w:sz="4" w:space="0" w:color="auto"/>
              <w:bottom w:val="single" w:sz="4" w:space="0" w:color="auto"/>
              <w:right w:val="double" w:sz="4" w:space="0" w:color="auto"/>
            </w:tcBorders>
            <w:shd w:val="clear" w:color="auto" w:fill="auto"/>
            <w:noWrap/>
            <w:vAlign w:val="center"/>
            <w:hideMark/>
          </w:tcPr>
          <w:p w14:paraId="2BC345AF" w14:textId="77777777" w:rsidR="00BE151D" w:rsidRPr="00D14CD7" w:rsidRDefault="00BE151D" w:rsidP="00567BE9">
            <w:pPr>
              <w:spacing w:after="0" w:line="240" w:lineRule="auto"/>
              <w:ind w:firstLine="140"/>
              <w:rPr>
                <w:rFonts w:eastAsia="Times New Roman"/>
                <w:color w:val="000000" w:themeColor="text1"/>
                <w:sz w:val="16"/>
                <w:szCs w:val="16"/>
              </w:rPr>
            </w:pPr>
            <w:r w:rsidRPr="00D14CD7">
              <w:rPr>
                <w:rFonts w:eastAsia="Times New Roman"/>
                <w:color w:val="000000" w:themeColor="text1"/>
                <w:sz w:val="16"/>
              </w:rPr>
              <w:t>Walkability (/100) (range 0-0.2)</w:t>
            </w:r>
          </w:p>
        </w:tc>
        <w:tc>
          <w:tcPr>
            <w:tcW w:w="227" w:type="pct"/>
            <w:tcBorders>
              <w:top w:val="single" w:sz="4" w:space="0" w:color="auto"/>
              <w:left w:val="double" w:sz="4" w:space="0" w:color="auto"/>
              <w:bottom w:val="single" w:sz="4" w:space="0" w:color="auto"/>
            </w:tcBorders>
            <w:shd w:val="clear" w:color="auto" w:fill="auto"/>
            <w:noWrap/>
            <w:vAlign w:val="bottom"/>
          </w:tcPr>
          <w:p w14:paraId="7D551F3D" w14:textId="77777777" w:rsidR="00BE151D" w:rsidRPr="00D14CD7" w:rsidRDefault="00BE151D" w:rsidP="00567BE9">
            <w:pPr>
              <w:spacing w:after="0" w:line="240" w:lineRule="auto"/>
              <w:jc w:val="right"/>
              <w:rPr>
                <w:rFonts w:eastAsia="Times New Roman"/>
                <w:color w:val="000000" w:themeColor="text1"/>
                <w:sz w:val="16"/>
                <w:szCs w:val="16"/>
              </w:rPr>
            </w:pPr>
            <w:r w:rsidRPr="00D14CD7">
              <w:rPr>
                <w:color w:val="000000" w:themeColor="text1"/>
                <w:sz w:val="16"/>
                <w:szCs w:val="16"/>
              </w:rPr>
              <w:t>-1.720</w:t>
            </w:r>
          </w:p>
        </w:tc>
        <w:tc>
          <w:tcPr>
            <w:tcW w:w="199" w:type="pct"/>
            <w:tcBorders>
              <w:top w:val="single" w:sz="4" w:space="0" w:color="auto"/>
              <w:bottom w:val="single" w:sz="4" w:space="0" w:color="auto"/>
              <w:right w:val="single" w:sz="8" w:space="0" w:color="auto"/>
            </w:tcBorders>
            <w:shd w:val="clear" w:color="auto" w:fill="auto"/>
            <w:noWrap/>
            <w:vAlign w:val="bottom"/>
          </w:tcPr>
          <w:p w14:paraId="459C711A" w14:textId="77777777" w:rsidR="00BE151D" w:rsidRPr="00D14CD7" w:rsidRDefault="00BE151D" w:rsidP="00567BE9">
            <w:pPr>
              <w:spacing w:after="0" w:line="240" w:lineRule="auto"/>
              <w:jc w:val="right"/>
              <w:rPr>
                <w:rFonts w:eastAsia="Times New Roman"/>
                <w:color w:val="000000" w:themeColor="text1"/>
                <w:sz w:val="16"/>
                <w:szCs w:val="16"/>
              </w:rPr>
            </w:pPr>
            <w:r w:rsidRPr="00D14CD7">
              <w:rPr>
                <w:color w:val="000000" w:themeColor="text1"/>
                <w:sz w:val="16"/>
                <w:szCs w:val="16"/>
              </w:rPr>
              <w:t>-1.03</w:t>
            </w:r>
          </w:p>
        </w:tc>
        <w:tc>
          <w:tcPr>
            <w:tcW w:w="184" w:type="pct"/>
            <w:tcBorders>
              <w:top w:val="single" w:sz="4" w:space="0" w:color="auto"/>
              <w:left w:val="single" w:sz="8" w:space="0" w:color="auto"/>
              <w:bottom w:val="single" w:sz="4" w:space="0" w:color="auto"/>
            </w:tcBorders>
            <w:shd w:val="clear" w:color="auto" w:fill="auto"/>
            <w:noWrap/>
            <w:vAlign w:val="center"/>
            <w:hideMark/>
          </w:tcPr>
          <w:p w14:paraId="1DABDBB9" w14:textId="77777777" w:rsidR="00BE151D" w:rsidRPr="00D14CD7" w:rsidRDefault="00BE151D" w:rsidP="00567BE9">
            <w:pPr>
              <w:spacing w:after="0" w:line="240" w:lineRule="auto"/>
              <w:jc w:val="right"/>
              <w:rPr>
                <w:rFonts w:eastAsia="Times New Roman"/>
                <w:color w:val="000000" w:themeColor="text1"/>
                <w:sz w:val="16"/>
                <w:szCs w:val="16"/>
              </w:rPr>
            </w:pPr>
            <w:r w:rsidRPr="00D14CD7">
              <w:rPr>
                <w:rFonts w:eastAsia="Times New Roman"/>
                <w:color w:val="000000" w:themeColor="text1"/>
                <w:sz w:val="16"/>
              </w:rPr>
              <w:t>—</w:t>
            </w:r>
          </w:p>
        </w:tc>
        <w:tc>
          <w:tcPr>
            <w:tcW w:w="185" w:type="pct"/>
            <w:tcBorders>
              <w:top w:val="single" w:sz="4" w:space="0" w:color="auto"/>
              <w:bottom w:val="single" w:sz="4" w:space="0" w:color="auto"/>
              <w:right w:val="single" w:sz="8" w:space="0" w:color="auto"/>
            </w:tcBorders>
            <w:shd w:val="clear" w:color="auto" w:fill="auto"/>
            <w:noWrap/>
            <w:vAlign w:val="center"/>
            <w:hideMark/>
          </w:tcPr>
          <w:p w14:paraId="6519038C" w14:textId="77777777" w:rsidR="00BE151D" w:rsidRPr="00D14CD7" w:rsidRDefault="00BE151D" w:rsidP="00567BE9">
            <w:pPr>
              <w:spacing w:after="0" w:line="240" w:lineRule="auto"/>
              <w:jc w:val="right"/>
              <w:rPr>
                <w:rFonts w:eastAsia="Times New Roman"/>
                <w:color w:val="000000" w:themeColor="text1"/>
                <w:sz w:val="16"/>
                <w:szCs w:val="16"/>
              </w:rPr>
            </w:pPr>
            <w:r w:rsidRPr="00D14CD7">
              <w:rPr>
                <w:rFonts w:eastAsia="Times New Roman"/>
                <w:color w:val="000000" w:themeColor="text1"/>
                <w:sz w:val="16"/>
              </w:rPr>
              <w:t>—</w:t>
            </w:r>
          </w:p>
        </w:tc>
        <w:tc>
          <w:tcPr>
            <w:tcW w:w="184" w:type="pct"/>
            <w:tcBorders>
              <w:top w:val="single" w:sz="4" w:space="0" w:color="auto"/>
              <w:left w:val="single" w:sz="8" w:space="0" w:color="auto"/>
              <w:bottom w:val="single" w:sz="4" w:space="0" w:color="auto"/>
            </w:tcBorders>
            <w:shd w:val="clear" w:color="auto" w:fill="auto"/>
            <w:noWrap/>
            <w:vAlign w:val="center"/>
            <w:hideMark/>
          </w:tcPr>
          <w:p w14:paraId="0BAA0CAC" w14:textId="77777777" w:rsidR="00BE151D" w:rsidRPr="00D14CD7" w:rsidRDefault="00BE151D" w:rsidP="00567BE9">
            <w:pPr>
              <w:spacing w:after="0" w:line="240" w:lineRule="auto"/>
              <w:jc w:val="right"/>
              <w:rPr>
                <w:rFonts w:eastAsia="Times New Roman"/>
                <w:color w:val="000000" w:themeColor="text1"/>
                <w:sz w:val="16"/>
                <w:szCs w:val="16"/>
              </w:rPr>
            </w:pPr>
            <w:r w:rsidRPr="00D14CD7">
              <w:rPr>
                <w:rFonts w:eastAsia="Times New Roman"/>
                <w:color w:val="000000" w:themeColor="text1"/>
                <w:sz w:val="16"/>
              </w:rPr>
              <w:t>—</w:t>
            </w:r>
          </w:p>
        </w:tc>
        <w:tc>
          <w:tcPr>
            <w:tcW w:w="188" w:type="pct"/>
            <w:tcBorders>
              <w:top w:val="single" w:sz="4" w:space="0" w:color="auto"/>
              <w:bottom w:val="single" w:sz="4" w:space="0" w:color="auto"/>
              <w:right w:val="single" w:sz="8" w:space="0" w:color="auto"/>
            </w:tcBorders>
            <w:shd w:val="clear" w:color="auto" w:fill="auto"/>
            <w:noWrap/>
            <w:vAlign w:val="center"/>
            <w:hideMark/>
          </w:tcPr>
          <w:p w14:paraId="15B4CACC" w14:textId="77777777" w:rsidR="00BE151D" w:rsidRPr="00D14CD7" w:rsidRDefault="00BE151D" w:rsidP="00567BE9">
            <w:pPr>
              <w:spacing w:after="0" w:line="240" w:lineRule="auto"/>
              <w:jc w:val="right"/>
              <w:rPr>
                <w:rFonts w:eastAsia="Times New Roman"/>
                <w:color w:val="000000" w:themeColor="text1"/>
                <w:sz w:val="16"/>
                <w:szCs w:val="16"/>
              </w:rPr>
            </w:pPr>
            <w:r w:rsidRPr="00D14CD7">
              <w:rPr>
                <w:rFonts w:eastAsia="Times New Roman"/>
                <w:color w:val="000000" w:themeColor="text1"/>
                <w:sz w:val="16"/>
              </w:rPr>
              <w:t>—</w:t>
            </w:r>
          </w:p>
        </w:tc>
        <w:tc>
          <w:tcPr>
            <w:tcW w:w="188" w:type="pct"/>
            <w:tcBorders>
              <w:top w:val="single" w:sz="4" w:space="0" w:color="auto"/>
              <w:left w:val="single" w:sz="8" w:space="0" w:color="auto"/>
              <w:bottom w:val="single" w:sz="4" w:space="0" w:color="auto"/>
            </w:tcBorders>
            <w:shd w:val="clear" w:color="auto" w:fill="auto"/>
            <w:noWrap/>
            <w:vAlign w:val="center"/>
            <w:hideMark/>
          </w:tcPr>
          <w:p w14:paraId="53D4C34F" w14:textId="77777777" w:rsidR="00BE151D" w:rsidRPr="00D14CD7" w:rsidRDefault="00BE151D" w:rsidP="00567BE9">
            <w:pPr>
              <w:spacing w:after="0" w:line="240" w:lineRule="auto"/>
              <w:jc w:val="right"/>
              <w:rPr>
                <w:rFonts w:eastAsia="Times New Roman"/>
                <w:color w:val="000000" w:themeColor="text1"/>
                <w:sz w:val="16"/>
                <w:szCs w:val="16"/>
              </w:rPr>
            </w:pPr>
            <w:proofErr w:type="spellStart"/>
            <w:r w:rsidRPr="00D14CD7">
              <w:rPr>
                <w:rFonts w:eastAsia="Times New Roman"/>
                <w:color w:val="000000" w:themeColor="text1"/>
                <w:sz w:val="16"/>
              </w:rPr>
              <w:t>na</w:t>
            </w:r>
            <w:proofErr w:type="spellEnd"/>
          </w:p>
        </w:tc>
        <w:tc>
          <w:tcPr>
            <w:tcW w:w="146" w:type="pct"/>
            <w:tcBorders>
              <w:top w:val="single" w:sz="4" w:space="0" w:color="auto"/>
              <w:bottom w:val="single" w:sz="4" w:space="0" w:color="auto"/>
              <w:right w:val="double" w:sz="4" w:space="0" w:color="auto"/>
            </w:tcBorders>
            <w:shd w:val="clear" w:color="auto" w:fill="auto"/>
            <w:noWrap/>
            <w:vAlign w:val="center"/>
            <w:hideMark/>
          </w:tcPr>
          <w:p w14:paraId="24558751" w14:textId="77777777" w:rsidR="00BE151D" w:rsidRPr="00D14CD7" w:rsidRDefault="00BE151D" w:rsidP="00567BE9">
            <w:pPr>
              <w:spacing w:after="0" w:line="240" w:lineRule="auto"/>
              <w:jc w:val="right"/>
              <w:rPr>
                <w:rFonts w:eastAsia="Times New Roman"/>
                <w:color w:val="000000" w:themeColor="text1"/>
                <w:sz w:val="16"/>
                <w:szCs w:val="16"/>
              </w:rPr>
            </w:pPr>
            <w:proofErr w:type="spellStart"/>
            <w:r w:rsidRPr="00D14CD7">
              <w:rPr>
                <w:rFonts w:eastAsia="Times New Roman"/>
                <w:color w:val="000000" w:themeColor="text1"/>
                <w:sz w:val="16"/>
              </w:rPr>
              <w:t>na</w:t>
            </w:r>
            <w:proofErr w:type="spellEnd"/>
          </w:p>
        </w:tc>
        <w:tc>
          <w:tcPr>
            <w:tcW w:w="184" w:type="pct"/>
            <w:tcBorders>
              <w:left w:val="double" w:sz="4" w:space="0" w:color="auto"/>
            </w:tcBorders>
            <w:shd w:val="clear" w:color="auto" w:fill="auto"/>
            <w:noWrap/>
            <w:vAlign w:val="center"/>
            <w:hideMark/>
          </w:tcPr>
          <w:p w14:paraId="0034EB32" w14:textId="77777777" w:rsidR="00BE151D" w:rsidRPr="00D14CD7" w:rsidRDefault="00BE151D" w:rsidP="00567BE9">
            <w:pPr>
              <w:spacing w:after="0" w:line="240" w:lineRule="auto"/>
              <w:jc w:val="right"/>
              <w:rPr>
                <w:rFonts w:eastAsia="Times New Roman"/>
                <w:color w:val="000000" w:themeColor="text1"/>
                <w:sz w:val="16"/>
                <w:szCs w:val="16"/>
              </w:rPr>
            </w:pPr>
            <w:r w:rsidRPr="00D14CD7">
              <w:rPr>
                <w:rFonts w:eastAsia="Times New Roman"/>
                <w:color w:val="000000" w:themeColor="text1"/>
                <w:sz w:val="16"/>
              </w:rPr>
              <w:t>—</w:t>
            </w:r>
          </w:p>
        </w:tc>
        <w:tc>
          <w:tcPr>
            <w:tcW w:w="184" w:type="pct"/>
            <w:tcBorders>
              <w:top w:val="single" w:sz="4" w:space="0" w:color="auto"/>
              <w:bottom w:val="single" w:sz="4" w:space="0" w:color="auto"/>
              <w:right w:val="single" w:sz="8" w:space="0" w:color="auto"/>
            </w:tcBorders>
            <w:shd w:val="clear" w:color="auto" w:fill="auto"/>
            <w:noWrap/>
            <w:vAlign w:val="center"/>
            <w:hideMark/>
          </w:tcPr>
          <w:p w14:paraId="092F9C8F" w14:textId="77777777" w:rsidR="00BE151D" w:rsidRPr="00D14CD7" w:rsidRDefault="00BE151D" w:rsidP="00567BE9">
            <w:pPr>
              <w:spacing w:after="0" w:line="240" w:lineRule="auto"/>
              <w:jc w:val="right"/>
              <w:rPr>
                <w:rFonts w:eastAsia="Times New Roman"/>
                <w:color w:val="000000" w:themeColor="text1"/>
                <w:sz w:val="16"/>
                <w:szCs w:val="16"/>
              </w:rPr>
            </w:pPr>
            <w:r w:rsidRPr="00D14CD7">
              <w:rPr>
                <w:rFonts w:eastAsia="Times New Roman"/>
                <w:color w:val="000000" w:themeColor="text1"/>
                <w:sz w:val="16"/>
              </w:rPr>
              <w:t>—</w:t>
            </w:r>
          </w:p>
        </w:tc>
        <w:tc>
          <w:tcPr>
            <w:tcW w:w="184" w:type="pct"/>
            <w:tcBorders>
              <w:left w:val="single" w:sz="8" w:space="0" w:color="auto"/>
            </w:tcBorders>
            <w:shd w:val="clear" w:color="auto" w:fill="auto"/>
            <w:noWrap/>
            <w:vAlign w:val="center"/>
            <w:hideMark/>
          </w:tcPr>
          <w:p w14:paraId="0295C0B1" w14:textId="77777777" w:rsidR="00BE151D" w:rsidRPr="00D14CD7" w:rsidRDefault="00BE151D" w:rsidP="00567BE9">
            <w:pPr>
              <w:spacing w:after="0" w:line="240" w:lineRule="auto"/>
              <w:jc w:val="right"/>
              <w:rPr>
                <w:rFonts w:eastAsia="Times New Roman"/>
                <w:color w:val="000000" w:themeColor="text1"/>
                <w:sz w:val="16"/>
                <w:szCs w:val="16"/>
              </w:rPr>
            </w:pPr>
            <w:r w:rsidRPr="00D14CD7">
              <w:rPr>
                <w:rFonts w:eastAsia="Times New Roman"/>
                <w:color w:val="000000" w:themeColor="text1"/>
                <w:sz w:val="16"/>
              </w:rPr>
              <w:t>—</w:t>
            </w:r>
          </w:p>
        </w:tc>
        <w:tc>
          <w:tcPr>
            <w:tcW w:w="185" w:type="pct"/>
            <w:tcBorders>
              <w:top w:val="single" w:sz="4" w:space="0" w:color="auto"/>
              <w:bottom w:val="single" w:sz="4" w:space="0" w:color="auto"/>
              <w:right w:val="single" w:sz="8" w:space="0" w:color="auto"/>
            </w:tcBorders>
            <w:shd w:val="clear" w:color="auto" w:fill="auto"/>
            <w:noWrap/>
            <w:vAlign w:val="center"/>
            <w:hideMark/>
          </w:tcPr>
          <w:p w14:paraId="460E04A2" w14:textId="77777777" w:rsidR="00BE151D" w:rsidRPr="00D14CD7" w:rsidRDefault="00BE151D" w:rsidP="00567BE9">
            <w:pPr>
              <w:spacing w:after="0" w:line="240" w:lineRule="auto"/>
              <w:jc w:val="right"/>
              <w:rPr>
                <w:rFonts w:eastAsia="Times New Roman"/>
                <w:color w:val="000000" w:themeColor="text1"/>
                <w:sz w:val="16"/>
                <w:szCs w:val="16"/>
              </w:rPr>
            </w:pPr>
            <w:r w:rsidRPr="00D14CD7">
              <w:rPr>
                <w:rFonts w:eastAsia="Times New Roman"/>
                <w:color w:val="000000" w:themeColor="text1"/>
                <w:sz w:val="16"/>
              </w:rPr>
              <w:t>—</w:t>
            </w:r>
          </w:p>
        </w:tc>
        <w:tc>
          <w:tcPr>
            <w:tcW w:w="185" w:type="pct"/>
            <w:tcBorders>
              <w:left w:val="single" w:sz="8" w:space="0" w:color="auto"/>
            </w:tcBorders>
            <w:shd w:val="clear" w:color="auto" w:fill="auto"/>
            <w:noWrap/>
            <w:vAlign w:val="center"/>
            <w:hideMark/>
          </w:tcPr>
          <w:p w14:paraId="22D48A3C" w14:textId="77777777" w:rsidR="00BE151D" w:rsidRPr="00D14CD7" w:rsidRDefault="00BE151D" w:rsidP="00567BE9">
            <w:pPr>
              <w:spacing w:after="0" w:line="240" w:lineRule="auto"/>
              <w:jc w:val="right"/>
              <w:rPr>
                <w:rFonts w:eastAsia="Times New Roman"/>
                <w:color w:val="000000" w:themeColor="text1"/>
                <w:sz w:val="16"/>
                <w:szCs w:val="16"/>
              </w:rPr>
            </w:pPr>
            <w:r w:rsidRPr="00D14CD7">
              <w:rPr>
                <w:rFonts w:eastAsia="Times New Roman"/>
                <w:color w:val="000000" w:themeColor="text1"/>
                <w:sz w:val="16"/>
              </w:rPr>
              <w:t>—</w:t>
            </w:r>
          </w:p>
        </w:tc>
        <w:tc>
          <w:tcPr>
            <w:tcW w:w="185" w:type="pct"/>
            <w:tcBorders>
              <w:top w:val="single" w:sz="4" w:space="0" w:color="auto"/>
              <w:bottom w:val="single" w:sz="4" w:space="0" w:color="auto"/>
              <w:right w:val="single" w:sz="8" w:space="0" w:color="auto"/>
            </w:tcBorders>
            <w:shd w:val="clear" w:color="auto" w:fill="auto"/>
            <w:noWrap/>
            <w:vAlign w:val="center"/>
            <w:hideMark/>
          </w:tcPr>
          <w:p w14:paraId="4EC7D90B" w14:textId="77777777" w:rsidR="00BE151D" w:rsidRPr="00D14CD7" w:rsidRDefault="00BE151D" w:rsidP="00567BE9">
            <w:pPr>
              <w:spacing w:after="0" w:line="240" w:lineRule="auto"/>
              <w:jc w:val="right"/>
              <w:rPr>
                <w:rFonts w:eastAsia="Times New Roman"/>
                <w:color w:val="000000" w:themeColor="text1"/>
                <w:sz w:val="16"/>
                <w:szCs w:val="16"/>
              </w:rPr>
            </w:pPr>
            <w:r w:rsidRPr="00D14CD7">
              <w:rPr>
                <w:rFonts w:eastAsia="Times New Roman"/>
                <w:color w:val="000000" w:themeColor="text1"/>
                <w:sz w:val="16"/>
              </w:rPr>
              <w:t>—</w:t>
            </w:r>
          </w:p>
        </w:tc>
        <w:tc>
          <w:tcPr>
            <w:tcW w:w="156" w:type="pct"/>
            <w:tcBorders>
              <w:left w:val="single" w:sz="8" w:space="0" w:color="auto"/>
            </w:tcBorders>
            <w:shd w:val="clear" w:color="auto" w:fill="auto"/>
            <w:noWrap/>
            <w:vAlign w:val="center"/>
            <w:hideMark/>
          </w:tcPr>
          <w:p w14:paraId="63DE4C24" w14:textId="77777777" w:rsidR="00BE151D" w:rsidRPr="00D14CD7" w:rsidRDefault="00BE151D" w:rsidP="00567BE9">
            <w:pPr>
              <w:spacing w:after="0" w:line="240" w:lineRule="auto"/>
              <w:jc w:val="right"/>
              <w:rPr>
                <w:rFonts w:eastAsia="Times New Roman"/>
                <w:color w:val="000000" w:themeColor="text1"/>
                <w:sz w:val="16"/>
                <w:szCs w:val="16"/>
              </w:rPr>
            </w:pPr>
            <w:proofErr w:type="spellStart"/>
            <w:r w:rsidRPr="00D14CD7">
              <w:rPr>
                <w:rFonts w:eastAsia="Times New Roman"/>
                <w:color w:val="000000" w:themeColor="text1"/>
                <w:sz w:val="16"/>
              </w:rPr>
              <w:t>na</w:t>
            </w:r>
            <w:proofErr w:type="spellEnd"/>
          </w:p>
        </w:tc>
        <w:tc>
          <w:tcPr>
            <w:tcW w:w="157" w:type="pct"/>
            <w:tcBorders>
              <w:top w:val="single" w:sz="4" w:space="0" w:color="auto"/>
              <w:bottom w:val="single" w:sz="4" w:space="0" w:color="auto"/>
              <w:right w:val="double" w:sz="4" w:space="0" w:color="auto"/>
            </w:tcBorders>
            <w:shd w:val="clear" w:color="auto" w:fill="auto"/>
            <w:noWrap/>
            <w:vAlign w:val="center"/>
            <w:hideMark/>
          </w:tcPr>
          <w:p w14:paraId="621BF66A" w14:textId="77777777" w:rsidR="00BE151D" w:rsidRPr="00D14CD7" w:rsidRDefault="00BE151D" w:rsidP="00567BE9">
            <w:pPr>
              <w:spacing w:after="0" w:line="240" w:lineRule="auto"/>
              <w:jc w:val="right"/>
              <w:rPr>
                <w:rFonts w:eastAsia="Times New Roman"/>
                <w:color w:val="000000" w:themeColor="text1"/>
                <w:sz w:val="16"/>
                <w:szCs w:val="16"/>
              </w:rPr>
            </w:pPr>
            <w:proofErr w:type="spellStart"/>
            <w:r w:rsidRPr="00D14CD7">
              <w:rPr>
                <w:rFonts w:eastAsia="Times New Roman"/>
                <w:color w:val="000000" w:themeColor="text1"/>
                <w:sz w:val="16"/>
              </w:rPr>
              <w:t>na</w:t>
            </w:r>
            <w:proofErr w:type="spellEnd"/>
          </w:p>
        </w:tc>
        <w:tc>
          <w:tcPr>
            <w:tcW w:w="187" w:type="pct"/>
            <w:tcBorders>
              <w:left w:val="double" w:sz="4" w:space="0" w:color="auto"/>
            </w:tcBorders>
            <w:shd w:val="clear" w:color="auto" w:fill="auto"/>
            <w:noWrap/>
            <w:vAlign w:val="center"/>
            <w:hideMark/>
          </w:tcPr>
          <w:p w14:paraId="65C92B94" w14:textId="77777777" w:rsidR="00BE151D" w:rsidRPr="00D14CD7" w:rsidRDefault="00BE151D" w:rsidP="00567BE9">
            <w:pPr>
              <w:spacing w:after="0" w:line="240" w:lineRule="auto"/>
              <w:jc w:val="right"/>
              <w:rPr>
                <w:rFonts w:eastAsia="Times New Roman"/>
                <w:color w:val="000000" w:themeColor="text1"/>
                <w:sz w:val="16"/>
                <w:szCs w:val="16"/>
              </w:rPr>
            </w:pPr>
            <w:r w:rsidRPr="00D14CD7">
              <w:rPr>
                <w:rFonts w:eastAsia="Times New Roman"/>
                <w:color w:val="000000" w:themeColor="text1"/>
                <w:sz w:val="16"/>
              </w:rPr>
              <w:t>—</w:t>
            </w:r>
          </w:p>
        </w:tc>
        <w:tc>
          <w:tcPr>
            <w:tcW w:w="183" w:type="pct"/>
            <w:shd w:val="clear" w:color="auto" w:fill="auto"/>
            <w:noWrap/>
            <w:vAlign w:val="center"/>
            <w:hideMark/>
          </w:tcPr>
          <w:p w14:paraId="7199BC42" w14:textId="77777777" w:rsidR="00BE151D" w:rsidRPr="00D14CD7" w:rsidRDefault="00BE151D" w:rsidP="00567BE9">
            <w:pPr>
              <w:spacing w:after="0" w:line="240" w:lineRule="auto"/>
              <w:jc w:val="right"/>
              <w:rPr>
                <w:rFonts w:eastAsia="Times New Roman"/>
                <w:color w:val="000000" w:themeColor="text1"/>
                <w:sz w:val="16"/>
                <w:szCs w:val="16"/>
              </w:rPr>
            </w:pPr>
            <w:r w:rsidRPr="00D14CD7">
              <w:rPr>
                <w:rFonts w:eastAsia="Times New Roman"/>
                <w:color w:val="000000" w:themeColor="text1"/>
                <w:sz w:val="16"/>
              </w:rPr>
              <w:t>—</w:t>
            </w:r>
          </w:p>
        </w:tc>
      </w:tr>
      <w:tr w:rsidR="00D14CD7" w:rsidRPr="00D14CD7" w14:paraId="50624CBF" w14:textId="77777777" w:rsidTr="00567BE9">
        <w:trPr>
          <w:trHeight w:val="72"/>
        </w:trPr>
        <w:tc>
          <w:tcPr>
            <w:tcW w:w="1709" w:type="pct"/>
            <w:tcBorders>
              <w:top w:val="single" w:sz="4" w:space="0" w:color="auto"/>
              <w:bottom w:val="single" w:sz="8" w:space="0" w:color="auto"/>
              <w:right w:val="double" w:sz="4" w:space="0" w:color="auto"/>
            </w:tcBorders>
            <w:shd w:val="clear" w:color="auto" w:fill="auto"/>
            <w:noWrap/>
            <w:vAlign w:val="center"/>
            <w:hideMark/>
          </w:tcPr>
          <w:p w14:paraId="499B560D" w14:textId="77777777" w:rsidR="00BE151D" w:rsidRPr="00D14CD7" w:rsidRDefault="00BE151D" w:rsidP="00567BE9">
            <w:pPr>
              <w:spacing w:after="0" w:line="240" w:lineRule="auto"/>
              <w:ind w:firstLine="140"/>
              <w:rPr>
                <w:rFonts w:eastAsia="Times New Roman"/>
                <w:color w:val="000000" w:themeColor="text1"/>
                <w:sz w:val="16"/>
                <w:szCs w:val="16"/>
              </w:rPr>
            </w:pPr>
            <w:r w:rsidRPr="00D14CD7">
              <w:rPr>
                <w:rFonts w:eastAsia="Times New Roman"/>
                <w:color w:val="000000" w:themeColor="text1"/>
                <w:sz w:val="16"/>
              </w:rPr>
              <w:t>Land-use Diversity Index (range 0-1)</w:t>
            </w:r>
          </w:p>
        </w:tc>
        <w:tc>
          <w:tcPr>
            <w:tcW w:w="227" w:type="pct"/>
            <w:tcBorders>
              <w:top w:val="single" w:sz="4" w:space="0" w:color="auto"/>
              <w:left w:val="double" w:sz="4" w:space="0" w:color="auto"/>
              <w:bottom w:val="single" w:sz="8" w:space="0" w:color="auto"/>
            </w:tcBorders>
            <w:shd w:val="clear" w:color="auto" w:fill="auto"/>
            <w:noWrap/>
            <w:vAlign w:val="center"/>
            <w:hideMark/>
          </w:tcPr>
          <w:p w14:paraId="6740FF18" w14:textId="77777777" w:rsidR="00BE151D" w:rsidRPr="00D14CD7" w:rsidRDefault="00BE151D" w:rsidP="00567BE9">
            <w:pPr>
              <w:spacing w:after="0" w:line="240" w:lineRule="auto"/>
              <w:jc w:val="right"/>
              <w:rPr>
                <w:rFonts w:eastAsia="Times New Roman"/>
                <w:color w:val="000000" w:themeColor="text1"/>
                <w:sz w:val="16"/>
                <w:szCs w:val="16"/>
              </w:rPr>
            </w:pPr>
            <w:r w:rsidRPr="00D14CD7">
              <w:rPr>
                <w:rFonts w:eastAsia="Times New Roman"/>
                <w:color w:val="000000" w:themeColor="text1"/>
                <w:sz w:val="16"/>
              </w:rPr>
              <w:t>—</w:t>
            </w:r>
          </w:p>
        </w:tc>
        <w:tc>
          <w:tcPr>
            <w:tcW w:w="199" w:type="pct"/>
            <w:tcBorders>
              <w:top w:val="single" w:sz="4" w:space="0" w:color="auto"/>
              <w:bottom w:val="single" w:sz="8" w:space="0" w:color="auto"/>
              <w:right w:val="single" w:sz="8" w:space="0" w:color="auto"/>
            </w:tcBorders>
            <w:shd w:val="clear" w:color="auto" w:fill="auto"/>
            <w:noWrap/>
            <w:vAlign w:val="center"/>
            <w:hideMark/>
          </w:tcPr>
          <w:p w14:paraId="43873BC5" w14:textId="77777777" w:rsidR="00BE151D" w:rsidRPr="00D14CD7" w:rsidRDefault="00BE151D" w:rsidP="00567BE9">
            <w:pPr>
              <w:spacing w:after="0" w:line="240" w:lineRule="auto"/>
              <w:jc w:val="right"/>
              <w:rPr>
                <w:rFonts w:eastAsia="Times New Roman"/>
                <w:color w:val="000000" w:themeColor="text1"/>
                <w:sz w:val="16"/>
                <w:szCs w:val="16"/>
              </w:rPr>
            </w:pPr>
            <w:r w:rsidRPr="00D14CD7">
              <w:rPr>
                <w:rFonts w:eastAsia="Times New Roman"/>
                <w:color w:val="000000" w:themeColor="text1"/>
                <w:sz w:val="16"/>
              </w:rPr>
              <w:t>—</w:t>
            </w:r>
          </w:p>
        </w:tc>
        <w:tc>
          <w:tcPr>
            <w:tcW w:w="184" w:type="pct"/>
            <w:tcBorders>
              <w:top w:val="single" w:sz="4" w:space="0" w:color="auto"/>
              <w:left w:val="single" w:sz="8" w:space="0" w:color="auto"/>
              <w:bottom w:val="single" w:sz="8" w:space="0" w:color="auto"/>
            </w:tcBorders>
            <w:shd w:val="clear" w:color="auto" w:fill="auto"/>
            <w:noWrap/>
            <w:vAlign w:val="center"/>
            <w:hideMark/>
          </w:tcPr>
          <w:p w14:paraId="360CDEAA" w14:textId="77777777" w:rsidR="00BE151D" w:rsidRPr="00D14CD7" w:rsidRDefault="00BE151D" w:rsidP="00567BE9">
            <w:pPr>
              <w:spacing w:after="0" w:line="240" w:lineRule="auto"/>
              <w:jc w:val="right"/>
              <w:rPr>
                <w:rFonts w:eastAsia="Times New Roman"/>
                <w:color w:val="000000" w:themeColor="text1"/>
                <w:sz w:val="16"/>
                <w:szCs w:val="16"/>
              </w:rPr>
            </w:pPr>
            <w:r w:rsidRPr="00D14CD7">
              <w:rPr>
                <w:rFonts w:eastAsia="Times New Roman"/>
                <w:color w:val="000000" w:themeColor="text1"/>
                <w:sz w:val="16"/>
              </w:rPr>
              <w:t>—</w:t>
            </w:r>
          </w:p>
        </w:tc>
        <w:tc>
          <w:tcPr>
            <w:tcW w:w="185" w:type="pct"/>
            <w:tcBorders>
              <w:top w:val="single" w:sz="4" w:space="0" w:color="auto"/>
              <w:bottom w:val="single" w:sz="8" w:space="0" w:color="auto"/>
              <w:right w:val="single" w:sz="8" w:space="0" w:color="auto"/>
            </w:tcBorders>
            <w:shd w:val="clear" w:color="auto" w:fill="auto"/>
            <w:noWrap/>
            <w:vAlign w:val="center"/>
            <w:hideMark/>
          </w:tcPr>
          <w:p w14:paraId="26C70164" w14:textId="77777777" w:rsidR="00BE151D" w:rsidRPr="00D14CD7" w:rsidRDefault="00BE151D" w:rsidP="00567BE9">
            <w:pPr>
              <w:spacing w:after="0" w:line="240" w:lineRule="auto"/>
              <w:jc w:val="right"/>
              <w:rPr>
                <w:rFonts w:eastAsia="Times New Roman"/>
                <w:color w:val="000000" w:themeColor="text1"/>
                <w:sz w:val="16"/>
                <w:szCs w:val="16"/>
              </w:rPr>
            </w:pPr>
            <w:r w:rsidRPr="00D14CD7">
              <w:rPr>
                <w:rFonts w:eastAsia="Times New Roman"/>
                <w:color w:val="000000" w:themeColor="text1"/>
                <w:sz w:val="16"/>
              </w:rPr>
              <w:t>—</w:t>
            </w:r>
          </w:p>
        </w:tc>
        <w:tc>
          <w:tcPr>
            <w:tcW w:w="184" w:type="pct"/>
            <w:tcBorders>
              <w:top w:val="single" w:sz="4" w:space="0" w:color="auto"/>
              <w:left w:val="single" w:sz="8" w:space="0" w:color="auto"/>
              <w:bottom w:val="single" w:sz="8" w:space="0" w:color="auto"/>
            </w:tcBorders>
            <w:shd w:val="clear" w:color="auto" w:fill="auto"/>
            <w:noWrap/>
            <w:vAlign w:val="bottom"/>
          </w:tcPr>
          <w:p w14:paraId="3B8D26CE" w14:textId="77777777" w:rsidR="00BE151D" w:rsidRPr="00D14CD7" w:rsidRDefault="00BE151D" w:rsidP="00567BE9">
            <w:pPr>
              <w:spacing w:after="0" w:line="240" w:lineRule="auto"/>
              <w:jc w:val="right"/>
              <w:rPr>
                <w:rFonts w:eastAsia="Times New Roman"/>
                <w:color w:val="000000" w:themeColor="text1"/>
                <w:sz w:val="16"/>
                <w:szCs w:val="16"/>
              </w:rPr>
            </w:pPr>
            <w:r w:rsidRPr="00D14CD7">
              <w:rPr>
                <w:color w:val="000000" w:themeColor="text1"/>
                <w:sz w:val="16"/>
                <w:szCs w:val="16"/>
              </w:rPr>
              <w:t>1.742</w:t>
            </w:r>
          </w:p>
        </w:tc>
        <w:tc>
          <w:tcPr>
            <w:tcW w:w="188" w:type="pct"/>
            <w:tcBorders>
              <w:top w:val="single" w:sz="4" w:space="0" w:color="auto"/>
              <w:bottom w:val="single" w:sz="8" w:space="0" w:color="auto"/>
              <w:right w:val="single" w:sz="8" w:space="0" w:color="auto"/>
            </w:tcBorders>
            <w:shd w:val="clear" w:color="auto" w:fill="auto"/>
            <w:noWrap/>
            <w:vAlign w:val="bottom"/>
          </w:tcPr>
          <w:p w14:paraId="31167FA2" w14:textId="77777777" w:rsidR="00BE151D" w:rsidRPr="00D14CD7" w:rsidRDefault="00BE151D" w:rsidP="00567BE9">
            <w:pPr>
              <w:spacing w:after="0" w:line="240" w:lineRule="auto"/>
              <w:jc w:val="right"/>
              <w:rPr>
                <w:rFonts w:eastAsia="Times New Roman"/>
                <w:color w:val="000000" w:themeColor="text1"/>
                <w:sz w:val="16"/>
                <w:szCs w:val="16"/>
              </w:rPr>
            </w:pPr>
            <w:r w:rsidRPr="00D14CD7">
              <w:rPr>
                <w:color w:val="000000" w:themeColor="text1"/>
                <w:sz w:val="16"/>
                <w:szCs w:val="16"/>
              </w:rPr>
              <w:t>2.51</w:t>
            </w:r>
          </w:p>
        </w:tc>
        <w:tc>
          <w:tcPr>
            <w:tcW w:w="188" w:type="pct"/>
            <w:tcBorders>
              <w:top w:val="single" w:sz="4" w:space="0" w:color="auto"/>
              <w:left w:val="single" w:sz="8" w:space="0" w:color="auto"/>
              <w:bottom w:val="single" w:sz="8" w:space="0" w:color="auto"/>
            </w:tcBorders>
            <w:shd w:val="clear" w:color="auto" w:fill="auto"/>
            <w:noWrap/>
            <w:vAlign w:val="center"/>
            <w:hideMark/>
          </w:tcPr>
          <w:p w14:paraId="472B38AD" w14:textId="77777777" w:rsidR="00BE151D" w:rsidRPr="00D14CD7" w:rsidRDefault="00BE151D" w:rsidP="00567BE9">
            <w:pPr>
              <w:spacing w:after="0" w:line="240" w:lineRule="auto"/>
              <w:jc w:val="right"/>
              <w:rPr>
                <w:rFonts w:eastAsia="Times New Roman"/>
                <w:color w:val="000000" w:themeColor="text1"/>
                <w:sz w:val="16"/>
                <w:szCs w:val="16"/>
              </w:rPr>
            </w:pPr>
            <w:proofErr w:type="spellStart"/>
            <w:r w:rsidRPr="00D14CD7">
              <w:rPr>
                <w:rFonts w:eastAsia="Times New Roman"/>
                <w:color w:val="000000" w:themeColor="text1"/>
                <w:sz w:val="16"/>
              </w:rPr>
              <w:t>na</w:t>
            </w:r>
            <w:proofErr w:type="spellEnd"/>
          </w:p>
        </w:tc>
        <w:tc>
          <w:tcPr>
            <w:tcW w:w="146" w:type="pct"/>
            <w:tcBorders>
              <w:top w:val="single" w:sz="4" w:space="0" w:color="auto"/>
              <w:bottom w:val="single" w:sz="8" w:space="0" w:color="auto"/>
              <w:right w:val="double" w:sz="4" w:space="0" w:color="auto"/>
            </w:tcBorders>
            <w:shd w:val="clear" w:color="auto" w:fill="auto"/>
            <w:noWrap/>
            <w:vAlign w:val="center"/>
            <w:hideMark/>
          </w:tcPr>
          <w:p w14:paraId="602A21FB" w14:textId="77777777" w:rsidR="00BE151D" w:rsidRPr="00D14CD7" w:rsidRDefault="00BE151D" w:rsidP="00567BE9">
            <w:pPr>
              <w:spacing w:after="0" w:line="240" w:lineRule="auto"/>
              <w:jc w:val="right"/>
              <w:rPr>
                <w:rFonts w:eastAsia="Times New Roman"/>
                <w:color w:val="000000" w:themeColor="text1"/>
                <w:sz w:val="16"/>
                <w:szCs w:val="16"/>
              </w:rPr>
            </w:pPr>
            <w:proofErr w:type="spellStart"/>
            <w:r w:rsidRPr="00D14CD7">
              <w:rPr>
                <w:rFonts w:eastAsia="Times New Roman"/>
                <w:color w:val="000000" w:themeColor="text1"/>
                <w:sz w:val="16"/>
              </w:rPr>
              <w:t>na</w:t>
            </w:r>
            <w:proofErr w:type="spellEnd"/>
          </w:p>
        </w:tc>
        <w:tc>
          <w:tcPr>
            <w:tcW w:w="184" w:type="pct"/>
            <w:tcBorders>
              <w:left w:val="double" w:sz="4" w:space="0" w:color="auto"/>
              <w:bottom w:val="single" w:sz="8" w:space="0" w:color="auto"/>
            </w:tcBorders>
            <w:shd w:val="clear" w:color="auto" w:fill="auto"/>
            <w:noWrap/>
            <w:vAlign w:val="center"/>
            <w:hideMark/>
          </w:tcPr>
          <w:p w14:paraId="4B6691EB" w14:textId="77777777" w:rsidR="00BE151D" w:rsidRPr="00D14CD7" w:rsidRDefault="00BE151D" w:rsidP="00567BE9">
            <w:pPr>
              <w:spacing w:after="0" w:line="240" w:lineRule="auto"/>
              <w:jc w:val="right"/>
              <w:rPr>
                <w:rFonts w:eastAsia="Times New Roman"/>
                <w:color w:val="000000" w:themeColor="text1"/>
                <w:sz w:val="16"/>
                <w:szCs w:val="16"/>
              </w:rPr>
            </w:pPr>
            <w:r w:rsidRPr="00D14CD7">
              <w:rPr>
                <w:rFonts w:eastAsia="Times New Roman"/>
                <w:color w:val="000000" w:themeColor="text1"/>
                <w:sz w:val="16"/>
              </w:rPr>
              <w:t>—</w:t>
            </w:r>
          </w:p>
        </w:tc>
        <w:tc>
          <w:tcPr>
            <w:tcW w:w="184" w:type="pct"/>
            <w:tcBorders>
              <w:top w:val="single" w:sz="4" w:space="0" w:color="auto"/>
              <w:bottom w:val="single" w:sz="8" w:space="0" w:color="auto"/>
              <w:right w:val="single" w:sz="8" w:space="0" w:color="auto"/>
            </w:tcBorders>
            <w:shd w:val="clear" w:color="auto" w:fill="auto"/>
            <w:noWrap/>
            <w:vAlign w:val="center"/>
            <w:hideMark/>
          </w:tcPr>
          <w:p w14:paraId="38F8C840" w14:textId="77777777" w:rsidR="00BE151D" w:rsidRPr="00D14CD7" w:rsidRDefault="00BE151D" w:rsidP="00567BE9">
            <w:pPr>
              <w:spacing w:after="0" w:line="240" w:lineRule="auto"/>
              <w:jc w:val="right"/>
              <w:rPr>
                <w:rFonts w:eastAsia="Times New Roman"/>
                <w:color w:val="000000" w:themeColor="text1"/>
                <w:sz w:val="16"/>
                <w:szCs w:val="16"/>
              </w:rPr>
            </w:pPr>
            <w:r w:rsidRPr="00D14CD7">
              <w:rPr>
                <w:rFonts w:eastAsia="Times New Roman"/>
                <w:color w:val="000000" w:themeColor="text1"/>
                <w:sz w:val="16"/>
              </w:rPr>
              <w:t>—</w:t>
            </w:r>
          </w:p>
        </w:tc>
        <w:tc>
          <w:tcPr>
            <w:tcW w:w="184" w:type="pct"/>
            <w:tcBorders>
              <w:left w:val="single" w:sz="8" w:space="0" w:color="auto"/>
              <w:bottom w:val="single" w:sz="8" w:space="0" w:color="auto"/>
            </w:tcBorders>
            <w:shd w:val="clear" w:color="auto" w:fill="auto"/>
            <w:noWrap/>
            <w:vAlign w:val="center"/>
            <w:hideMark/>
          </w:tcPr>
          <w:p w14:paraId="3B271DF6" w14:textId="77777777" w:rsidR="00BE151D" w:rsidRPr="00D14CD7" w:rsidRDefault="00BE151D" w:rsidP="00567BE9">
            <w:pPr>
              <w:spacing w:after="0" w:line="240" w:lineRule="auto"/>
              <w:jc w:val="right"/>
              <w:rPr>
                <w:rFonts w:eastAsia="Times New Roman"/>
                <w:color w:val="000000" w:themeColor="text1"/>
                <w:sz w:val="16"/>
                <w:szCs w:val="16"/>
              </w:rPr>
            </w:pPr>
            <w:r w:rsidRPr="00D14CD7">
              <w:rPr>
                <w:rFonts w:eastAsia="Times New Roman"/>
                <w:color w:val="000000" w:themeColor="text1"/>
                <w:sz w:val="16"/>
              </w:rPr>
              <w:t>—</w:t>
            </w:r>
          </w:p>
        </w:tc>
        <w:tc>
          <w:tcPr>
            <w:tcW w:w="185" w:type="pct"/>
            <w:tcBorders>
              <w:top w:val="single" w:sz="4" w:space="0" w:color="auto"/>
              <w:bottom w:val="single" w:sz="8" w:space="0" w:color="auto"/>
              <w:right w:val="single" w:sz="8" w:space="0" w:color="auto"/>
            </w:tcBorders>
            <w:shd w:val="clear" w:color="auto" w:fill="auto"/>
            <w:noWrap/>
            <w:vAlign w:val="center"/>
            <w:hideMark/>
          </w:tcPr>
          <w:p w14:paraId="66B5309E" w14:textId="77777777" w:rsidR="00BE151D" w:rsidRPr="00D14CD7" w:rsidRDefault="00BE151D" w:rsidP="00567BE9">
            <w:pPr>
              <w:spacing w:after="0" w:line="240" w:lineRule="auto"/>
              <w:jc w:val="right"/>
              <w:rPr>
                <w:rFonts w:eastAsia="Times New Roman"/>
                <w:color w:val="000000" w:themeColor="text1"/>
                <w:sz w:val="16"/>
                <w:szCs w:val="16"/>
              </w:rPr>
            </w:pPr>
            <w:r w:rsidRPr="00D14CD7">
              <w:rPr>
                <w:rFonts w:eastAsia="Times New Roman"/>
                <w:color w:val="000000" w:themeColor="text1"/>
                <w:sz w:val="16"/>
              </w:rPr>
              <w:t>—</w:t>
            </w:r>
          </w:p>
        </w:tc>
        <w:tc>
          <w:tcPr>
            <w:tcW w:w="185" w:type="pct"/>
            <w:tcBorders>
              <w:left w:val="single" w:sz="8" w:space="0" w:color="auto"/>
              <w:bottom w:val="single" w:sz="8" w:space="0" w:color="auto"/>
            </w:tcBorders>
            <w:shd w:val="clear" w:color="auto" w:fill="auto"/>
            <w:noWrap/>
            <w:vAlign w:val="bottom"/>
          </w:tcPr>
          <w:p w14:paraId="50171DD3" w14:textId="77777777" w:rsidR="00BE151D" w:rsidRPr="00D14CD7" w:rsidRDefault="00BE151D" w:rsidP="00567BE9">
            <w:pPr>
              <w:spacing w:after="0" w:line="240" w:lineRule="auto"/>
              <w:jc w:val="right"/>
              <w:rPr>
                <w:rFonts w:eastAsia="Times New Roman"/>
                <w:color w:val="000000" w:themeColor="text1"/>
                <w:sz w:val="16"/>
                <w:szCs w:val="16"/>
              </w:rPr>
            </w:pPr>
            <w:r w:rsidRPr="00D14CD7">
              <w:rPr>
                <w:color w:val="000000" w:themeColor="text1"/>
                <w:sz w:val="16"/>
                <w:szCs w:val="16"/>
              </w:rPr>
              <w:t>-2.710</w:t>
            </w:r>
          </w:p>
        </w:tc>
        <w:tc>
          <w:tcPr>
            <w:tcW w:w="185" w:type="pct"/>
            <w:tcBorders>
              <w:top w:val="single" w:sz="4" w:space="0" w:color="auto"/>
              <w:bottom w:val="single" w:sz="8" w:space="0" w:color="auto"/>
              <w:right w:val="single" w:sz="8" w:space="0" w:color="auto"/>
            </w:tcBorders>
            <w:shd w:val="clear" w:color="auto" w:fill="auto"/>
            <w:noWrap/>
            <w:vAlign w:val="bottom"/>
          </w:tcPr>
          <w:p w14:paraId="21E00E3B" w14:textId="77777777" w:rsidR="00BE151D" w:rsidRPr="00D14CD7" w:rsidRDefault="00BE151D" w:rsidP="00567BE9">
            <w:pPr>
              <w:spacing w:after="0" w:line="240" w:lineRule="auto"/>
              <w:jc w:val="right"/>
              <w:rPr>
                <w:rFonts w:eastAsia="Times New Roman"/>
                <w:color w:val="000000" w:themeColor="text1"/>
                <w:sz w:val="16"/>
                <w:szCs w:val="16"/>
              </w:rPr>
            </w:pPr>
            <w:r w:rsidRPr="00D14CD7">
              <w:rPr>
                <w:color w:val="000000" w:themeColor="text1"/>
                <w:sz w:val="16"/>
                <w:szCs w:val="16"/>
              </w:rPr>
              <w:t>-3.08</w:t>
            </w:r>
          </w:p>
        </w:tc>
        <w:tc>
          <w:tcPr>
            <w:tcW w:w="156" w:type="pct"/>
            <w:tcBorders>
              <w:left w:val="single" w:sz="8" w:space="0" w:color="auto"/>
              <w:bottom w:val="single" w:sz="8" w:space="0" w:color="auto"/>
            </w:tcBorders>
            <w:shd w:val="clear" w:color="auto" w:fill="auto"/>
            <w:noWrap/>
            <w:vAlign w:val="center"/>
            <w:hideMark/>
          </w:tcPr>
          <w:p w14:paraId="2B8EBA76" w14:textId="77777777" w:rsidR="00BE151D" w:rsidRPr="00D14CD7" w:rsidRDefault="00BE151D" w:rsidP="00567BE9">
            <w:pPr>
              <w:spacing w:after="0" w:line="240" w:lineRule="auto"/>
              <w:jc w:val="right"/>
              <w:rPr>
                <w:rFonts w:eastAsia="Times New Roman"/>
                <w:color w:val="000000" w:themeColor="text1"/>
                <w:sz w:val="16"/>
                <w:szCs w:val="16"/>
              </w:rPr>
            </w:pPr>
            <w:proofErr w:type="spellStart"/>
            <w:r w:rsidRPr="00D14CD7">
              <w:rPr>
                <w:rFonts w:eastAsia="Times New Roman"/>
                <w:color w:val="000000" w:themeColor="text1"/>
                <w:sz w:val="16"/>
              </w:rPr>
              <w:t>na</w:t>
            </w:r>
            <w:proofErr w:type="spellEnd"/>
          </w:p>
        </w:tc>
        <w:tc>
          <w:tcPr>
            <w:tcW w:w="157" w:type="pct"/>
            <w:tcBorders>
              <w:top w:val="single" w:sz="4" w:space="0" w:color="auto"/>
              <w:bottom w:val="single" w:sz="8" w:space="0" w:color="auto"/>
              <w:right w:val="double" w:sz="4" w:space="0" w:color="auto"/>
            </w:tcBorders>
            <w:shd w:val="clear" w:color="auto" w:fill="auto"/>
            <w:noWrap/>
            <w:vAlign w:val="center"/>
            <w:hideMark/>
          </w:tcPr>
          <w:p w14:paraId="1D941038" w14:textId="77777777" w:rsidR="00BE151D" w:rsidRPr="00D14CD7" w:rsidRDefault="00BE151D" w:rsidP="00567BE9">
            <w:pPr>
              <w:spacing w:after="0" w:line="240" w:lineRule="auto"/>
              <w:jc w:val="right"/>
              <w:rPr>
                <w:rFonts w:eastAsia="Times New Roman"/>
                <w:color w:val="000000" w:themeColor="text1"/>
                <w:sz w:val="16"/>
                <w:szCs w:val="16"/>
              </w:rPr>
            </w:pPr>
            <w:proofErr w:type="spellStart"/>
            <w:r w:rsidRPr="00D14CD7">
              <w:rPr>
                <w:rFonts w:eastAsia="Times New Roman"/>
                <w:color w:val="000000" w:themeColor="text1"/>
                <w:sz w:val="16"/>
              </w:rPr>
              <w:t>na</w:t>
            </w:r>
            <w:proofErr w:type="spellEnd"/>
          </w:p>
        </w:tc>
        <w:tc>
          <w:tcPr>
            <w:tcW w:w="187" w:type="pct"/>
            <w:tcBorders>
              <w:left w:val="double" w:sz="4" w:space="0" w:color="auto"/>
              <w:bottom w:val="single" w:sz="8" w:space="0" w:color="auto"/>
            </w:tcBorders>
            <w:shd w:val="clear" w:color="auto" w:fill="auto"/>
            <w:noWrap/>
            <w:vAlign w:val="center"/>
            <w:hideMark/>
          </w:tcPr>
          <w:p w14:paraId="543EF588" w14:textId="77777777" w:rsidR="00BE151D" w:rsidRPr="00D14CD7" w:rsidRDefault="00BE151D" w:rsidP="00567BE9">
            <w:pPr>
              <w:spacing w:after="0" w:line="240" w:lineRule="auto"/>
              <w:jc w:val="right"/>
              <w:rPr>
                <w:rFonts w:eastAsia="Times New Roman"/>
                <w:color w:val="000000" w:themeColor="text1"/>
                <w:sz w:val="16"/>
                <w:szCs w:val="16"/>
              </w:rPr>
            </w:pPr>
            <w:r w:rsidRPr="00D14CD7">
              <w:rPr>
                <w:rFonts w:eastAsia="Times New Roman"/>
                <w:color w:val="000000" w:themeColor="text1"/>
                <w:sz w:val="16"/>
              </w:rPr>
              <w:t>—</w:t>
            </w:r>
          </w:p>
        </w:tc>
        <w:tc>
          <w:tcPr>
            <w:tcW w:w="183" w:type="pct"/>
            <w:tcBorders>
              <w:bottom w:val="single" w:sz="8" w:space="0" w:color="auto"/>
            </w:tcBorders>
            <w:shd w:val="clear" w:color="auto" w:fill="auto"/>
            <w:noWrap/>
            <w:vAlign w:val="center"/>
            <w:hideMark/>
          </w:tcPr>
          <w:p w14:paraId="0E5E3D4C" w14:textId="77777777" w:rsidR="00BE151D" w:rsidRPr="00D14CD7" w:rsidRDefault="00BE151D" w:rsidP="00567BE9">
            <w:pPr>
              <w:spacing w:after="0" w:line="240" w:lineRule="auto"/>
              <w:jc w:val="right"/>
              <w:rPr>
                <w:rFonts w:eastAsia="Times New Roman"/>
                <w:color w:val="000000" w:themeColor="text1"/>
                <w:sz w:val="16"/>
                <w:szCs w:val="16"/>
              </w:rPr>
            </w:pPr>
            <w:r w:rsidRPr="00D14CD7">
              <w:rPr>
                <w:rFonts w:eastAsia="Times New Roman"/>
                <w:color w:val="000000" w:themeColor="text1"/>
                <w:sz w:val="16"/>
              </w:rPr>
              <w:t>—</w:t>
            </w:r>
          </w:p>
        </w:tc>
      </w:tr>
      <w:tr w:rsidR="00D14CD7" w:rsidRPr="00D14CD7" w14:paraId="072F03AC" w14:textId="77777777" w:rsidTr="00567BE9">
        <w:trPr>
          <w:trHeight w:val="72"/>
        </w:trPr>
        <w:tc>
          <w:tcPr>
            <w:tcW w:w="5000" w:type="pct"/>
            <w:gridSpan w:val="19"/>
            <w:tcBorders>
              <w:top w:val="single" w:sz="8" w:space="0" w:color="auto"/>
              <w:bottom w:val="single" w:sz="4" w:space="0" w:color="auto"/>
            </w:tcBorders>
            <w:shd w:val="clear" w:color="auto" w:fill="auto"/>
            <w:noWrap/>
            <w:vAlign w:val="center"/>
            <w:hideMark/>
          </w:tcPr>
          <w:p w14:paraId="662727CE" w14:textId="77777777" w:rsidR="00BE151D" w:rsidRPr="00D14CD7" w:rsidRDefault="00BE151D" w:rsidP="00567BE9">
            <w:pPr>
              <w:spacing w:after="0" w:line="240" w:lineRule="auto"/>
              <w:rPr>
                <w:rFonts w:eastAsia="Times New Roman"/>
                <w:color w:val="000000" w:themeColor="text1"/>
                <w:sz w:val="20"/>
                <w:szCs w:val="20"/>
              </w:rPr>
            </w:pPr>
            <w:r w:rsidRPr="00D14CD7">
              <w:rPr>
                <w:rFonts w:eastAsia="Times New Roman"/>
                <w:b/>
                <w:bCs/>
                <w:i/>
                <w:iCs/>
                <w:color w:val="000000" w:themeColor="text1"/>
                <w:sz w:val="16"/>
                <w:szCs w:val="16"/>
              </w:rPr>
              <w:t>Restaurant density</w:t>
            </w:r>
          </w:p>
        </w:tc>
      </w:tr>
      <w:tr w:rsidR="00D14CD7" w:rsidRPr="00D14CD7" w14:paraId="5E876B0D" w14:textId="77777777" w:rsidTr="00567BE9">
        <w:trPr>
          <w:trHeight w:val="72"/>
        </w:trPr>
        <w:tc>
          <w:tcPr>
            <w:tcW w:w="1709" w:type="pct"/>
            <w:tcBorders>
              <w:top w:val="single" w:sz="4" w:space="0" w:color="auto"/>
              <w:bottom w:val="single" w:sz="4" w:space="0" w:color="auto"/>
              <w:right w:val="double" w:sz="4" w:space="0" w:color="auto"/>
            </w:tcBorders>
            <w:shd w:val="clear" w:color="auto" w:fill="auto"/>
            <w:noWrap/>
            <w:vAlign w:val="center"/>
            <w:hideMark/>
          </w:tcPr>
          <w:p w14:paraId="31AC9E4C" w14:textId="77777777" w:rsidR="00BE151D" w:rsidRPr="00D14CD7" w:rsidRDefault="00BE151D" w:rsidP="00567BE9">
            <w:pPr>
              <w:spacing w:after="0" w:line="240" w:lineRule="auto"/>
              <w:ind w:firstLine="140"/>
              <w:rPr>
                <w:rFonts w:eastAsia="Times New Roman"/>
                <w:color w:val="000000" w:themeColor="text1"/>
                <w:sz w:val="16"/>
                <w:szCs w:val="16"/>
              </w:rPr>
            </w:pPr>
            <w:r w:rsidRPr="00D14CD7">
              <w:rPr>
                <w:rFonts w:eastAsia="Times New Roman"/>
                <w:color w:val="000000" w:themeColor="text1"/>
                <w:sz w:val="16"/>
              </w:rPr>
              <w:t>Fraction of QSR restaurants (range 0-0.6)</w:t>
            </w:r>
          </w:p>
        </w:tc>
        <w:tc>
          <w:tcPr>
            <w:tcW w:w="227" w:type="pct"/>
            <w:tcBorders>
              <w:top w:val="single" w:sz="4" w:space="0" w:color="auto"/>
              <w:left w:val="double" w:sz="4" w:space="0" w:color="auto"/>
              <w:bottom w:val="single" w:sz="4" w:space="0" w:color="auto"/>
            </w:tcBorders>
            <w:shd w:val="clear" w:color="auto" w:fill="auto"/>
            <w:noWrap/>
            <w:vAlign w:val="bottom"/>
          </w:tcPr>
          <w:p w14:paraId="4641A805" w14:textId="77777777" w:rsidR="00BE151D" w:rsidRPr="00D14CD7" w:rsidRDefault="00BE151D" w:rsidP="00567BE9">
            <w:pPr>
              <w:spacing w:after="0" w:line="240" w:lineRule="auto"/>
              <w:jc w:val="right"/>
              <w:rPr>
                <w:rFonts w:eastAsia="Times New Roman"/>
                <w:color w:val="000000" w:themeColor="text1"/>
                <w:sz w:val="16"/>
                <w:szCs w:val="16"/>
              </w:rPr>
            </w:pPr>
            <w:r w:rsidRPr="00D14CD7">
              <w:rPr>
                <w:color w:val="000000" w:themeColor="text1"/>
                <w:sz w:val="16"/>
                <w:szCs w:val="16"/>
              </w:rPr>
              <w:t>0.716</w:t>
            </w:r>
          </w:p>
        </w:tc>
        <w:tc>
          <w:tcPr>
            <w:tcW w:w="199" w:type="pct"/>
            <w:tcBorders>
              <w:top w:val="single" w:sz="4" w:space="0" w:color="auto"/>
              <w:bottom w:val="single" w:sz="4" w:space="0" w:color="auto"/>
              <w:right w:val="single" w:sz="8" w:space="0" w:color="auto"/>
            </w:tcBorders>
            <w:shd w:val="clear" w:color="auto" w:fill="auto"/>
            <w:noWrap/>
            <w:vAlign w:val="bottom"/>
          </w:tcPr>
          <w:p w14:paraId="5FD79C8F" w14:textId="77777777" w:rsidR="00BE151D" w:rsidRPr="00D14CD7" w:rsidRDefault="00BE151D" w:rsidP="00567BE9">
            <w:pPr>
              <w:spacing w:after="0" w:line="240" w:lineRule="auto"/>
              <w:jc w:val="right"/>
              <w:rPr>
                <w:rFonts w:eastAsia="Times New Roman"/>
                <w:color w:val="000000" w:themeColor="text1"/>
                <w:sz w:val="16"/>
                <w:szCs w:val="16"/>
              </w:rPr>
            </w:pPr>
            <w:r w:rsidRPr="00D14CD7">
              <w:rPr>
                <w:color w:val="000000" w:themeColor="text1"/>
                <w:sz w:val="16"/>
                <w:szCs w:val="16"/>
              </w:rPr>
              <w:t>1.81</w:t>
            </w:r>
          </w:p>
        </w:tc>
        <w:tc>
          <w:tcPr>
            <w:tcW w:w="184" w:type="pct"/>
            <w:tcBorders>
              <w:top w:val="single" w:sz="4" w:space="0" w:color="auto"/>
              <w:left w:val="single" w:sz="8" w:space="0" w:color="auto"/>
              <w:bottom w:val="single" w:sz="4" w:space="0" w:color="auto"/>
            </w:tcBorders>
            <w:shd w:val="clear" w:color="auto" w:fill="auto"/>
            <w:noWrap/>
            <w:vAlign w:val="center"/>
            <w:hideMark/>
          </w:tcPr>
          <w:p w14:paraId="6D9E047F" w14:textId="77777777" w:rsidR="00BE151D" w:rsidRPr="00D14CD7" w:rsidRDefault="00BE151D" w:rsidP="00567BE9">
            <w:pPr>
              <w:spacing w:after="0" w:line="240" w:lineRule="auto"/>
              <w:jc w:val="right"/>
              <w:rPr>
                <w:rFonts w:eastAsia="Times New Roman"/>
                <w:color w:val="000000" w:themeColor="text1"/>
                <w:sz w:val="16"/>
                <w:szCs w:val="16"/>
              </w:rPr>
            </w:pPr>
            <w:r w:rsidRPr="00D14CD7">
              <w:rPr>
                <w:rFonts w:eastAsia="Times New Roman"/>
                <w:color w:val="000000" w:themeColor="text1"/>
                <w:sz w:val="16"/>
              </w:rPr>
              <w:t>—</w:t>
            </w:r>
          </w:p>
        </w:tc>
        <w:tc>
          <w:tcPr>
            <w:tcW w:w="185" w:type="pct"/>
            <w:tcBorders>
              <w:top w:val="single" w:sz="4" w:space="0" w:color="auto"/>
              <w:bottom w:val="single" w:sz="4" w:space="0" w:color="auto"/>
              <w:right w:val="single" w:sz="8" w:space="0" w:color="auto"/>
            </w:tcBorders>
            <w:shd w:val="clear" w:color="auto" w:fill="auto"/>
            <w:noWrap/>
            <w:vAlign w:val="center"/>
            <w:hideMark/>
          </w:tcPr>
          <w:p w14:paraId="621F6137" w14:textId="77777777" w:rsidR="00BE151D" w:rsidRPr="00D14CD7" w:rsidRDefault="00BE151D" w:rsidP="00567BE9">
            <w:pPr>
              <w:spacing w:after="0" w:line="240" w:lineRule="auto"/>
              <w:jc w:val="right"/>
              <w:rPr>
                <w:rFonts w:eastAsia="Times New Roman"/>
                <w:color w:val="000000" w:themeColor="text1"/>
                <w:sz w:val="16"/>
                <w:szCs w:val="16"/>
              </w:rPr>
            </w:pPr>
            <w:r w:rsidRPr="00D14CD7">
              <w:rPr>
                <w:rFonts w:eastAsia="Times New Roman"/>
                <w:color w:val="000000" w:themeColor="text1"/>
                <w:sz w:val="16"/>
              </w:rPr>
              <w:t>—</w:t>
            </w:r>
          </w:p>
        </w:tc>
        <w:tc>
          <w:tcPr>
            <w:tcW w:w="184" w:type="pct"/>
            <w:tcBorders>
              <w:top w:val="single" w:sz="4" w:space="0" w:color="auto"/>
              <w:left w:val="single" w:sz="8" w:space="0" w:color="auto"/>
              <w:bottom w:val="single" w:sz="4" w:space="0" w:color="auto"/>
            </w:tcBorders>
            <w:shd w:val="clear" w:color="auto" w:fill="auto"/>
            <w:noWrap/>
            <w:vAlign w:val="center"/>
            <w:hideMark/>
          </w:tcPr>
          <w:p w14:paraId="68E1562B" w14:textId="77777777" w:rsidR="00BE151D" w:rsidRPr="00D14CD7" w:rsidRDefault="00BE151D" w:rsidP="00567BE9">
            <w:pPr>
              <w:spacing w:after="0" w:line="240" w:lineRule="auto"/>
              <w:jc w:val="right"/>
              <w:rPr>
                <w:rFonts w:eastAsia="Times New Roman"/>
                <w:color w:val="000000" w:themeColor="text1"/>
                <w:sz w:val="16"/>
                <w:szCs w:val="16"/>
              </w:rPr>
            </w:pPr>
            <w:r w:rsidRPr="00D14CD7">
              <w:rPr>
                <w:rFonts w:eastAsia="Times New Roman"/>
                <w:color w:val="000000" w:themeColor="text1"/>
                <w:sz w:val="16"/>
              </w:rPr>
              <w:t>—</w:t>
            </w:r>
          </w:p>
        </w:tc>
        <w:tc>
          <w:tcPr>
            <w:tcW w:w="188" w:type="pct"/>
            <w:tcBorders>
              <w:top w:val="single" w:sz="4" w:space="0" w:color="auto"/>
              <w:bottom w:val="single" w:sz="4" w:space="0" w:color="auto"/>
              <w:right w:val="single" w:sz="8" w:space="0" w:color="auto"/>
            </w:tcBorders>
            <w:shd w:val="clear" w:color="auto" w:fill="auto"/>
            <w:noWrap/>
            <w:vAlign w:val="center"/>
            <w:hideMark/>
          </w:tcPr>
          <w:p w14:paraId="27B38BA3" w14:textId="77777777" w:rsidR="00BE151D" w:rsidRPr="00D14CD7" w:rsidRDefault="00BE151D" w:rsidP="00567BE9">
            <w:pPr>
              <w:spacing w:after="0" w:line="240" w:lineRule="auto"/>
              <w:jc w:val="right"/>
              <w:rPr>
                <w:rFonts w:eastAsia="Times New Roman"/>
                <w:color w:val="000000" w:themeColor="text1"/>
                <w:sz w:val="16"/>
                <w:szCs w:val="16"/>
              </w:rPr>
            </w:pPr>
            <w:r w:rsidRPr="00D14CD7">
              <w:rPr>
                <w:rFonts w:eastAsia="Times New Roman"/>
                <w:color w:val="000000" w:themeColor="text1"/>
                <w:sz w:val="16"/>
              </w:rPr>
              <w:t>—</w:t>
            </w:r>
          </w:p>
        </w:tc>
        <w:tc>
          <w:tcPr>
            <w:tcW w:w="188" w:type="pct"/>
            <w:tcBorders>
              <w:top w:val="single" w:sz="4" w:space="0" w:color="auto"/>
              <w:left w:val="single" w:sz="8" w:space="0" w:color="auto"/>
              <w:bottom w:val="single" w:sz="4" w:space="0" w:color="auto"/>
            </w:tcBorders>
            <w:shd w:val="clear" w:color="auto" w:fill="auto"/>
            <w:noWrap/>
            <w:vAlign w:val="center"/>
            <w:hideMark/>
          </w:tcPr>
          <w:p w14:paraId="2E00A1CA" w14:textId="77777777" w:rsidR="00BE151D" w:rsidRPr="00D14CD7" w:rsidRDefault="00BE151D" w:rsidP="00567BE9">
            <w:pPr>
              <w:spacing w:after="0" w:line="240" w:lineRule="auto"/>
              <w:jc w:val="right"/>
              <w:rPr>
                <w:rFonts w:eastAsia="Times New Roman"/>
                <w:color w:val="000000" w:themeColor="text1"/>
                <w:sz w:val="16"/>
                <w:szCs w:val="16"/>
              </w:rPr>
            </w:pPr>
            <w:proofErr w:type="spellStart"/>
            <w:r w:rsidRPr="00D14CD7">
              <w:rPr>
                <w:rFonts w:eastAsia="Times New Roman"/>
                <w:color w:val="000000" w:themeColor="text1"/>
                <w:sz w:val="16"/>
              </w:rPr>
              <w:t>na</w:t>
            </w:r>
            <w:proofErr w:type="spellEnd"/>
          </w:p>
        </w:tc>
        <w:tc>
          <w:tcPr>
            <w:tcW w:w="146" w:type="pct"/>
            <w:tcBorders>
              <w:top w:val="single" w:sz="4" w:space="0" w:color="auto"/>
              <w:bottom w:val="single" w:sz="4" w:space="0" w:color="auto"/>
              <w:right w:val="double" w:sz="4" w:space="0" w:color="auto"/>
            </w:tcBorders>
            <w:shd w:val="clear" w:color="auto" w:fill="auto"/>
            <w:noWrap/>
            <w:vAlign w:val="center"/>
            <w:hideMark/>
          </w:tcPr>
          <w:p w14:paraId="694B9759" w14:textId="77777777" w:rsidR="00BE151D" w:rsidRPr="00D14CD7" w:rsidRDefault="00BE151D" w:rsidP="00567BE9">
            <w:pPr>
              <w:spacing w:after="0" w:line="240" w:lineRule="auto"/>
              <w:jc w:val="right"/>
              <w:rPr>
                <w:rFonts w:eastAsia="Times New Roman"/>
                <w:color w:val="000000" w:themeColor="text1"/>
                <w:sz w:val="16"/>
                <w:szCs w:val="16"/>
              </w:rPr>
            </w:pPr>
            <w:proofErr w:type="spellStart"/>
            <w:r w:rsidRPr="00D14CD7">
              <w:rPr>
                <w:rFonts w:eastAsia="Times New Roman"/>
                <w:color w:val="000000" w:themeColor="text1"/>
                <w:sz w:val="16"/>
              </w:rPr>
              <w:t>na</w:t>
            </w:r>
            <w:proofErr w:type="spellEnd"/>
          </w:p>
        </w:tc>
        <w:tc>
          <w:tcPr>
            <w:tcW w:w="184" w:type="pct"/>
            <w:tcBorders>
              <w:left w:val="double" w:sz="4" w:space="0" w:color="auto"/>
            </w:tcBorders>
            <w:shd w:val="clear" w:color="auto" w:fill="auto"/>
            <w:noWrap/>
            <w:vAlign w:val="center"/>
            <w:hideMark/>
          </w:tcPr>
          <w:p w14:paraId="13FA30CA" w14:textId="77777777" w:rsidR="00BE151D" w:rsidRPr="00D14CD7" w:rsidRDefault="00BE151D" w:rsidP="00567BE9">
            <w:pPr>
              <w:spacing w:after="0" w:line="240" w:lineRule="auto"/>
              <w:jc w:val="right"/>
              <w:rPr>
                <w:rFonts w:eastAsia="Times New Roman"/>
                <w:color w:val="000000" w:themeColor="text1"/>
                <w:sz w:val="16"/>
                <w:szCs w:val="16"/>
              </w:rPr>
            </w:pPr>
            <w:r w:rsidRPr="00D14CD7">
              <w:rPr>
                <w:rFonts w:eastAsia="Times New Roman"/>
                <w:color w:val="000000" w:themeColor="text1"/>
                <w:sz w:val="16"/>
              </w:rPr>
              <w:t>—</w:t>
            </w:r>
          </w:p>
        </w:tc>
        <w:tc>
          <w:tcPr>
            <w:tcW w:w="184" w:type="pct"/>
            <w:tcBorders>
              <w:top w:val="single" w:sz="4" w:space="0" w:color="auto"/>
              <w:bottom w:val="single" w:sz="4" w:space="0" w:color="auto"/>
              <w:right w:val="single" w:sz="8" w:space="0" w:color="auto"/>
            </w:tcBorders>
            <w:shd w:val="clear" w:color="auto" w:fill="auto"/>
            <w:noWrap/>
            <w:vAlign w:val="center"/>
            <w:hideMark/>
          </w:tcPr>
          <w:p w14:paraId="002E67BD" w14:textId="77777777" w:rsidR="00BE151D" w:rsidRPr="00D14CD7" w:rsidRDefault="00BE151D" w:rsidP="00567BE9">
            <w:pPr>
              <w:spacing w:after="0" w:line="240" w:lineRule="auto"/>
              <w:jc w:val="right"/>
              <w:rPr>
                <w:rFonts w:eastAsia="Times New Roman"/>
                <w:color w:val="000000" w:themeColor="text1"/>
                <w:sz w:val="16"/>
                <w:szCs w:val="16"/>
              </w:rPr>
            </w:pPr>
            <w:r w:rsidRPr="00D14CD7">
              <w:rPr>
                <w:rFonts w:eastAsia="Times New Roman"/>
                <w:color w:val="000000" w:themeColor="text1"/>
                <w:sz w:val="16"/>
              </w:rPr>
              <w:t>—</w:t>
            </w:r>
          </w:p>
        </w:tc>
        <w:tc>
          <w:tcPr>
            <w:tcW w:w="184" w:type="pct"/>
            <w:tcBorders>
              <w:left w:val="single" w:sz="8" w:space="0" w:color="auto"/>
            </w:tcBorders>
            <w:shd w:val="clear" w:color="auto" w:fill="auto"/>
            <w:noWrap/>
            <w:vAlign w:val="center"/>
            <w:hideMark/>
          </w:tcPr>
          <w:p w14:paraId="0F4E7389" w14:textId="77777777" w:rsidR="00BE151D" w:rsidRPr="00D14CD7" w:rsidRDefault="00BE151D" w:rsidP="00567BE9">
            <w:pPr>
              <w:spacing w:after="0" w:line="240" w:lineRule="auto"/>
              <w:jc w:val="right"/>
              <w:rPr>
                <w:rFonts w:eastAsia="Times New Roman"/>
                <w:color w:val="000000" w:themeColor="text1"/>
                <w:sz w:val="16"/>
                <w:szCs w:val="16"/>
              </w:rPr>
            </w:pPr>
            <w:r w:rsidRPr="00D14CD7">
              <w:rPr>
                <w:rFonts w:eastAsia="Times New Roman"/>
                <w:color w:val="000000" w:themeColor="text1"/>
                <w:sz w:val="16"/>
              </w:rPr>
              <w:t>—</w:t>
            </w:r>
          </w:p>
        </w:tc>
        <w:tc>
          <w:tcPr>
            <w:tcW w:w="185" w:type="pct"/>
            <w:tcBorders>
              <w:top w:val="single" w:sz="4" w:space="0" w:color="auto"/>
              <w:bottom w:val="single" w:sz="4" w:space="0" w:color="auto"/>
              <w:right w:val="single" w:sz="8" w:space="0" w:color="auto"/>
            </w:tcBorders>
            <w:shd w:val="clear" w:color="auto" w:fill="auto"/>
            <w:noWrap/>
            <w:vAlign w:val="center"/>
            <w:hideMark/>
          </w:tcPr>
          <w:p w14:paraId="4FB31940" w14:textId="77777777" w:rsidR="00BE151D" w:rsidRPr="00D14CD7" w:rsidRDefault="00BE151D" w:rsidP="00567BE9">
            <w:pPr>
              <w:spacing w:after="0" w:line="240" w:lineRule="auto"/>
              <w:jc w:val="right"/>
              <w:rPr>
                <w:rFonts w:eastAsia="Times New Roman"/>
                <w:color w:val="000000" w:themeColor="text1"/>
                <w:sz w:val="16"/>
                <w:szCs w:val="16"/>
              </w:rPr>
            </w:pPr>
            <w:r w:rsidRPr="00D14CD7">
              <w:rPr>
                <w:rFonts w:eastAsia="Times New Roman"/>
                <w:color w:val="000000" w:themeColor="text1"/>
                <w:sz w:val="16"/>
              </w:rPr>
              <w:t>—</w:t>
            </w:r>
          </w:p>
        </w:tc>
        <w:tc>
          <w:tcPr>
            <w:tcW w:w="185" w:type="pct"/>
            <w:tcBorders>
              <w:left w:val="single" w:sz="8" w:space="0" w:color="auto"/>
            </w:tcBorders>
            <w:shd w:val="clear" w:color="auto" w:fill="auto"/>
            <w:noWrap/>
            <w:vAlign w:val="center"/>
            <w:hideMark/>
          </w:tcPr>
          <w:p w14:paraId="24DC833A" w14:textId="77777777" w:rsidR="00BE151D" w:rsidRPr="00D14CD7" w:rsidRDefault="00BE151D" w:rsidP="00567BE9">
            <w:pPr>
              <w:spacing w:after="0" w:line="240" w:lineRule="auto"/>
              <w:jc w:val="right"/>
              <w:rPr>
                <w:rFonts w:eastAsia="Times New Roman"/>
                <w:color w:val="000000" w:themeColor="text1"/>
                <w:sz w:val="16"/>
                <w:szCs w:val="16"/>
              </w:rPr>
            </w:pPr>
            <w:r w:rsidRPr="00D14CD7">
              <w:rPr>
                <w:rFonts w:eastAsia="Times New Roman"/>
                <w:color w:val="000000" w:themeColor="text1"/>
                <w:sz w:val="16"/>
              </w:rPr>
              <w:t>—</w:t>
            </w:r>
          </w:p>
        </w:tc>
        <w:tc>
          <w:tcPr>
            <w:tcW w:w="185" w:type="pct"/>
            <w:tcBorders>
              <w:top w:val="single" w:sz="4" w:space="0" w:color="auto"/>
              <w:bottom w:val="single" w:sz="4" w:space="0" w:color="auto"/>
              <w:right w:val="single" w:sz="8" w:space="0" w:color="auto"/>
            </w:tcBorders>
            <w:shd w:val="clear" w:color="auto" w:fill="auto"/>
            <w:noWrap/>
            <w:vAlign w:val="center"/>
            <w:hideMark/>
          </w:tcPr>
          <w:p w14:paraId="3AA2FEFE" w14:textId="77777777" w:rsidR="00BE151D" w:rsidRPr="00D14CD7" w:rsidRDefault="00BE151D" w:rsidP="00567BE9">
            <w:pPr>
              <w:spacing w:after="0" w:line="240" w:lineRule="auto"/>
              <w:jc w:val="right"/>
              <w:rPr>
                <w:rFonts w:eastAsia="Times New Roman"/>
                <w:color w:val="000000" w:themeColor="text1"/>
                <w:sz w:val="16"/>
                <w:szCs w:val="16"/>
              </w:rPr>
            </w:pPr>
            <w:r w:rsidRPr="00D14CD7">
              <w:rPr>
                <w:rFonts w:eastAsia="Times New Roman"/>
                <w:color w:val="000000" w:themeColor="text1"/>
                <w:sz w:val="16"/>
              </w:rPr>
              <w:t>—</w:t>
            </w:r>
          </w:p>
        </w:tc>
        <w:tc>
          <w:tcPr>
            <w:tcW w:w="156" w:type="pct"/>
            <w:tcBorders>
              <w:left w:val="single" w:sz="8" w:space="0" w:color="auto"/>
            </w:tcBorders>
            <w:shd w:val="clear" w:color="auto" w:fill="auto"/>
            <w:noWrap/>
            <w:vAlign w:val="center"/>
            <w:hideMark/>
          </w:tcPr>
          <w:p w14:paraId="1A1D3596" w14:textId="77777777" w:rsidR="00BE151D" w:rsidRPr="00D14CD7" w:rsidRDefault="00BE151D" w:rsidP="00567BE9">
            <w:pPr>
              <w:spacing w:after="0" w:line="240" w:lineRule="auto"/>
              <w:jc w:val="right"/>
              <w:rPr>
                <w:rFonts w:eastAsia="Times New Roman"/>
                <w:color w:val="000000" w:themeColor="text1"/>
                <w:sz w:val="16"/>
                <w:szCs w:val="16"/>
              </w:rPr>
            </w:pPr>
            <w:proofErr w:type="spellStart"/>
            <w:r w:rsidRPr="00D14CD7">
              <w:rPr>
                <w:rFonts w:eastAsia="Times New Roman"/>
                <w:color w:val="000000" w:themeColor="text1"/>
                <w:sz w:val="16"/>
              </w:rPr>
              <w:t>na</w:t>
            </w:r>
            <w:proofErr w:type="spellEnd"/>
          </w:p>
        </w:tc>
        <w:tc>
          <w:tcPr>
            <w:tcW w:w="157" w:type="pct"/>
            <w:tcBorders>
              <w:right w:val="double" w:sz="4" w:space="0" w:color="auto"/>
            </w:tcBorders>
            <w:shd w:val="clear" w:color="auto" w:fill="auto"/>
            <w:noWrap/>
            <w:vAlign w:val="center"/>
            <w:hideMark/>
          </w:tcPr>
          <w:p w14:paraId="6D9D70C4" w14:textId="77777777" w:rsidR="00BE151D" w:rsidRPr="00D14CD7" w:rsidRDefault="00BE151D" w:rsidP="00567BE9">
            <w:pPr>
              <w:spacing w:after="0" w:line="240" w:lineRule="auto"/>
              <w:jc w:val="right"/>
              <w:rPr>
                <w:rFonts w:eastAsia="Times New Roman"/>
                <w:color w:val="000000" w:themeColor="text1"/>
                <w:sz w:val="16"/>
                <w:szCs w:val="16"/>
              </w:rPr>
            </w:pPr>
            <w:proofErr w:type="spellStart"/>
            <w:r w:rsidRPr="00D14CD7">
              <w:rPr>
                <w:rFonts w:eastAsia="Times New Roman"/>
                <w:color w:val="000000" w:themeColor="text1"/>
                <w:sz w:val="16"/>
              </w:rPr>
              <w:t>na</w:t>
            </w:r>
            <w:proofErr w:type="spellEnd"/>
          </w:p>
        </w:tc>
        <w:tc>
          <w:tcPr>
            <w:tcW w:w="187" w:type="pct"/>
            <w:tcBorders>
              <w:top w:val="single" w:sz="4" w:space="0" w:color="auto"/>
              <w:left w:val="double" w:sz="4" w:space="0" w:color="auto"/>
              <w:bottom w:val="single" w:sz="4" w:space="0" w:color="auto"/>
            </w:tcBorders>
            <w:shd w:val="clear" w:color="auto" w:fill="auto"/>
            <w:noWrap/>
            <w:vAlign w:val="center"/>
            <w:hideMark/>
          </w:tcPr>
          <w:p w14:paraId="4BFBEEA9" w14:textId="77777777" w:rsidR="00BE151D" w:rsidRPr="00D14CD7" w:rsidRDefault="00BE151D" w:rsidP="00567BE9">
            <w:pPr>
              <w:spacing w:after="0" w:line="240" w:lineRule="auto"/>
              <w:jc w:val="right"/>
              <w:rPr>
                <w:rFonts w:eastAsia="Times New Roman"/>
                <w:color w:val="000000" w:themeColor="text1"/>
                <w:sz w:val="16"/>
                <w:szCs w:val="16"/>
              </w:rPr>
            </w:pPr>
            <w:r w:rsidRPr="00D14CD7">
              <w:rPr>
                <w:rFonts w:eastAsia="Times New Roman"/>
                <w:color w:val="000000" w:themeColor="text1"/>
                <w:sz w:val="16"/>
              </w:rPr>
              <w:t>—</w:t>
            </w:r>
          </w:p>
        </w:tc>
        <w:tc>
          <w:tcPr>
            <w:tcW w:w="183" w:type="pct"/>
            <w:shd w:val="clear" w:color="auto" w:fill="auto"/>
            <w:noWrap/>
            <w:vAlign w:val="center"/>
            <w:hideMark/>
          </w:tcPr>
          <w:p w14:paraId="1AFFB31F" w14:textId="77777777" w:rsidR="00BE151D" w:rsidRPr="00D14CD7" w:rsidRDefault="00BE151D" w:rsidP="00567BE9">
            <w:pPr>
              <w:spacing w:after="0" w:line="240" w:lineRule="auto"/>
              <w:jc w:val="right"/>
              <w:rPr>
                <w:rFonts w:eastAsia="Times New Roman"/>
                <w:color w:val="000000" w:themeColor="text1"/>
                <w:sz w:val="16"/>
                <w:szCs w:val="16"/>
              </w:rPr>
            </w:pPr>
            <w:r w:rsidRPr="00D14CD7">
              <w:rPr>
                <w:rFonts w:eastAsia="Times New Roman"/>
                <w:color w:val="000000" w:themeColor="text1"/>
                <w:sz w:val="16"/>
              </w:rPr>
              <w:t>—</w:t>
            </w:r>
          </w:p>
        </w:tc>
      </w:tr>
      <w:tr w:rsidR="00D14CD7" w:rsidRPr="00D14CD7" w14:paraId="205A167A" w14:textId="77777777" w:rsidTr="00567BE9">
        <w:trPr>
          <w:trHeight w:val="72"/>
        </w:trPr>
        <w:tc>
          <w:tcPr>
            <w:tcW w:w="1709" w:type="pct"/>
            <w:tcBorders>
              <w:top w:val="single" w:sz="4" w:space="0" w:color="auto"/>
              <w:bottom w:val="double" w:sz="4" w:space="0" w:color="auto"/>
              <w:right w:val="double" w:sz="4" w:space="0" w:color="auto"/>
            </w:tcBorders>
            <w:shd w:val="clear" w:color="auto" w:fill="auto"/>
            <w:noWrap/>
            <w:vAlign w:val="center"/>
            <w:hideMark/>
          </w:tcPr>
          <w:p w14:paraId="0C22B3CF" w14:textId="77777777" w:rsidR="00BE151D" w:rsidRPr="00D14CD7" w:rsidRDefault="00BE151D" w:rsidP="008D36F7">
            <w:pPr>
              <w:spacing w:after="0" w:line="240" w:lineRule="auto"/>
              <w:ind w:firstLine="140"/>
              <w:jc w:val="left"/>
              <w:rPr>
                <w:rFonts w:eastAsia="Times New Roman"/>
                <w:color w:val="000000" w:themeColor="text1"/>
                <w:sz w:val="16"/>
                <w:szCs w:val="16"/>
              </w:rPr>
            </w:pPr>
            <w:r w:rsidRPr="00D14CD7">
              <w:rPr>
                <w:rFonts w:eastAsia="Times New Roman"/>
                <w:color w:val="000000" w:themeColor="text1"/>
                <w:sz w:val="16"/>
              </w:rPr>
              <w:t>Restaurant density (number of restaurants/100 square acres) (range 0-0.4)</w:t>
            </w:r>
          </w:p>
        </w:tc>
        <w:tc>
          <w:tcPr>
            <w:tcW w:w="227" w:type="pct"/>
            <w:tcBorders>
              <w:top w:val="single" w:sz="4" w:space="0" w:color="auto"/>
              <w:left w:val="double" w:sz="4" w:space="0" w:color="auto"/>
              <w:bottom w:val="double" w:sz="4" w:space="0" w:color="auto"/>
            </w:tcBorders>
            <w:shd w:val="clear" w:color="auto" w:fill="auto"/>
            <w:noWrap/>
            <w:vAlign w:val="center"/>
            <w:hideMark/>
          </w:tcPr>
          <w:p w14:paraId="2A58B6C3" w14:textId="77777777" w:rsidR="00BE151D" w:rsidRPr="00D14CD7" w:rsidRDefault="00BE151D" w:rsidP="00567BE9">
            <w:pPr>
              <w:spacing w:after="0" w:line="240" w:lineRule="auto"/>
              <w:jc w:val="right"/>
              <w:rPr>
                <w:rFonts w:eastAsia="Times New Roman"/>
                <w:color w:val="000000" w:themeColor="text1"/>
                <w:sz w:val="16"/>
                <w:szCs w:val="16"/>
              </w:rPr>
            </w:pPr>
            <w:r w:rsidRPr="00D14CD7">
              <w:rPr>
                <w:rFonts w:eastAsia="Times New Roman"/>
                <w:color w:val="000000" w:themeColor="text1"/>
                <w:sz w:val="16"/>
              </w:rPr>
              <w:t>—</w:t>
            </w:r>
          </w:p>
        </w:tc>
        <w:tc>
          <w:tcPr>
            <w:tcW w:w="199" w:type="pct"/>
            <w:tcBorders>
              <w:top w:val="single" w:sz="4" w:space="0" w:color="auto"/>
              <w:bottom w:val="double" w:sz="4" w:space="0" w:color="auto"/>
              <w:right w:val="single" w:sz="8" w:space="0" w:color="auto"/>
            </w:tcBorders>
            <w:shd w:val="clear" w:color="auto" w:fill="auto"/>
            <w:noWrap/>
            <w:vAlign w:val="center"/>
            <w:hideMark/>
          </w:tcPr>
          <w:p w14:paraId="286810E9" w14:textId="77777777" w:rsidR="00BE151D" w:rsidRPr="00D14CD7" w:rsidRDefault="00BE151D" w:rsidP="00567BE9">
            <w:pPr>
              <w:spacing w:after="0" w:line="240" w:lineRule="auto"/>
              <w:jc w:val="right"/>
              <w:rPr>
                <w:rFonts w:eastAsia="Times New Roman"/>
                <w:color w:val="000000" w:themeColor="text1"/>
                <w:sz w:val="16"/>
                <w:szCs w:val="16"/>
              </w:rPr>
            </w:pPr>
            <w:r w:rsidRPr="00D14CD7">
              <w:rPr>
                <w:rFonts w:eastAsia="Times New Roman"/>
                <w:color w:val="000000" w:themeColor="text1"/>
                <w:sz w:val="16"/>
              </w:rPr>
              <w:t>—</w:t>
            </w:r>
          </w:p>
        </w:tc>
        <w:tc>
          <w:tcPr>
            <w:tcW w:w="184" w:type="pct"/>
            <w:tcBorders>
              <w:top w:val="single" w:sz="4" w:space="0" w:color="auto"/>
              <w:left w:val="single" w:sz="8" w:space="0" w:color="auto"/>
              <w:bottom w:val="double" w:sz="4" w:space="0" w:color="auto"/>
            </w:tcBorders>
            <w:shd w:val="clear" w:color="auto" w:fill="auto"/>
            <w:noWrap/>
            <w:vAlign w:val="center"/>
            <w:hideMark/>
          </w:tcPr>
          <w:p w14:paraId="3B5D8BB8" w14:textId="77777777" w:rsidR="00BE151D" w:rsidRPr="00D14CD7" w:rsidRDefault="00BE151D" w:rsidP="00567BE9">
            <w:pPr>
              <w:spacing w:after="0" w:line="240" w:lineRule="auto"/>
              <w:jc w:val="right"/>
              <w:rPr>
                <w:rFonts w:eastAsia="Times New Roman"/>
                <w:color w:val="000000" w:themeColor="text1"/>
                <w:sz w:val="16"/>
                <w:szCs w:val="16"/>
              </w:rPr>
            </w:pPr>
            <w:r w:rsidRPr="00D14CD7">
              <w:rPr>
                <w:rFonts w:eastAsia="Times New Roman"/>
                <w:color w:val="000000" w:themeColor="text1"/>
                <w:sz w:val="16"/>
              </w:rPr>
              <w:t>—</w:t>
            </w:r>
          </w:p>
        </w:tc>
        <w:tc>
          <w:tcPr>
            <w:tcW w:w="185" w:type="pct"/>
            <w:tcBorders>
              <w:top w:val="single" w:sz="4" w:space="0" w:color="auto"/>
              <w:bottom w:val="double" w:sz="4" w:space="0" w:color="auto"/>
              <w:right w:val="single" w:sz="8" w:space="0" w:color="auto"/>
            </w:tcBorders>
            <w:shd w:val="clear" w:color="auto" w:fill="auto"/>
            <w:noWrap/>
            <w:vAlign w:val="center"/>
            <w:hideMark/>
          </w:tcPr>
          <w:p w14:paraId="0EC5D9DA" w14:textId="77777777" w:rsidR="00BE151D" w:rsidRPr="00D14CD7" w:rsidRDefault="00BE151D" w:rsidP="00567BE9">
            <w:pPr>
              <w:spacing w:after="0" w:line="240" w:lineRule="auto"/>
              <w:jc w:val="right"/>
              <w:rPr>
                <w:rFonts w:eastAsia="Times New Roman"/>
                <w:color w:val="000000" w:themeColor="text1"/>
                <w:sz w:val="16"/>
                <w:szCs w:val="16"/>
              </w:rPr>
            </w:pPr>
            <w:r w:rsidRPr="00D14CD7">
              <w:rPr>
                <w:rFonts w:eastAsia="Times New Roman"/>
                <w:color w:val="000000" w:themeColor="text1"/>
                <w:sz w:val="16"/>
              </w:rPr>
              <w:t>—</w:t>
            </w:r>
          </w:p>
        </w:tc>
        <w:tc>
          <w:tcPr>
            <w:tcW w:w="184" w:type="pct"/>
            <w:tcBorders>
              <w:top w:val="single" w:sz="4" w:space="0" w:color="auto"/>
              <w:left w:val="single" w:sz="8" w:space="0" w:color="auto"/>
              <w:bottom w:val="double" w:sz="4" w:space="0" w:color="auto"/>
            </w:tcBorders>
            <w:shd w:val="clear" w:color="auto" w:fill="auto"/>
            <w:noWrap/>
            <w:vAlign w:val="center"/>
            <w:hideMark/>
          </w:tcPr>
          <w:p w14:paraId="57434906" w14:textId="77777777" w:rsidR="00BE151D" w:rsidRPr="00D14CD7" w:rsidRDefault="00BE151D" w:rsidP="00567BE9">
            <w:pPr>
              <w:spacing w:after="0" w:line="240" w:lineRule="auto"/>
              <w:jc w:val="right"/>
              <w:rPr>
                <w:rFonts w:eastAsia="Times New Roman"/>
                <w:color w:val="000000" w:themeColor="text1"/>
                <w:sz w:val="16"/>
                <w:szCs w:val="16"/>
              </w:rPr>
            </w:pPr>
            <w:r w:rsidRPr="00D14CD7">
              <w:rPr>
                <w:rFonts w:eastAsia="Times New Roman"/>
                <w:color w:val="000000" w:themeColor="text1"/>
                <w:sz w:val="16"/>
              </w:rPr>
              <w:t>—</w:t>
            </w:r>
          </w:p>
        </w:tc>
        <w:tc>
          <w:tcPr>
            <w:tcW w:w="188" w:type="pct"/>
            <w:tcBorders>
              <w:top w:val="single" w:sz="4" w:space="0" w:color="auto"/>
              <w:bottom w:val="double" w:sz="4" w:space="0" w:color="auto"/>
              <w:right w:val="single" w:sz="8" w:space="0" w:color="auto"/>
            </w:tcBorders>
            <w:shd w:val="clear" w:color="auto" w:fill="auto"/>
            <w:noWrap/>
            <w:vAlign w:val="center"/>
            <w:hideMark/>
          </w:tcPr>
          <w:p w14:paraId="4B555A4C" w14:textId="77777777" w:rsidR="00BE151D" w:rsidRPr="00D14CD7" w:rsidRDefault="00BE151D" w:rsidP="00567BE9">
            <w:pPr>
              <w:spacing w:after="0" w:line="240" w:lineRule="auto"/>
              <w:jc w:val="right"/>
              <w:rPr>
                <w:rFonts w:eastAsia="Times New Roman"/>
                <w:color w:val="000000" w:themeColor="text1"/>
                <w:sz w:val="16"/>
                <w:szCs w:val="16"/>
              </w:rPr>
            </w:pPr>
            <w:r w:rsidRPr="00D14CD7">
              <w:rPr>
                <w:rFonts w:eastAsia="Times New Roman"/>
                <w:color w:val="000000" w:themeColor="text1"/>
                <w:sz w:val="16"/>
              </w:rPr>
              <w:t>—</w:t>
            </w:r>
          </w:p>
        </w:tc>
        <w:tc>
          <w:tcPr>
            <w:tcW w:w="188" w:type="pct"/>
            <w:tcBorders>
              <w:top w:val="single" w:sz="4" w:space="0" w:color="auto"/>
              <w:left w:val="single" w:sz="8" w:space="0" w:color="auto"/>
              <w:bottom w:val="double" w:sz="4" w:space="0" w:color="auto"/>
            </w:tcBorders>
            <w:shd w:val="clear" w:color="auto" w:fill="auto"/>
            <w:noWrap/>
            <w:vAlign w:val="center"/>
            <w:hideMark/>
          </w:tcPr>
          <w:p w14:paraId="2475FDC3" w14:textId="77777777" w:rsidR="00BE151D" w:rsidRPr="00D14CD7" w:rsidRDefault="00BE151D" w:rsidP="00567BE9">
            <w:pPr>
              <w:spacing w:after="0" w:line="240" w:lineRule="auto"/>
              <w:jc w:val="right"/>
              <w:rPr>
                <w:rFonts w:eastAsia="Times New Roman"/>
                <w:color w:val="000000" w:themeColor="text1"/>
                <w:sz w:val="16"/>
                <w:szCs w:val="16"/>
              </w:rPr>
            </w:pPr>
            <w:proofErr w:type="spellStart"/>
            <w:r w:rsidRPr="00D14CD7">
              <w:rPr>
                <w:rFonts w:eastAsia="Times New Roman"/>
                <w:color w:val="000000" w:themeColor="text1"/>
                <w:sz w:val="16"/>
              </w:rPr>
              <w:t>na</w:t>
            </w:r>
            <w:proofErr w:type="spellEnd"/>
          </w:p>
        </w:tc>
        <w:tc>
          <w:tcPr>
            <w:tcW w:w="146" w:type="pct"/>
            <w:tcBorders>
              <w:top w:val="single" w:sz="4" w:space="0" w:color="auto"/>
              <w:bottom w:val="double" w:sz="4" w:space="0" w:color="auto"/>
              <w:right w:val="double" w:sz="4" w:space="0" w:color="auto"/>
            </w:tcBorders>
            <w:shd w:val="clear" w:color="auto" w:fill="auto"/>
            <w:noWrap/>
            <w:vAlign w:val="center"/>
            <w:hideMark/>
          </w:tcPr>
          <w:p w14:paraId="5D94E7BF" w14:textId="77777777" w:rsidR="00BE151D" w:rsidRPr="00D14CD7" w:rsidRDefault="00BE151D" w:rsidP="00567BE9">
            <w:pPr>
              <w:spacing w:after="0" w:line="240" w:lineRule="auto"/>
              <w:jc w:val="right"/>
              <w:rPr>
                <w:rFonts w:eastAsia="Times New Roman"/>
                <w:color w:val="000000" w:themeColor="text1"/>
                <w:sz w:val="16"/>
                <w:szCs w:val="16"/>
              </w:rPr>
            </w:pPr>
            <w:proofErr w:type="spellStart"/>
            <w:r w:rsidRPr="00D14CD7">
              <w:rPr>
                <w:rFonts w:eastAsia="Times New Roman"/>
                <w:color w:val="000000" w:themeColor="text1"/>
                <w:sz w:val="16"/>
              </w:rPr>
              <w:t>na</w:t>
            </w:r>
            <w:proofErr w:type="spellEnd"/>
          </w:p>
        </w:tc>
        <w:tc>
          <w:tcPr>
            <w:tcW w:w="184" w:type="pct"/>
            <w:tcBorders>
              <w:left w:val="double" w:sz="4" w:space="0" w:color="auto"/>
            </w:tcBorders>
            <w:shd w:val="clear" w:color="auto" w:fill="auto"/>
            <w:noWrap/>
            <w:vAlign w:val="center"/>
            <w:hideMark/>
          </w:tcPr>
          <w:p w14:paraId="348B7649" w14:textId="77777777" w:rsidR="00BE151D" w:rsidRPr="00D14CD7" w:rsidRDefault="00BE151D" w:rsidP="00567BE9">
            <w:pPr>
              <w:spacing w:after="0" w:line="240" w:lineRule="auto"/>
              <w:jc w:val="right"/>
              <w:rPr>
                <w:rFonts w:eastAsia="Times New Roman"/>
                <w:color w:val="000000" w:themeColor="text1"/>
                <w:sz w:val="16"/>
                <w:szCs w:val="16"/>
              </w:rPr>
            </w:pPr>
            <w:r w:rsidRPr="00D14CD7">
              <w:rPr>
                <w:rFonts w:eastAsia="Times New Roman"/>
                <w:color w:val="000000" w:themeColor="text1"/>
                <w:sz w:val="16"/>
              </w:rPr>
              <w:t>—</w:t>
            </w:r>
          </w:p>
        </w:tc>
        <w:tc>
          <w:tcPr>
            <w:tcW w:w="184" w:type="pct"/>
            <w:tcBorders>
              <w:top w:val="single" w:sz="4" w:space="0" w:color="auto"/>
              <w:bottom w:val="double" w:sz="4" w:space="0" w:color="auto"/>
              <w:right w:val="single" w:sz="8" w:space="0" w:color="auto"/>
            </w:tcBorders>
            <w:shd w:val="clear" w:color="auto" w:fill="auto"/>
            <w:noWrap/>
            <w:vAlign w:val="center"/>
            <w:hideMark/>
          </w:tcPr>
          <w:p w14:paraId="65459793" w14:textId="77777777" w:rsidR="00BE151D" w:rsidRPr="00D14CD7" w:rsidRDefault="00BE151D" w:rsidP="00567BE9">
            <w:pPr>
              <w:spacing w:after="0" w:line="240" w:lineRule="auto"/>
              <w:jc w:val="right"/>
              <w:rPr>
                <w:rFonts w:eastAsia="Times New Roman"/>
                <w:color w:val="000000" w:themeColor="text1"/>
                <w:sz w:val="16"/>
                <w:szCs w:val="16"/>
              </w:rPr>
            </w:pPr>
            <w:r w:rsidRPr="00D14CD7">
              <w:rPr>
                <w:rFonts w:eastAsia="Times New Roman"/>
                <w:color w:val="000000" w:themeColor="text1"/>
                <w:sz w:val="16"/>
              </w:rPr>
              <w:t>—</w:t>
            </w:r>
          </w:p>
        </w:tc>
        <w:tc>
          <w:tcPr>
            <w:tcW w:w="184" w:type="pct"/>
            <w:tcBorders>
              <w:left w:val="single" w:sz="8" w:space="0" w:color="auto"/>
            </w:tcBorders>
            <w:shd w:val="clear" w:color="auto" w:fill="auto"/>
            <w:noWrap/>
            <w:vAlign w:val="center"/>
            <w:hideMark/>
          </w:tcPr>
          <w:p w14:paraId="39D4C010" w14:textId="77777777" w:rsidR="00BE151D" w:rsidRPr="00D14CD7" w:rsidRDefault="00BE151D" w:rsidP="00567BE9">
            <w:pPr>
              <w:spacing w:after="0" w:line="240" w:lineRule="auto"/>
              <w:jc w:val="right"/>
              <w:rPr>
                <w:rFonts w:eastAsia="Times New Roman"/>
                <w:color w:val="000000" w:themeColor="text1"/>
                <w:sz w:val="16"/>
                <w:szCs w:val="16"/>
              </w:rPr>
            </w:pPr>
            <w:r w:rsidRPr="00D14CD7">
              <w:rPr>
                <w:rFonts w:eastAsia="Times New Roman"/>
                <w:color w:val="000000" w:themeColor="text1"/>
                <w:sz w:val="16"/>
              </w:rPr>
              <w:t>—</w:t>
            </w:r>
          </w:p>
        </w:tc>
        <w:tc>
          <w:tcPr>
            <w:tcW w:w="185" w:type="pct"/>
            <w:tcBorders>
              <w:top w:val="single" w:sz="4" w:space="0" w:color="auto"/>
              <w:bottom w:val="double" w:sz="4" w:space="0" w:color="auto"/>
              <w:right w:val="single" w:sz="8" w:space="0" w:color="auto"/>
            </w:tcBorders>
            <w:shd w:val="clear" w:color="auto" w:fill="auto"/>
            <w:noWrap/>
            <w:vAlign w:val="center"/>
            <w:hideMark/>
          </w:tcPr>
          <w:p w14:paraId="31D9019A" w14:textId="77777777" w:rsidR="00BE151D" w:rsidRPr="00D14CD7" w:rsidRDefault="00BE151D" w:rsidP="00567BE9">
            <w:pPr>
              <w:spacing w:after="0" w:line="240" w:lineRule="auto"/>
              <w:jc w:val="right"/>
              <w:rPr>
                <w:rFonts w:eastAsia="Times New Roman"/>
                <w:color w:val="000000" w:themeColor="text1"/>
                <w:sz w:val="16"/>
                <w:szCs w:val="16"/>
              </w:rPr>
            </w:pPr>
            <w:r w:rsidRPr="00D14CD7">
              <w:rPr>
                <w:rFonts w:eastAsia="Times New Roman"/>
                <w:color w:val="000000" w:themeColor="text1"/>
                <w:sz w:val="16"/>
              </w:rPr>
              <w:t>—</w:t>
            </w:r>
          </w:p>
        </w:tc>
        <w:tc>
          <w:tcPr>
            <w:tcW w:w="185" w:type="pct"/>
            <w:tcBorders>
              <w:left w:val="single" w:sz="8" w:space="0" w:color="auto"/>
            </w:tcBorders>
            <w:shd w:val="clear" w:color="auto" w:fill="auto"/>
            <w:noWrap/>
            <w:vAlign w:val="center"/>
            <w:hideMark/>
          </w:tcPr>
          <w:p w14:paraId="6D1F37FA" w14:textId="77777777" w:rsidR="00BE151D" w:rsidRPr="00D14CD7" w:rsidRDefault="00BE151D" w:rsidP="00567BE9">
            <w:pPr>
              <w:spacing w:after="0" w:line="240" w:lineRule="auto"/>
              <w:jc w:val="right"/>
              <w:rPr>
                <w:rFonts w:eastAsia="Times New Roman"/>
                <w:color w:val="000000" w:themeColor="text1"/>
                <w:sz w:val="16"/>
                <w:szCs w:val="16"/>
              </w:rPr>
            </w:pPr>
            <w:r w:rsidRPr="00D14CD7">
              <w:rPr>
                <w:rFonts w:eastAsia="Times New Roman"/>
                <w:color w:val="000000" w:themeColor="text1"/>
                <w:sz w:val="16"/>
              </w:rPr>
              <w:t>—</w:t>
            </w:r>
          </w:p>
        </w:tc>
        <w:tc>
          <w:tcPr>
            <w:tcW w:w="185" w:type="pct"/>
            <w:tcBorders>
              <w:top w:val="single" w:sz="4" w:space="0" w:color="auto"/>
              <w:bottom w:val="double" w:sz="4" w:space="0" w:color="auto"/>
              <w:right w:val="single" w:sz="8" w:space="0" w:color="auto"/>
            </w:tcBorders>
            <w:shd w:val="clear" w:color="auto" w:fill="auto"/>
            <w:noWrap/>
            <w:vAlign w:val="center"/>
            <w:hideMark/>
          </w:tcPr>
          <w:p w14:paraId="61B35327" w14:textId="77777777" w:rsidR="00BE151D" w:rsidRPr="00D14CD7" w:rsidRDefault="00BE151D" w:rsidP="00567BE9">
            <w:pPr>
              <w:spacing w:after="0" w:line="240" w:lineRule="auto"/>
              <w:jc w:val="right"/>
              <w:rPr>
                <w:rFonts w:eastAsia="Times New Roman"/>
                <w:color w:val="000000" w:themeColor="text1"/>
                <w:sz w:val="16"/>
                <w:szCs w:val="16"/>
              </w:rPr>
            </w:pPr>
            <w:r w:rsidRPr="00D14CD7">
              <w:rPr>
                <w:rFonts w:eastAsia="Times New Roman"/>
                <w:color w:val="000000" w:themeColor="text1"/>
                <w:sz w:val="16"/>
              </w:rPr>
              <w:t>—</w:t>
            </w:r>
          </w:p>
        </w:tc>
        <w:tc>
          <w:tcPr>
            <w:tcW w:w="156" w:type="pct"/>
            <w:tcBorders>
              <w:left w:val="single" w:sz="8" w:space="0" w:color="auto"/>
            </w:tcBorders>
            <w:shd w:val="clear" w:color="auto" w:fill="auto"/>
            <w:noWrap/>
            <w:vAlign w:val="center"/>
            <w:hideMark/>
          </w:tcPr>
          <w:p w14:paraId="3789D736" w14:textId="77777777" w:rsidR="00BE151D" w:rsidRPr="00D14CD7" w:rsidRDefault="00BE151D" w:rsidP="00567BE9">
            <w:pPr>
              <w:spacing w:after="0" w:line="240" w:lineRule="auto"/>
              <w:jc w:val="right"/>
              <w:rPr>
                <w:rFonts w:eastAsia="Times New Roman"/>
                <w:color w:val="000000" w:themeColor="text1"/>
                <w:sz w:val="16"/>
                <w:szCs w:val="16"/>
              </w:rPr>
            </w:pPr>
            <w:proofErr w:type="spellStart"/>
            <w:r w:rsidRPr="00D14CD7">
              <w:rPr>
                <w:rFonts w:eastAsia="Times New Roman"/>
                <w:color w:val="000000" w:themeColor="text1"/>
                <w:sz w:val="16"/>
              </w:rPr>
              <w:t>na</w:t>
            </w:r>
            <w:proofErr w:type="spellEnd"/>
          </w:p>
        </w:tc>
        <w:tc>
          <w:tcPr>
            <w:tcW w:w="157" w:type="pct"/>
            <w:tcBorders>
              <w:right w:val="double" w:sz="4" w:space="0" w:color="auto"/>
            </w:tcBorders>
            <w:shd w:val="clear" w:color="auto" w:fill="auto"/>
            <w:noWrap/>
            <w:vAlign w:val="center"/>
            <w:hideMark/>
          </w:tcPr>
          <w:p w14:paraId="3E11F681" w14:textId="77777777" w:rsidR="00BE151D" w:rsidRPr="00D14CD7" w:rsidRDefault="00BE151D" w:rsidP="00567BE9">
            <w:pPr>
              <w:spacing w:after="0" w:line="240" w:lineRule="auto"/>
              <w:jc w:val="right"/>
              <w:rPr>
                <w:rFonts w:eastAsia="Times New Roman"/>
                <w:color w:val="000000" w:themeColor="text1"/>
                <w:sz w:val="16"/>
                <w:szCs w:val="16"/>
              </w:rPr>
            </w:pPr>
            <w:proofErr w:type="spellStart"/>
            <w:r w:rsidRPr="00D14CD7">
              <w:rPr>
                <w:rFonts w:eastAsia="Times New Roman"/>
                <w:color w:val="000000" w:themeColor="text1"/>
                <w:sz w:val="16"/>
              </w:rPr>
              <w:t>na</w:t>
            </w:r>
            <w:proofErr w:type="spellEnd"/>
          </w:p>
        </w:tc>
        <w:tc>
          <w:tcPr>
            <w:tcW w:w="187" w:type="pct"/>
            <w:tcBorders>
              <w:top w:val="single" w:sz="4" w:space="0" w:color="auto"/>
              <w:left w:val="double" w:sz="4" w:space="0" w:color="auto"/>
              <w:bottom w:val="double" w:sz="4" w:space="0" w:color="auto"/>
            </w:tcBorders>
            <w:shd w:val="clear" w:color="auto" w:fill="auto"/>
            <w:noWrap/>
            <w:vAlign w:val="bottom"/>
          </w:tcPr>
          <w:p w14:paraId="522A7C11" w14:textId="77777777" w:rsidR="00BE151D" w:rsidRPr="00D14CD7" w:rsidRDefault="00BE151D" w:rsidP="00567BE9">
            <w:pPr>
              <w:spacing w:after="0" w:line="240" w:lineRule="auto"/>
              <w:jc w:val="right"/>
              <w:rPr>
                <w:rFonts w:eastAsia="Times New Roman"/>
                <w:color w:val="000000" w:themeColor="text1"/>
                <w:sz w:val="16"/>
                <w:szCs w:val="16"/>
              </w:rPr>
            </w:pPr>
            <w:r w:rsidRPr="00D14CD7">
              <w:rPr>
                <w:color w:val="000000" w:themeColor="text1"/>
                <w:sz w:val="16"/>
                <w:szCs w:val="16"/>
              </w:rPr>
              <w:t>0.969</w:t>
            </w:r>
          </w:p>
        </w:tc>
        <w:tc>
          <w:tcPr>
            <w:tcW w:w="183" w:type="pct"/>
            <w:shd w:val="clear" w:color="auto" w:fill="auto"/>
            <w:noWrap/>
            <w:vAlign w:val="bottom"/>
          </w:tcPr>
          <w:p w14:paraId="42E683C6" w14:textId="77777777" w:rsidR="00BE151D" w:rsidRPr="00D14CD7" w:rsidRDefault="00BE151D" w:rsidP="00567BE9">
            <w:pPr>
              <w:spacing w:after="0" w:line="240" w:lineRule="auto"/>
              <w:jc w:val="right"/>
              <w:rPr>
                <w:rFonts w:eastAsia="Times New Roman"/>
                <w:color w:val="000000" w:themeColor="text1"/>
                <w:sz w:val="16"/>
                <w:szCs w:val="16"/>
              </w:rPr>
            </w:pPr>
            <w:r w:rsidRPr="00D14CD7">
              <w:rPr>
                <w:color w:val="000000" w:themeColor="text1"/>
                <w:sz w:val="16"/>
                <w:szCs w:val="16"/>
              </w:rPr>
              <w:t>1.63</w:t>
            </w:r>
          </w:p>
        </w:tc>
      </w:tr>
    </w:tbl>
    <w:p w14:paraId="7253C489" w14:textId="11D2638A" w:rsidR="00F90322" w:rsidRPr="00D14CD7" w:rsidRDefault="00F90322" w:rsidP="00A4347B">
      <w:pPr>
        <w:rPr>
          <w:color w:val="000000" w:themeColor="text1"/>
        </w:rPr>
      </w:pPr>
    </w:p>
    <w:p w14:paraId="644B40EE" w14:textId="101F7464" w:rsidR="00BE151D" w:rsidRPr="00D14CD7" w:rsidRDefault="00BE151D" w:rsidP="00BE151D">
      <w:pPr>
        <w:rPr>
          <w:color w:val="000000" w:themeColor="text1"/>
        </w:rPr>
      </w:pPr>
      <w:r w:rsidRPr="00D14CD7">
        <w:rPr>
          <w:b/>
          <w:color w:val="000000" w:themeColor="text1"/>
        </w:rPr>
        <w:t>Table A.1. Unlinked model estimation results (contd.)</w:t>
      </w:r>
    </w:p>
    <w:tbl>
      <w:tblPr>
        <w:tblW w:w="5000" w:type="pct"/>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CellMar>
          <w:left w:w="29" w:type="dxa"/>
          <w:right w:w="14" w:type="dxa"/>
        </w:tblCellMar>
        <w:tblLook w:val="04A0" w:firstRow="1" w:lastRow="0" w:firstColumn="1" w:lastColumn="0" w:noHBand="0" w:noVBand="1"/>
      </w:tblPr>
      <w:tblGrid>
        <w:gridCol w:w="4941"/>
        <w:gridCol w:w="625"/>
        <w:gridCol w:w="612"/>
        <w:gridCol w:w="540"/>
        <w:gridCol w:w="540"/>
        <w:gridCol w:w="540"/>
        <w:gridCol w:w="540"/>
        <w:gridCol w:w="540"/>
        <w:gridCol w:w="457"/>
        <w:gridCol w:w="543"/>
        <w:gridCol w:w="457"/>
        <w:gridCol w:w="537"/>
        <w:gridCol w:w="540"/>
        <w:gridCol w:w="540"/>
        <w:gridCol w:w="489"/>
        <w:gridCol w:w="497"/>
        <w:gridCol w:w="460"/>
        <w:gridCol w:w="535"/>
        <w:gridCol w:w="437"/>
      </w:tblGrid>
      <w:tr w:rsidR="00D14CD7" w:rsidRPr="00D14CD7" w14:paraId="4263395A" w14:textId="77777777" w:rsidTr="00AC40E4">
        <w:trPr>
          <w:trHeight w:val="260"/>
        </w:trPr>
        <w:tc>
          <w:tcPr>
            <w:tcW w:w="1719" w:type="pct"/>
            <w:vMerge w:val="restart"/>
            <w:tcBorders>
              <w:top w:val="double" w:sz="4" w:space="0" w:color="auto"/>
              <w:bottom w:val="single" w:sz="4" w:space="0" w:color="auto"/>
              <w:right w:val="double" w:sz="4" w:space="0" w:color="auto"/>
            </w:tcBorders>
            <w:shd w:val="clear" w:color="auto" w:fill="auto"/>
            <w:noWrap/>
            <w:vAlign w:val="center"/>
            <w:hideMark/>
          </w:tcPr>
          <w:p w14:paraId="10283784" w14:textId="77777777" w:rsidR="00BE151D" w:rsidRPr="00D14CD7" w:rsidRDefault="00BE151D" w:rsidP="00567BE9">
            <w:pPr>
              <w:spacing w:after="0" w:line="240" w:lineRule="auto"/>
              <w:rPr>
                <w:rFonts w:eastAsia="Times New Roman"/>
                <w:b/>
                <w:bCs/>
                <w:color w:val="000000" w:themeColor="text1"/>
                <w:sz w:val="16"/>
                <w:szCs w:val="16"/>
              </w:rPr>
            </w:pPr>
            <w:r w:rsidRPr="00D14CD7">
              <w:rPr>
                <w:rFonts w:eastAsia="Times New Roman"/>
                <w:b/>
                <w:bCs/>
                <w:color w:val="000000" w:themeColor="text1"/>
                <w:sz w:val="16"/>
              </w:rPr>
              <w:t>Variables</w:t>
            </w:r>
          </w:p>
        </w:tc>
        <w:tc>
          <w:tcPr>
            <w:tcW w:w="1529" w:type="pct"/>
            <w:gridSpan w:val="8"/>
            <w:tcBorders>
              <w:top w:val="double" w:sz="4" w:space="0" w:color="auto"/>
              <w:left w:val="double" w:sz="4" w:space="0" w:color="auto"/>
              <w:bottom w:val="single" w:sz="4" w:space="0" w:color="auto"/>
              <w:right w:val="double" w:sz="4" w:space="0" w:color="auto"/>
            </w:tcBorders>
            <w:shd w:val="clear" w:color="auto" w:fill="auto"/>
            <w:noWrap/>
            <w:vAlign w:val="center"/>
            <w:hideMark/>
          </w:tcPr>
          <w:p w14:paraId="71E6815E" w14:textId="77777777" w:rsidR="00BE151D" w:rsidRPr="00D14CD7" w:rsidRDefault="00BE151D" w:rsidP="00567BE9">
            <w:pPr>
              <w:spacing w:after="0" w:line="240" w:lineRule="auto"/>
              <w:jc w:val="center"/>
              <w:rPr>
                <w:rFonts w:eastAsia="Times New Roman"/>
                <w:b/>
                <w:bCs/>
                <w:color w:val="000000" w:themeColor="text1"/>
                <w:sz w:val="16"/>
                <w:szCs w:val="16"/>
              </w:rPr>
            </w:pPr>
            <w:r w:rsidRPr="00D14CD7">
              <w:rPr>
                <w:rFonts w:eastAsia="Times New Roman"/>
                <w:b/>
                <w:bCs/>
                <w:color w:val="000000" w:themeColor="text1"/>
                <w:sz w:val="16"/>
              </w:rPr>
              <w:t>Baseline Marginal Utility Component of MDC Model</w:t>
            </w:r>
          </w:p>
        </w:tc>
        <w:tc>
          <w:tcPr>
            <w:tcW w:w="1414" w:type="pct"/>
            <w:gridSpan w:val="8"/>
            <w:tcBorders>
              <w:top w:val="double" w:sz="4" w:space="0" w:color="auto"/>
              <w:left w:val="double" w:sz="4" w:space="0" w:color="auto"/>
              <w:bottom w:val="single" w:sz="4" w:space="0" w:color="auto"/>
              <w:right w:val="double" w:sz="4" w:space="0" w:color="auto"/>
            </w:tcBorders>
            <w:shd w:val="clear" w:color="auto" w:fill="auto"/>
            <w:noWrap/>
            <w:vAlign w:val="center"/>
            <w:hideMark/>
          </w:tcPr>
          <w:p w14:paraId="32FDD8C1" w14:textId="77777777" w:rsidR="00BE151D" w:rsidRPr="00D14CD7" w:rsidRDefault="00BE151D" w:rsidP="00567BE9">
            <w:pPr>
              <w:spacing w:after="0" w:line="240" w:lineRule="auto"/>
              <w:jc w:val="center"/>
              <w:rPr>
                <w:rFonts w:eastAsia="Times New Roman"/>
                <w:b/>
                <w:bCs/>
                <w:color w:val="000000" w:themeColor="text1"/>
                <w:sz w:val="16"/>
                <w:szCs w:val="16"/>
              </w:rPr>
            </w:pPr>
            <w:r w:rsidRPr="00D14CD7">
              <w:rPr>
                <w:rFonts w:eastAsia="Times New Roman"/>
                <w:b/>
                <w:bCs/>
                <w:color w:val="000000" w:themeColor="text1"/>
                <w:sz w:val="16"/>
              </w:rPr>
              <w:t>Satiation Component of MDC Model</w:t>
            </w:r>
          </w:p>
        </w:tc>
        <w:tc>
          <w:tcPr>
            <w:tcW w:w="338" w:type="pct"/>
            <w:gridSpan w:val="2"/>
            <w:tcBorders>
              <w:top w:val="double" w:sz="4" w:space="0" w:color="auto"/>
              <w:left w:val="double" w:sz="4" w:space="0" w:color="auto"/>
              <w:bottom w:val="single" w:sz="4" w:space="0" w:color="auto"/>
            </w:tcBorders>
            <w:shd w:val="clear" w:color="auto" w:fill="auto"/>
            <w:noWrap/>
            <w:vAlign w:val="center"/>
            <w:hideMark/>
          </w:tcPr>
          <w:p w14:paraId="4F712347" w14:textId="77777777" w:rsidR="00BE151D" w:rsidRPr="00D14CD7" w:rsidRDefault="00BE151D" w:rsidP="00567BE9">
            <w:pPr>
              <w:spacing w:after="0" w:line="240" w:lineRule="auto"/>
              <w:jc w:val="center"/>
              <w:rPr>
                <w:rFonts w:eastAsia="Times New Roman"/>
                <w:b/>
                <w:bCs/>
                <w:color w:val="000000" w:themeColor="text1"/>
                <w:sz w:val="16"/>
                <w:szCs w:val="16"/>
              </w:rPr>
            </w:pPr>
            <w:r w:rsidRPr="00D14CD7">
              <w:rPr>
                <w:rFonts w:eastAsia="Times New Roman"/>
                <w:b/>
                <w:bCs/>
                <w:color w:val="000000" w:themeColor="text1"/>
                <w:sz w:val="16"/>
              </w:rPr>
              <w:t>Count Model</w:t>
            </w:r>
          </w:p>
        </w:tc>
      </w:tr>
      <w:tr w:rsidR="00D14CD7" w:rsidRPr="00D14CD7" w14:paraId="0934F3AD" w14:textId="77777777" w:rsidTr="00AC40E4">
        <w:trPr>
          <w:trHeight w:val="206"/>
        </w:trPr>
        <w:tc>
          <w:tcPr>
            <w:tcW w:w="1719" w:type="pct"/>
            <w:vMerge/>
            <w:tcBorders>
              <w:top w:val="single" w:sz="4" w:space="0" w:color="auto"/>
              <w:bottom w:val="single" w:sz="4" w:space="0" w:color="auto"/>
              <w:right w:val="double" w:sz="4" w:space="0" w:color="auto"/>
            </w:tcBorders>
            <w:vAlign w:val="center"/>
            <w:hideMark/>
          </w:tcPr>
          <w:p w14:paraId="739C1460" w14:textId="77777777" w:rsidR="00BE151D" w:rsidRPr="00D14CD7" w:rsidRDefault="00BE151D" w:rsidP="00567BE9">
            <w:pPr>
              <w:spacing w:after="0" w:line="240" w:lineRule="auto"/>
              <w:rPr>
                <w:rFonts w:eastAsia="Times New Roman"/>
                <w:b/>
                <w:bCs/>
                <w:color w:val="000000" w:themeColor="text1"/>
                <w:sz w:val="16"/>
                <w:szCs w:val="16"/>
              </w:rPr>
            </w:pPr>
          </w:p>
        </w:tc>
        <w:tc>
          <w:tcPr>
            <w:tcW w:w="430" w:type="pct"/>
            <w:gridSpan w:val="2"/>
            <w:tcBorders>
              <w:top w:val="single" w:sz="4" w:space="0" w:color="auto"/>
              <w:left w:val="double" w:sz="4" w:space="0" w:color="auto"/>
              <w:bottom w:val="single" w:sz="4" w:space="0" w:color="auto"/>
            </w:tcBorders>
            <w:shd w:val="clear" w:color="auto" w:fill="auto"/>
            <w:noWrap/>
            <w:vAlign w:val="center"/>
            <w:hideMark/>
          </w:tcPr>
          <w:p w14:paraId="45C6892E" w14:textId="77777777" w:rsidR="00BE151D" w:rsidRPr="00D14CD7" w:rsidRDefault="00BE151D" w:rsidP="00567BE9">
            <w:pPr>
              <w:spacing w:after="0" w:line="240" w:lineRule="auto"/>
              <w:jc w:val="center"/>
              <w:rPr>
                <w:rFonts w:eastAsia="Times New Roman"/>
                <w:b/>
                <w:bCs/>
                <w:color w:val="000000" w:themeColor="text1"/>
                <w:sz w:val="16"/>
                <w:szCs w:val="16"/>
              </w:rPr>
            </w:pPr>
            <w:r w:rsidRPr="00D14CD7">
              <w:rPr>
                <w:rFonts w:eastAsia="Times New Roman"/>
                <w:b/>
                <w:bCs/>
                <w:color w:val="000000" w:themeColor="text1"/>
                <w:sz w:val="16"/>
              </w:rPr>
              <w:t>QSR</w:t>
            </w:r>
          </w:p>
        </w:tc>
        <w:tc>
          <w:tcPr>
            <w:tcW w:w="376" w:type="pct"/>
            <w:gridSpan w:val="2"/>
            <w:tcBorders>
              <w:top w:val="single" w:sz="4" w:space="0" w:color="auto"/>
              <w:bottom w:val="single" w:sz="4" w:space="0" w:color="auto"/>
            </w:tcBorders>
            <w:shd w:val="clear" w:color="auto" w:fill="auto"/>
            <w:noWrap/>
            <w:vAlign w:val="center"/>
            <w:hideMark/>
          </w:tcPr>
          <w:p w14:paraId="6C898F89" w14:textId="77777777" w:rsidR="00BE151D" w:rsidRPr="00D14CD7" w:rsidRDefault="00BE151D" w:rsidP="00567BE9">
            <w:pPr>
              <w:spacing w:after="0" w:line="240" w:lineRule="auto"/>
              <w:jc w:val="center"/>
              <w:rPr>
                <w:rFonts w:eastAsia="Times New Roman"/>
                <w:b/>
                <w:bCs/>
                <w:color w:val="000000" w:themeColor="text1"/>
                <w:sz w:val="16"/>
                <w:szCs w:val="16"/>
              </w:rPr>
            </w:pPr>
            <w:r w:rsidRPr="00D14CD7">
              <w:rPr>
                <w:rFonts w:eastAsia="Times New Roman"/>
                <w:b/>
                <w:bCs/>
                <w:color w:val="000000" w:themeColor="text1"/>
                <w:sz w:val="16"/>
              </w:rPr>
              <w:t>CH</w:t>
            </w:r>
          </w:p>
        </w:tc>
        <w:tc>
          <w:tcPr>
            <w:tcW w:w="376" w:type="pct"/>
            <w:gridSpan w:val="2"/>
            <w:tcBorders>
              <w:top w:val="single" w:sz="4" w:space="0" w:color="auto"/>
              <w:bottom w:val="single" w:sz="4" w:space="0" w:color="auto"/>
            </w:tcBorders>
            <w:shd w:val="clear" w:color="auto" w:fill="auto"/>
            <w:noWrap/>
            <w:vAlign w:val="center"/>
            <w:hideMark/>
          </w:tcPr>
          <w:p w14:paraId="74547533" w14:textId="77777777" w:rsidR="00BE151D" w:rsidRPr="00D14CD7" w:rsidRDefault="00BE151D" w:rsidP="00567BE9">
            <w:pPr>
              <w:spacing w:after="0" w:line="240" w:lineRule="auto"/>
              <w:jc w:val="center"/>
              <w:rPr>
                <w:rFonts w:eastAsia="Times New Roman"/>
                <w:b/>
                <w:bCs/>
                <w:color w:val="000000" w:themeColor="text1"/>
                <w:sz w:val="16"/>
                <w:szCs w:val="16"/>
              </w:rPr>
            </w:pPr>
            <w:r w:rsidRPr="00D14CD7">
              <w:rPr>
                <w:rFonts w:eastAsia="Times New Roman"/>
                <w:b/>
                <w:bCs/>
                <w:color w:val="000000" w:themeColor="text1"/>
                <w:sz w:val="16"/>
              </w:rPr>
              <w:t>CSR</w:t>
            </w:r>
          </w:p>
        </w:tc>
        <w:tc>
          <w:tcPr>
            <w:tcW w:w="347" w:type="pct"/>
            <w:gridSpan w:val="2"/>
            <w:tcBorders>
              <w:top w:val="single" w:sz="4" w:space="0" w:color="auto"/>
              <w:bottom w:val="single" w:sz="4" w:space="0" w:color="auto"/>
              <w:right w:val="double" w:sz="4" w:space="0" w:color="auto"/>
            </w:tcBorders>
            <w:shd w:val="clear" w:color="auto" w:fill="auto"/>
            <w:noWrap/>
            <w:vAlign w:val="center"/>
            <w:hideMark/>
          </w:tcPr>
          <w:p w14:paraId="67211E3C" w14:textId="77777777" w:rsidR="00BE151D" w:rsidRPr="00D14CD7" w:rsidRDefault="00BE151D" w:rsidP="00567BE9">
            <w:pPr>
              <w:spacing w:after="0" w:line="240" w:lineRule="auto"/>
              <w:jc w:val="center"/>
              <w:rPr>
                <w:rFonts w:eastAsia="Times New Roman"/>
                <w:b/>
                <w:bCs/>
                <w:color w:val="000000" w:themeColor="text1"/>
                <w:sz w:val="16"/>
                <w:szCs w:val="16"/>
              </w:rPr>
            </w:pPr>
            <w:r w:rsidRPr="00D14CD7">
              <w:rPr>
                <w:rFonts w:eastAsia="Times New Roman"/>
                <w:b/>
                <w:bCs/>
                <w:color w:val="000000" w:themeColor="text1"/>
                <w:sz w:val="16"/>
              </w:rPr>
              <w:t>FSR</w:t>
            </w:r>
          </w:p>
        </w:tc>
        <w:tc>
          <w:tcPr>
            <w:tcW w:w="348" w:type="pct"/>
            <w:gridSpan w:val="2"/>
            <w:tcBorders>
              <w:top w:val="single" w:sz="4" w:space="0" w:color="auto"/>
              <w:left w:val="double" w:sz="4" w:space="0" w:color="auto"/>
              <w:bottom w:val="single" w:sz="4" w:space="0" w:color="auto"/>
            </w:tcBorders>
            <w:shd w:val="clear" w:color="auto" w:fill="auto"/>
            <w:noWrap/>
            <w:vAlign w:val="center"/>
            <w:hideMark/>
          </w:tcPr>
          <w:p w14:paraId="7C91D59C" w14:textId="77777777" w:rsidR="00BE151D" w:rsidRPr="00D14CD7" w:rsidRDefault="00BE151D" w:rsidP="00567BE9">
            <w:pPr>
              <w:spacing w:after="0" w:line="240" w:lineRule="auto"/>
              <w:jc w:val="center"/>
              <w:rPr>
                <w:rFonts w:eastAsia="Times New Roman"/>
                <w:b/>
                <w:bCs/>
                <w:color w:val="000000" w:themeColor="text1"/>
                <w:sz w:val="16"/>
                <w:szCs w:val="16"/>
              </w:rPr>
            </w:pPr>
            <w:r w:rsidRPr="00D14CD7">
              <w:rPr>
                <w:rFonts w:eastAsia="Times New Roman"/>
                <w:b/>
                <w:bCs/>
                <w:color w:val="000000" w:themeColor="text1"/>
                <w:sz w:val="16"/>
              </w:rPr>
              <w:t>QSR</w:t>
            </w:r>
          </w:p>
        </w:tc>
        <w:tc>
          <w:tcPr>
            <w:tcW w:w="375" w:type="pct"/>
            <w:gridSpan w:val="2"/>
            <w:tcBorders>
              <w:top w:val="single" w:sz="4" w:space="0" w:color="auto"/>
              <w:bottom w:val="single" w:sz="4" w:space="0" w:color="auto"/>
            </w:tcBorders>
            <w:shd w:val="clear" w:color="auto" w:fill="auto"/>
            <w:noWrap/>
            <w:vAlign w:val="center"/>
            <w:hideMark/>
          </w:tcPr>
          <w:p w14:paraId="01BCBE82" w14:textId="77777777" w:rsidR="00BE151D" w:rsidRPr="00D14CD7" w:rsidRDefault="00BE151D" w:rsidP="00567BE9">
            <w:pPr>
              <w:spacing w:after="0" w:line="240" w:lineRule="auto"/>
              <w:jc w:val="center"/>
              <w:rPr>
                <w:rFonts w:eastAsia="Times New Roman"/>
                <w:b/>
                <w:bCs/>
                <w:color w:val="000000" w:themeColor="text1"/>
                <w:sz w:val="16"/>
                <w:szCs w:val="16"/>
              </w:rPr>
            </w:pPr>
            <w:r w:rsidRPr="00D14CD7">
              <w:rPr>
                <w:rFonts w:eastAsia="Times New Roman"/>
                <w:b/>
                <w:bCs/>
                <w:color w:val="000000" w:themeColor="text1"/>
                <w:sz w:val="16"/>
              </w:rPr>
              <w:t>CH</w:t>
            </w:r>
          </w:p>
        </w:tc>
        <w:tc>
          <w:tcPr>
            <w:tcW w:w="358" w:type="pct"/>
            <w:gridSpan w:val="2"/>
            <w:tcBorders>
              <w:top w:val="single" w:sz="4" w:space="0" w:color="auto"/>
              <w:bottom w:val="single" w:sz="4" w:space="0" w:color="auto"/>
            </w:tcBorders>
            <w:shd w:val="clear" w:color="auto" w:fill="auto"/>
            <w:noWrap/>
            <w:vAlign w:val="center"/>
            <w:hideMark/>
          </w:tcPr>
          <w:p w14:paraId="40E52604" w14:textId="77777777" w:rsidR="00BE151D" w:rsidRPr="00D14CD7" w:rsidRDefault="00BE151D" w:rsidP="00567BE9">
            <w:pPr>
              <w:spacing w:after="0" w:line="240" w:lineRule="auto"/>
              <w:jc w:val="center"/>
              <w:rPr>
                <w:rFonts w:eastAsia="Times New Roman"/>
                <w:b/>
                <w:bCs/>
                <w:color w:val="000000" w:themeColor="text1"/>
                <w:sz w:val="16"/>
                <w:szCs w:val="16"/>
              </w:rPr>
            </w:pPr>
            <w:r w:rsidRPr="00D14CD7">
              <w:rPr>
                <w:rFonts w:eastAsia="Times New Roman"/>
                <w:b/>
                <w:bCs/>
                <w:color w:val="000000" w:themeColor="text1"/>
                <w:sz w:val="16"/>
              </w:rPr>
              <w:t>CSR</w:t>
            </w:r>
          </w:p>
        </w:tc>
        <w:tc>
          <w:tcPr>
            <w:tcW w:w="333" w:type="pct"/>
            <w:gridSpan w:val="2"/>
            <w:tcBorders>
              <w:top w:val="single" w:sz="4" w:space="0" w:color="auto"/>
              <w:bottom w:val="single" w:sz="4" w:space="0" w:color="auto"/>
              <w:right w:val="double" w:sz="4" w:space="0" w:color="auto"/>
            </w:tcBorders>
            <w:shd w:val="clear" w:color="auto" w:fill="auto"/>
            <w:noWrap/>
            <w:vAlign w:val="center"/>
            <w:hideMark/>
          </w:tcPr>
          <w:p w14:paraId="31F0486A" w14:textId="77777777" w:rsidR="00BE151D" w:rsidRPr="00D14CD7" w:rsidRDefault="00BE151D" w:rsidP="00567BE9">
            <w:pPr>
              <w:spacing w:after="0" w:line="240" w:lineRule="auto"/>
              <w:jc w:val="center"/>
              <w:rPr>
                <w:rFonts w:eastAsia="Times New Roman"/>
                <w:b/>
                <w:bCs/>
                <w:color w:val="000000" w:themeColor="text1"/>
                <w:sz w:val="16"/>
                <w:szCs w:val="16"/>
              </w:rPr>
            </w:pPr>
            <w:r w:rsidRPr="00D14CD7">
              <w:rPr>
                <w:rFonts w:eastAsia="Times New Roman"/>
                <w:b/>
                <w:bCs/>
                <w:color w:val="000000" w:themeColor="text1"/>
                <w:sz w:val="16"/>
              </w:rPr>
              <w:t>FSR</w:t>
            </w:r>
          </w:p>
        </w:tc>
        <w:tc>
          <w:tcPr>
            <w:tcW w:w="338" w:type="pct"/>
            <w:gridSpan w:val="2"/>
            <w:tcBorders>
              <w:top w:val="single" w:sz="4" w:space="0" w:color="auto"/>
              <w:left w:val="double" w:sz="4" w:space="0" w:color="auto"/>
              <w:bottom w:val="single" w:sz="4" w:space="0" w:color="auto"/>
            </w:tcBorders>
            <w:shd w:val="clear" w:color="auto" w:fill="auto"/>
            <w:noWrap/>
            <w:vAlign w:val="center"/>
            <w:hideMark/>
          </w:tcPr>
          <w:p w14:paraId="6A16D6A2" w14:textId="77777777" w:rsidR="00BE151D" w:rsidRPr="00D14CD7" w:rsidRDefault="00BE151D" w:rsidP="00567BE9">
            <w:pPr>
              <w:spacing w:after="0" w:line="240" w:lineRule="auto"/>
              <w:jc w:val="center"/>
              <w:rPr>
                <w:rFonts w:eastAsia="Times New Roman"/>
                <w:b/>
                <w:bCs/>
                <w:color w:val="000000" w:themeColor="text1"/>
                <w:sz w:val="16"/>
                <w:szCs w:val="16"/>
              </w:rPr>
            </w:pPr>
            <w:r w:rsidRPr="00D14CD7">
              <w:rPr>
                <w:rFonts w:eastAsia="Times New Roman"/>
                <w:b/>
                <w:bCs/>
                <w:color w:val="000000" w:themeColor="text1"/>
                <w:sz w:val="16"/>
              </w:rPr>
              <w:t>Eat out</w:t>
            </w:r>
          </w:p>
        </w:tc>
      </w:tr>
      <w:tr w:rsidR="00D14CD7" w:rsidRPr="00D14CD7" w14:paraId="1779AE68" w14:textId="77777777" w:rsidTr="00AC40E4">
        <w:trPr>
          <w:trHeight w:val="432"/>
        </w:trPr>
        <w:tc>
          <w:tcPr>
            <w:tcW w:w="1719" w:type="pct"/>
            <w:vMerge/>
            <w:tcBorders>
              <w:top w:val="single" w:sz="4" w:space="0" w:color="auto"/>
              <w:bottom w:val="double" w:sz="4" w:space="0" w:color="auto"/>
              <w:right w:val="double" w:sz="4" w:space="0" w:color="auto"/>
            </w:tcBorders>
            <w:vAlign w:val="center"/>
            <w:hideMark/>
          </w:tcPr>
          <w:p w14:paraId="4F74D9C3" w14:textId="77777777" w:rsidR="00BE151D" w:rsidRPr="00D14CD7" w:rsidRDefault="00BE151D" w:rsidP="00567BE9">
            <w:pPr>
              <w:spacing w:after="0" w:line="240" w:lineRule="auto"/>
              <w:rPr>
                <w:rFonts w:eastAsia="Times New Roman"/>
                <w:b/>
                <w:bCs/>
                <w:color w:val="000000" w:themeColor="text1"/>
                <w:sz w:val="16"/>
                <w:szCs w:val="16"/>
              </w:rPr>
            </w:pPr>
          </w:p>
        </w:tc>
        <w:tc>
          <w:tcPr>
            <w:tcW w:w="217" w:type="pct"/>
            <w:tcBorders>
              <w:top w:val="single" w:sz="4" w:space="0" w:color="auto"/>
              <w:left w:val="double" w:sz="4" w:space="0" w:color="auto"/>
              <w:bottom w:val="double" w:sz="4" w:space="0" w:color="auto"/>
            </w:tcBorders>
            <w:shd w:val="clear" w:color="auto" w:fill="auto"/>
            <w:noWrap/>
            <w:textDirection w:val="btLr"/>
            <w:vAlign w:val="center"/>
            <w:hideMark/>
          </w:tcPr>
          <w:p w14:paraId="50D2E43B" w14:textId="77777777" w:rsidR="00BE151D" w:rsidRPr="00D14CD7" w:rsidRDefault="00BE151D" w:rsidP="00567BE9">
            <w:pPr>
              <w:spacing w:after="0" w:line="240" w:lineRule="auto"/>
              <w:jc w:val="center"/>
              <w:rPr>
                <w:rFonts w:eastAsia="Times New Roman"/>
                <w:b/>
                <w:bCs/>
                <w:color w:val="000000" w:themeColor="text1"/>
                <w:sz w:val="16"/>
                <w:szCs w:val="16"/>
              </w:rPr>
            </w:pPr>
            <w:r w:rsidRPr="00D14CD7">
              <w:rPr>
                <w:rFonts w:eastAsia="Times New Roman"/>
                <w:b/>
                <w:bCs/>
                <w:color w:val="000000" w:themeColor="text1"/>
                <w:sz w:val="16"/>
              </w:rPr>
              <w:t>Coef.</w:t>
            </w:r>
          </w:p>
        </w:tc>
        <w:tc>
          <w:tcPr>
            <w:tcW w:w="213" w:type="pct"/>
            <w:tcBorders>
              <w:top w:val="single" w:sz="4" w:space="0" w:color="auto"/>
              <w:bottom w:val="double" w:sz="4" w:space="0" w:color="auto"/>
            </w:tcBorders>
            <w:shd w:val="clear" w:color="auto" w:fill="auto"/>
            <w:noWrap/>
            <w:textDirection w:val="btLr"/>
            <w:vAlign w:val="center"/>
            <w:hideMark/>
          </w:tcPr>
          <w:p w14:paraId="458A95D5" w14:textId="77777777" w:rsidR="00BE151D" w:rsidRPr="00D14CD7" w:rsidRDefault="00BE151D" w:rsidP="00567BE9">
            <w:pPr>
              <w:spacing w:after="0" w:line="240" w:lineRule="auto"/>
              <w:jc w:val="center"/>
              <w:rPr>
                <w:rFonts w:eastAsia="Times New Roman"/>
                <w:b/>
                <w:bCs/>
                <w:color w:val="000000" w:themeColor="text1"/>
                <w:sz w:val="16"/>
                <w:szCs w:val="16"/>
              </w:rPr>
            </w:pPr>
            <w:r w:rsidRPr="00D14CD7">
              <w:rPr>
                <w:rFonts w:eastAsia="Times New Roman"/>
                <w:b/>
                <w:bCs/>
                <w:color w:val="000000" w:themeColor="text1"/>
                <w:sz w:val="16"/>
              </w:rPr>
              <w:t>t-stat</w:t>
            </w:r>
            <w:r w:rsidRPr="00D14CD7">
              <w:rPr>
                <w:rFonts w:eastAsia="Times New Roman"/>
                <w:b/>
                <w:bCs/>
                <w:color w:val="000000" w:themeColor="text1"/>
                <w:sz w:val="16"/>
                <w:szCs w:val="16"/>
              </w:rPr>
              <w:t> </w:t>
            </w:r>
          </w:p>
        </w:tc>
        <w:tc>
          <w:tcPr>
            <w:tcW w:w="188" w:type="pct"/>
            <w:tcBorders>
              <w:top w:val="single" w:sz="4" w:space="0" w:color="auto"/>
              <w:bottom w:val="double" w:sz="4" w:space="0" w:color="auto"/>
            </w:tcBorders>
            <w:shd w:val="clear" w:color="auto" w:fill="auto"/>
            <w:noWrap/>
            <w:textDirection w:val="btLr"/>
            <w:vAlign w:val="center"/>
            <w:hideMark/>
          </w:tcPr>
          <w:p w14:paraId="70A2E385" w14:textId="77777777" w:rsidR="00BE151D" w:rsidRPr="00D14CD7" w:rsidRDefault="00BE151D" w:rsidP="00567BE9">
            <w:pPr>
              <w:spacing w:after="0" w:line="240" w:lineRule="auto"/>
              <w:jc w:val="center"/>
              <w:rPr>
                <w:rFonts w:eastAsia="Times New Roman"/>
                <w:b/>
                <w:bCs/>
                <w:color w:val="000000" w:themeColor="text1"/>
                <w:sz w:val="16"/>
                <w:szCs w:val="16"/>
              </w:rPr>
            </w:pPr>
            <w:r w:rsidRPr="00D14CD7">
              <w:rPr>
                <w:rFonts w:eastAsia="Times New Roman"/>
                <w:b/>
                <w:bCs/>
                <w:color w:val="000000" w:themeColor="text1"/>
                <w:sz w:val="16"/>
              </w:rPr>
              <w:t>Coef.</w:t>
            </w:r>
          </w:p>
        </w:tc>
        <w:tc>
          <w:tcPr>
            <w:tcW w:w="188" w:type="pct"/>
            <w:tcBorders>
              <w:top w:val="single" w:sz="4" w:space="0" w:color="auto"/>
              <w:bottom w:val="double" w:sz="4" w:space="0" w:color="auto"/>
            </w:tcBorders>
            <w:shd w:val="clear" w:color="auto" w:fill="auto"/>
            <w:noWrap/>
            <w:textDirection w:val="btLr"/>
            <w:vAlign w:val="center"/>
            <w:hideMark/>
          </w:tcPr>
          <w:p w14:paraId="33FF48AC" w14:textId="77777777" w:rsidR="00BE151D" w:rsidRPr="00D14CD7" w:rsidRDefault="00BE151D" w:rsidP="00567BE9">
            <w:pPr>
              <w:spacing w:after="0" w:line="240" w:lineRule="auto"/>
              <w:jc w:val="center"/>
              <w:rPr>
                <w:rFonts w:eastAsia="Times New Roman"/>
                <w:b/>
                <w:bCs/>
                <w:color w:val="000000" w:themeColor="text1"/>
                <w:sz w:val="16"/>
                <w:szCs w:val="16"/>
              </w:rPr>
            </w:pPr>
            <w:r w:rsidRPr="00D14CD7">
              <w:rPr>
                <w:rFonts w:eastAsia="Times New Roman"/>
                <w:b/>
                <w:bCs/>
                <w:color w:val="000000" w:themeColor="text1"/>
                <w:sz w:val="16"/>
              </w:rPr>
              <w:t>t-stat</w:t>
            </w:r>
          </w:p>
        </w:tc>
        <w:tc>
          <w:tcPr>
            <w:tcW w:w="188" w:type="pct"/>
            <w:tcBorders>
              <w:top w:val="single" w:sz="4" w:space="0" w:color="auto"/>
              <w:bottom w:val="double" w:sz="4" w:space="0" w:color="auto"/>
            </w:tcBorders>
            <w:shd w:val="clear" w:color="auto" w:fill="auto"/>
            <w:noWrap/>
            <w:textDirection w:val="btLr"/>
            <w:vAlign w:val="center"/>
            <w:hideMark/>
          </w:tcPr>
          <w:p w14:paraId="6393C2ED" w14:textId="77777777" w:rsidR="00BE151D" w:rsidRPr="00D14CD7" w:rsidRDefault="00BE151D" w:rsidP="00567BE9">
            <w:pPr>
              <w:spacing w:after="0" w:line="240" w:lineRule="auto"/>
              <w:jc w:val="center"/>
              <w:rPr>
                <w:rFonts w:eastAsia="Times New Roman"/>
                <w:b/>
                <w:bCs/>
                <w:color w:val="000000" w:themeColor="text1"/>
                <w:sz w:val="16"/>
                <w:szCs w:val="16"/>
              </w:rPr>
            </w:pPr>
            <w:r w:rsidRPr="00D14CD7">
              <w:rPr>
                <w:rFonts w:eastAsia="Times New Roman"/>
                <w:b/>
                <w:bCs/>
                <w:color w:val="000000" w:themeColor="text1"/>
                <w:sz w:val="16"/>
              </w:rPr>
              <w:t>Coef.</w:t>
            </w:r>
          </w:p>
        </w:tc>
        <w:tc>
          <w:tcPr>
            <w:tcW w:w="188" w:type="pct"/>
            <w:tcBorders>
              <w:top w:val="single" w:sz="4" w:space="0" w:color="auto"/>
              <w:bottom w:val="double" w:sz="4" w:space="0" w:color="auto"/>
            </w:tcBorders>
            <w:shd w:val="clear" w:color="auto" w:fill="auto"/>
            <w:noWrap/>
            <w:textDirection w:val="btLr"/>
            <w:vAlign w:val="center"/>
            <w:hideMark/>
          </w:tcPr>
          <w:p w14:paraId="36A9F323" w14:textId="77777777" w:rsidR="00BE151D" w:rsidRPr="00D14CD7" w:rsidRDefault="00BE151D" w:rsidP="00567BE9">
            <w:pPr>
              <w:spacing w:after="0" w:line="240" w:lineRule="auto"/>
              <w:jc w:val="center"/>
              <w:rPr>
                <w:rFonts w:eastAsia="Times New Roman"/>
                <w:b/>
                <w:bCs/>
                <w:color w:val="000000" w:themeColor="text1"/>
                <w:sz w:val="16"/>
                <w:szCs w:val="16"/>
              </w:rPr>
            </w:pPr>
            <w:r w:rsidRPr="00D14CD7">
              <w:rPr>
                <w:rFonts w:eastAsia="Times New Roman"/>
                <w:b/>
                <w:bCs/>
                <w:color w:val="000000" w:themeColor="text1"/>
                <w:sz w:val="16"/>
              </w:rPr>
              <w:t>t-stat</w:t>
            </w:r>
          </w:p>
        </w:tc>
        <w:tc>
          <w:tcPr>
            <w:tcW w:w="188" w:type="pct"/>
            <w:tcBorders>
              <w:top w:val="single" w:sz="4" w:space="0" w:color="auto"/>
              <w:bottom w:val="double" w:sz="4" w:space="0" w:color="auto"/>
            </w:tcBorders>
            <w:shd w:val="clear" w:color="auto" w:fill="auto"/>
            <w:noWrap/>
            <w:textDirection w:val="btLr"/>
            <w:vAlign w:val="center"/>
            <w:hideMark/>
          </w:tcPr>
          <w:p w14:paraId="30E154EA" w14:textId="77777777" w:rsidR="00BE151D" w:rsidRPr="00D14CD7" w:rsidRDefault="00BE151D" w:rsidP="00567BE9">
            <w:pPr>
              <w:spacing w:after="0" w:line="240" w:lineRule="auto"/>
              <w:jc w:val="center"/>
              <w:rPr>
                <w:rFonts w:eastAsia="Times New Roman"/>
                <w:b/>
                <w:bCs/>
                <w:color w:val="000000" w:themeColor="text1"/>
                <w:sz w:val="16"/>
                <w:szCs w:val="16"/>
              </w:rPr>
            </w:pPr>
            <w:r w:rsidRPr="00D14CD7">
              <w:rPr>
                <w:rFonts w:eastAsia="Times New Roman"/>
                <w:b/>
                <w:bCs/>
                <w:color w:val="000000" w:themeColor="text1"/>
                <w:sz w:val="16"/>
              </w:rPr>
              <w:t>Coef.</w:t>
            </w:r>
          </w:p>
        </w:tc>
        <w:tc>
          <w:tcPr>
            <w:tcW w:w="159" w:type="pct"/>
            <w:tcBorders>
              <w:top w:val="single" w:sz="4" w:space="0" w:color="auto"/>
              <w:bottom w:val="double" w:sz="4" w:space="0" w:color="auto"/>
              <w:right w:val="double" w:sz="4" w:space="0" w:color="auto"/>
            </w:tcBorders>
            <w:shd w:val="clear" w:color="auto" w:fill="auto"/>
            <w:noWrap/>
            <w:textDirection w:val="btLr"/>
            <w:vAlign w:val="center"/>
            <w:hideMark/>
          </w:tcPr>
          <w:p w14:paraId="4F836E9F" w14:textId="77777777" w:rsidR="00BE151D" w:rsidRPr="00D14CD7" w:rsidRDefault="00BE151D" w:rsidP="00567BE9">
            <w:pPr>
              <w:spacing w:after="0" w:line="240" w:lineRule="auto"/>
              <w:jc w:val="center"/>
              <w:rPr>
                <w:rFonts w:eastAsia="Times New Roman"/>
                <w:b/>
                <w:bCs/>
                <w:color w:val="000000" w:themeColor="text1"/>
                <w:sz w:val="16"/>
                <w:szCs w:val="16"/>
              </w:rPr>
            </w:pPr>
            <w:r w:rsidRPr="00D14CD7">
              <w:rPr>
                <w:rFonts w:eastAsia="Times New Roman"/>
                <w:b/>
                <w:bCs/>
                <w:color w:val="000000" w:themeColor="text1"/>
                <w:sz w:val="16"/>
              </w:rPr>
              <w:t>t-stat</w:t>
            </w:r>
          </w:p>
        </w:tc>
        <w:tc>
          <w:tcPr>
            <w:tcW w:w="189" w:type="pct"/>
            <w:tcBorders>
              <w:top w:val="single" w:sz="4" w:space="0" w:color="auto"/>
              <w:left w:val="double" w:sz="4" w:space="0" w:color="auto"/>
              <w:bottom w:val="double" w:sz="4" w:space="0" w:color="auto"/>
            </w:tcBorders>
            <w:shd w:val="clear" w:color="auto" w:fill="auto"/>
            <w:noWrap/>
            <w:textDirection w:val="btLr"/>
            <w:vAlign w:val="center"/>
            <w:hideMark/>
          </w:tcPr>
          <w:p w14:paraId="0037ACE5" w14:textId="77777777" w:rsidR="00BE151D" w:rsidRPr="00D14CD7" w:rsidRDefault="00BE151D" w:rsidP="00567BE9">
            <w:pPr>
              <w:spacing w:after="0" w:line="240" w:lineRule="auto"/>
              <w:jc w:val="center"/>
              <w:rPr>
                <w:rFonts w:eastAsia="Times New Roman"/>
                <w:b/>
                <w:bCs/>
                <w:color w:val="000000" w:themeColor="text1"/>
                <w:sz w:val="16"/>
                <w:szCs w:val="16"/>
              </w:rPr>
            </w:pPr>
            <w:r w:rsidRPr="00D14CD7">
              <w:rPr>
                <w:rFonts w:eastAsia="Times New Roman"/>
                <w:b/>
                <w:bCs/>
                <w:color w:val="000000" w:themeColor="text1"/>
                <w:sz w:val="16"/>
              </w:rPr>
              <w:t>Coef.</w:t>
            </w:r>
          </w:p>
        </w:tc>
        <w:tc>
          <w:tcPr>
            <w:tcW w:w="159" w:type="pct"/>
            <w:tcBorders>
              <w:top w:val="single" w:sz="4" w:space="0" w:color="auto"/>
              <w:bottom w:val="double" w:sz="4" w:space="0" w:color="auto"/>
            </w:tcBorders>
            <w:shd w:val="clear" w:color="auto" w:fill="auto"/>
            <w:noWrap/>
            <w:textDirection w:val="btLr"/>
            <w:vAlign w:val="center"/>
            <w:hideMark/>
          </w:tcPr>
          <w:p w14:paraId="72F08C94" w14:textId="77777777" w:rsidR="00BE151D" w:rsidRPr="00D14CD7" w:rsidRDefault="00BE151D" w:rsidP="00567BE9">
            <w:pPr>
              <w:spacing w:after="0" w:line="240" w:lineRule="auto"/>
              <w:jc w:val="center"/>
              <w:rPr>
                <w:rFonts w:eastAsia="Times New Roman"/>
                <w:b/>
                <w:bCs/>
                <w:color w:val="000000" w:themeColor="text1"/>
                <w:sz w:val="16"/>
                <w:szCs w:val="16"/>
              </w:rPr>
            </w:pPr>
            <w:r w:rsidRPr="00D14CD7">
              <w:rPr>
                <w:rFonts w:eastAsia="Times New Roman"/>
                <w:b/>
                <w:bCs/>
                <w:color w:val="000000" w:themeColor="text1"/>
                <w:sz w:val="16"/>
              </w:rPr>
              <w:t>t-stat</w:t>
            </w:r>
          </w:p>
        </w:tc>
        <w:tc>
          <w:tcPr>
            <w:tcW w:w="187" w:type="pct"/>
            <w:tcBorders>
              <w:top w:val="single" w:sz="4" w:space="0" w:color="auto"/>
              <w:bottom w:val="double" w:sz="4" w:space="0" w:color="auto"/>
            </w:tcBorders>
            <w:shd w:val="clear" w:color="auto" w:fill="auto"/>
            <w:noWrap/>
            <w:textDirection w:val="btLr"/>
            <w:vAlign w:val="center"/>
            <w:hideMark/>
          </w:tcPr>
          <w:p w14:paraId="114DFD3C" w14:textId="77777777" w:rsidR="00BE151D" w:rsidRPr="00D14CD7" w:rsidRDefault="00BE151D" w:rsidP="00567BE9">
            <w:pPr>
              <w:spacing w:after="0" w:line="240" w:lineRule="auto"/>
              <w:jc w:val="center"/>
              <w:rPr>
                <w:rFonts w:eastAsia="Times New Roman"/>
                <w:b/>
                <w:bCs/>
                <w:color w:val="000000" w:themeColor="text1"/>
                <w:sz w:val="16"/>
                <w:szCs w:val="16"/>
              </w:rPr>
            </w:pPr>
            <w:r w:rsidRPr="00D14CD7">
              <w:rPr>
                <w:rFonts w:eastAsia="Times New Roman"/>
                <w:b/>
                <w:bCs/>
                <w:color w:val="000000" w:themeColor="text1"/>
                <w:sz w:val="16"/>
              </w:rPr>
              <w:t>Coef.</w:t>
            </w:r>
          </w:p>
        </w:tc>
        <w:tc>
          <w:tcPr>
            <w:tcW w:w="188" w:type="pct"/>
            <w:tcBorders>
              <w:top w:val="single" w:sz="4" w:space="0" w:color="auto"/>
              <w:bottom w:val="double" w:sz="4" w:space="0" w:color="auto"/>
            </w:tcBorders>
            <w:shd w:val="clear" w:color="auto" w:fill="auto"/>
            <w:noWrap/>
            <w:textDirection w:val="btLr"/>
            <w:vAlign w:val="center"/>
            <w:hideMark/>
          </w:tcPr>
          <w:p w14:paraId="77F8A536" w14:textId="77777777" w:rsidR="00BE151D" w:rsidRPr="00D14CD7" w:rsidRDefault="00BE151D" w:rsidP="00567BE9">
            <w:pPr>
              <w:spacing w:after="0" w:line="240" w:lineRule="auto"/>
              <w:jc w:val="center"/>
              <w:rPr>
                <w:rFonts w:eastAsia="Times New Roman"/>
                <w:b/>
                <w:bCs/>
                <w:color w:val="000000" w:themeColor="text1"/>
                <w:sz w:val="16"/>
                <w:szCs w:val="16"/>
              </w:rPr>
            </w:pPr>
            <w:r w:rsidRPr="00D14CD7">
              <w:rPr>
                <w:rFonts w:eastAsia="Times New Roman"/>
                <w:b/>
                <w:bCs/>
                <w:color w:val="000000" w:themeColor="text1"/>
                <w:sz w:val="16"/>
              </w:rPr>
              <w:t>t-stat</w:t>
            </w:r>
          </w:p>
        </w:tc>
        <w:tc>
          <w:tcPr>
            <w:tcW w:w="188" w:type="pct"/>
            <w:tcBorders>
              <w:top w:val="single" w:sz="4" w:space="0" w:color="auto"/>
              <w:bottom w:val="double" w:sz="4" w:space="0" w:color="auto"/>
            </w:tcBorders>
            <w:shd w:val="clear" w:color="auto" w:fill="auto"/>
            <w:noWrap/>
            <w:textDirection w:val="btLr"/>
            <w:vAlign w:val="center"/>
            <w:hideMark/>
          </w:tcPr>
          <w:p w14:paraId="18E6EE39" w14:textId="77777777" w:rsidR="00BE151D" w:rsidRPr="00D14CD7" w:rsidRDefault="00BE151D" w:rsidP="00567BE9">
            <w:pPr>
              <w:spacing w:after="0" w:line="240" w:lineRule="auto"/>
              <w:jc w:val="center"/>
              <w:rPr>
                <w:rFonts w:eastAsia="Times New Roman"/>
                <w:b/>
                <w:bCs/>
                <w:color w:val="000000" w:themeColor="text1"/>
                <w:sz w:val="16"/>
                <w:szCs w:val="16"/>
              </w:rPr>
            </w:pPr>
            <w:r w:rsidRPr="00D14CD7">
              <w:rPr>
                <w:rFonts w:eastAsia="Times New Roman"/>
                <w:b/>
                <w:bCs/>
                <w:color w:val="000000" w:themeColor="text1"/>
                <w:sz w:val="16"/>
              </w:rPr>
              <w:t>Coef.</w:t>
            </w:r>
          </w:p>
        </w:tc>
        <w:tc>
          <w:tcPr>
            <w:tcW w:w="170" w:type="pct"/>
            <w:tcBorders>
              <w:top w:val="single" w:sz="4" w:space="0" w:color="auto"/>
              <w:bottom w:val="double" w:sz="4" w:space="0" w:color="auto"/>
            </w:tcBorders>
            <w:shd w:val="clear" w:color="auto" w:fill="auto"/>
            <w:noWrap/>
            <w:textDirection w:val="btLr"/>
            <w:vAlign w:val="center"/>
            <w:hideMark/>
          </w:tcPr>
          <w:p w14:paraId="6E4DBFDE" w14:textId="77777777" w:rsidR="00BE151D" w:rsidRPr="00D14CD7" w:rsidRDefault="00BE151D" w:rsidP="00567BE9">
            <w:pPr>
              <w:spacing w:after="0" w:line="240" w:lineRule="auto"/>
              <w:jc w:val="center"/>
              <w:rPr>
                <w:rFonts w:eastAsia="Times New Roman"/>
                <w:b/>
                <w:bCs/>
                <w:color w:val="000000" w:themeColor="text1"/>
                <w:sz w:val="16"/>
                <w:szCs w:val="16"/>
              </w:rPr>
            </w:pPr>
            <w:r w:rsidRPr="00D14CD7">
              <w:rPr>
                <w:rFonts w:eastAsia="Times New Roman"/>
                <w:b/>
                <w:bCs/>
                <w:color w:val="000000" w:themeColor="text1"/>
                <w:sz w:val="16"/>
              </w:rPr>
              <w:t>t-stat</w:t>
            </w:r>
          </w:p>
        </w:tc>
        <w:tc>
          <w:tcPr>
            <w:tcW w:w="173" w:type="pct"/>
            <w:tcBorders>
              <w:top w:val="single" w:sz="4" w:space="0" w:color="auto"/>
              <w:bottom w:val="double" w:sz="4" w:space="0" w:color="auto"/>
            </w:tcBorders>
            <w:shd w:val="clear" w:color="auto" w:fill="auto"/>
            <w:noWrap/>
            <w:textDirection w:val="btLr"/>
            <w:vAlign w:val="center"/>
            <w:hideMark/>
          </w:tcPr>
          <w:p w14:paraId="37C6AC92" w14:textId="77777777" w:rsidR="00BE151D" w:rsidRPr="00D14CD7" w:rsidRDefault="00BE151D" w:rsidP="00567BE9">
            <w:pPr>
              <w:spacing w:after="0" w:line="240" w:lineRule="auto"/>
              <w:jc w:val="center"/>
              <w:rPr>
                <w:rFonts w:eastAsia="Times New Roman"/>
                <w:b/>
                <w:bCs/>
                <w:color w:val="000000" w:themeColor="text1"/>
                <w:sz w:val="16"/>
                <w:szCs w:val="16"/>
              </w:rPr>
            </w:pPr>
            <w:r w:rsidRPr="00D14CD7">
              <w:rPr>
                <w:rFonts w:eastAsia="Times New Roman"/>
                <w:b/>
                <w:bCs/>
                <w:color w:val="000000" w:themeColor="text1"/>
                <w:sz w:val="16"/>
              </w:rPr>
              <w:t>Coef.</w:t>
            </w:r>
          </w:p>
        </w:tc>
        <w:tc>
          <w:tcPr>
            <w:tcW w:w="160" w:type="pct"/>
            <w:tcBorders>
              <w:top w:val="single" w:sz="4" w:space="0" w:color="auto"/>
              <w:bottom w:val="double" w:sz="4" w:space="0" w:color="auto"/>
              <w:right w:val="double" w:sz="4" w:space="0" w:color="auto"/>
            </w:tcBorders>
            <w:shd w:val="clear" w:color="auto" w:fill="auto"/>
            <w:noWrap/>
            <w:textDirection w:val="btLr"/>
            <w:vAlign w:val="center"/>
            <w:hideMark/>
          </w:tcPr>
          <w:p w14:paraId="5BD73FDE" w14:textId="77777777" w:rsidR="00BE151D" w:rsidRPr="00D14CD7" w:rsidRDefault="00BE151D" w:rsidP="00567BE9">
            <w:pPr>
              <w:spacing w:after="0" w:line="240" w:lineRule="auto"/>
              <w:jc w:val="center"/>
              <w:rPr>
                <w:rFonts w:eastAsia="Times New Roman"/>
                <w:b/>
                <w:bCs/>
                <w:color w:val="000000" w:themeColor="text1"/>
                <w:sz w:val="16"/>
                <w:szCs w:val="16"/>
              </w:rPr>
            </w:pPr>
            <w:r w:rsidRPr="00D14CD7">
              <w:rPr>
                <w:rFonts w:eastAsia="Times New Roman"/>
                <w:b/>
                <w:bCs/>
                <w:color w:val="000000" w:themeColor="text1"/>
                <w:sz w:val="16"/>
              </w:rPr>
              <w:t>t-stat</w:t>
            </w:r>
          </w:p>
        </w:tc>
        <w:tc>
          <w:tcPr>
            <w:tcW w:w="186" w:type="pct"/>
            <w:tcBorders>
              <w:top w:val="single" w:sz="4" w:space="0" w:color="auto"/>
              <w:left w:val="double" w:sz="4" w:space="0" w:color="auto"/>
              <w:bottom w:val="double" w:sz="4" w:space="0" w:color="auto"/>
            </w:tcBorders>
            <w:shd w:val="clear" w:color="auto" w:fill="auto"/>
            <w:noWrap/>
            <w:textDirection w:val="btLr"/>
            <w:vAlign w:val="center"/>
            <w:hideMark/>
          </w:tcPr>
          <w:p w14:paraId="6BBA17E4" w14:textId="77777777" w:rsidR="00BE151D" w:rsidRPr="00D14CD7" w:rsidRDefault="00BE151D" w:rsidP="00567BE9">
            <w:pPr>
              <w:spacing w:after="0" w:line="240" w:lineRule="auto"/>
              <w:jc w:val="center"/>
              <w:rPr>
                <w:rFonts w:eastAsia="Times New Roman"/>
                <w:b/>
                <w:bCs/>
                <w:color w:val="000000" w:themeColor="text1"/>
                <w:sz w:val="16"/>
                <w:szCs w:val="16"/>
              </w:rPr>
            </w:pPr>
            <w:r w:rsidRPr="00D14CD7">
              <w:rPr>
                <w:rFonts w:eastAsia="Times New Roman"/>
                <w:b/>
                <w:bCs/>
                <w:color w:val="000000" w:themeColor="text1"/>
                <w:sz w:val="16"/>
              </w:rPr>
              <w:t>Coef.</w:t>
            </w:r>
          </w:p>
        </w:tc>
        <w:tc>
          <w:tcPr>
            <w:tcW w:w="152" w:type="pct"/>
            <w:tcBorders>
              <w:top w:val="single" w:sz="4" w:space="0" w:color="auto"/>
              <w:bottom w:val="double" w:sz="4" w:space="0" w:color="auto"/>
            </w:tcBorders>
            <w:shd w:val="clear" w:color="auto" w:fill="auto"/>
            <w:noWrap/>
            <w:textDirection w:val="btLr"/>
            <w:vAlign w:val="center"/>
            <w:hideMark/>
          </w:tcPr>
          <w:p w14:paraId="5D33636A" w14:textId="77777777" w:rsidR="00BE151D" w:rsidRPr="00D14CD7" w:rsidRDefault="00BE151D" w:rsidP="00567BE9">
            <w:pPr>
              <w:spacing w:after="0" w:line="240" w:lineRule="auto"/>
              <w:jc w:val="center"/>
              <w:rPr>
                <w:rFonts w:eastAsia="Times New Roman"/>
                <w:b/>
                <w:bCs/>
                <w:color w:val="000000" w:themeColor="text1"/>
                <w:sz w:val="16"/>
                <w:szCs w:val="16"/>
              </w:rPr>
            </w:pPr>
            <w:r w:rsidRPr="00D14CD7">
              <w:rPr>
                <w:rFonts w:eastAsia="Times New Roman"/>
                <w:b/>
                <w:bCs/>
                <w:color w:val="000000" w:themeColor="text1"/>
                <w:sz w:val="16"/>
              </w:rPr>
              <w:t>t-stat</w:t>
            </w:r>
          </w:p>
        </w:tc>
      </w:tr>
      <w:tr w:rsidR="00D14CD7" w:rsidRPr="00D14CD7" w14:paraId="3C0AC5F8" w14:textId="77777777" w:rsidTr="00D14CD7">
        <w:trPr>
          <w:trHeight w:val="72"/>
        </w:trPr>
        <w:tc>
          <w:tcPr>
            <w:tcW w:w="5000" w:type="pct"/>
            <w:gridSpan w:val="19"/>
            <w:tcBorders>
              <w:top w:val="double" w:sz="4" w:space="0" w:color="auto"/>
              <w:bottom w:val="single" w:sz="8" w:space="0" w:color="auto"/>
            </w:tcBorders>
            <w:shd w:val="clear" w:color="auto" w:fill="auto"/>
            <w:noWrap/>
            <w:vAlign w:val="center"/>
            <w:hideMark/>
          </w:tcPr>
          <w:p w14:paraId="3224778A" w14:textId="77777777" w:rsidR="00BE151D" w:rsidRPr="00D14CD7" w:rsidRDefault="00BE151D" w:rsidP="00567BE9">
            <w:pPr>
              <w:spacing w:after="0" w:line="240" w:lineRule="auto"/>
              <w:rPr>
                <w:rFonts w:eastAsia="Times New Roman"/>
                <w:color w:val="000000" w:themeColor="text1"/>
                <w:sz w:val="20"/>
                <w:szCs w:val="20"/>
              </w:rPr>
            </w:pPr>
            <w:r w:rsidRPr="00D14CD7">
              <w:rPr>
                <w:rFonts w:eastAsia="Times New Roman"/>
                <w:b/>
                <w:bCs/>
                <w:color w:val="000000" w:themeColor="text1"/>
                <w:sz w:val="16"/>
                <w:szCs w:val="16"/>
              </w:rPr>
              <w:t>Exogenous Variables</w:t>
            </w:r>
          </w:p>
        </w:tc>
      </w:tr>
      <w:tr w:rsidR="00D14CD7" w:rsidRPr="00D14CD7" w14:paraId="7C010300" w14:textId="77777777" w:rsidTr="00D14CD7">
        <w:trPr>
          <w:trHeight w:val="72"/>
        </w:trPr>
        <w:tc>
          <w:tcPr>
            <w:tcW w:w="5000" w:type="pct"/>
            <w:gridSpan w:val="19"/>
            <w:tcBorders>
              <w:top w:val="single" w:sz="8" w:space="0" w:color="auto"/>
              <w:bottom w:val="single" w:sz="4" w:space="0" w:color="auto"/>
            </w:tcBorders>
            <w:shd w:val="clear" w:color="auto" w:fill="auto"/>
            <w:noWrap/>
            <w:vAlign w:val="center"/>
            <w:hideMark/>
          </w:tcPr>
          <w:p w14:paraId="045996F6" w14:textId="77777777" w:rsidR="00BE151D" w:rsidRPr="00D14CD7" w:rsidRDefault="00BE151D" w:rsidP="00567BE9">
            <w:pPr>
              <w:spacing w:after="0" w:line="240" w:lineRule="auto"/>
              <w:rPr>
                <w:rFonts w:eastAsia="Times New Roman"/>
                <w:color w:val="000000" w:themeColor="text1"/>
                <w:sz w:val="20"/>
                <w:szCs w:val="20"/>
              </w:rPr>
            </w:pPr>
            <w:r w:rsidRPr="00D14CD7">
              <w:rPr>
                <w:rFonts w:eastAsia="Times New Roman"/>
                <w:b/>
                <w:bCs/>
                <w:i/>
                <w:iCs/>
                <w:color w:val="000000" w:themeColor="text1"/>
                <w:sz w:val="16"/>
                <w:szCs w:val="16"/>
              </w:rPr>
              <w:t>COVID-19 Perspectives</w:t>
            </w:r>
          </w:p>
        </w:tc>
      </w:tr>
      <w:tr w:rsidR="00D14CD7" w:rsidRPr="00D14CD7" w14:paraId="367B224B" w14:textId="77777777" w:rsidTr="00AC40E4">
        <w:trPr>
          <w:trHeight w:val="72"/>
        </w:trPr>
        <w:tc>
          <w:tcPr>
            <w:tcW w:w="1719" w:type="pct"/>
            <w:tcBorders>
              <w:top w:val="single" w:sz="4" w:space="0" w:color="auto"/>
              <w:bottom w:val="single" w:sz="4" w:space="0" w:color="auto"/>
              <w:right w:val="double" w:sz="4" w:space="0" w:color="auto"/>
            </w:tcBorders>
            <w:shd w:val="clear" w:color="auto" w:fill="auto"/>
            <w:noWrap/>
            <w:vAlign w:val="center"/>
          </w:tcPr>
          <w:p w14:paraId="4DDD1A93" w14:textId="1120645F" w:rsidR="00BE151D" w:rsidRPr="00D14CD7" w:rsidRDefault="00BE151D" w:rsidP="008D36F7">
            <w:pPr>
              <w:spacing w:after="0" w:line="240" w:lineRule="auto"/>
              <w:ind w:firstLineChars="100" w:firstLine="160"/>
              <w:jc w:val="left"/>
              <w:rPr>
                <w:rFonts w:eastAsia="Times New Roman"/>
                <w:color w:val="000000" w:themeColor="text1"/>
                <w:sz w:val="16"/>
                <w:szCs w:val="16"/>
              </w:rPr>
            </w:pPr>
            <w:r w:rsidRPr="00D14CD7">
              <w:rPr>
                <w:rFonts w:eastAsia="Times New Roman"/>
                <w:color w:val="000000" w:themeColor="text1"/>
                <w:sz w:val="16"/>
                <w:szCs w:val="16"/>
              </w:rPr>
              <w:t xml:space="preserve">I or </w:t>
            </w:r>
            <w:r w:rsidR="004A7AFD">
              <w:rPr>
                <w:rFonts w:eastAsia="Times New Roman"/>
                <w:color w:val="000000" w:themeColor="text1"/>
                <w:sz w:val="16"/>
                <w:szCs w:val="16"/>
              </w:rPr>
              <w:t>s</w:t>
            </w:r>
            <w:r w:rsidRPr="00D14CD7">
              <w:rPr>
                <w:rFonts w:eastAsia="Times New Roman"/>
                <w:color w:val="000000" w:themeColor="text1"/>
                <w:sz w:val="16"/>
                <w:szCs w:val="16"/>
              </w:rPr>
              <w:t>omeone I live with or frequently visit is immunocompromised</w:t>
            </w:r>
          </w:p>
        </w:tc>
        <w:tc>
          <w:tcPr>
            <w:tcW w:w="217" w:type="pct"/>
            <w:tcBorders>
              <w:left w:val="double" w:sz="4" w:space="0" w:color="auto"/>
            </w:tcBorders>
            <w:shd w:val="clear" w:color="auto" w:fill="auto"/>
            <w:noWrap/>
            <w:vAlign w:val="center"/>
          </w:tcPr>
          <w:p w14:paraId="365151BE" w14:textId="77777777" w:rsidR="00BE151D" w:rsidRPr="00D14CD7" w:rsidRDefault="00BE151D" w:rsidP="00567BE9">
            <w:pPr>
              <w:spacing w:after="0" w:line="240" w:lineRule="auto"/>
              <w:jc w:val="right"/>
              <w:rPr>
                <w:rFonts w:eastAsia="Times New Roman"/>
                <w:color w:val="000000" w:themeColor="text1"/>
                <w:sz w:val="16"/>
                <w:szCs w:val="16"/>
              </w:rPr>
            </w:pPr>
            <w:r w:rsidRPr="00D14CD7">
              <w:rPr>
                <w:rFonts w:eastAsia="Times New Roman"/>
                <w:color w:val="000000" w:themeColor="text1"/>
                <w:sz w:val="16"/>
                <w:szCs w:val="16"/>
              </w:rPr>
              <w:t>—</w:t>
            </w:r>
          </w:p>
        </w:tc>
        <w:tc>
          <w:tcPr>
            <w:tcW w:w="213" w:type="pct"/>
            <w:shd w:val="clear" w:color="auto" w:fill="auto"/>
            <w:noWrap/>
            <w:vAlign w:val="center"/>
          </w:tcPr>
          <w:p w14:paraId="68B9C5C8" w14:textId="77777777" w:rsidR="00BE151D" w:rsidRPr="00D14CD7" w:rsidRDefault="00BE151D" w:rsidP="00567BE9">
            <w:pPr>
              <w:spacing w:after="0" w:line="240" w:lineRule="auto"/>
              <w:jc w:val="right"/>
              <w:rPr>
                <w:rFonts w:eastAsia="Times New Roman"/>
                <w:color w:val="000000" w:themeColor="text1"/>
                <w:sz w:val="16"/>
                <w:szCs w:val="16"/>
              </w:rPr>
            </w:pPr>
            <w:r w:rsidRPr="00D14CD7">
              <w:rPr>
                <w:rFonts w:eastAsia="Times New Roman"/>
                <w:color w:val="000000" w:themeColor="text1"/>
                <w:sz w:val="16"/>
                <w:szCs w:val="16"/>
              </w:rPr>
              <w:t>—</w:t>
            </w:r>
          </w:p>
        </w:tc>
        <w:tc>
          <w:tcPr>
            <w:tcW w:w="188" w:type="pct"/>
            <w:shd w:val="clear" w:color="auto" w:fill="auto"/>
            <w:noWrap/>
            <w:vAlign w:val="bottom"/>
          </w:tcPr>
          <w:p w14:paraId="39E568BE" w14:textId="77777777" w:rsidR="00BE151D" w:rsidRPr="00D14CD7" w:rsidRDefault="00BE151D" w:rsidP="00567BE9">
            <w:pPr>
              <w:spacing w:after="0" w:line="240" w:lineRule="auto"/>
              <w:jc w:val="right"/>
              <w:rPr>
                <w:rFonts w:eastAsia="Times New Roman"/>
                <w:color w:val="000000" w:themeColor="text1"/>
                <w:sz w:val="16"/>
                <w:szCs w:val="16"/>
              </w:rPr>
            </w:pPr>
            <w:r w:rsidRPr="00D14CD7">
              <w:rPr>
                <w:color w:val="000000" w:themeColor="text1"/>
                <w:sz w:val="16"/>
                <w:szCs w:val="16"/>
              </w:rPr>
              <w:t>-0.942</w:t>
            </w:r>
          </w:p>
        </w:tc>
        <w:tc>
          <w:tcPr>
            <w:tcW w:w="188" w:type="pct"/>
            <w:shd w:val="clear" w:color="auto" w:fill="auto"/>
            <w:noWrap/>
            <w:vAlign w:val="bottom"/>
          </w:tcPr>
          <w:p w14:paraId="30F007C2" w14:textId="77777777" w:rsidR="00BE151D" w:rsidRPr="00D14CD7" w:rsidRDefault="00BE151D" w:rsidP="00567BE9">
            <w:pPr>
              <w:spacing w:after="0" w:line="240" w:lineRule="auto"/>
              <w:jc w:val="right"/>
              <w:rPr>
                <w:rFonts w:eastAsia="Times New Roman"/>
                <w:color w:val="000000" w:themeColor="text1"/>
                <w:sz w:val="16"/>
                <w:szCs w:val="16"/>
              </w:rPr>
            </w:pPr>
            <w:r w:rsidRPr="00D14CD7">
              <w:rPr>
                <w:color w:val="000000" w:themeColor="text1"/>
                <w:sz w:val="16"/>
                <w:szCs w:val="16"/>
              </w:rPr>
              <w:t>-9.89</w:t>
            </w:r>
          </w:p>
        </w:tc>
        <w:tc>
          <w:tcPr>
            <w:tcW w:w="188" w:type="pct"/>
            <w:shd w:val="clear" w:color="auto" w:fill="auto"/>
            <w:noWrap/>
            <w:vAlign w:val="center"/>
          </w:tcPr>
          <w:p w14:paraId="036662F0" w14:textId="77777777" w:rsidR="00BE151D" w:rsidRPr="00D14CD7" w:rsidRDefault="00BE151D" w:rsidP="00567BE9">
            <w:pPr>
              <w:spacing w:after="0" w:line="240" w:lineRule="auto"/>
              <w:jc w:val="right"/>
              <w:rPr>
                <w:rFonts w:eastAsia="Times New Roman"/>
                <w:color w:val="000000" w:themeColor="text1"/>
                <w:sz w:val="16"/>
                <w:szCs w:val="16"/>
              </w:rPr>
            </w:pPr>
            <w:r w:rsidRPr="00D14CD7">
              <w:rPr>
                <w:rFonts w:eastAsia="Times New Roman"/>
                <w:color w:val="000000" w:themeColor="text1"/>
                <w:sz w:val="16"/>
                <w:szCs w:val="16"/>
              </w:rPr>
              <w:t>—</w:t>
            </w:r>
          </w:p>
        </w:tc>
        <w:tc>
          <w:tcPr>
            <w:tcW w:w="188" w:type="pct"/>
            <w:shd w:val="clear" w:color="auto" w:fill="auto"/>
            <w:noWrap/>
            <w:vAlign w:val="center"/>
          </w:tcPr>
          <w:p w14:paraId="09EE5347" w14:textId="77777777" w:rsidR="00BE151D" w:rsidRPr="00D14CD7" w:rsidRDefault="00BE151D" w:rsidP="00567BE9">
            <w:pPr>
              <w:spacing w:after="0" w:line="240" w:lineRule="auto"/>
              <w:jc w:val="right"/>
              <w:rPr>
                <w:rFonts w:eastAsia="Times New Roman"/>
                <w:color w:val="000000" w:themeColor="text1"/>
                <w:sz w:val="16"/>
                <w:szCs w:val="16"/>
              </w:rPr>
            </w:pPr>
            <w:r w:rsidRPr="00D14CD7">
              <w:rPr>
                <w:rFonts w:eastAsia="Times New Roman"/>
                <w:color w:val="000000" w:themeColor="text1"/>
                <w:sz w:val="16"/>
                <w:szCs w:val="16"/>
              </w:rPr>
              <w:t>—</w:t>
            </w:r>
          </w:p>
        </w:tc>
        <w:tc>
          <w:tcPr>
            <w:tcW w:w="188" w:type="pct"/>
            <w:shd w:val="clear" w:color="auto" w:fill="auto"/>
            <w:noWrap/>
            <w:vAlign w:val="center"/>
          </w:tcPr>
          <w:p w14:paraId="16FD8637" w14:textId="77777777" w:rsidR="00BE151D" w:rsidRPr="00D14CD7" w:rsidRDefault="00BE151D" w:rsidP="00567BE9">
            <w:pPr>
              <w:spacing w:after="0" w:line="240" w:lineRule="auto"/>
              <w:jc w:val="right"/>
              <w:rPr>
                <w:rFonts w:eastAsia="Times New Roman"/>
                <w:color w:val="000000" w:themeColor="text1"/>
                <w:sz w:val="16"/>
                <w:szCs w:val="16"/>
              </w:rPr>
            </w:pPr>
            <w:proofErr w:type="spellStart"/>
            <w:r w:rsidRPr="00D14CD7">
              <w:rPr>
                <w:rFonts w:eastAsia="Times New Roman"/>
                <w:color w:val="000000" w:themeColor="text1"/>
                <w:sz w:val="16"/>
                <w:szCs w:val="16"/>
              </w:rPr>
              <w:t>na</w:t>
            </w:r>
            <w:proofErr w:type="spellEnd"/>
          </w:p>
        </w:tc>
        <w:tc>
          <w:tcPr>
            <w:tcW w:w="159" w:type="pct"/>
            <w:tcBorders>
              <w:right w:val="double" w:sz="4" w:space="0" w:color="auto"/>
            </w:tcBorders>
            <w:shd w:val="clear" w:color="auto" w:fill="auto"/>
            <w:noWrap/>
            <w:vAlign w:val="center"/>
          </w:tcPr>
          <w:p w14:paraId="1712A108" w14:textId="77777777" w:rsidR="00BE151D" w:rsidRPr="00D14CD7" w:rsidRDefault="00BE151D" w:rsidP="00567BE9">
            <w:pPr>
              <w:spacing w:after="0" w:line="240" w:lineRule="auto"/>
              <w:jc w:val="right"/>
              <w:rPr>
                <w:rFonts w:eastAsia="Times New Roman"/>
                <w:color w:val="000000" w:themeColor="text1"/>
                <w:sz w:val="16"/>
                <w:szCs w:val="16"/>
              </w:rPr>
            </w:pPr>
            <w:proofErr w:type="spellStart"/>
            <w:r w:rsidRPr="00D14CD7">
              <w:rPr>
                <w:rFonts w:eastAsia="Times New Roman"/>
                <w:color w:val="000000" w:themeColor="text1"/>
                <w:sz w:val="16"/>
                <w:szCs w:val="16"/>
              </w:rPr>
              <w:t>na</w:t>
            </w:r>
            <w:proofErr w:type="spellEnd"/>
          </w:p>
        </w:tc>
        <w:tc>
          <w:tcPr>
            <w:tcW w:w="189" w:type="pct"/>
            <w:tcBorders>
              <w:top w:val="single" w:sz="4" w:space="0" w:color="auto"/>
              <w:left w:val="double" w:sz="4" w:space="0" w:color="auto"/>
              <w:bottom w:val="single" w:sz="4" w:space="0" w:color="auto"/>
            </w:tcBorders>
            <w:shd w:val="clear" w:color="auto" w:fill="auto"/>
            <w:noWrap/>
            <w:vAlign w:val="center"/>
          </w:tcPr>
          <w:p w14:paraId="40B87A76" w14:textId="77777777" w:rsidR="00BE151D" w:rsidRPr="00D14CD7" w:rsidRDefault="00BE151D" w:rsidP="00567BE9">
            <w:pPr>
              <w:spacing w:after="0" w:line="240" w:lineRule="auto"/>
              <w:jc w:val="right"/>
              <w:rPr>
                <w:rFonts w:eastAsia="Times New Roman"/>
                <w:color w:val="000000" w:themeColor="text1"/>
                <w:sz w:val="16"/>
                <w:szCs w:val="16"/>
              </w:rPr>
            </w:pPr>
            <w:r w:rsidRPr="00D14CD7">
              <w:rPr>
                <w:rFonts w:eastAsia="Times New Roman"/>
                <w:color w:val="000000" w:themeColor="text1"/>
                <w:sz w:val="16"/>
                <w:szCs w:val="16"/>
              </w:rPr>
              <w:t>—</w:t>
            </w:r>
          </w:p>
        </w:tc>
        <w:tc>
          <w:tcPr>
            <w:tcW w:w="159" w:type="pct"/>
            <w:tcBorders>
              <w:top w:val="single" w:sz="4" w:space="0" w:color="auto"/>
              <w:bottom w:val="single" w:sz="4" w:space="0" w:color="auto"/>
            </w:tcBorders>
            <w:shd w:val="clear" w:color="auto" w:fill="auto"/>
            <w:noWrap/>
            <w:vAlign w:val="center"/>
          </w:tcPr>
          <w:p w14:paraId="003ED072" w14:textId="77777777" w:rsidR="00BE151D" w:rsidRPr="00D14CD7" w:rsidRDefault="00BE151D" w:rsidP="00567BE9">
            <w:pPr>
              <w:spacing w:after="0" w:line="240" w:lineRule="auto"/>
              <w:jc w:val="right"/>
              <w:rPr>
                <w:rFonts w:eastAsia="Times New Roman"/>
                <w:color w:val="000000" w:themeColor="text1"/>
                <w:sz w:val="16"/>
                <w:szCs w:val="16"/>
              </w:rPr>
            </w:pPr>
            <w:r w:rsidRPr="00D14CD7">
              <w:rPr>
                <w:rFonts w:eastAsia="Times New Roman"/>
                <w:color w:val="000000" w:themeColor="text1"/>
                <w:sz w:val="16"/>
                <w:szCs w:val="16"/>
              </w:rPr>
              <w:t>—</w:t>
            </w:r>
          </w:p>
        </w:tc>
        <w:tc>
          <w:tcPr>
            <w:tcW w:w="187" w:type="pct"/>
            <w:tcBorders>
              <w:top w:val="single" w:sz="4" w:space="0" w:color="auto"/>
              <w:bottom w:val="single" w:sz="4" w:space="0" w:color="auto"/>
            </w:tcBorders>
            <w:shd w:val="clear" w:color="auto" w:fill="auto"/>
            <w:noWrap/>
            <w:vAlign w:val="center"/>
          </w:tcPr>
          <w:p w14:paraId="04CF5526" w14:textId="77777777" w:rsidR="00BE151D" w:rsidRPr="00D14CD7" w:rsidRDefault="00BE151D" w:rsidP="00567BE9">
            <w:pPr>
              <w:spacing w:after="0" w:line="240" w:lineRule="auto"/>
              <w:jc w:val="right"/>
              <w:rPr>
                <w:rFonts w:eastAsia="Times New Roman"/>
                <w:color w:val="000000" w:themeColor="text1"/>
                <w:sz w:val="16"/>
                <w:szCs w:val="16"/>
              </w:rPr>
            </w:pPr>
            <w:r w:rsidRPr="00D14CD7">
              <w:rPr>
                <w:rFonts w:eastAsia="Times New Roman"/>
                <w:color w:val="000000" w:themeColor="text1"/>
                <w:sz w:val="16"/>
                <w:szCs w:val="16"/>
              </w:rPr>
              <w:t>—</w:t>
            </w:r>
          </w:p>
        </w:tc>
        <w:tc>
          <w:tcPr>
            <w:tcW w:w="188" w:type="pct"/>
            <w:tcBorders>
              <w:top w:val="single" w:sz="4" w:space="0" w:color="auto"/>
              <w:bottom w:val="single" w:sz="4" w:space="0" w:color="auto"/>
            </w:tcBorders>
            <w:shd w:val="clear" w:color="auto" w:fill="auto"/>
            <w:noWrap/>
            <w:vAlign w:val="center"/>
          </w:tcPr>
          <w:p w14:paraId="21023AF8" w14:textId="77777777" w:rsidR="00BE151D" w:rsidRPr="00D14CD7" w:rsidRDefault="00BE151D" w:rsidP="00567BE9">
            <w:pPr>
              <w:spacing w:after="0" w:line="240" w:lineRule="auto"/>
              <w:jc w:val="right"/>
              <w:rPr>
                <w:rFonts w:eastAsia="Times New Roman"/>
                <w:color w:val="000000" w:themeColor="text1"/>
                <w:sz w:val="16"/>
                <w:szCs w:val="16"/>
              </w:rPr>
            </w:pPr>
            <w:r w:rsidRPr="00D14CD7">
              <w:rPr>
                <w:rFonts w:eastAsia="Times New Roman"/>
                <w:color w:val="000000" w:themeColor="text1"/>
                <w:sz w:val="16"/>
                <w:szCs w:val="16"/>
              </w:rPr>
              <w:t>—</w:t>
            </w:r>
          </w:p>
        </w:tc>
        <w:tc>
          <w:tcPr>
            <w:tcW w:w="188" w:type="pct"/>
            <w:tcBorders>
              <w:top w:val="single" w:sz="4" w:space="0" w:color="auto"/>
              <w:bottom w:val="single" w:sz="4" w:space="0" w:color="auto"/>
            </w:tcBorders>
            <w:shd w:val="clear" w:color="auto" w:fill="auto"/>
            <w:noWrap/>
            <w:vAlign w:val="center"/>
          </w:tcPr>
          <w:p w14:paraId="6D9D0BBA" w14:textId="77777777" w:rsidR="00BE151D" w:rsidRPr="00D14CD7" w:rsidRDefault="00BE151D" w:rsidP="00567BE9">
            <w:pPr>
              <w:spacing w:after="0" w:line="240" w:lineRule="auto"/>
              <w:jc w:val="right"/>
              <w:rPr>
                <w:rFonts w:eastAsia="Times New Roman"/>
                <w:color w:val="000000" w:themeColor="text1"/>
                <w:sz w:val="16"/>
                <w:szCs w:val="16"/>
              </w:rPr>
            </w:pPr>
            <w:r w:rsidRPr="00D14CD7">
              <w:rPr>
                <w:rFonts w:eastAsia="Times New Roman"/>
                <w:color w:val="000000" w:themeColor="text1"/>
                <w:sz w:val="16"/>
                <w:szCs w:val="16"/>
              </w:rPr>
              <w:t>—</w:t>
            </w:r>
          </w:p>
        </w:tc>
        <w:tc>
          <w:tcPr>
            <w:tcW w:w="170" w:type="pct"/>
            <w:tcBorders>
              <w:top w:val="single" w:sz="4" w:space="0" w:color="auto"/>
              <w:bottom w:val="single" w:sz="4" w:space="0" w:color="auto"/>
            </w:tcBorders>
            <w:shd w:val="clear" w:color="auto" w:fill="auto"/>
            <w:noWrap/>
            <w:vAlign w:val="center"/>
          </w:tcPr>
          <w:p w14:paraId="3CD7CB1B" w14:textId="77777777" w:rsidR="00BE151D" w:rsidRPr="00D14CD7" w:rsidRDefault="00BE151D" w:rsidP="00567BE9">
            <w:pPr>
              <w:spacing w:after="0" w:line="240" w:lineRule="auto"/>
              <w:jc w:val="right"/>
              <w:rPr>
                <w:rFonts w:eastAsia="Times New Roman"/>
                <w:color w:val="000000" w:themeColor="text1"/>
                <w:sz w:val="16"/>
                <w:szCs w:val="16"/>
              </w:rPr>
            </w:pPr>
            <w:r w:rsidRPr="00D14CD7">
              <w:rPr>
                <w:rFonts w:eastAsia="Times New Roman"/>
                <w:color w:val="000000" w:themeColor="text1"/>
                <w:sz w:val="16"/>
                <w:szCs w:val="16"/>
              </w:rPr>
              <w:t>—</w:t>
            </w:r>
          </w:p>
        </w:tc>
        <w:tc>
          <w:tcPr>
            <w:tcW w:w="173" w:type="pct"/>
            <w:tcBorders>
              <w:top w:val="single" w:sz="4" w:space="0" w:color="auto"/>
              <w:bottom w:val="single" w:sz="4" w:space="0" w:color="auto"/>
            </w:tcBorders>
            <w:shd w:val="clear" w:color="auto" w:fill="auto"/>
            <w:noWrap/>
            <w:vAlign w:val="center"/>
          </w:tcPr>
          <w:p w14:paraId="3D9795AA" w14:textId="77777777" w:rsidR="00BE151D" w:rsidRPr="00D14CD7" w:rsidRDefault="00BE151D" w:rsidP="00567BE9">
            <w:pPr>
              <w:spacing w:after="0" w:line="240" w:lineRule="auto"/>
              <w:jc w:val="right"/>
              <w:rPr>
                <w:rFonts w:eastAsia="Times New Roman"/>
                <w:color w:val="000000" w:themeColor="text1"/>
                <w:sz w:val="16"/>
                <w:szCs w:val="16"/>
              </w:rPr>
            </w:pPr>
            <w:proofErr w:type="spellStart"/>
            <w:r w:rsidRPr="00D14CD7">
              <w:rPr>
                <w:rFonts w:eastAsia="Times New Roman"/>
                <w:color w:val="000000" w:themeColor="text1"/>
                <w:sz w:val="16"/>
                <w:szCs w:val="16"/>
              </w:rPr>
              <w:t>na</w:t>
            </w:r>
            <w:proofErr w:type="spellEnd"/>
          </w:p>
        </w:tc>
        <w:tc>
          <w:tcPr>
            <w:tcW w:w="160" w:type="pct"/>
            <w:tcBorders>
              <w:top w:val="single" w:sz="4" w:space="0" w:color="auto"/>
              <w:bottom w:val="single" w:sz="4" w:space="0" w:color="auto"/>
              <w:right w:val="double" w:sz="4" w:space="0" w:color="auto"/>
            </w:tcBorders>
            <w:shd w:val="clear" w:color="auto" w:fill="auto"/>
            <w:noWrap/>
            <w:vAlign w:val="center"/>
          </w:tcPr>
          <w:p w14:paraId="7B555FD7" w14:textId="77777777" w:rsidR="00BE151D" w:rsidRPr="00D14CD7" w:rsidRDefault="00BE151D" w:rsidP="00567BE9">
            <w:pPr>
              <w:spacing w:after="0" w:line="240" w:lineRule="auto"/>
              <w:jc w:val="right"/>
              <w:rPr>
                <w:rFonts w:eastAsia="Times New Roman"/>
                <w:color w:val="000000" w:themeColor="text1"/>
                <w:sz w:val="16"/>
                <w:szCs w:val="16"/>
              </w:rPr>
            </w:pPr>
            <w:proofErr w:type="spellStart"/>
            <w:r w:rsidRPr="00D14CD7">
              <w:rPr>
                <w:rFonts w:eastAsia="Times New Roman"/>
                <w:color w:val="000000" w:themeColor="text1"/>
                <w:sz w:val="16"/>
                <w:szCs w:val="16"/>
              </w:rPr>
              <w:t>na</w:t>
            </w:r>
            <w:proofErr w:type="spellEnd"/>
          </w:p>
        </w:tc>
        <w:tc>
          <w:tcPr>
            <w:tcW w:w="186" w:type="pct"/>
            <w:tcBorders>
              <w:top w:val="single" w:sz="4" w:space="0" w:color="auto"/>
              <w:left w:val="double" w:sz="4" w:space="0" w:color="auto"/>
              <w:bottom w:val="single" w:sz="4" w:space="0" w:color="auto"/>
            </w:tcBorders>
            <w:shd w:val="clear" w:color="auto" w:fill="auto"/>
            <w:noWrap/>
            <w:vAlign w:val="bottom"/>
          </w:tcPr>
          <w:p w14:paraId="154AA714" w14:textId="77777777" w:rsidR="00BE151D" w:rsidRPr="00D14CD7" w:rsidRDefault="00BE151D" w:rsidP="00567BE9">
            <w:pPr>
              <w:spacing w:after="0" w:line="240" w:lineRule="auto"/>
              <w:jc w:val="right"/>
              <w:rPr>
                <w:rFonts w:eastAsia="Times New Roman"/>
                <w:color w:val="000000" w:themeColor="text1"/>
                <w:sz w:val="16"/>
                <w:szCs w:val="16"/>
              </w:rPr>
            </w:pPr>
            <w:r w:rsidRPr="00D14CD7">
              <w:rPr>
                <w:color w:val="000000" w:themeColor="text1"/>
                <w:sz w:val="16"/>
                <w:szCs w:val="16"/>
              </w:rPr>
              <w:t>-0.214</w:t>
            </w:r>
          </w:p>
        </w:tc>
        <w:tc>
          <w:tcPr>
            <w:tcW w:w="152" w:type="pct"/>
            <w:tcBorders>
              <w:top w:val="single" w:sz="4" w:space="0" w:color="auto"/>
              <w:bottom w:val="single" w:sz="4" w:space="0" w:color="auto"/>
            </w:tcBorders>
            <w:shd w:val="clear" w:color="auto" w:fill="auto"/>
            <w:noWrap/>
            <w:vAlign w:val="bottom"/>
          </w:tcPr>
          <w:p w14:paraId="6BF87A5D" w14:textId="77777777" w:rsidR="00BE151D" w:rsidRPr="00D14CD7" w:rsidRDefault="00BE151D" w:rsidP="00567BE9">
            <w:pPr>
              <w:spacing w:after="0" w:line="240" w:lineRule="auto"/>
              <w:jc w:val="right"/>
              <w:rPr>
                <w:rFonts w:eastAsia="Times New Roman"/>
                <w:color w:val="000000" w:themeColor="text1"/>
                <w:sz w:val="16"/>
                <w:szCs w:val="16"/>
              </w:rPr>
            </w:pPr>
            <w:r w:rsidRPr="00D14CD7">
              <w:rPr>
                <w:color w:val="000000" w:themeColor="text1"/>
                <w:sz w:val="16"/>
                <w:szCs w:val="16"/>
              </w:rPr>
              <w:t>-2.87</w:t>
            </w:r>
          </w:p>
        </w:tc>
      </w:tr>
      <w:tr w:rsidR="00D14CD7" w:rsidRPr="00D14CD7" w14:paraId="00034F27" w14:textId="77777777" w:rsidTr="00AC40E4">
        <w:trPr>
          <w:trHeight w:val="72"/>
        </w:trPr>
        <w:tc>
          <w:tcPr>
            <w:tcW w:w="1719" w:type="pct"/>
            <w:tcBorders>
              <w:top w:val="single" w:sz="4" w:space="0" w:color="auto"/>
              <w:bottom w:val="single" w:sz="4" w:space="0" w:color="auto"/>
              <w:right w:val="double" w:sz="4" w:space="0" w:color="auto"/>
            </w:tcBorders>
            <w:shd w:val="clear" w:color="auto" w:fill="auto"/>
            <w:noWrap/>
            <w:vAlign w:val="center"/>
            <w:hideMark/>
          </w:tcPr>
          <w:p w14:paraId="2CDF6F4A" w14:textId="77777777" w:rsidR="00BE151D" w:rsidRPr="00D14CD7" w:rsidRDefault="00BE151D" w:rsidP="008D36F7">
            <w:pPr>
              <w:spacing w:after="0" w:line="240" w:lineRule="auto"/>
              <w:ind w:firstLineChars="100" w:firstLine="160"/>
              <w:jc w:val="left"/>
              <w:rPr>
                <w:rFonts w:eastAsia="Times New Roman"/>
                <w:color w:val="000000" w:themeColor="text1"/>
                <w:sz w:val="16"/>
                <w:szCs w:val="16"/>
              </w:rPr>
            </w:pPr>
            <w:r w:rsidRPr="00D14CD7">
              <w:rPr>
                <w:rFonts w:eastAsia="Times New Roman"/>
                <w:color w:val="000000" w:themeColor="text1"/>
                <w:sz w:val="16"/>
                <w:szCs w:val="16"/>
              </w:rPr>
              <w:t>My personal well-being was or still is at risk during the pandemic</w:t>
            </w:r>
          </w:p>
        </w:tc>
        <w:tc>
          <w:tcPr>
            <w:tcW w:w="217" w:type="pct"/>
            <w:tcBorders>
              <w:left w:val="double" w:sz="4" w:space="0" w:color="auto"/>
            </w:tcBorders>
            <w:shd w:val="clear" w:color="auto" w:fill="auto"/>
            <w:noWrap/>
            <w:vAlign w:val="center"/>
            <w:hideMark/>
          </w:tcPr>
          <w:p w14:paraId="12BD2DC5" w14:textId="77777777" w:rsidR="00BE151D" w:rsidRPr="00D14CD7" w:rsidRDefault="00BE151D" w:rsidP="00567BE9">
            <w:pPr>
              <w:spacing w:after="0" w:line="240" w:lineRule="auto"/>
              <w:jc w:val="right"/>
              <w:rPr>
                <w:rFonts w:eastAsia="Times New Roman"/>
                <w:color w:val="000000" w:themeColor="text1"/>
                <w:sz w:val="16"/>
                <w:szCs w:val="16"/>
              </w:rPr>
            </w:pPr>
            <w:r w:rsidRPr="00D14CD7">
              <w:rPr>
                <w:rFonts w:eastAsia="Times New Roman"/>
                <w:color w:val="000000" w:themeColor="text1"/>
                <w:sz w:val="16"/>
                <w:szCs w:val="16"/>
              </w:rPr>
              <w:t>—</w:t>
            </w:r>
          </w:p>
        </w:tc>
        <w:tc>
          <w:tcPr>
            <w:tcW w:w="213" w:type="pct"/>
            <w:shd w:val="clear" w:color="auto" w:fill="auto"/>
            <w:noWrap/>
            <w:vAlign w:val="center"/>
            <w:hideMark/>
          </w:tcPr>
          <w:p w14:paraId="7E91A7C5" w14:textId="77777777" w:rsidR="00BE151D" w:rsidRPr="00D14CD7" w:rsidRDefault="00BE151D" w:rsidP="00567BE9">
            <w:pPr>
              <w:spacing w:after="0" w:line="240" w:lineRule="auto"/>
              <w:jc w:val="right"/>
              <w:rPr>
                <w:rFonts w:eastAsia="Times New Roman"/>
                <w:color w:val="000000" w:themeColor="text1"/>
                <w:sz w:val="16"/>
                <w:szCs w:val="16"/>
              </w:rPr>
            </w:pPr>
            <w:r w:rsidRPr="00D14CD7">
              <w:rPr>
                <w:rFonts w:eastAsia="Times New Roman"/>
                <w:color w:val="000000" w:themeColor="text1"/>
                <w:sz w:val="16"/>
                <w:szCs w:val="16"/>
              </w:rPr>
              <w:t>—</w:t>
            </w:r>
          </w:p>
        </w:tc>
        <w:tc>
          <w:tcPr>
            <w:tcW w:w="188" w:type="pct"/>
            <w:shd w:val="clear" w:color="auto" w:fill="auto"/>
            <w:noWrap/>
            <w:vAlign w:val="center"/>
            <w:hideMark/>
          </w:tcPr>
          <w:p w14:paraId="34DE1C2A" w14:textId="77777777" w:rsidR="00BE151D" w:rsidRPr="00D14CD7" w:rsidRDefault="00BE151D" w:rsidP="00567BE9">
            <w:pPr>
              <w:spacing w:after="0" w:line="240" w:lineRule="auto"/>
              <w:jc w:val="right"/>
              <w:rPr>
                <w:rFonts w:eastAsia="Times New Roman"/>
                <w:color w:val="000000" w:themeColor="text1"/>
                <w:sz w:val="16"/>
                <w:szCs w:val="16"/>
              </w:rPr>
            </w:pPr>
            <w:r w:rsidRPr="00D14CD7">
              <w:rPr>
                <w:rFonts w:eastAsia="Times New Roman"/>
                <w:color w:val="000000" w:themeColor="text1"/>
                <w:sz w:val="16"/>
                <w:szCs w:val="16"/>
              </w:rPr>
              <w:t>—</w:t>
            </w:r>
          </w:p>
        </w:tc>
        <w:tc>
          <w:tcPr>
            <w:tcW w:w="188" w:type="pct"/>
            <w:shd w:val="clear" w:color="auto" w:fill="auto"/>
            <w:noWrap/>
            <w:vAlign w:val="center"/>
            <w:hideMark/>
          </w:tcPr>
          <w:p w14:paraId="47EB4ACD" w14:textId="77777777" w:rsidR="00BE151D" w:rsidRPr="00D14CD7" w:rsidRDefault="00BE151D" w:rsidP="00567BE9">
            <w:pPr>
              <w:spacing w:after="0" w:line="240" w:lineRule="auto"/>
              <w:jc w:val="right"/>
              <w:rPr>
                <w:rFonts w:eastAsia="Times New Roman"/>
                <w:color w:val="000000" w:themeColor="text1"/>
                <w:sz w:val="16"/>
                <w:szCs w:val="16"/>
              </w:rPr>
            </w:pPr>
            <w:r w:rsidRPr="00D14CD7">
              <w:rPr>
                <w:rFonts w:eastAsia="Times New Roman"/>
                <w:color w:val="000000" w:themeColor="text1"/>
                <w:sz w:val="16"/>
                <w:szCs w:val="16"/>
              </w:rPr>
              <w:t>—</w:t>
            </w:r>
          </w:p>
        </w:tc>
        <w:tc>
          <w:tcPr>
            <w:tcW w:w="188" w:type="pct"/>
            <w:shd w:val="clear" w:color="auto" w:fill="auto"/>
            <w:noWrap/>
            <w:vAlign w:val="center"/>
            <w:hideMark/>
          </w:tcPr>
          <w:p w14:paraId="28A1889E" w14:textId="77777777" w:rsidR="00BE151D" w:rsidRPr="00D14CD7" w:rsidRDefault="00BE151D" w:rsidP="00567BE9">
            <w:pPr>
              <w:spacing w:after="0" w:line="240" w:lineRule="auto"/>
              <w:jc w:val="right"/>
              <w:rPr>
                <w:rFonts w:eastAsia="Times New Roman"/>
                <w:color w:val="000000" w:themeColor="text1"/>
                <w:sz w:val="16"/>
                <w:szCs w:val="16"/>
              </w:rPr>
            </w:pPr>
            <w:r w:rsidRPr="00D14CD7">
              <w:rPr>
                <w:rFonts w:eastAsia="Times New Roman"/>
                <w:color w:val="000000" w:themeColor="text1"/>
                <w:sz w:val="16"/>
                <w:szCs w:val="16"/>
              </w:rPr>
              <w:t>—</w:t>
            </w:r>
          </w:p>
        </w:tc>
        <w:tc>
          <w:tcPr>
            <w:tcW w:w="188" w:type="pct"/>
            <w:shd w:val="clear" w:color="auto" w:fill="auto"/>
            <w:noWrap/>
            <w:vAlign w:val="center"/>
            <w:hideMark/>
          </w:tcPr>
          <w:p w14:paraId="5802EFB0" w14:textId="77777777" w:rsidR="00BE151D" w:rsidRPr="00D14CD7" w:rsidRDefault="00BE151D" w:rsidP="00567BE9">
            <w:pPr>
              <w:spacing w:after="0" w:line="240" w:lineRule="auto"/>
              <w:jc w:val="right"/>
              <w:rPr>
                <w:rFonts w:eastAsia="Times New Roman"/>
                <w:color w:val="000000" w:themeColor="text1"/>
                <w:sz w:val="16"/>
                <w:szCs w:val="16"/>
              </w:rPr>
            </w:pPr>
            <w:r w:rsidRPr="00D14CD7">
              <w:rPr>
                <w:rFonts w:eastAsia="Times New Roman"/>
                <w:color w:val="000000" w:themeColor="text1"/>
                <w:sz w:val="16"/>
                <w:szCs w:val="16"/>
              </w:rPr>
              <w:t>—</w:t>
            </w:r>
          </w:p>
        </w:tc>
        <w:tc>
          <w:tcPr>
            <w:tcW w:w="188" w:type="pct"/>
            <w:shd w:val="clear" w:color="auto" w:fill="auto"/>
            <w:noWrap/>
            <w:vAlign w:val="center"/>
            <w:hideMark/>
          </w:tcPr>
          <w:p w14:paraId="03B2080F" w14:textId="77777777" w:rsidR="00BE151D" w:rsidRPr="00D14CD7" w:rsidRDefault="00BE151D" w:rsidP="00567BE9">
            <w:pPr>
              <w:spacing w:after="0" w:line="240" w:lineRule="auto"/>
              <w:jc w:val="right"/>
              <w:rPr>
                <w:rFonts w:eastAsia="Times New Roman"/>
                <w:color w:val="000000" w:themeColor="text1"/>
                <w:sz w:val="16"/>
                <w:szCs w:val="16"/>
              </w:rPr>
            </w:pPr>
            <w:proofErr w:type="spellStart"/>
            <w:r w:rsidRPr="00D14CD7">
              <w:rPr>
                <w:rFonts w:eastAsia="Times New Roman"/>
                <w:color w:val="000000" w:themeColor="text1"/>
                <w:sz w:val="16"/>
                <w:szCs w:val="16"/>
              </w:rPr>
              <w:t>na</w:t>
            </w:r>
            <w:proofErr w:type="spellEnd"/>
          </w:p>
        </w:tc>
        <w:tc>
          <w:tcPr>
            <w:tcW w:w="159" w:type="pct"/>
            <w:tcBorders>
              <w:right w:val="double" w:sz="4" w:space="0" w:color="auto"/>
            </w:tcBorders>
            <w:shd w:val="clear" w:color="auto" w:fill="auto"/>
            <w:noWrap/>
            <w:vAlign w:val="center"/>
            <w:hideMark/>
          </w:tcPr>
          <w:p w14:paraId="5FEBE81C" w14:textId="77777777" w:rsidR="00BE151D" w:rsidRPr="00D14CD7" w:rsidRDefault="00BE151D" w:rsidP="00567BE9">
            <w:pPr>
              <w:spacing w:after="0" w:line="240" w:lineRule="auto"/>
              <w:jc w:val="right"/>
              <w:rPr>
                <w:rFonts w:eastAsia="Times New Roman"/>
                <w:color w:val="000000" w:themeColor="text1"/>
                <w:sz w:val="16"/>
                <w:szCs w:val="16"/>
              </w:rPr>
            </w:pPr>
            <w:proofErr w:type="spellStart"/>
            <w:r w:rsidRPr="00D14CD7">
              <w:rPr>
                <w:rFonts w:eastAsia="Times New Roman"/>
                <w:color w:val="000000" w:themeColor="text1"/>
                <w:sz w:val="16"/>
                <w:szCs w:val="16"/>
              </w:rPr>
              <w:t>na</w:t>
            </w:r>
            <w:proofErr w:type="spellEnd"/>
          </w:p>
        </w:tc>
        <w:tc>
          <w:tcPr>
            <w:tcW w:w="189" w:type="pct"/>
            <w:tcBorders>
              <w:top w:val="single" w:sz="4" w:space="0" w:color="auto"/>
              <w:left w:val="double" w:sz="4" w:space="0" w:color="auto"/>
              <w:bottom w:val="single" w:sz="4" w:space="0" w:color="auto"/>
            </w:tcBorders>
            <w:shd w:val="clear" w:color="auto" w:fill="auto"/>
            <w:noWrap/>
            <w:vAlign w:val="bottom"/>
          </w:tcPr>
          <w:p w14:paraId="78347101" w14:textId="77777777" w:rsidR="00BE151D" w:rsidRPr="00D14CD7" w:rsidRDefault="00BE151D" w:rsidP="00567BE9">
            <w:pPr>
              <w:spacing w:after="0" w:line="240" w:lineRule="auto"/>
              <w:jc w:val="right"/>
              <w:rPr>
                <w:rFonts w:eastAsia="Times New Roman"/>
                <w:color w:val="000000" w:themeColor="text1"/>
                <w:sz w:val="16"/>
                <w:szCs w:val="16"/>
              </w:rPr>
            </w:pPr>
            <w:r w:rsidRPr="00D14CD7">
              <w:rPr>
                <w:color w:val="000000" w:themeColor="text1"/>
                <w:sz w:val="16"/>
                <w:szCs w:val="16"/>
              </w:rPr>
              <w:t>0.460</w:t>
            </w:r>
          </w:p>
        </w:tc>
        <w:tc>
          <w:tcPr>
            <w:tcW w:w="159" w:type="pct"/>
            <w:tcBorders>
              <w:top w:val="single" w:sz="4" w:space="0" w:color="auto"/>
              <w:bottom w:val="single" w:sz="4" w:space="0" w:color="auto"/>
            </w:tcBorders>
            <w:shd w:val="clear" w:color="auto" w:fill="auto"/>
            <w:noWrap/>
            <w:vAlign w:val="bottom"/>
          </w:tcPr>
          <w:p w14:paraId="0EE036B7" w14:textId="77777777" w:rsidR="00BE151D" w:rsidRPr="00D14CD7" w:rsidRDefault="00BE151D" w:rsidP="00567BE9">
            <w:pPr>
              <w:spacing w:after="0" w:line="240" w:lineRule="auto"/>
              <w:jc w:val="right"/>
              <w:rPr>
                <w:rFonts w:eastAsia="Times New Roman"/>
                <w:color w:val="000000" w:themeColor="text1"/>
                <w:sz w:val="16"/>
                <w:szCs w:val="16"/>
              </w:rPr>
            </w:pPr>
            <w:r w:rsidRPr="00D14CD7">
              <w:rPr>
                <w:color w:val="000000" w:themeColor="text1"/>
                <w:sz w:val="16"/>
                <w:szCs w:val="16"/>
              </w:rPr>
              <w:t>2.55</w:t>
            </w:r>
          </w:p>
        </w:tc>
        <w:tc>
          <w:tcPr>
            <w:tcW w:w="187" w:type="pct"/>
            <w:tcBorders>
              <w:top w:val="single" w:sz="4" w:space="0" w:color="auto"/>
              <w:bottom w:val="single" w:sz="4" w:space="0" w:color="auto"/>
            </w:tcBorders>
            <w:shd w:val="clear" w:color="auto" w:fill="auto"/>
            <w:noWrap/>
            <w:vAlign w:val="center"/>
            <w:hideMark/>
          </w:tcPr>
          <w:p w14:paraId="4A9FCDFE" w14:textId="77777777" w:rsidR="00BE151D" w:rsidRPr="00D14CD7" w:rsidRDefault="00BE151D" w:rsidP="00567BE9">
            <w:pPr>
              <w:spacing w:after="0" w:line="240" w:lineRule="auto"/>
              <w:jc w:val="right"/>
              <w:rPr>
                <w:rFonts w:eastAsia="Times New Roman"/>
                <w:color w:val="000000" w:themeColor="text1"/>
                <w:sz w:val="16"/>
                <w:szCs w:val="16"/>
              </w:rPr>
            </w:pPr>
            <w:r w:rsidRPr="00D14CD7">
              <w:rPr>
                <w:rFonts w:eastAsia="Times New Roman"/>
                <w:color w:val="000000" w:themeColor="text1"/>
                <w:sz w:val="16"/>
                <w:szCs w:val="16"/>
              </w:rPr>
              <w:t>—</w:t>
            </w:r>
          </w:p>
        </w:tc>
        <w:tc>
          <w:tcPr>
            <w:tcW w:w="188" w:type="pct"/>
            <w:tcBorders>
              <w:top w:val="single" w:sz="4" w:space="0" w:color="auto"/>
              <w:bottom w:val="single" w:sz="4" w:space="0" w:color="auto"/>
            </w:tcBorders>
            <w:shd w:val="clear" w:color="auto" w:fill="auto"/>
            <w:noWrap/>
            <w:vAlign w:val="center"/>
            <w:hideMark/>
          </w:tcPr>
          <w:p w14:paraId="6FAE55FF" w14:textId="77777777" w:rsidR="00BE151D" w:rsidRPr="00D14CD7" w:rsidRDefault="00BE151D" w:rsidP="00567BE9">
            <w:pPr>
              <w:spacing w:after="0" w:line="240" w:lineRule="auto"/>
              <w:jc w:val="right"/>
              <w:rPr>
                <w:rFonts w:eastAsia="Times New Roman"/>
                <w:color w:val="000000" w:themeColor="text1"/>
                <w:sz w:val="16"/>
                <w:szCs w:val="16"/>
              </w:rPr>
            </w:pPr>
            <w:r w:rsidRPr="00D14CD7">
              <w:rPr>
                <w:rFonts w:eastAsia="Times New Roman"/>
                <w:color w:val="000000" w:themeColor="text1"/>
                <w:sz w:val="16"/>
                <w:szCs w:val="16"/>
              </w:rPr>
              <w:t>—</w:t>
            </w:r>
          </w:p>
        </w:tc>
        <w:tc>
          <w:tcPr>
            <w:tcW w:w="188" w:type="pct"/>
            <w:tcBorders>
              <w:top w:val="single" w:sz="4" w:space="0" w:color="auto"/>
              <w:bottom w:val="single" w:sz="4" w:space="0" w:color="auto"/>
            </w:tcBorders>
            <w:shd w:val="clear" w:color="auto" w:fill="auto"/>
            <w:noWrap/>
            <w:vAlign w:val="bottom"/>
          </w:tcPr>
          <w:p w14:paraId="0E2617D8" w14:textId="77777777" w:rsidR="00BE151D" w:rsidRPr="00D14CD7" w:rsidRDefault="00BE151D" w:rsidP="00567BE9">
            <w:pPr>
              <w:spacing w:after="0" w:line="240" w:lineRule="auto"/>
              <w:jc w:val="right"/>
              <w:rPr>
                <w:rFonts w:eastAsia="Times New Roman"/>
                <w:color w:val="000000" w:themeColor="text1"/>
                <w:sz w:val="16"/>
                <w:szCs w:val="16"/>
              </w:rPr>
            </w:pPr>
            <w:r w:rsidRPr="00D14CD7">
              <w:rPr>
                <w:color w:val="000000" w:themeColor="text1"/>
                <w:sz w:val="16"/>
                <w:szCs w:val="16"/>
              </w:rPr>
              <w:t>0.536</w:t>
            </w:r>
          </w:p>
        </w:tc>
        <w:tc>
          <w:tcPr>
            <w:tcW w:w="170" w:type="pct"/>
            <w:tcBorders>
              <w:top w:val="single" w:sz="4" w:space="0" w:color="auto"/>
              <w:bottom w:val="single" w:sz="4" w:space="0" w:color="auto"/>
            </w:tcBorders>
            <w:shd w:val="clear" w:color="auto" w:fill="auto"/>
            <w:noWrap/>
            <w:vAlign w:val="bottom"/>
          </w:tcPr>
          <w:p w14:paraId="666D64DA" w14:textId="77777777" w:rsidR="00BE151D" w:rsidRPr="00D14CD7" w:rsidRDefault="00BE151D" w:rsidP="00567BE9">
            <w:pPr>
              <w:spacing w:after="0" w:line="240" w:lineRule="auto"/>
              <w:jc w:val="right"/>
              <w:rPr>
                <w:rFonts w:eastAsia="Times New Roman"/>
                <w:color w:val="000000" w:themeColor="text1"/>
                <w:sz w:val="16"/>
                <w:szCs w:val="16"/>
              </w:rPr>
            </w:pPr>
            <w:r w:rsidRPr="00D14CD7">
              <w:rPr>
                <w:color w:val="000000" w:themeColor="text1"/>
                <w:sz w:val="16"/>
                <w:szCs w:val="16"/>
              </w:rPr>
              <w:t>3.91</w:t>
            </w:r>
          </w:p>
        </w:tc>
        <w:tc>
          <w:tcPr>
            <w:tcW w:w="173" w:type="pct"/>
            <w:tcBorders>
              <w:top w:val="single" w:sz="4" w:space="0" w:color="auto"/>
              <w:bottom w:val="single" w:sz="4" w:space="0" w:color="auto"/>
            </w:tcBorders>
            <w:shd w:val="clear" w:color="auto" w:fill="auto"/>
            <w:noWrap/>
            <w:vAlign w:val="center"/>
            <w:hideMark/>
          </w:tcPr>
          <w:p w14:paraId="0DC2DF8E" w14:textId="77777777" w:rsidR="00BE151D" w:rsidRPr="00D14CD7" w:rsidRDefault="00BE151D" w:rsidP="00567BE9">
            <w:pPr>
              <w:spacing w:after="0" w:line="240" w:lineRule="auto"/>
              <w:jc w:val="right"/>
              <w:rPr>
                <w:rFonts w:eastAsia="Times New Roman"/>
                <w:color w:val="000000" w:themeColor="text1"/>
                <w:sz w:val="16"/>
                <w:szCs w:val="16"/>
              </w:rPr>
            </w:pPr>
            <w:proofErr w:type="spellStart"/>
            <w:r w:rsidRPr="00D14CD7">
              <w:rPr>
                <w:rFonts w:eastAsia="Times New Roman"/>
                <w:color w:val="000000" w:themeColor="text1"/>
                <w:sz w:val="16"/>
                <w:szCs w:val="16"/>
              </w:rPr>
              <w:t>na</w:t>
            </w:r>
            <w:proofErr w:type="spellEnd"/>
          </w:p>
        </w:tc>
        <w:tc>
          <w:tcPr>
            <w:tcW w:w="160" w:type="pct"/>
            <w:tcBorders>
              <w:top w:val="single" w:sz="4" w:space="0" w:color="auto"/>
              <w:bottom w:val="single" w:sz="4" w:space="0" w:color="auto"/>
              <w:right w:val="double" w:sz="4" w:space="0" w:color="auto"/>
            </w:tcBorders>
            <w:shd w:val="clear" w:color="auto" w:fill="auto"/>
            <w:noWrap/>
            <w:vAlign w:val="center"/>
            <w:hideMark/>
          </w:tcPr>
          <w:p w14:paraId="080714B2" w14:textId="77777777" w:rsidR="00BE151D" w:rsidRPr="00D14CD7" w:rsidRDefault="00BE151D" w:rsidP="00567BE9">
            <w:pPr>
              <w:spacing w:after="0" w:line="240" w:lineRule="auto"/>
              <w:jc w:val="right"/>
              <w:rPr>
                <w:rFonts w:eastAsia="Times New Roman"/>
                <w:color w:val="000000" w:themeColor="text1"/>
                <w:sz w:val="16"/>
                <w:szCs w:val="16"/>
              </w:rPr>
            </w:pPr>
            <w:proofErr w:type="spellStart"/>
            <w:r w:rsidRPr="00D14CD7">
              <w:rPr>
                <w:rFonts w:eastAsia="Times New Roman"/>
                <w:color w:val="000000" w:themeColor="text1"/>
                <w:sz w:val="16"/>
                <w:szCs w:val="16"/>
              </w:rPr>
              <w:t>na</w:t>
            </w:r>
            <w:proofErr w:type="spellEnd"/>
          </w:p>
        </w:tc>
        <w:tc>
          <w:tcPr>
            <w:tcW w:w="186" w:type="pct"/>
            <w:tcBorders>
              <w:top w:val="single" w:sz="4" w:space="0" w:color="auto"/>
              <w:left w:val="double" w:sz="4" w:space="0" w:color="auto"/>
              <w:bottom w:val="single" w:sz="4" w:space="0" w:color="auto"/>
            </w:tcBorders>
            <w:shd w:val="clear" w:color="auto" w:fill="auto"/>
            <w:noWrap/>
            <w:vAlign w:val="bottom"/>
          </w:tcPr>
          <w:p w14:paraId="12B1966E" w14:textId="77777777" w:rsidR="00BE151D" w:rsidRPr="00D14CD7" w:rsidRDefault="00BE151D" w:rsidP="00567BE9">
            <w:pPr>
              <w:spacing w:after="0" w:line="240" w:lineRule="auto"/>
              <w:jc w:val="right"/>
              <w:rPr>
                <w:rFonts w:eastAsia="Times New Roman"/>
                <w:color w:val="000000" w:themeColor="text1"/>
                <w:sz w:val="16"/>
                <w:szCs w:val="16"/>
              </w:rPr>
            </w:pPr>
            <w:r w:rsidRPr="00D14CD7">
              <w:rPr>
                <w:color w:val="000000" w:themeColor="text1"/>
                <w:sz w:val="16"/>
                <w:szCs w:val="16"/>
              </w:rPr>
              <w:t>-0.086</w:t>
            </w:r>
          </w:p>
        </w:tc>
        <w:tc>
          <w:tcPr>
            <w:tcW w:w="152" w:type="pct"/>
            <w:tcBorders>
              <w:top w:val="single" w:sz="4" w:space="0" w:color="auto"/>
              <w:bottom w:val="single" w:sz="4" w:space="0" w:color="auto"/>
            </w:tcBorders>
            <w:shd w:val="clear" w:color="auto" w:fill="auto"/>
            <w:noWrap/>
            <w:vAlign w:val="bottom"/>
          </w:tcPr>
          <w:p w14:paraId="41E4C26B" w14:textId="77777777" w:rsidR="00BE151D" w:rsidRPr="00D14CD7" w:rsidRDefault="00BE151D" w:rsidP="00567BE9">
            <w:pPr>
              <w:spacing w:after="0" w:line="240" w:lineRule="auto"/>
              <w:jc w:val="right"/>
              <w:rPr>
                <w:rFonts w:eastAsia="Times New Roman"/>
                <w:color w:val="000000" w:themeColor="text1"/>
                <w:sz w:val="16"/>
                <w:szCs w:val="16"/>
              </w:rPr>
            </w:pPr>
            <w:r w:rsidRPr="00D14CD7">
              <w:rPr>
                <w:color w:val="000000" w:themeColor="text1"/>
                <w:sz w:val="16"/>
                <w:szCs w:val="16"/>
              </w:rPr>
              <w:t>-1.92</w:t>
            </w:r>
          </w:p>
        </w:tc>
      </w:tr>
      <w:tr w:rsidR="00D14CD7" w:rsidRPr="00D14CD7" w14:paraId="3176FA8D" w14:textId="77777777" w:rsidTr="00AC40E4">
        <w:trPr>
          <w:trHeight w:val="72"/>
        </w:trPr>
        <w:tc>
          <w:tcPr>
            <w:tcW w:w="1719" w:type="pct"/>
            <w:tcBorders>
              <w:top w:val="single" w:sz="4" w:space="0" w:color="auto"/>
              <w:bottom w:val="single" w:sz="4" w:space="0" w:color="auto"/>
              <w:right w:val="double" w:sz="4" w:space="0" w:color="auto"/>
            </w:tcBorders>
            <w:shd w:val="clear" w:color="auto" w:fill="auto"/>
            <w:vAlign w:val="center"/>
            <w:hideMark/>
          </w:tcPr>
          <w:p w14:paraId="1A003B33" w14:textId="2CB8BC9E" w:rsidR="00BE151D" w:rsidRPr="00D14CD7" w:rsidRDefault="00BE151D" w:rsidP="008D36F7">
            <w:pPr>
              <w:spacing w:after="0" w:line="240" w:lineRule="auto"/>
              <w:ind w:left="140" w:right="77" w:firstLineChars="12" w:firstLine="19"/>
              <w:jc w:val="left"/>
              <w:rPr>
                <w:rFonts w:eastAsia="Times New Roman"/>
                <w:color w:val="000000" w:themeColor="text1"/>
                <w:sz w:val="16"/>
                <w:szCs w:val="16"/>
              </w:rPr>
            </w:pPr>
            <w:r w:rsidRPr="00D14CD7">
              <w:rPr>
                <w:rFonts w:eastAsia="Times New Roman"/>
                <w:color w:val="000000" w:themeColor="text1"/>
                <w:sz w:val="16"/>
                <w:szCs w:val="16"/>
              </w:rPr>
              <w:t xml:space="preserve">My personal well-being was or still is at risk during the pandemic </w:t>
            </w:r>
            <w:r w:rsidR="00306BFA">
              <w:rPr>
                <w:rFonts w:eastAsia="Times New Roman"/>
                <w:color w:val="000000" w:themeColor="text1"/>
                <w:sz w:val="16"/>
                <w:szCs w:val="16"/>
              </w:rPr>
              <w:t>×</w:t>
            </w:r>
            <w:r w:rsidRPr="00D14CD7">
              <w:rPr>
                <w:rFonts w:eastAsia="Times New Roman"/>
                <w:color w:val="000000" w:themeColor="text1"/>
                <w:sz w:val="16"/>
                <w:szCs w:val="16"/>
              </w:rPr>
              <w:t xml:space="preserve"> Age 50 and older</w:t>
            </w:r>
          </w:p>
        </w:tc>
        <w:tc>
          <w:tcPr>
            <w:tcW w:w="217" w:type="pct"/>
            <w:tcBorders>
              <w:left w:val="double" w:sz="4" w:space="0" w:color="auto"/>
            </w:tcBorders>
            <w:shd w:val="clear" w:color="auto" w:fill="auto"/>
            <w:noWrap/>
            <w:vAlign w:val="center"/>
            <w:hideMark/>
          </w:tcPr>
          <w:p w14:paraId="15EBD791" w14:textId="77777777" w:rsidR="00BE151D" w:rsidRPr="00D14CD7" w:rsidRDefault="00BE151D" w:rsidP="00567BE9">
            <w:pPr>
              <w:spacing w:after="0" w:line="240" w:lineRule="auto"/>
              <w:jc w:val="right"/>
              <w:rPr>
                <w:rFonts w:eastAsia="Times New Roman"/>
                <w:color w:val="000000" w:themeColor="text1"/>
                <w:sz w:val="16"/>
                <w:szCs w:val="16"/>
              </w:rPr>
            </w:pPr>
            <w:r w:rsidRPr="00D14CD7">
              <w:rPr>
                <w:rFonts w:eastAsia="Times New Roman"/>
                <w:color w:val="000000" w:themeColor="text1"/>
                <w:sz w:val="16"/>
                <w:szCs w:val="16"/>
              </w:rPr>
              <w:t>—</w:t>
            </w:r>
          </w:p>
        </w:tc>
        <w:tc>
          <w:tcPr>
            <w:tcW w:w="213" w:type="pct"/>
            <w:shd w:val="clear" w:color="auto" w:fill="auto"/>
            <w:noWrap/>
            <w:vAlign w:val="center"/>
            <w:hideMark/>
          </w:tcPr>
          <w:p w14:paraId="13B99448" w14:textId="77777777" w:rsidR="00BE151D" w:rsidRPr="00D14CD7" w:rsidRDefault="00BE151D" w:rsidP="00567BE9">
            <w:pPr>
              <w:spacing w:after="0" w:line="240" w:lineRule="auto"/>
              <w:jc w:val="right"/>
              <w:rPr>
                <w:rFonts w:eastAsia="Times New Roman"/>
                <w:color w:val="000000" w:themeColor="text1"/>
                <w:sz w:val="16"/>
                <w:szCs w:val="16"/>
              </w:rPr>
            </w:pPr>
            <w:r w:rsidRPr="00D14CD7">
              <w:rPr>
                <w:rFonts w:eastAsia="Times New Roman"/>
                <w:color w:val="000000" w:themeColor="text1"/>
                <w:sz w:val="16"/>
                <w:szCs w:val="16"/>
              </w:rPr>
              <w:t>—</w:t>
            </w:r>
          </w:p>
        </w:tc>
        <w:tc>
          <w:tcPr>
            <w:tcW w:w="188" w:type="pct"/>
            <w:shd w:val="clear" w:color="auto" w:fill="auto"/>
            <w:noWrap/>
            <w:vAlign w:val="center"/>
            <w:hideMark/>
          </w:tcPr>
          <w:p w14:paraId="517A4BA2" w14:textId="77777777" w:rsidR="00BE151D" w:rsidRPr="00D14CD7" w:rsidRDefault="00BE151D" w:rsidP="00567BE9">
            <w:pPr>
              <w:spacing w:after="0" w:line="240" w:lineRule="auto"/>
              <w:jc w:val="right"/>
              <w:rPr>
                <w:rFonts w:eastAsia="Times New Roman"/>
                <w:color w:val="000000" w:themeColor="text1"/>
                <w:sz w:val="16"/>
                <w:szCs w:val="16"/>
              </w:rPr>
            </w:pPr>
            <w:r w:rsidRPr="00D14CD7">
              <w:rPr>
                <w:rFonts w:eastAsia="Times New Roman"/>
                <w:color w:val="000000" w:themeColor="text1"/>
                <w:sz w:val="16"/>
                <w:szCs w:val="16"/>
              </w:rPr>
              <w:t>—</w:t>
            </w:r>
          </w:p>
        </w:tc>
        <w:tc>
          <w:tcPr>
            <w:tcW w:w="188" w:type="pct"/>
            <w:shd w:val="clear" w:color="auto" w:fill="auto"/>
            <w:noWrap/>
            <w:vAlign w:val="center"/>
            <w:hideMark/>
          </w:tcPr>
          <w:p w14:paraId="5BB47442" w14:textId="77777777" w:rsidR="00BE151D" w:rsidRPr="00D14CD7" w:rsidRDefault="00BE151D" w:rsidP="00567BE9">
            <w:pPr>
              <w:spacing w:after="0" w:line="240" w:lineRule="auto"/>
              <w:jc w:val="right"/>
              <w:rPr>
                <w:rFonts w:eastAsia="Times New Roman"/>
                <w:color w:val="000000" w:themeColor="text1"/>
                <w:sz w:val="16"/>
                <w:szCs w:val="16"/>
              </w:rPr>
            </w:pPr>
            <w:r w:rsidRPr="00D14CD7">
              <w:rPr>
                <w:rFonts w:eastAsia="Times New Roman"/>
                <w:color w:val="000000" w:themeColor="text1"/>
                <w:sz w:val="16"/>
                <w:szCs w:val="16"/>
              </w:rPr>
              <w:t>—</w:t>
            </w:r>
          </w:p>
        </w:tc>
        <w:tc>
          <w:tcPr>
            <w:tcW w:w="188" w:type="pct"/>
            <w:shd w:val="clear" w:color="auto" w:fill="auto"/>
            <w:noWrap/>
            <w:vAlign w:val="center"/>
            <w:hideMark/>
          </w:tcPr>
          <w:p w14:paraId="34DCE770" w14:textId="77777777" w:rsidR="00BE151D" w:rsidRPr="00D14CD7" w:rsidRDefault="00BE151D" w:rsidP="00567BE9">
            <w:pPr>
              <w:spacing w:after="0" w:line="240" w:lineRule="auto"/>
              <w:jc w:val="right"/>
              <w:rPr>
                <w:rFonts w:eastAsia="Times New Roman"/>
                <w:color w:val="000000" w:themeColor="text1"/>
                <w:sz w:val="16"/>
                <w:szCs w:val="16"/>
              </w:rPr>
            </w:pPr>
            <w:r w:rsidRPr="00D14CD7">
              <w:rPr>
                <w:rFonts w:eastAsia="Times New Roman"/>
                <w:color w:val="000000" w:themeColor="text1"/>
                <w:sz w:val="16"/>
                <w:szCs w:val="16"/>
              </w:rPr>
              <w:t>—</w:t>
            </w:r>
          </w:p>
        </w:tc>
        <w:tc>
          <w:tcPr>
            <w:tcW w:w="188" w:type="pct"/>
            <w:shd w:val="clear" w:color="auto" w:fill="auto"/>
            <w:noWrap/>
            <w:vAlign w:val="center"/>
            <w:hideMark/>
          </w:tcPr>
          <w:p w14:paraId="19A776E7" w14:textId="77777777" w:rsidR="00BE151D" w:rsidRPr="00D14CD7" w:rsidRDefault="00BE151D" w:rsidP="00567BE9">
            <w:pPr>
              <w:spacing w:after="0" w:line="240" w:lineRule="auto"/>
              <w:jc w:val="right"/>
              <w:rPr>
                <w:rFonts w:eastAsia="Times New Roman"/>
                <w:color w:val="000000" w:themeColor="text1"/>
                <w:sz w:val="16"/>
                <w:szCs w:val="16"/>
              </w:rPr>
            </w:pPr>
            <w:r w:rsidRPr="00D14CD7">
              <w:rPr>
                <w:rFonts w:eastAsia="Times New Roman"/>
                <w:color w:val="000000" w:themeColor="text1"/>
                <w:sz w:val="16"/>
                <w:szCs w:val="16"/>
              </w:rPr>
              <w:t>—</w:t>
            </w:r>
          </w:p>
        </w:tc>
        <w:tc>
          <w:tcPr>
            <w:tcW w:w="188" w:type="pct"/>
            <w:shd w:val="clear" w:color="auto" w:fill="auto"/>
            <w:noWrap/>
            <w:vAlign w:val="center"/>
            <w:hideMark/>
          </w:tcPr>
          <w:p w14:paraId="48892CC5" w14:textId="77777777" w:rsidR="00BE151D" w:rsidRPr="00D14CD7" w:rsidRDefault="00BE151D" w:rsidP="00567BE9">
            <w:pPr>
              <w:spacing w:after="0" w:line="240" w:lineRule="auto"/>
              <w:jc w:val="right"/>
              <w:rPr>
                <w:rFonts w:eastAsia="Times New Roman"/>
                <w:color w:val="000000" w:themeColor="text1"/>
                <w:sz w:val="16"/>
                <w:szCs w:val="16"/>
              </w:rPr>
            </w:pPr>
            <w:proofErr w:type="spellStart"/>
            <w:r w:rsidRPr="00D14CD7">
              <w:rPr>
                <w:rFonts w:eastAsia="Times New Roman"/>
                <w:color w:val="000000" w:themeColor="text1"/>
                <w:sz w:val="16"/>
                <w:szCs w:val="16"/>
              </w:rPr>
              <w:t>na</w:t>
            </w:r>
            <w:proofErr w:type="spellEnd"/>
          </w:p>
        </w:tc>
        <w:tc>
          <w:tcPr>
            <w:tcW w:w="159" w:type="pct"/>
            <w:tcBorders>
              <w:right w:val="double" w:sz="4" w:space="0" w:color="auto"/>
            </w:tcBorders>
            <w:shd w:val="clear" w:color="auto" w:fill="auto"/>
            <w:noWrap/>
            <w:vAlign w:val="center"/>
            <w:hideMark/>
          </w:tcPr>
          <w:p w14:paraId="51876BE4" w14:textId="77777777" w:rsidR="00BE151D" w:rsidRPr="00D14CD7" w:rsidRDefault="00BE151D" w:rsidP="00567BE9">
            <w:pPr>
              <w:spacing w:after="0" w:line="240" w:lineRule="auto"/>
              <w:jc w:val="right"/>
              <w:rPr>
                <w:rFonts w:eastAsia="Times New Roman"/>
                <w:color w:val="000000" w:themeColor="text1"/>
                <w:sz w:val="16"/>
                <w:szCs w:val="16"/>
              </w:rPr>
            </w:pPr>
            <w:proofErr w:type="spellStart"/>
            <w:r w:rsidRPr="00D14CD7">
              <w:rPr>
                <w:rFonts w:eastAsia="Times New Roman"/>
                <w:color w:val="000000" w:themeColor="text1"/>
                <w:sz w:val="16"/>
                <w:szCs w:val="16"/>
              </w:rPr>
              <w:t>na</w:t>
            </w:r>
            <w:proofErr w:type="spellEnd"/>
          </w:p>
        </w:tc>
        <w:tc>
          <w:tcPr>
            <w:tcW w:w="189" w:type="pct"/>
            <w:tcBorders>
              <w:top w:val="single" w:sz="4" w:space="0" w:color="auto"/>
              <w:left w:val="double" w:sz="4" w:space="0" w:color="auto"/>
              <w:bottom w:val="single" w:sz="4" w:space="0" w:color="auto"/>
            </w:tcBorders>
            <w:shd w:val="clear" w:color="auto" w:fill="auto"/>
            <w:noWrap/>
            <w:vAlign w:val="center"/>
            <w:hideMark/>
          </w:tcPr>
          <w:p w14:paraId="5342DA00" w14:textId="77777777" w:rsidR="00BE151D" w:rsidRPr="00D14CD7" w:rsidRDefault="00BE151D" w:rsidP="00567BE9">
            <w:pPr>
              <w:spacing w:after="0" w:line="240" w:lineRule="auto"/>
              <w:jc w:val="right"/>
              <w:rPr>
                <w:rFonts w:eastAsia="Times New Roman"/>
                <w:color w:val="000000" w:themeColor="text1"/>
                <w:sz w:val="16"/>
                <w:szCs w:val="16"/>
              </w:rPr>
            </w:pPr>
            <w:r w:rsidRPr="00D14CD7">
              <w:rPr>
                <w:rFonts w:eastAsia="Times New Roman"/>
                <w:color w:val="000000" w:themeColor="text1"/>
                <w:sz w:val="16"/>
                <w:szCs w:val="16"/>
              </w:rPr>
              <w:t>—</w:t>
            </w:r>
          </w:p>
        </w:tc>
        <w:tc>
          <w:tcPr>
            <w:tcW w:w="159" w:type="pct"/>
            <w:tcBorders>
              <w:top w:val="single" w:sz="4" w:space="0" w:color="auto"/>
              <w:bottom w:val="single" w:sz="4" w:space="0" w:color="auto"/>
            </w:tcBorders>
            <w:shd w:val="clear" w:color="auto" w:fill="auto"/>
            <w:noWrap/>
            <w:vAlign w:val="center"/>
            <w:hideMark/>
          </w:tcPr>
          <w:p w14:paraId="46B2197A" w14:textId="77777777" w:rsidR="00BE151D" w:rsidRPr="00D14CD7" w:rsidRDefault="00BE151D" w:rsidP="00567BE9">
            <w:pPr>
              <w:spacing w:after="0" w:line="240" w:lineRule="auto"/>
              <w:jc w:val="right"/>
              <w:rPr>
                <w:rFonts w:eastAsia="Times New Roman"/>
                <w:color w:val="000000" w:themeColor="text1"/>
                <w:sz w:val="16"/>
                <w:szCs w:val="16"/>
              </w:rPr>
            </w:pPr>
            <w:r w:rsidRPr="00D14CD7">
              <w:rPr>
                <w:rFonts w:eastAsia="Times New Roman"/>
                <w:color w:val="000000" w:themeColor="text1"/>
                <w:sz w:val="16"/>
                <w:szCs w:val="16"/>
              </w:rPr>
              <w:t>—</w:t>
            </w:r>
          </w:p>
        </w:tc>
        <w:tc>
          <w:tcPr>
            <w:tcW w:w="187" w:type="pct"/>
            <w:tcBorders>
              <w:top w:val="single" w:sz="4" w:space="0" w:color="auto"/>
              <w:bottom w:val="single" w:sz="4" w:space="0" w:color="auto"/>
            </w:tcBorders>
            <w:shd w:val="clear" w:color="auto" w:fill="auto"/>
            <w:noWrap/>
            <w:vAlign w:val="center"/>
            <w:hideMark/>
          </w:tcPr>
          <w:p w14:paraId="3988313E" w14:textId="77777777" w:rsidR="00BE151D" w:rsidRPr="00D14CD7" w:rsidRDefault="00BE151D" w:rsidP="00567BE9">
            <w:pPr>
              <w:spacing w:after="0" w:line="240" w:lineRule="auto"/>
              <w:jc w:val="right"/>
              <w:rPr>
                <w:rFonts w:eastAsia="Times New Roman"/>
                <w:color w:val="000000" w:themeColor="text1"/>
                <w:sz w:val="16"/>
                <w:szCs w:val="16"/>
              </w:rPr>
            </w:pPr>
            <w:r w:rsidRPr="00D14CD7">
              <w:rPr>
                <w:rFonts w:eastAsia="Times New Roman"/>
                <w:color w:val="000000" w:themeColor="text1"/>
                <w:sz w:val="16"/>
                <w:szCs w:val="16"/>
              </w:rPr>
              <w:t>—</w:t>
            </w:r>
          </w:p>
        </w:tc>
        <w:tc>
          <w:tcPr>
            <w:tcW w:w="188" w:type="pct"/>
            <w:tcBorders>
              <w:top w:val="single" w:sz="4" w:space="0" w:color="auto"/>
              <w:bottom w:val="single" w:sz="4" w:space="0" w:color="auto"/>
            </w:tcBorders>
            <w:shd w:val="clear" w:color="auto" w:fill="auto"/>
            <w:noWrap/>
            <w:vAlign w:val="center"/>
            <w:hideMark/>
          </w:tcPr>
          <w:p w14:paraId="38D5DBC9" w14:textId="77777777" w:rsidR="00BE151D" w:rsidRPr="00D14CD7" w:rsidRDefault="00BE151D" w:rsidP="00567BE9">
            <w:pPr>
              <w:spacing w:after="0" w:line="240" w:lineRule="auto"/>
              <w:jc w:val="right"/>
              <w:rPr>
                <w:rFonts w:eastAsia="Times New Roman"/>
                <w:color w:val="000000" w:themeColor="text1"/>
                <w:sz w:val="16"/>
                <w:szCs w:val="16"/>
              </w:rPr>
            </w:pPr>
            <w:r w:rsidRPr="00D14CD7">
              <w:rPr>
                <w:rFonts w:eastAsia="Times New Roman"/>
                <w:color w:val="000000" w:themeColor="text1"/>
                <w:sz w:val="16"/>
                <w:szCs w:val="16"/>
              </w:rPr>
              <w:t>—</w:t>
            </w:r>
          </w:p>
        </w:tc>
        <w:tc>
          <w:tcPr>
            <w:tcW w:w="188" w:type="pct"/>
            <w:tcBorders>
              <w:top w:val="single" w:sz="4" w:space="0" w:color="auto"/>
              <w:bottom w:val="single" w:sz="4" w:space="0" w:color="auto"/>
            </w:tcBorders>
            <w:shd w:val="clear" w:color="auto" w:fill="auto"/>
            <w:noWrap/>
            <w:vAlign w:val="center"/>
            <w:hideMark/>
          </w:tcPr>
          <w:p w14:paraId="7F5D73B3" w14:textId="77777777" w:rsidR="00BE151D" w:rsidRPr="00D14CD7" w:rsidRDefault="00BE151D" w:rsidP="00567BE9">
            <w:pPr>
              <w:spacing w:after="0" w:line="240" w:lineRule="auto"/>
              <w:jc w:val="right"/>
              <w:rPr>
                <w:rFonts w:eastAsia="Times New Roman"/>
                <w:color w:val="000000" w:themeColor="text1"/>
                <w:sz w:val="16"/>
                <w:szCs w:val="16"/>
              </w:rPr>
            </w:pPr>
            <w:r w:rsidRPr="00D14CD7">
              <w:rPr>
                <w:rFonts w:eastAsia="Times New Roman"/>
                <w:color w:val="000000" w:themeColor="text1"/>
                <w:sz w:val="16"/>
                <w:szCs w:val="16"/>
              </w:rPr>
              <w:t>—</w:t>
            </w:r>
          </w:p>
        </w:tc>
        <w:tc>
          <w:tcPr>
            <w:tcW w:w="170" w:type="pct"/>
            <w:tcBorders>
              <w:top w:val="single" w:sz="4" w:space="0" w:color="auto"/>
              <w:bottom w:val="single" w:sz="4" w:space="0" w:color="auto"/>
            </w:tcBorders>
            <w:shd w:val="clear" w:color="auto" w:fill="auto"/>
            <w:noWrap/>
            <w:vAlign w:val="center"/>
            <w:hideMark/>
          </w:tcPr>
          <w:p w14:paraId="3F2C9762" w14:textId="77777777" w:rsidR="00BE151D" w:rsidRPr="00D14CD7" w:rsidRDefault="00BE151D" w:rsidP="00567BE9">
            <w:pPr>
              <w:spacing w:after="0" w:line="240" w:lineRule="auto"/>
              <w:jc w:val="right"/>
              <w:rPr>
                <w:rFonts w:eastAsia="Times New Roman"/>
                <w:color w:val="000000" w:themeColor="text1"/>
                <w:sz w:val="16"/>
                <w:szCs w:val="16"/>
              </w:rPr>
            </w:pPr>
            <w:r w:rsidRPr="00D14CD7">
              <w:rPr>
                <w:rFonts w:eastAsia="Times New Roman"/>
                <w:color w:val="000000" w:themeColor="text1"/>
                <w:sz w:val="16"/>
                <w:szCs w:val="16"/>
              </w:rPr>
              <w:t>—</w:t>
            </w:r>
          </w:p>
        </w:tc>
        <w:tc>
          <w:tcPr>
            <w:tcW w:w="173" w:type="pct"/>
            <w:tcBorders>
              <w:top w:val="single" w:sz="4" w:space="0" w:color="auto"/>
              <w:bottom w:val="single" w:sz="4" w:space="0" w:color="auto"/>
            </w:tcBorders>
            <w:shd w:val="clear" w:color="auto" w:fill="auto"/>
            <w:noWrap/>
            <w:vAlign w:val="center"/>
            <w:hideMark/>
          </w:tcPr>
          <w:p w14:paraId="2CB86019" w14:textId="77777777" w:rsidR="00BE151D" w:rsidRPr="00D14CD7" w:rsidRDefault="00BE151D" w:rsidP="00567BE9">
            <w:pPr>
              <w:spacing w:after="0" w:line="240" w:lineRule="auto"/>
              <w:jc w:val="right"/>
              <w:rPr>
                <w:rFonts w:eastAsia="Times New Roman"/>
                <w:color w:val="000000" w:themeColor="text1"/>
                <w:sz w:val="16"/>
                <w:szCs w:val="16"/>
              </w:rPr>
            </w:pPr>
            <w:proofErr w:type="spellStart"/>
            <w:r w:rsidRPr="00D14CD7">
              <w:rPr>
                <w:rFonts w:eastAsia="Times New Roman"/>
                <w:color w:val="000000" w:themeColor="text1"/>
                <w:sz w:val="16"/>
                <w:szCs w:val="16"/>
              </w:rPr>
              <w:t>na</w:t>
            </w:r>
            <w:proofErr w:type="spellEnd"/>
          </w:p>
        </w:tc>
        <w:tc>
          <w:tcPr>
            <w:tcW w:w="160" w:type="pct"/>
            <w:tcBorders>
              <w:top w:val="single" w:sz="4" w:space="0" w:color="auto"/>
              <w:bottom w:val="single" w:sz="4" w:space="0" w:color="auto"/>
              <w:right w:val="double" w:sz="4" w:space="0" w:color="auto"/>
            </w:tcBorders>
            <w:shd w:val="clear" w:color="auto" w:fill="auto"/>
            <w:noWrap/>
            <w:vAlign w:val="center"/>
            <w:hideMark/>
          </w:tcPr>
          <w:p w14:paraId="384B5C39" w14:textId="77777777" w:rsidR="00BE151D" w:rsidRPr="00D14CD7" w:rsidRDefault="00BE151D" w:rsidP="00567BE9">
            <w:pPr>
              <w:spacing w:after="0" w:line="240" w:lineRule="auto"/>
              <w:jc w:val="right"/>
              <w:rPr>
                <w:rFonts w:eastAsia="Times New Roman"/>
                <w:color w:val="000000" w:themeColor="text1"/>
                <w:sz w:val="16"/>
                <w:szCs w:val="16"/>
              </w:rPr>
            </w:pPr>
            <w:proofErr w:type="spellStart"/>
            <w:r w:rsidRPr="00D14CD7">
              <w:rPr>
                <w:rFonts w:eastAsia="Times New Roman"/>
                <w:color w:val="000000" w:themeColor="text1"/>
                <w:sz w:val="16"/>
                <w:szCs w:val="16"/>
              </w:rPr>
              <w:t>na</w:t>
            </w:r>
            <w:proofErr w:type="spellEnd"/>
          </w:p>
        </w:tc>
        <w:tc>
          <w:tcPr>
            <w:tcW w:w="186" w:type="pct"/>
            <w:tcBorders>
              <w:top w:val="single" w:sz="4" w:space="0" w:color="auto"/>
              <w:left w:val="double" w:sz="4" w:space="0" w:color="auto"/>
              <w:bottom w:val="single" w:sz="4" w:space="0" w:color="auto"/>
            </w:tcBorders>
            <w:shd w:val="clear" w:color="auto" w:fill="auto"/>
            <w:noWrap/>
            <w:vAlign w:val="bottom"/>
          </w:tcPr>
          <w:p w14:paraId="3E1DD8F0" w14:textId="77777777" w:rsidR="00BE151D" w:rsidRPr="00D14CD7" w:rsidRDefault="00BE151D" w:rsidP="00567BE9">
            <w:pPr>
              <w:spacing w:after="0" w:line="240" w:lineRule="auto"/>
              <w:jc w:val="right"/>
              <w:rPr>
                <w:rFonts w:eastAsia="Times New Roman"/>
                <w:color w:val="000000" w:themeColor="text1"/>
                <w:sz w:val="16"/>
                <w:szCs w:val="16"/>
              </w:rPr>
            </w:pPr>
            <w:r w:rsidRPr="00D14CD7">
              <w:rPr>
                <w:color w:val="000000" w:themeColor="text1"/>
                <w:sz w:val="16"/>
                <w:szCs w:val="16"/>
              </w:rPr>
              <w:t>0.119</w:t>
            </w:r>
          </w:p>
        </w:tc>
        <w:tc>
          <w:tcPr>
            <w:tcW w:w="152" w:type="pct"/>
            <w:tcBorders>
              <w:top w:val="single" w:sz="4" w:space="0" w:color="auto"/>
              <w:bottom w:val="single" w:sz="4" w:space="0" w:color="auto"/>
            </w:tcBorders>
            <w:shd w:val="clear" w:color="auto" w:fill="auto"/>
            <w:noWrap/>
            <w:vAlign w:val="bottom"/>
          </w:tcPr>
          <w:p w14:paraId="1A184E0D" w14:textId="77777777" w:rsidR="00BE151D" w:rsidRPr="00D14CD7" w:rsidRDefault="00BE151D" w:rsidP="00567BE9">
            <w:pPr>
              <w:spacing w:after="0" w:line="240" w:lineRule="auto"/>
              <w:jc w:val="right"/>
              <w:rPr>
                <w:rFonts w:eastAsia="Times New Roman"/>
                <w:color w:val="000000" w:themeColor="text1"/>
                <w:sz w:val="16"/>
                <w:szCs w:val="16"/>
              </w:rPr>
            </w:pPr>
            <w:r w:rsidRPr="00D14CD7">
              <w:rPr>
                <w:color w:val="000000" w:themeColor="text1"/>
                <w:sz w:val="16"/>
                <w:szCs w:val="16"/>
              </w:rPr>
              <w:t>1.66</w:t>
            </w:r>
          </w:p>
        </w:tc>
      </w:tr>
      <w:tr w:rsidR="00D14CD7" w:rsidRPr="00D14CD7" w14:paraId="607CF704" w14:textId="77777777" w:rsidTr="00AC40E4">
        <w:trPr>
          <w:trHeight w:val="72"/>
        </w:trPr>
        <w:tc>
          <w:tcPr>
            <w:tcW w:w="1719" w:type="pct"/>
            <w:tcBorders>
              <w:top w:val="single" w:sz="8" w:space="0" w:color="auto"/>
              <w:bottom w:val="single" w:sz="8" w:space="0" w:color="auto"/>
              <w:right w:val="double" w:sz="4" w:space="0" w:color="auto"/>
            </w:tcBorders>
            <w:shd w:val="clear" w:color="auto" w:fill="auto"/>
            <w:noWrap/>
            <w:vAlign w:val="center"/>
            <w:hideMark/>
          </w:tcPr>
          <w:p w14:paraId="3C76C50B" w14:textId="0F46992D" w:rsidR="00BE151D" w:rsidRPr="00AC40E4" w:rsidRDefault="00BE151D" w:rsidP="00567BE9">
            <w:pPr>
              <w:spacing w:after="0" w:line="240" w:lineRule="auto"/>
              <w:rPr>
                <w:rFonts w:eastAsia="Times New Roman"/>
                <w:b/>
                <w:bCs/>
                <w:color w:val="000000" w:themeColor="text1"/>
                <w:sz w:val="16"/>
                <w:szCs w:val="16"/>
              </w:rPr>
            </w:pPr>
            <w:r w:rsidRPr="00AC40E4">
              <w:rPr>
                <w:rFonts w:eastAsia="Times New Roman"/>
                <w:b/>
                <w:bCs/>
                <w:color w:val="000000" w:themeColor="text1"/>
                <w:sz w:val="16"/>
                <w:szCs w:val="16"/>
              </w:rPr>
              <w:t>Constant</w:t>
            </w:r>
            <w:r w:rsidR="00AC40E4">
              <w:rPr>
                <w:rFonts w:eastAsia="Times New Roman"/>
                <w:b/>
                <w:bCs/>
                <w:color w:val="000000" w:themeColor="text1"/>
                <w:sz w:val="16"/>
                <w:szCs w:val="16"/>
              </w:rPr>
              <w:t>s</w:t>
            </w:r>
          </w:p>
        </w:tc>
        <w:tc>
          <w:tcPr>
            <w:tcW w:w="217" w:type="pct"/>
            <w:tcBorders>
              <w:top w:val="single" w:sz="8" w:space="0" w:color="auto"/>
              <w:left w:val="double" w:sz="4" w:space="0" w:color="auto"/>
              <w:bottom w:val="single" w:sz="8" w:space="0" w:color="auto"/>
            </w:tcBorders>
            <w:shd w:val="clear" w:color="auto" w:fill="auto"/>
            <w:noWrap/>
            <w:vAlign w:val="center"/>
            <w:hideMark/>
          </w:tcPr>
          <w:p w14:paraId="33721E53" w14:textId="77777777" w:rsidR="00BE151D" w:rsidRPr="00D14CD7" w:rsidRDefault="00BE151D" w:rsidP="00BE151D">
            <w:pPr>
              <w:spacing w:after="0" w:line="240" w:lineRule="auto"/>
              <w:jc w:val="right"/>
              <w:rPr>
                <w:rFonts w:eastAsia="Times New Roman"/>
                <w:color w:val="000000" w:themeColor="text1"/>
                <w:sz w:val="16"/>
                <w:szCs w:val="16"/>
              </w:rPr>
            </w:pPr>
            <w:proofErr w:type="spellStart"/>
            <w:r w:rsidRPr="00D14CD7">
              <w:rPr>
                <w:rFonts w:eastAsia="Times New Roman"/>
                <w:color w:val="000000" w:themeColor="text1"/>
                <w:sz w:val="16"/>
                <w:szCs w:val="16"/>
              </w:rPr>
              <w:t>na</w:t>
            </w:r>
            <w:proofErr w:type="spellEnd"/>
          </w:p>
        </w:tc>
        <w:tc>
          <w:tcPr>
            <w:tcW w:w="213" w:type="pct"/>
            <w:tcBorders>
              <w:top w:val="single" w:sz="8" w:space="0" w:color="auto"/>
              <w:bottom w:val="single" w:sz="8" w:space="0" w:color="auto"/>
            </w:tcBorders>
            <w:shd w:val="clear" w:color="auto" w:fill="auto"/>
            <w:noWrap/>
            <w:vAlign w:val="center"/>
            <w:hideMark/>
          </w:tcPr>
          <w:p w14:paraId="3C021C23" w14:textId="77777777" w:rsidR="00BE151D" w:rsidRPr="00D14CD7" w:rsidRDefault="00BE151D" w:rsidP="00BE151D">
            <w:pPr>
              <w:spacing w:after="0" w:line="240" w:lineRule="auto"/>
              <w:jc w:val="right"/>
              <w:rPr>
                <w:rFonts w:eastAsia="Times New Roman"/>
                <w:color w:val="000000" w:themeColor="text1"/>
                <w:sz w:val="16"/>
                <w:szCs w:val="16"/>
              </w:rPr>
            </w:pPr>
            <w:proofErr w:type="spellStart"/>
            <w:r w:rsidRPr="00D14CD7">
              <w:rPr>
                <w:rFonts w:eastAsia="Times New Roman"/>
                <w:color w:val="000000" w:themeColor="text1"/>
                <w:sz w:val="16"/>
                <w:szCs w:val="16"/>
              </w:rPr>
              <w:t>na</w:t>
            </w:r>
            <w:proofErr w:type="spellEnd"/>
          </w:p>
        </w:tc>
        <w:tc>
          <w:tcPr>
            <w:tcW w:w="188" w:type="pct"/>
            <w:tcBorders>
              <w:top w:val="single" w:sz="8" w:space="0" w:color="auto"/>
              <w:bottom w:val="single" w:sz="8" w:space="0" w:color="auto"/>
            </w:tcBorders>
            <w:shd w:val="clear" w:color="auto" w:fill="auto"/>
            <w:noWrap/>
            <w:vAlign w:val="center"/>
          </w:tcPr>
          <w:p w14:paraId="37FE3738" w14:textId="77777777" w:rsidR="00BE151D" w:rsidRPr="00D14CD7" w:rsidRDefault="00BE151D" w:rsidP="00BE151D">
            <w:pPr>
              <w:spacing w:after="0" w:line="240" w:lineRule="auto"/>
              <w:jc w:val="right"/>
              <w:rPr>
                <w:rFonts w:eastAsia="Times New Roman"/>
                <w:color w:val="000000" w:themeColor="text1"/>
                <w:sz w:val="16"/>
                <w:szCs w:val="16"/>
              </w:rPr>
            </w:pPr>
            <w:r w:rsidRPr="00D14CD7">
              <w:rPr>
                <w:color w:val="000000" w:themeColor="text1"/>
                <w:sz w:val="16"/>
                <w:szCs w:val="16"/>
              </w:rPr>
              <w:t>-0.944</w:t>
            </w:r>
          </w:p>
        </w:tc>
        <w:tc>
          <w:tcPr>
            <w:tcW w:w="188" w:type="pct"/>
            <w:tcBorders>
              <w:top w:val="single" w:sz="8" w:space="0" w:color="auto"/>
              <w:bottom w:val="single" w:sz="8" w:space="0" w:color="auto"/>
            </w:tcBorders>
            <w:shd w:val="clear" w:color="auto" w:fill="auto"/>
            <w:noWrap/>
            <w:vAlign w:val="center"/>
          </w:tcPr>
          <w:p w14:paraId="2E992447" w14:textId="77777777" w:rsidR="00BE151D" w:rsidRPr="00D14CD7" w:rsidRDefault="00BE151D" w:rsidP="00BE151D">
            <w:pPr>
              <w:spacing w:after="0" w:line="240" w:lineRule="auto"/>
              <w:jc w:val="right"/>
              <w:rPr>
                <w:rFonts w:eastAsia="Times New Roman"/>
                <w:color w:val="000000" w:themeColor="text1"/>
                <w:sz w:val="16"/>
                <w:szCs w:val="16"/>
              </w:rPr>
            </w:pPr>
            <w:r w:rsidRPr="00D14CD7">
              <w:rPr>
                <w:color w:val="000000" w:themeColor="text1"/>
                <w:sz w:val="16"/>
                <w:szCs w:val="16"/>
              </w:rPr>
              <w:t>-2.64</w:t>
            </w:r>
          </w:p>
        </w:tc>
        <w:tc>
          <w:tcPr>
            <w:tcW w:w="188" w:type="pct"/>
            <w:tcBorders>
              <w:top w:val="single" w:sz="8" w:space="0" w:color="auto"/>
              <w:bottom w:val="single" w:sz="8" w:space="0" w:color="auto"/>
            </w:tcBorders>
            <w:shd w:val="clear" w:color="auto" w:fill="auto"/>
            <w:noWrap/>
            <w:vAlign w:val="center"/>
          </w:tcPr>
          <w:p w14:paraId="441195D4" w14:textId="77777777" w:rsidR="00BE151D" w:rsidRPr="00D14CD7" w:rsidRDefault="00BE151D" w:rsidP="00BE151D">
            <w:pPr>
              <w:spacing w:after="0" w:line="240" w:lineRule="auto"/>
              <w:jc w:val="right"/>
              <w:rPr>
                <w:rFonts w:eastAsia="Times New Roman"/>
                <w:color w:val="000000" w:themeColor="text1"/>
                <w:sz w:val="16"/>
                <w:szCs w:val="16"/>
              </w:rPr>
            </w:pPr>
            <w:r w:rsidRPr="00D14CD7">
              <w:rPr>
                <w:color w:val="000000" w:themeColor="text1"/>
                <w:sz w:val="16"/>
                <w:szCs w:val="16"/>
              </w:rPr>
              <w:t>2.482</w:t>
            </w:r>
          </w:p>
        </w:tc>
        <w:tc>
          <w:tcPr>
            <w:tcW w:w="188" w:type="pct"/>
            <w:tcBorders>
              <w:top w:val="single" w:sz="8" w:space="0" w:color="auto"/>
              <w:bottom w:val="single" w:sz="8" w:space="0" w:color="auto"/>
            </w:tcBorders>
            <w:shd w:val="clear" w:color="auto" w:fill="auto"/>
            <w:noWrap/>
            <w:vAlign w:val="center"/>
          </w:tcPr>
          <w:p w14:paraId="71ADBE47" w14:textId="77777777" w:rsidR="00BE151D" w:rsidRPr="00D14CD7" w:rsidRDefault="00BE151D" w:rsidP="00BE151D">
            <w:pPr>
              <w:spacing w:after="0" w:line="240" w:lineRule="auto"/>
              <w:jc w:val="right"/>
              <w:rPr>
                <w:rFonts w:eastAsia="Times New Roman"/>
                <w:color w:val="000000" w:themeColor="text1"/>
                <w:sz w:val="16"/>
                <w:szCs w:val="16"/>
              </w:rPr>
            </w:pPr>
            <w:r w:rsidRPr="00D14CD7">
              <w:rPr>
                <w:color w:val="000000" w:themeColor="text1"/>
                <w:sz w:val="16"/>
                <w:szCs w:val="16"/>
              </w:rPr>
              <w:t>4.94</w:t>
            </w:r>
          </w:p>
        </w:tc>
        <w:tc>
          <w:tcPr>
            <w:tcW w:w="188" w:type="pct"/>
            <w:tcBorders>
              <w:top w:val="single" w:sz="8" w:space="0" w:color="auto"/>
              <w:bottom w:val="single" w:sz="8" w:space="0" w:color="auto"/>
            </w:tcBorders>
            <w:shd w:val="clear" w:color="auto" w:fill="auto"/>
            <w:noWrap/>
            <w:vAlign w:val="center"/>
          </w:tcPr>
          <w:p w14:paraId="3169A8F3" w14:textId="77777777" w:rsidR="00BE151D" w:rsidRPr="00D14CD7" w:rsidRDefault="00BE151D" w:rsidP="00BE151D">
            <w:pPr>
              <w:spacing w:after="0" w:line="240" w:lineRule="auto"/>
              <w:jc w:val="right"/>
              <w:rPr>
                <w:rFonts w:eastAsia="Times New Roman"/>
                <w:color w:val="000000" w:themeColor="text1"/>
                <w:sz w:val="16"/>
                <w:szCs w:val="16"/>
              </w:rPr>
            </w:pPr>
            <w:r w:rsidRPr="00D14CD7">
              <w:rPr>
                <w:color w:val="000000" w:themeColor="text1"/>
                <w:sz w:val="16"/>
                <w:szCs w:val="16"/>
              </w:rPr>
              <w:t>-1.377</w:t>
            </w:r>
          </w:p>
        </w:tc>
        <w:tc>
          <w:tcPr>
            <w:tcW w:w="159" w:type="pct"/>
            <w:tcBorders>
              <w:top w:val="single" w:sz="8" w:space="0" w:color="auto"/>
              <w:bottom w:val="single" w:sz="8" w:space="0" w:color="auto"/>
              <w:right w:val="double" w:sz="4" w:space="0" w:color="auto"/>
            </w:tcBorders>
            <w:shd w:val="clear" w:color="auto" w:fill="auto"/>
            <w:noWrap/>
            <w:vAlign w:val="center"/>
          </w:tcPr>
          <w:p w14:paraId="3D832F32" w14:textId="77777777" w:rsidR="00BE151D" w:rsidRPr="00D14CD7" w:rsidRDefault="00BE151D" w:rsidP="00BE151D">
            <w:pPr>
              <w:spacing w:after="0" w:line="240" w:lineRule="auto"/>
              <w:jc w:val="right"/>
              <w:rPr>
                <w:rFonts w:eastAsia="Times New Roman"/>
                <w:color w:val="000000" w:themeColor="text1"/>
                <w:sz w:val="16"/>
                <w:szCs w:val="16"/>
              </w:rPr>
            </w:pPr>
            <w:r w:rsidRPr="00D14CD7">
              <w:rPr>
                <w:color w:val="000000" w:themeColor="text1"/>
                <w:sz w:val="16"/>
                <w:szCs w:val="16"/>
              </w:rPr>
              <w:t>-4.87</w:t>
            </w:r>
          </w:p>
        </w:tc>
        <w:tc>
          <w:tcPr>
            <w:tcW w:w="189" w:type="pct"/>
            <w:tcBorders>
              <w:top w:val="single" w:sz="8" w:space="0" w:color="auto"/>
              <w:left w:val="double" w:sz="4" w:space="0" w:color="auto"/>
              <w:bottom w:val="single" w:sz="8" w:space="0" w:color="auto"/>
            </w:tcBorders>
            <w:shd w:val="clear" w:color="auto" w:fill="auto"/>
            <w:noWrap/>
            <w:vAlign w:val="center"/>
          </w:tcPr>
          <w:p w14:paraId="6CB65E7D" w14:textId="77777777" w:rsidR="00BE151D" w:rsidRPr="00D14CD7" w:rsidRDefault="00BE151D" w:rsidP="00BE151D">
            <w:pPr>
              <w:spacing w:after="0" w:line="240" w:lineRule="auto"/>
              <w:jc w:val="right"/>
              <w:rPr>
                <w:rFonts w:eastAsia="Times New Roman"/>
                <w:color w:val="000000" w:themeColor="text1"/>
                <w:sz w:val="16"/>
                <w:szCs w:val="16"/>
              </w:rPr>
            </w:pPr>
            <w:r w:rsidRPr="00D14CD7">
              <w:rPr>
                <w:color w:val="000000" w:themeColor="text1"/>
                <w:sz w:val="16"/>
                <w:szCs w:val="16"/>
              </w:rPr>
              <w:t>-0.873</w:t>
            </w:r>
          </w:p>
        </w:tc>
        <w:tc>
          <w:tcPr>
            <w:tcW w:w="159" w:type="pct"/>
            <w:tcBorders>
              <w:top w:val="single" w:sz="8" w:space="0" w:color="auto"/>
              <w:bottom w:val="single" w:sz="8" w:space="0" w:color="auto"/>
            </w:tcBorders>
            <w:shd w:val="clear" w:color="auto" w:fill="auto"/>
            <w:noWrap/>
            <w:vAlign w:val="center"/>
          </w:tcPr>
          <w:p w14:paraId="2B53CCA2" w14:textId="77777777" w:rsidR="00BE151D" w:rsidRPr="00D14CD7" w:rsidRDefault="00BE151D" w:rsidP="00BE151D">
            <w:pPr>
              <w:spacing w:after="0" w:line="240" w:lineRule="auto"/>
              <w:jc w:val="right"/>
              <w:rPr>
                <w:rFonts w:eastAsia="Times New Roman"/>
                <w:color w:val="000000" w:themeColor="text1"/>
                <w:sz w:val="16"/>
                <w:szCs w:val="16"/>
              </w:rPr>
            </w:pPr>
            <w:r w:rsidRPr="00D14CD7">
              <w:rPr>
                <w:color w:val="000000" w:themeColor="text1"/>
                <w:sz w:val="16"/>
                <w:szCs w:val="16"/>
              </w:rPr>
              <w:t>-2.48</w:t>
            </w:r>
          </w:p>
        </w:tc>
        <w:tc>
          <w:tcPr>
            <w:tcW w:w="187" w:type="pct"/>
            <w:tcBorders>
              <w:top w:val="single" w:sz="8" w:space="0" w:color="auto"/>
              <w:bottom w:val="single" w:sz="8" w:space="0" w:color="auto"/>
            </w:tcBorders>
            <w:shd w:val="clear" w:color="auto" w:fill="auto"/>
            <w:noWrap/>
            <w:vAlign w:val="center"/>
          </w:tcPr>
          <w:p w14:paraId="48DE39FE" w14:textId="77777777" w:rsidR="00BE151D" w:rsidRPr="00D14CD7" w:rsidRDefault="00BE151D" w:rsidP="00BE151D">
            <w:pPr>
              <w:spacing w:after="0" w:line="240" w:lineRule="auto"/>
              <w:jc w:val="right"/>
              <w:rPr>
                <w:rFonts w:eastAsia="Times New Roman"/>
                <w:color w:val="000000" w:themeColor="text1"/>
                <w:sz w:val="16"/>
                <w:szCs w:val="16"/>
              </w:rPr>
            </w:pPr>
            <w:r w:rsidRPr="00D14CD7">
              <w:rPr>
                <w:color w:val="000000" w:themeColor="text1"/>
                <w:sz w:val="16"/>
                <w:szCs w:val="16"/>
              </w:rPr>
              <w:t>-1.714</w:t>
            </w:r>
          </w:p>
        </w:tc>
        <w:tc>
          <w:tcPr>
            <w:tcW w:w="188" w:type="pct"/>
            <w:tcBorders>
              <w:top w:val="single" w:sz="8" w:space="0" w:color="auto"/>
              <w:bottom w:val="single" w:sz="8" w:space="0" w:color="auto"/>
            </w:tcBorders>
            <w:shd w:val="clear" w:color="auto" w:fill="auto"/>
            <w:noWrap/>
            <w:vAlign w:val="center"/>
          </w:tcPr>
          <w:p w14:paraId="1063A8A2" w14:textId="77777777" w:rsidR="00BE151D" w:rsidRPr="00D14CD7" w:rsidRDefault="00BE151D" w:rsidP="00BE151D">
            <w:pPr>
              <w:spacing w:after="0" w:line="240" w:lineRule="auto"/>
              <w:jc w:val="right"/>
              <w:rPr>
                <w:rFonts w:eastAsia="Times New Roman"/>
                <w:color w:val="000000" w:themeColor="text1"/>
                <w:sz w:val="16"/>
                <w:szCs w:val="16"/>
              </w:rPr>
            </w:pPr>
            <w:r w:rsidRPr="00D14CD7">
              <w:rPr>
                <w:color w:val="000000" w:themeColor="text1"/>
                <w:sz w:val="16"/>
                <w:szCs w:val="16"/>
              </w:rPr>
              <w:t>-8.30</w:t>
            </w:r>
          </w:p>
        </w:tc>
        <w:tc>
          <w:tcPr>
            <w:tcW w:w="188" w:type="pct"/>
            <w:tcBorders>
              <w:top w:val="single" w:sz="8" w:space="0" w:color="auto"/>
              <w:bottom w:val="single" w:sz="8" w:space="0" w:color="auto"/>
            </w:tcBorders>
            <w:shd w:val="clear" w:color="auto" w:fill="auto"/>
            <w:noWrap/>
            <w:vAlign w:val="center"/>
          </w:tcPr>
          <w:p w14:paraId="5A48FCC8" w14:textId="77777777" w:rsidR="00BE151D" w:rsidRPr="00D14CD7" w:rsidRDefault="00BE151D" w:rsidP="00BE151D">
            <w:pPr>
              <w:spacing w:after="0" w:line="240" w:lineRule="auto"/>
              <w:jc w:val="right"/>
              <w:rPr>
                <w:rFonts w:eastAsia="Times New Roman"/>
                <w:color w:val="000000" w:themeColor="text1"/>
                <w:sz w:val="16"/>
                <w:szCs w:val="16"/>
              </w:rPr>
            </w:pPr>
            <w:r w:rsidRPr="00D14CD7">
              <w:rPr>
                <w:color w:val="000000" w:themeColor="text1"/>
                <w:sz w:val="16"/>
                <w:szCs w:val="16"/>
              </w:rPr>
              <w:t>-1.986</w:t>
            </w:r>
          </w:p>
        </w:tc>
        <w:tc>
          <w:tcPr>
            <w:tcW w:w="170" w:type="pct"/>
            <w:tcBorders>
              <w:top w:val="single" w:sz="8" w:space="0" w:color="auto"/>
              <w:bottom w:val="single" w:sz="8" w:space="0" w:color="auto"/>
            </w:tcBorders>
            <w:shd w:val="clear" w:color="auto" w:fill="auto"/>
            <w:noWrap/>
            <w:vAlign w:val="center"/>
          </w:tcPr>
          <w:p w14:paraId="3D166BC2" w14:textId="77777777" w:rsidR="00BE151D" w:rsidRPr="00D14CD7" w:rsidRDefault="00BE151D" w:rsidP="00BE151D">
            <w:pPr>
              <w:spacing w:after="0" w:line="240" w:lineRule="auto"/>
              <w:jc w:val="right"/>
              <w:rPr>
                <w:rFonts w:eastAsia="Times New Roman"/>
                <w:color w:val="000000" w:themeColor="text1"/>
                <w:sz w:val="16"/>
                <w:szCs w:val="16"/>
              </w:rPr>
            </w:pPr>
            <w:r w:rsidRPr="00D14CD7">
              <w:rPr>
                <w:color w:val="000000" w:themeColor="text1"/>
                <w:sz w:val="16"/>
                <w:szCs w:val="16"/>
              </w:rPr>
              <w:t>-3.20</w:t>
            </w:r>
          </w:p>
        </w:tc>
        <w:tc>
          <w:tcPr>
            <w:tcW w:w="173" w:type="pct"/>
            <w:tcBorders>
              <w:top w:val="single" w:sz="8" w:space="0" w:color="auto"/>
              <w:bottom w:val="single" w:sz="8" w:space="0" w:color="auto"/>
            </w:tcBorders>
            <w:shd w:val="clear" w:color="auto" w:fill="auto"/>
            <w:noWrap/>
            <w:vAlign w:val="center"/>
          </w:tcPr>
          <w:p w14:paraId="2030C8EC" w14:textId="77777777" w:rsidR="00BE151D" w:rsidRPr="00D14CD7" w:rsidRDefault="00BE151D" w:rsidP="00BE151D">
            <w:pPr>
              <w:spacing w:after="0" w:line="240" w:lineRule="auto"/>
              <w:jc w:val="right"/>
              <w:rPr>
                <w:rFonts w:eastAsia="Times New Roman"/>
                <w:color w:val="000000" w:themeColor="text1"/>
                <w:sz w:val="16"/>
                <w:szCs w:val="16"/>
              </w:rPr>
            </w:pPr>
            <w:r w:rsidRPr="00D14CD7">
              <w:rPr>
                <w:color w:val="000000" w:themeColor="text1"/>
                <w:sz w:val="16"/>
                <w:szCs w:val="16"/>
              </w:rPr>
              <w:t>-1.827</w:t>
            </w:r>
          </w:p>
        </w:tc>
        <w:tc>
          <w:tcPr>
            <w:tcW w:w="160" w:type="pct"/>
            <w:tcBorders>
              <w:top w:val="single" w:sz="8" w:space="0" w:color="auto"/>
              <w:bottom w:val="single" w:sz="8" w:space="0" w:color="auto"/>
              <w:right w:val="double" w:sz="4" w:space="0" w:color="auto"/>
            </w:tcBorders>
            <w:shd w:val="clear" w:color="auto" w:fill="auto"/>
            <w:noWrap/>
            <w:vAlign w:val="center"/>
          </w:tcPr>
          <w:p w14:paraId="0A98B83D" w14:textId="77777777" w:rsidR="00BE151D" w:rsidRPr="00D14CD7" w:rsidRDefault="00BE151D" w:rsidP="00BE151D">
            <w:pPr>
              <w:spacing w:after="0" w:line="240" w:lineRule="auto"/>
              <w:jc w:val="right"/>
              <w:rPr>
                <w:rFonts w:eastAsia="Times New Roman"/>
                <w:color w:val="000000" w:themeColor="text1"/>
                <w:sz w:val="16"/>
                <w:szCs w:val="16"/>
              </w:rPr>
            </w:pPr>
            <w:r w:rsidRPr="00D14CD7">
              <w:rPr>
                <w:color w:val="000000" w:themeColor="text1"/>
                <w:sz w:val="16"/>
                <w:szCs w:val="16"/>
              </w:rPr>
              <w:t>-10.98</w:t>
            </w:r>
          </w:p>
        </w:tc>
        <w:tc>
          <w:tcPr>
            <w:tcW w:w="186" w:type="pct"/>
            <w:tcBorders>
              <w:top w:val="single" w:sz="8" w:space="0" w:color="auto"/>
              <w:left w:val="double" w:sz="4" w:space="0" w:color="auto"/>
              <w:bottom w:val="single" w:sz="8" w:space="0" w:color="auto"/>
            </w:tcBorders>
            <w:shd w:val="clear" w:color="auto" w:fill="auto"/>
            <w:noWrap/>
            <w:vAlign w:val="center"/>
          </w:tcPr>
          <w:p w14:paraId="1FE0BFF9" w14:textId="77777777" w:rsidR="00BE151D" w:rsidRPr="00D14CD7" w:rsidRDefault="00BE151D" w:rsidP="00BE151D">
            <w:pPr>
              <w:spacing w:after="0" w:line="240" w:lineRule="auto"/>
              <w:jc w:val="right"/>
              <w:rPr>
                <w:rFonts w:eastAsia="Times New Roman"/>
                <w:color w:val="000000" w:themeColor="text1"/>
                <w:sz w:val="16"/>
                <w:szCs w:val="16"/>
              </w:rPr>
            </w:pPr>
            <w:r w:rsidRPr="00D14CD7">
              <w:rPr>
                <w:color w:val="000000" w:themeColor="text1"/>
                <w:sz w:val="16"/>
                <w:szCs w:val="16"/>
              </w:rPr>
              <w:t>2.003</w:t>
            </w:r>
          </w:p>
        </w:tc>
        <w:tc>
          <w:tcPr>
            <w:tcW w:w="152" w:type="pct"/>
            <w:tcBorders>
              <w:top w:val="single" w:sz="8" w:space="0" w:color="auto"/>
              <w:bottom w:val="single" w:sz="8" w:space="0" w:color="auto"/>
            </w:tcBorders>
            <w:shd w:val="clear" w:color="auto" w:fill="auto"/>
            <w:noWrap/>
            <w:vAlign w:val="center"/>
          </w:tcPr>
          <w:p w14:paraId="0C3175B2" w14:textId="77777777" w:rsidR="00BE151D" w:rsidRPr="00D14CD7" w:rsidRDefault="00BE151D" w:rsidP="00BE151D">
            <w:pPr>
              <w:spacing w:after="0" w:line="240" w:lineRule="auto"/>
              <w:jc w:val="right"/>
              <w:rPr>
                <w:rFonts w:eastAsia="Times New Roman"/>
                <w:color w:val="000000" w:themeColor="text1"/>
                <w:sz w:val="16"/>
                <w:szCs w:val="16"/>
              </w:rPr>
            </w:pPr>
            <w:r w:rsidRPr="00D14CD7">
              <w:rPr>
                <w:color w:val="000000" w:themeColor="text1"/>
                <w:sz w:val="16"/>
                <w:szCs w:val="16"/>
              </w:rPr>
              <w:t>14.32</w:t>
            </w:r>
          </w:p>
        </w:tc>
      </w:tr>
      <w:tr w:rsidR="00D14CD7" w:rsidRPr="00D14CD7" w14:paraId="4045AE37" w14:textId="77777777" w:rsidTr="00AC40E4">
        <w:trPr>
          <w:trHeight w:val="72"/>
        </w:trPr>
        <w:tc>
          <w:tcPr>
            <w:tcW w:w="5000" w:type="pct"/>
            <w:gridSpan w:val="19"/>
            <w:tcBorders>
              <w:top w:val="single" w:sz="8" w:space="0" w:color="auto"/>
              <w:bottom w:val="single" w:sz="8" w:space="0" w:color="auto"/>
            </w:tcBorders>
            <w:shd w:val="clear" w:color="auto" w:fill="auto"/>
            <w:noWrap/>
            <w:vAlign w:val="center"/>
            <w:hideMark/>
          </w:tcPr>
          <w:p w14:paraId="351D4DFD" w14:textId="77777777" w:rsidR="00BE151D" w:rsidRPr="00D14CD7" w:rsidRDefault="00BE151D" w:rsidP="00567BE9">
            <w:pPr>
              <w:spacing w:after="0" w:line="240" w:lineRule="auto"/>
              <w:rPr>
                <w:rFonts w:eastAsia="Times New Roman"/>
                <w:color w:val="000000" w:themeColor="text1"/>
                <w:sz w:val="20"/>
                <w:szCs w:val="20"/>
              </w:rPr>
            </w:pPr>
            <w:r w:rsidRPr="00D14CD7">
              <w:rPr>
                <w:rFonts w:eastAsia="Times New Roman"/>
                <w:b/>
                <w:bCs/>
                <w:color w:val="000000" w:themeColor="text1"/>
                <w:sz w:val="16"/>
                <w:szCs w:val="16"/>
              </w:rPr>
              <w:t>Threshold Shifters</w:t>
            </w:r>
          </w:p>
        </w:tc>
      </w:tr>
      <w:tr w:rsidR="00D14CD7" w:rsidRPr="00D14CD7" w14:paraId="7F70E5EE" w14:textId="77777777" w:rsidTr="00AC40E4">
        <w:trPr>
          <w:trHeight w:val="72"/>
        </w:trPr>
        <w:tc>
          <w:tcPr>
            <w:tcW w:w="1719" w:type="pct"/>
            <w:tcBorders>
              <w:top w:val="single" w:sz="8" w:space="0" w:color="auto"/>
              <w:bottom w:val="single" w:sz="4" w:space="0" w:color="auto"/>
              <w:right w:val="double" w:sz="4" w:space="0" w:color="auto"/>
            </w:tcBorders>
            <w:shd w:val="clear" w:color="auto" w:fill="auto"/>
            <w:noWrap/>
            <w:vAlign w:val="center"/>
            <w:hideMark/>
          </w:tcPr>
          <w:p w14:paraId="4C393C83" w14:textId="77777777" w:rsidR="00BE151D" w:rsidRPr="00D14CD7" w:rsidRDefault="00BE151D" w:rsidP="00567BE9">
            <w:pPr>
              <w:spacing w:after="0" w:line="240" w:lineRule="auto"/>
              <w:ind w:firstLineChars="100" w:firstLine="160"/>
              <w:rPr>
                <w:rFonts w:eastAsia="Times New Roman"/>
                <w:color w:val="000000" w:themeColor="text1"/>
                <w:sz w:val="16"/>
                <w:szCs w:val="16"/>
              </w:rPr>
            </w:pPr>
            <w:r w:rsidRPr="00D14CD7">
              <w:rPr>
                <w:rFonts w:eastAsia="Times New Roman"/>
                <w:color w:val="000000" w:themeColor="text1"/>
                <w:sz w:val="16"/>
                <w:szCs w:val="16"/>
              </w:rPr>
              <w:t>0 | 1</w:t>
            </w:r>
          </w:p>
        </w:tc>
        <w:tc>
          <w:tcPr>
            <w:tcW w:w="217" w:type="pct"/>
            <w:tcBorders>
              <w:top w:val="single" w:sz="8" w:space="0" w:color="auto"/>
              <w:left w:val="double" w:sz="4" w:space="0" w:color="auto"/>
            </w:tcBorders>
            <w:shd w:val="clear" w:color="auto" w:fill="auto"/>
            <w:noWrap/>
            <w:vAlign w:val="center"/>
            <w:hideMark/>
          </w:tcPr>
          <w:p w14:paraId="4AD340D6" w14:textId="77777777" w:rsidR="00BE151D" w:rsidRPr="00D14CD7" w:rsidRDefault="00BE151D" w:rsidP="00567BE9">
            <w:pPr>
              <w:spacing w:after="0" w:line="240" w:lineRule="auto"/>
              <w:jc w:val="right"/>
              <w:rPr>
                <w:rFonts w:eastAsia="Times New Roman"/>
                <w:color w:val="000000" w:themeColor="text1"/>
                <w:sz w:val="16"/>
                <w:szCs w:val="16"/>
              </w:rPr>
            </w:pPr>
            <w:r w:rsidRPr="00D14CD7">
              <w:rPr>
                <w:rFonts w:eastAsia="Times New Roman"/>
                <w:color w:val="000000" w:themeColor="text1"/>
                <w:sz w:val="16"/>
                <w:szCs w:val="16"/>
              </w:rPr>
              <w:t>—</w:t>
            </w:r>
          </w:p>
        </w:tc>
        <w:tc>
          <w:tcPr>
            <w:tcW w:w="213" w:type="pct"/>
            <w:tcBorders>
              <w:top w:val="single" w:sz="8" w:space="0" w:color="auto"/>
            </w:tcBorders>
            <w:shd w:val="clear" w:color="auto" w:fill="auto"/>
            <w:noWrap/>
            <w:vAlign w:val="center"/>
            <w:hideMark/>
          </w:tcPr>
          <w:p w14:paraId="256B2404" w14:textId="77777777" w:rsidR="00BE151D" w:rsidRPr="00D14CD7" w:rsidRDefault="00BE151D" w:rsidP="00567BE9">
            <w:pPr>
              <w:spacing w:after="0" w:line="240" w:lineRule="auto"/>
              <w:jc w:val="right"/>
              <w:rPr>
                <w:rFonts w:eastAsia="Times New Roman"/>
                <w:color w:val="000000" w:themeColor="text1"/>
                <w:sz w:val="16"/>
                <w:szCs w:val="16"/>
              </w:rPr>
            </w:pPr>
            <w:r w:rsidRPr="00D14CD7">
              <w:rPr>
                <w:rFonts w:eastAsia="Times New Roman"/>
                <w:color w:val="000000" w:themeColor="text1"/>
                <w:sz w:val="16"/>
                <w:szCs w:val="16"/>
              </w:rPr>
              <w:t>—</w:t>
            </w:r>
          </w:p>
        </w:tc>
        <w:tc>
          <w:tcPr>
            <w:tcW w:w="188" w:type="pct"/>
            <w:tcBorders>
              <w:top w:val="single" w:sz="8" w:space="0" w:color="auto"/>
            </w:tcBorders>
            <w:shd w:val="clear" w:color="auto" w:fill="auto"/>
            <w:noWrap/>
            <w:vAlign w:val="center"/>
            <w:hideMark/>
          </w:tcPr>
          <w:p w14:paraId="1A5171DE" w14:textId="77777777" w:rsidR="00BE151D" w:rsidRPr="00D14CD7" w:rsidRDefault="00BE151D" w:rsidP="00567BE9">
            <w:pPr>
              <w:spacing w:after="0" w:line="240" w:lineRule="auto"/>
              <w:jc w:val="right"/>
              <w:rPr>
                <w:rFonts w:eastAsia="Times New Roman"/>
                <w:color w:val="000000" w:themeColor="text1"/>
                <w:sz w:val="16"/>
                <w:szCs w:val="16"/>
              </w:rPr>
            </w:pPr>
            <w:r w:rsidRPr="00D14CD7">
              <w:rPr>
                <w:rFonts w:eastAsia="Times New Roman"/>
                <w:color w:val="000000" w:themeColor="text1"/>
                <w:sz w:val="16"/>
                <w:szCs w:val="16"/>
              </w:rPr>
              <w:t>—</w:t>
            </w:r>
          </w:p>
        </w:tc>
        <w:tc>
          <w:tcPr>
            <w:tcW w:w="188" w:type="pct"/>
            <w:tcBorders>
              <w:top w:val="single" w:sz="8" w:space="0" w:color="auto"/>
            </w:tcBorders>
            <w:shd w:val="clear" w:color="auto" w:fill="auto"/>
            <w:noWrap/>
            <w:vAlign w:val="center"/>
            <w:hideMark/>
          </w:tcPr>
          <w:p w14:paraId="4189FEE8" w14:textId="77777777" w:rsidR="00BE151D" w:rsidRPr="00D14CD7" w:rsidRDefault="00BE151D" w:rsidP="00567BE9">
            <w:pPr>
              <w:spacing w:after="0" w:line="240" w:lineRule="auto"/>
              <w:jc w:val="right"/>
              <w:rPr>
                <w:rFonts w:eastAsia="Times New Roman"/>
                <w:color w:val="000000" w:themeColor="text1"/>
                <w:sz w:val="16"/>
                <w:szCs w:val="16"/>
              </w:rPr>
            </w:pPr>
            <w:r w:rsidRPr="00D14CD7">
              <w:rPr>
                <w:rFonts w:eastAsia="Times New Roman"/>
                <w:color w:val="000000" w:themeColor="text1"/>
                <w:sz w:val="16"/>
                <w:szCs w:val="16"/>
              </w:rPr>
              <w:t>—</w:t>
            </w:r>
          </w:p>
        </w:tc>
        <w:tc>
          <w:tcPr>
            <w:tcW w:w="188" w:type="pct"/>
            <w:tcBorders>
              <w:top w:val="single" w:sz="8" w:space="0" w:color="auto"/>
            </w:tcBorders>
            <w:shd w:val="clear" w:color="auto" w:fill="auto"/>
            <w:noWrap/>
            <w:vAlign w:val="center"/>
            <w:hideMark/>
          </w:tcPr>
          <w:p w14:paraId="6604D907" w14:textId="77777777" w:rsidR="00BE151D" w:rsidRPr="00D14CD7" w:rsidRDefault="00BE151D" w:rsidP="00567BE9">
            <w:pPr>
              <w:spacing w:after="0" w:line="240" w:lineRule="auto"/>
              <w:jc w:val="right"/>
              <w:rPr>
                <w:rFonts w:eastAsia="Times New Roman"/>
                <w:color w:val="000000" w:themeColor="text1"/>
                <w:sz w:val="16"/>
                <w:szCs w:val="16"/>
              </w:rPr>
            </w:pPr>
            <w:r w:rsidRPr="00D14CD7">
              <w:rPr>
                <w:rFonts w:eastAsia="Times New Roman"/>
                <w:color w:val="000000" w:themeColor="text1"/>
                <w:sz w:val="16"/>
                <w:szCs w:val="16"/>
              </w:rPr>
              <w:t>—</w:t>
            </w:r>
          </w:p>
        </w:tc>
        <w:tc>
          <w:tcPr>
            <w:tcW w:w="188" w:type="pct"/>
            <w:tcBorders>
              <w:top w:val="single" w:sz="8" w:space="0" w:color="auto"/>
            </w:tcBorders>
            <w:shd w:val="clear" w:color="auto" w:fill="auto"/>
            <w:noWrap/>
            <w:vAlign w:val="center"/>
            <w:hideMark/>
          </w:tcPr>
          <w:p w14:paraId="6306DE12" w14:textId="77777777" w:rsidR="00BE151D" w:rsidRPr="00D14CD7" w:rsidRDefault="00BE151D" w:rsidP="00567BE9">
            <w:pPr>
              <w:spacing w:after="0" w:line="240" w:lineRule="auto"/>
              <w:jc w:val="right"/>
              <w:rPr>
                <w:rFonts w:eastAsia="Times New Roman"/>
                <w:color w:val="000000" w:themeColor="text1"/>
                <w:sz w:val="16"/>
                <w:szCs w:val="16"/>
              </w:rPr>
            </w:pPr>
            <w:r w:rsidRPr="00D14CD7">
              <w:rPr>
                <w:rFonts w:eastAsia="Times New Roman"/>
                <w:color w:val="000000" w:themeColor="text1"/>
                <w:sz w:val="16"/>
                <w:szCs w:val="16"/>
              </w:rPr>
              <w:t>—</w:t>
            </w:r>
          </w:p>
        </w:tc>
        <w:tc>
          <w:tcPr>
            <w:tcW w:w="188" w:type="pct"/>
            <w:tcBorders>
              <w:top w:val="single" w:sz="8" w:space="0" w:color="auto"/>
            </w:tcBorders>
            <w:shd w:val="clear" w:color="auto" w:fill="auto"/>
            <w:noWrap/>
            <w:vAlign w:val="center"/>
            <w:hideMark/>
          </w:tcPr>
          <w:p w14:paraId="19825466" w14:textId="77777777" w:rsidR="00BE151D" w:rsidRPr="00D14CD7" w:rsidRDefault="00BE151D" w:rsidP="00567BE9">
            <w:pPr>
              <w:spacing w:after="0" w:line="240" w:lineRule="auto"/>
              <w:jc w:val="right"/>
              <w:rPr>
                <w:rFonts w:eastAsia="Times New Roman"/>
                <w:color w:val="000000" w:themeColor="text1"/>
                <w:sz w:val="16"/>
                <w:szCs w:val="16"/>
              </w:rPr>
            </w:pPr>
            <w:r w:rsidRPr="00D14CD7">
              <w:rPr>
                <w:rFonts w:eastAsia="Times New Roman"/>
                <w:color w:val="000000" w:themeColor="text1"/>
                <w:sz w:val="16"/>
                <w:szCs w:val="16"/>
              </w:rPr>
              <w:t>—</w:t>
            </w:r>
          </w:p>
        </w:tc>
        <w:tc>
          <w:tcPr>
            <w:tcW w:w="159" w:type="pct"/>
            <w:tcBorders>
              <w:top w:val="single" w:sz="8" w:space="0" w:color="auto"/>
              <w:right w:val="double" w:sz="4" w:space="0" w:color="auto"/>
            </w:tcBorders>
            <w:shd w:val="clear" w:color="auto" w:fill="auto"/>
            <w:noWrap/>
            <w:vAlign w:val="center"/>
            <w:hideMark/>
          </w:tcPr>
          <w:p w14:paraId="37EC8A32" w14:textId="77777777" w:rsidR="00BE151D" w:rsidRPr="00D14CD7" w:rsidRDefault="00BE151D" w:rsidP="00567BE9">
            <w:pPr>
              <w:spacing w:after="0" w:line="240" w:lineRule="auto"/>
              <w:jc w:val="right"/>
              <w:rPr>
                <w:rFonts w:eastAsia="Times New Roman"/>
                <w:color w:val="000000" w:themeColor="text1"/>
                <w:sz w:val="16"/>
                <w:szCs w:val="16"/>
              </w:rPr>
            </w:pPr>
            <w:r w:rsidRPr="00D14CD7">
              <w:rPr>
                <w:rFonts w:eastAsia="Times New Roman"/>
                <w:color w:val="000000" w:themeColor="text1"/>
                <w:sz w:val="16"/>
                <w:szCs w:val="16"/>
              </w:rPr>
              <w:t>—</w:t>
            </w:r>
          </w:p>
        </w:tc>
        <w:tc>
          <w:tcPr>
            <w:tcW w:w="189" w:type="pct"/>
            <w:tcBorders>
              <w:top w:val="single" w:sz="8" w:space="0" w:color="auto"/>
              <w:left w:val="double" w:sz="4" w:space="0" w:color="auto"/>
              <w:bottom w:val="single" w:sz="4" w:space="0" w:color="auto"/>
            </w:tcBorders>
            <w:shd w:val="clear" w:color="auto" w:fill="auto"/>
            <w:noWrap/>
            <w:vAlign w:val="center"/>
            <w:hideMark/>
          </w:tcPr>
          <w:p w14:paraId="087E8266" w14:textId="77777777" w:rsidR="00BE151D" w:rsidRPr="00D14CD7" w:rsidRDefault="00BE151D" w:rsidP="00567BE9">
            <w:pPr>
              <w:spacing w:after="0" w:line="240" w:lineRule="auto"/>
              <w:jc w:val="right"/>
              <w:rPr>
                <w:rFonts w:eastAsia="Times New Roman"/>
                <w:color w:val="000000" w:themeColor="text1"/>
                <w:sz w:val="16"/>
                <w:szCs w:val="16"/>
              </w:rPr>
            </w:pPr>
            <w:r w:rsidRPr="00D14CD7">
              <w:rPr>
                <w:rFonts w:eastAsia="Times New Roman"/>
                <w:color w:val="000000" w:themeColor="text1"/>
                <w:sz w:val="16"/>
                <w:szCs w:val="16"/>
              </w:rPr>
              <w:t>—</w:t>
            </w:r>
          </w:p>
        </w:tc>
        <w:tc>
          <w:tcPr>
            <w:tcW w:w="159" w:type="pct"/>
            <w:tcBorders>
              <w:top w:val="single" w:sz="8" w:space="0" w:color="auto"/>
              <w:bottom w:val="single" w:sz="4" w:space="0" w:color="auto"/>
            </w:tcBorders>
            <w:shd w:val="clear" w:color="auto" w:fill="auto"/>
            <w:noWrap/>
            <w:vAlign w:val="center"/>
            <w:hideMark/>
          </w:tcPr>
          <w:p w14:paraId="785D3B8C" w14:textId="77777777" w:rsidR="00BE151D" w:rsidRPr="00D14CD7" w:rsidRDefault="00BE151D" w:rsidP="00567BE9">
            <w:pPr>
              <w:spacing w:after="0" w:line="240" w:lineRule="auto"/>
              <w:jc w:val="right"/>
              <w:rPr>
                <w:rFonts w:eastAsia="Times New Roman"/>
                <w:color w:val="000000" w:themeColor="text1"/>
                <w:sz w:val="16"/>
                <w:szCs w:val="16"/>
              </w:rPr>
            </w:pPr>
            <w:r w:rsidRPr="00D14CD7">
              <w:rPr>
                <w:rFonts w:eastAsia="Times New Roman"/>
                <w:color w:val="000000" w:themeColor="text1"/>
                <w:sz w:val="16"/>
                <w:szCs w:val="16"/>
              </w:rPr>
              <w:t>—</w:t>
            </w:r>
          </w:p>
        </w:tc>
        <w:tc>
          <w:tcPr>
            <w:tcW w:w="187" w:type="pct"/>
            <w:tcBorders>
              <w:top w:val="single" w:sz="8" w:space="0" w:color="auto"/>
              <w:bottom w:val="single" w:sz="4" w:space="0" w:color="auto"/>
            </w:tcBorders>
            <w:shd w:val="clear" w:color="auto" w:fill="auto"/>
            <w:noWrap/>
            <w:vAlign w:val="center"/>
            <w:hideMark/>
          </w:tcPr>
          <w:p w14:paraId="2BC2686A" w14:textId="77777777" w:rsidR="00BE151D" w:rsidRPr="00D14CD7" w:rsidRDefault="00BE151D" w:rsidP="00567BE9">
            <w:pPr>
              <w:spacing w:after="0" w:line="240" w:lineRule="auto"/>
              <w:jc w:val="right"/>
              <w:rPr>
                <w:rFonts w:eastAsia="Times New Roman"/>
                <w:color w:val="000000" w:themeColor="text1"/>
                <w:sz w:val="16"/>
                <w:szCs w:val="16"/>
              </w:rPr>
            </w:pPr>
            <w:r w:rsidRPr="00D14CD7">
              <w:rPr>
                <w:rFonts w:eastAsia="Times New Roman"/>
                <w:color w:val="000000" w:themeColor="text1"/>
                <w:sz w:val="16"/>
                <w:szCs w:val="16"/>
              </w:rPr>
              <w:t>—</w:t>
            </w:r>
          </w:p>
        </w:tc>
        <w:tc>
          <w:tcPr>
            <w:tcW w:w="188" w:type="pct"/>
            <w:tcBorders>
              <w:top w:val="single" w:sz="8" w:space="0" w:color="auto"/>
              <w:bottom w:val="single" w:sz="4" w:space="0" w:color="auto"/>
            </w:tcBorders>
            <w:shd w:val="clear" w:color="auto" w:fill="auto"/>
            <w:noWrap/>
            <w:vAlign w:val="center"/>
            <w:hideMark/>
          </w:tcPr>
          <w:p w14:paraId="5C2C7C67" w14:textId="77777777" w:rsidR="00BE151D" w:rsidRPr="00D14CD7" w:rsidRDefault="00BE151D" w:rsidP="00567BE9">
            <w:pPr>
              <w:spacing w:after="0" w:line="240" w:lineRule="auto"/>
              <w:jc w:val="right"/>
              <w:rPr>
                <w:rFonts w:eastAsia="Times New Roman"/>
                <w:color w:val="000000" w:themeColor="text1"/>
                <w:sz w:val="16"/>
                <w:szCs w:val="16"/>
              </w:rPr>
            </w:pPr>
            <w:r w:rsidRPr="00D14CD7">
              <w:rPr>
                <w:rFonts w:eastAsia="Times New Roman"/>
                <w:color w:val="000000" w:themeColor="text1"/>
                <w:sz w:val="16"/>
                <w:szCs w:val="16"/>
              </w:rPr>
              <w:t>—</w:t>
            </w:r>
          </w:p>
        </w:tc>
        <w:tc>
          <w:tcPr>
            <w:tcW w:w="188" w:type="pct"/>
            <w:tcBorders>
              <w:top w:val="single" w:sz="8" w:space="0" w:color="auto"/>
              <w:bottom w:val="single" w:sz="4" w:space="0" w:color="auto"/>
            </w:tcBorders>
            <w:shd w:val="clear" w:color="auto" w:fill="auto"/>
            <w:noWrap/>
            <w:vAlign w:val="center"/>
            <w:hideMark/>
          </w:tcPr>
          <w:p w14:paraId="31AD69B7" w14:textId="77777777" w:rsidR="00BE151D" w:rsidRPr="00D14CD7" w:rsidRDefault="00BE151D" w:rsidP="00567BE9">
            <w:pPr>
              <w:spacing w:after="0" w:line="240" w:lineRule="auto"/>
              <w:jc w:val="right"/>
              <w:rPr>
                <w:rFonts w:eastAsia="Times New Roman"/>
                <w:color w:val="000000" w:themeColor="text1"/>
                <w:sz w:val="16"/>
                <w:szCs w:val="16"/>
              </w:rPr>
            </w:pPr>
            <w:r w:rsidRPr="00D14CD7">
              <w:rPr>
                <w:rFonts w:eastAsia="Times New Roman"/>
                <w:color w:val="000000" w:themeColor="text1"/>
                <w:sz w:val="16"/>
                <w:szCs w:val="16"/>
              </w:rPr>
              <w:t>—</w:t>
            </w:r>
          </w:p>
        </w:tc>
        <w:tc>
          <w:tcPr>
            <w:tcW w:w="170" w:type="pct"/>
            <w:tcBorders>
              <w:top w:val="single" w:sz="8" w:space="0" w:color="auto"/>
              <w:bottom w:val="single" w:sz="4" w:space="0" w:color="auto"/>
            </w:tcBorders>
            <w:shd w:val="clear" w:color="auto" w:fill="auto"/>
            <w:noWrap/>
            <w:vAlign w:val="center"/>
            <w:hideMark/>
          </w:tcPr>
          <w:p w14:paraId="64BD5357" w14:textId="77777777" w:rsidR="00BE151D" w:rsidRPr="00D14CD7" w:rsidRDefault="00BE151D" w:rsidP="00567BE9">
            <w:pPr>
              <w:spacing w:after="0" w:line="240" w:lineRule="auto"/>
              <w:jc w:val="right"/>
              <w:rPr>
                <w:rFonts w:eastAsia="Times New Roman"/>
                <w:color w:val="000000" w:themeColor="text1"/>
                <w:sz w:val="16"/>
                <w:szCs w:val="16"/>
              </w:rPr>
            </w:pPr>
            <w:r w:rsidRPr="00D14CD7">
              <w:rPr>
                <w:rFonts w:eastAsia="Times New Roman"/>
                <w:color w:val="000000" w:themeColor="text1"/>
                <w:sz w:val="16"/>
                <w:szCs w:val="16"/>
              </w:rPr>
              <w:t>—</w:t>
            </w:r>
          </w:p>
        </w:tc>
        <w:tc>
          <w:tcPr>
            <w:tcW w:w="173" w:type="pct"/>
            <w:tcBorders>
              <w:top w:val="single" w:sz="8" w:space="0" w:color="auto"/>
              <w:bottom w:val="single" w:sz="4" w:space="0" w:color="auto"/>
            </w:tcBorders>
            <w:shd w:val="clear" w:color="auto" w:fill="auto"/>
            <w:noWrap/>
            <w:vAlign w:val="center"/>
            <w:hideMark/>
          </w:tcPr>
          <w:p w14:paraId="4E3323D8" w14:textId="77777777" w:rsidR="00BE151D" w:rsidRPr="00D14CD7" w:rsidRDefault="00BE151D" w:rsidP="00567BE9">
            <w:pPr>
              <w:spacing w:after="0" w:line="240" w:lineRule="auto"/>
              <w:jc w:val="right"/>
              <w:rPr>
                <w:rFonts w:eastAsia="Times New Roman"/>
                <w:color w:val="000000" w:themeColor="text1"/>
                <w:sz w:val="16"/>
                <w:szCs w:val="16"/>
              </w:rPr>
            </w:pPr>
            <w:r w:rsidRPr="00D14CD7">
              <w:rPr>
                <w:rFonts w:eastAsia="Times New Roman"/>
                <w:color w:val="000000" w:themeColor="text1"/>
                <w:sz w:val="16"/>
                <w:szCs w:val="16"/>
              </w:rPr>
              <w:t>—</w:t>
            </w:r>
          </w:p>
        </w:tc>
        <w:tc>
          <w:tcPr>
            <w:tcW w:w="160" w:type="pct"/>
            <w:tcBorders>
              <w:top w:val="single" w:sz="8" w:space="0" w:color="auto"/>
              <w:bottom w:val="single" w:sz="4" w:space="0" w:color="auto"/>
              <w:right w:val="double" w:sz="4" w:space="0" w:color="auto"/>
            </w:tcBorders>
            <w:shd w:val="clear" w:color="auto" w:fill="auto"/>
            <w:noWrap/>
            <w:vAlign w:val="center"/>
            <w:hideMark/>
          </w:tcPr>
          <w:p w14:paraId="1AF2FD3F" w14:textId="77777777" w:rsidR="00BE151D" w:rsidRPr="00D14CD7" w:rsidRDefault="00BE151D" w:rsidP="00567BE9">
            <w:pPr>
              <w:spacing w:after="0" w:line="240" w:lineRule="auto"/>
              <w:jc w:val="right"/>
              <w:rPr>
                <w:rFonts w:eastAsia="Times New Roman"/>
                <w:color w:val="000000" w:themeColor="text1"/>
                <w:sz w:val="16"/>
                <w:szCs w:val="16"/>
              </w:rPr>
            </w:pPr>
            <w:r w:rsidRPr="00D14CD7">
              <w:rPr>
                <w:rFonts w:eastAsia="Times New Roman"/>
                <w:color w:val="000000" w:themeColor="text1"/>
                <w:sz w:val="16"/>
                <w:szCs w:val="16"/>
              </w:rPr>
              <w:t>—</w:t>
            </w:r>
          </w:p>
        </w:tc>
        <w:tc>
          <w:tcPr>
            <w:tcW w:w="186" w:type="pct"/>
            <w:tcBorders>
              <w:top w:val="single" w:sz="8" w:space="0" w:color="auto"/>
              <w:left w:val="double" w:sz="4" w:space="0" w:color="auto"/>
              <w:bottom w:val="single" w:sz="4" w:space="0" w:color="auto"/>
            </w:tcBorders>
            <w:shd w:val="clear" w:color="auto" w:fill="auto"/>
            <w:noWrap/>
            <w:vAlign w:val="bottom"/>
          </w:tcPr>
          <w:p w14:paraId="76EA2350" w14:textId="77777777" w:rsidR="00BE151D" w:rsidRPr="00D14CD7" w:rsidRDefault="00BE151D" w:rsidP="00567BE9">
            <w:pPr>
              <w:spacing w:after="0" w:line="240" w:lineRule="auto"/>
              <w:jc w:val="right"/>
              <w:rPr>
                <w:rFonts w:eastAsia="Times New Roman"/>
                <w:color w:val="000000" w:themeColor="text1"/>
                <w:sz w:val="16"/>
                <w:szCs w:val="16"/>
              </w:rPr>
            </w:pPr>
            <w:r w:rsidRPr="00D14CD7">
              <w:rPr>
                <w:color w:val="000000" w:themeColor="text1"/>
                <w:sz w:val="16"/>
                <w:szCs w:val="16"/>
              </w:rPr>
              <w:t>2.118</w:t>
            </w:r>
          </w:p>
        </w:tc>
        <w:tc>
          <w:tcPr>
            <w:tcW w:w="152" w:type="pct"/>
            <w:tcBorders>
              <w:top w:val="single" w:sz="8" w:space="0" w:color="auto"/>
              <w:bottom w:val="single" w:sz="4" w:space="0" w:color="auto"/>
            </w:tcBorders>
            <w:shd w:val="clear" w:color="auto" w:fill="auto"/>
            <w:noWrap/>
            <w:vAlign w:val="bottom"/>
          </w:tcPr>
          <w:p w14:paraId="0F59B491" w14:textId="77777777" w:rsidR="00BE151D" w:rsidRPr="00D14CD7" w:rsidRDefault="00BE151D" w:rsidP="00567BE9">
            <w:pPr>
              <w:spacing w:after="0" w:line="240" w:lineRule="auto"/>
              <w:jc w:val="right"/>
              <w:rPr>
                <w:rFonts w:eastAsia="Times New Roman"/>
                <w:color w:val="000000" w:themeColor="text1"/>
                <w:sz w:val="16"/>
                <w:szCs w:val="16"/>
              </w:rPr>
            </w:pPr>
            <w:r w:rsidRPr="00D14CD7">
              <w:rPr>
                <w:color w:val="000000" w:themeColor="text1"/>
                <w:sz w:val="16"/>
                <w:szCs w:val="16"/>
              </w:rPr>
              <w:t>32.43</w:t>
            </w:r>
          </w:p>
        </w:tc>
      </w:tr>
      <w:tr w:rsidR="00D14CD7" w:rsidRPr="00D14CD7" w14:paraId="4BD242DE" w14:textId="77777777" w:rsidTr="00AC40E4">
        <w:trPr>
          <w:trHeight w:val="72"/>
        </w:trPr>
        <w:tc>
          <w:tcPr>
            <w:tcW w:w="1719" w:type="pct"/>
            <w:tcBorders>
              <w:top w:val="single" w:sz="4" w:space="0" w:color="auto"/>
              <w:bottom w:val="single" w:sz="4" w:space="0" w:color="auto"/>
              <w:right w:val="double" w:sz="4" w:space="0" w:color="auto"/>
            </w:tcBorders>
            <w:shd w:val="clear" w:color="auto" w:fill="auto"/>
            <w:noWrap/>
            <w:vAlign w:val="center"/>
            <w:hideMark/>
          </w:tcPr>
          <w:p w14:paraId="2931D1B3" w14:textId="77777777" w:rsidR="00BE151D" w:rsidRPr="00D14CD7" w:rsidRDefault="00BE151D" w:rsidP="00567BE9">
            <w:pPr>
              <w:spacing w:after="0" w:line="240" w:lineRule="auto"/>
              <w:ind w:firstLineChars="100" w:firstLine="160"/>
              <w:rPr>
                <w:rFonts w:eastAsia="Times New Roman"/>
                <w:color w:val="000000" w:themeColor="text1"/>
                <w:sz w:val="16"/>
                <w:szCs w:val="16"/>
              </w:rPr>
            </w:pPr>
            <w:r w:rsidRPr="00D14CD7">
              <w:rPr>
                <w:rFonts w:eastAsia="Times New Roman"/>
                <w:color w:val="000000" w:themeColor="text1"/>
                <w:sz w:val="16"/>
                <w:szCs w:val="16"/>
              </w:rPr>
              <w:t>1 | 2</w:t>
            </w:r>
          </w:p>
        </w:tc>
        <w:tc>
          <w:tcPr>
            <w:tcW w:w="217" w:type="pct"/>
            <w:tcBorders>
              <w:left w:val="double" w:sz="4" w:space="0" w:color="auto"/>
            </w:tcBorders>
            <w:shd w:val="clear" w:color="auto" w:fill="auto"/>
            <w:noWrap/>
            <w:vAlign w:val="center"/>
            <w:hideMark/>
          </w:tcPr>
          <w:p w14:paraId="77468BC7" w14:textId="77777777" w:rsidR="00BE151D" w:rsidRPr="00D14CD7" w:rsidRDefault="00BE151D" w:rsidP="00567BE9">
            <w:pPr>
              <w:spacing w:after="0" w:line="240" w:lineRule="auto"/>
              <w:jc w:val="right"/>
              <w:rPr>
                <w:rFonts w:eastAsia="Times New Roman"/>
                <w:color w:val="000000" w:themeColor="text1"/>
                <w:sz w:val="16"/>
                <w:szCs w:val="16"/>
              </w:rPr>
            </w:pPr>
            <w:r w:rsidRPr="00D14CD7">
              <w:rPr>
                <w:rFonts w:eastAsia="Times New Roman"/>
                <w:color w:val="000000" w:themeColor="text1"/>
                <w:sz w:val="16"/>
                <w:szCs w:val="16"/>
              </w:rPr>
              <w:t>—</w:t>
            </w:r>
          </w:p>
        </w:tc>
        <w:tc>
          <w:tcPr>
            <w:tcW w:w="213" w:type="pct"/>
            <w:shd w:val="clear" w:color="auto" w:fill="auto"/>
            <w:noWrap/>
            <w:vAlign w:val="center"/>
            <w:hideMark/>
          </w:tcPr>
          <w:p w14:paraId="686D43A2" w14:textId="77777777" w:rsidR="00BE151D" w:rsidRPr="00D14CD7" w:rsidRDefault="00BE151D" w:rsidP="00567BE9">
            <w:pPr>
              <w:spacing w:after="0" w:line="240" w:lineRule="auto"/>
              <w:jc w:val="right"/>
              <w:rPr>
                <w:rFonts w:eastAsia="Times New Roman"/>
                <w:color w:val="000000" w:themeColor="text1"/>
                <w:sz w:val="16"/>
                <w:szCs w:val="16"/>
              </w:rPr>
            </w:pPr>
            <w:r w:rsidRPr="00D14CD7">
              <w:rPr>
                <w:rFonts w:eastAsia="Times New Roman"/>
                <w:color w:val="000000" w:themeColor="text1"/>
                <w:sz w:val="16"/>
                <w:szCs w:val="16"/>
              </w:rPr>
              <w:t>—</w:t>
            </w:r>
          </w:p>
        </w:tc>
        <w:tc>
          <w:tcPr>
            <w:tcW w:w="188" w:type="pct"/>
            <w:shd w:val="clear" w:color="auto" w:fill="auto"/>
            <w:noWrap/>
            <w:vAlign w:val="center"/>
            <w:hideMark/>
          </w:tcPr>
          <w:p w14:paraId="42C87EE2" w14:textId="77777777" w:rsidR="00BE151D" w:rsidRPr="00D14CD7" w:rsidRDefault="00BE151D" w:rsidP="00567BE9">
            <w:pPr>
              <w:spacing w:after="0" w:line="240" w:lineRule="auto"/>
              <w:jc w:val="right"/>
              <w:rPr>
                <w:rFonts w:eastAsia="Times New Roman"/>
                <w:color w:val="000000" w:themeColor="text1"/>
                <w:sz w:val="16"/>
                <w:szCs w:val="16"/>
              </w:rPr>
            </w:pPr>
            <w:r w:rsidRPr="00D14CD7">
              <w:rPr>
                <w:rFonts w:eastAsia="Times New Roman"/>
                <w:color w:val="000000" w:themeColor="text1"/>
                <w:sz w:val="16"/>
                <w:szCs w:val="16"/>
              </w:rPr>
              <w:t>—</w:t>
            </w:r>
          </w:p>
        </w:tc>
        <w:tc>
          <w:tcPr>
            <w:tcW w:w="188" w:type="pct"/>
            <w:shd w:val="clear" w:color="auto" w:fill="auto"/>
            <w:noWrap/>
            <w:vAlign w:val="center"/>
            <w:hideMark/>
          </w:tcPr>
          <w:p w14:paraId="20B8868F" w14:textId="77777777" w:rsidR="00BE151D" w:rsidRPr="00D14CD7" w:rsidRDefault="00BE151D" w:rsidP="00567BE9">
            <w:pPr>
              <w:spacing w:after="0" w:line="240" w:lineRule="auto"/>
              <w:jc w:val="right"/>
              <w:rPr>
                <w:rFonts w:eastAsia="Times New Roman"/>
                <w:color w:val="000000" w:themeColor="text1"/>
                <w:sz w:val="16"/>
                <w:szCs w:val="16"/>
              </w:rPr>
            </w:pPr>
            <w:r w:rsidRPr="00D14CD7">
              <w:rPr>
                <w:rFonts w:eastAsia="Times New Roman"/>
                <w:color w:val="000000" w:themeColor="text1"/>
                <w:sz w:val="16"/>
                <w:szCs w:val="16"/>
              </w:rPr>
              <w:t>—</w:t>
            </w:r>
          </w:p>
        </w:tc>
        <w:tc>
          <w:tcPr>
            <w:tcW w:w="188" w:type="pct"/>
            <w:shd w:val="clear" w:color="auto" w:fill="auto"/>
            <w:noWrap/>
            <w:vAlign w:val="center"/>
            <w:hideMark/>
          </w:tcPr>
          <w:p w14:paraId="620EE959" w14:textId="77777777" w:rsidR="00BE151D" w:rsidRPr="00D14CD7" w:rsidRDefault="00BE151D" w:rsidP="00567BE9">
            <w:pPr>
              <w:spacing w:after="0" w:line="240" w:lineRule="auto"/>
              <w:jc w:val="right"/>
              <w:rPr>
                <w:rFonts w:eastAsia="Times New Roman"/>
                <w:color w:val="000000" w:themeColor="text1"/>
                <w:sz w:val="16"/>
                <w:szCs w:val="16"/>
              </w:rPr>
            </w:pPr>
            <w:r w:rsidRPr="00D14CD7">
              <w:rPr>
                <w:rFonts w:eastAsia="Times New Roman"/>
                <w:color w:val="000000" w:themeColor="text1"/>
                <w:sz w:val="16"/>
                <w:szCs w:val="16"/>
              </w:rPr>
              <w:t>—</w:t>
            </w:r>
          </w:p>
        </w:tc>
        <w:tc>
          <w:tcPr>
            <w:tcW w:w="188" w:type="pct"/>
            <w:shd w:val="clear" w:color="auto" w:fill="auto"/>
            <w:noWrap/>
            <w:vAlign w:val="center"/>
            <w:hideMark/>
          </w:tcPr>
          <w:p w14:paraId="711AED85" w14:textId="77777777" w:rsidR="00BE151D" w:rsidRPr="00D14CD7" w:rsidRDefault="00BE151D" w:rsidP="00567BE9">
            <w:pPr>
              <w:spacing w:after="0" w:line="240" w:lineRule="auto"/>
              <w:jc w:val="right"/>
              <w:rPr>
                <w:rFonts w:eastAsia="Times New Roman"/>
                <w:color w:val="000000" w:themeColor="text1"/>
                <w:sz w:val="16"/>
                <w:szCs w:val="16"/>
              </w:rPr>
            </w:pPr>
            <w:r w:rsidRPr="00D14CD7">
              <w:rPr>
                <w:rFonts w:eastAsia="Times New Roman"/>
                <w:color w:val="000000" w:themeColor="text1"/>
                <w:sz w:val="16"/>
                <w:szCs w:val="16"/>
              </w:rPr>
              <w:t>—</w:t>
            </w:r>
          </w:p>
        </w:tc>
        <w:tc>
          <w:tcPr>
            <w:tcW w:w="188" w:type="pct"/>
            <w:shd w:val="clear" w:color="auto" w:fill="auto"/>
            <w:noWrap/>
            <w:vAlign w:val="center"/>
            <w:hideMark/>
          </w:tcPr>
          <w:p w14:paraId="311700A0" w14:textId="77777777" w:rsidR="00BE151D" w:rsidRPr="00D14CD7" w:rsidRDefault="00BE151D" w:rsidP="00567BE9">
            <w:pPr>
              <w:spacing w:after="0" w:line="240" w:lineRule="auto"/>
              <w:jc w:val="right"/>
              <w:rPr>
                <w:rFonts w:eastAsia="Times New Roman"/>
                <w:color w:val="000000" w:themeColor="text1"/>
                <w:sz w:val="16"/>
                <w:szCs w:val="16"/>
              </w:rPr>
            </w:pPr>
            <w:r w:rsidRPr="00D14CD7">
              <w:rPr>
                <w:rFonts w:eastAsia="Times New Roman"/>
                <w:color w:val="000000" w:themeColor="text1"/>
                <w:sz w:val="16"/>
                <w:szCs w:val="16"/>
              </w:rPr>
              <w:t>—</w:t>
            </w:r>
          </w:p>
        </w:tc>
        <w:tc>
          <w:tcPr>
            <w:tcW w:w="159" w:type="pct"/>
            <w:tcBorders>
              <w:right w:val="double" w:sz="4" w:space="0" w:color="auto"/>
            </w:tcBorders>
            <w:shd w:val="clear" w:color="auto" w:fill="auto"/>
            <w:noWrap/>
            <w:vAlign w:val="center"/>
            <w:hideMark/>
          </w:tcPr>
          <w:p w14:paraId="5A7FD6F6" w14:textId="77777777" w:rsidR="00BE151D" w:rsidRPr="00D14CD7" w:rsidRDefault="00BE151D" w:rsidP="00567BE9">
            <w:pPr>
              <w:spacing w:after="0" w:line="240" w:lineRule="auto"/>
              <w:jc w:val="right"/>
              <w:rPr>
                <w:rFonts w:eastAsia="Times New Roman"/>
                <w:color w:val="000000" w:themeColor="text1"/>
                <w:sz w:val="16"/>
                <w:szCs w:val="16"/>
              </w:rPr>
            </w:pPr>
            <w:r w:rsidRPr="00D14CD7">
              <w:rPr>
                <w:rFonts w:eastAsia="Times New Roman"/>
                <w:color w:val="000000" w:themeColor="text1"/>
                <w:sz w:val="16"/>
                <w:szCs w:val="16"/>
              </w:rPr>
              <w:t>—</w:t>
            </w:r>
          </w:p>
        </w:tc>
        <w:tc>
          <w:tcPr>
            <w:tcW w:w="189" w:type="pct"/>
            <w:tcBorders>
              <w:top w:val="single" w:sz="4" w:space="0" w:color="auto"/>
              <w:left w:val="double" w:sz="4" w:space="0" w:color="auto"/>
              <w:bottom w:val="single" w:sz="4" w:space="0" w:color="auto"/>
            </w:tcBorders>
            <w:shd w:val="clear" w:color="auto" w:fill="auto"/>
            <w:noWrap/>
            <w:vAlign w:val="center"/>
            <w:hideMark/>
          </w:tcPr>
          <w:p w14:paraId="7566773A" w14:textId="77777777" w:rsidR="00BE151D" w:rsidRPr="00D14CD7" w:rsidRDefault="00BE151D" w:rsidP="00567BE9">
            <w:pPr>
              <w:spacing w:after="0" w:line="240" w:lineRule="auto"/>
              <w:jc w:val="right"/>
              <w:rPr>
                <w:rFonts w:eastAsia="Times New Roman"/>
                <w:color w:val="000000" w:themeColor="text1"/>
                <w:sz w:val="16"/>
                <w:szCs w:val="16"/>
              </w:rPr>
            </w:pPr>
            <w:r w:rsidRPr="00D14CD7">
              <w:rPr>
                <w:rFonts w:eastAsia="Times New Roman"/>
                <w:color w:val="000000" w:themeColor="text1"/>
                <w:sz w:val="16"/>
                <w:szCs w:val="16"/>
              </w:rPr>
              <w:t>—</w:t>
            </w:r>
          </w:p>
        </w:tc>
        <w:tc>
          <w:tcPr>
            <w:tcW w:w="159" w:type="pct"/>
            <w:tcBorders>
              <w:top w:val="single" w:sz="4" w:space="0" w:color="auto"/>
              <w:bottom w:val="single" w:sz="4" w:space="0" w:color="auto"/>
            </w:tcBorders>
            <w:shd w:val="clear" w:color="auto" w:fill="auto"/>
            <w:noWrap/>
            <w:vAlign w:val="center"/>
            <w:hideMark/>
          </w:tcPr>
          <w:p w14:paraId="76F8E06E" w14:textId="77777777" w:rsidR="00BE151D" w:rsidRPr="00D14CD7" w:rsidRDefault="00BE151D" w:rsidP="00567BE9">
            <w:pPr>
              <w:spacing w:after="0" w:line="240" w:lineRule="auto"/>
              <w:jc w:val="right"/>
              <w:rPr>
                <w:rFonts w:eastAsia="Times New Roman"/>
                <w:color w:val="000000" w:themeColor="text1"/>
                <w:sz w:val="16"/>
                <w:szCs w:val="16"/>
              </w:rPr>
            </w:pPr>
            <w:r w:rsidRPr="00D14CD7">
              <w:rPr>
                <w:rFonts w:eastAsia="Times New Roman"/>
                <w:color w:val="000000" w:themeColor="text1"/>
                <w:sz w:val="16"/>
                <w:szCs w:val="16"/>
              </w:rPr>
              <w:t>—</w:t>
            </w:r>
          </w:p>
        </w:tc>
        <w:tc>
          <w:tcPr>
            <w:tcW w:w="187" w:type="pct"/>
            <w:tcBorders>
              <w:top w:val="single" w:sz="4" w:space="0" w:color="auto"/>
              <w:bottom w:val="single" w:sz="4" w:space="0" w:color="auto"/>
            </w:tcBorders>
            <w:shd w:val="clear" w:color="auto" w:fill="auto"/>
            <w:noWrap/>
            <w:vAlign w:val="center"/>
            <w:hideMark/>
          </w:tcPr>
          <w:p w14:paraId="44C6DF9C" w14:textId="77777777" w:rsidR="00BE151D" w:rsidRPr="00D14CD7" w:rsidRDefault="00BE151D" w:rsidP="00567BE9">
            <w:pPr>
              <w:spacing w:after="0" w:line="240" w:lineRule="auto"/>
              <w:jc w:val="right"/>
              <w:rPr>
                <w:rFonts w:eastAsia="Times New Roman"/>
                <w:color w:val="000000" w:themeColor="text1"/>
                <w:sz w:val="16"/>
                <w:szCs w:val="16"/>
              </w:rPr>
            </w:pPr>
            <w:r w:rsidRPr="00D14CD7">
              <w:rPr>
                <w:rFonts w:eastAsia="Times New Roman"/>
                <w:color w:val="000000" w:themeColor="text1"/>
                <w:sz w:val="16"/>
                <w:szCs w:val="16"/>
              </w:rPr>
              <w:t>—</w:t>
            </w:r>
          </w:p>
        </w:tc>
        <w:tc>
          <w:tcPr>
            <w:tcW w:w="188" w:type="pct"/>
            <w:tcBorders>
              <w:top w:val="single" w:sz="4" w:space="0" w:color="auto"/>
              <w:bottom w:val="single" w:sz="4" w:space="0" w:color="auto"/>
            </w:tcBorders>
            <w:shd w:val="clear" w:color="auto" w:fill="auto"/>
            <w:noWrap/>
            <w:vAlign w:val="center"/>
            <w:hideMark/>
          </w:tcPr>
          <w:p w14:paraId="1C7D430F" w14:textId="77777777" w:rsidR="00BE151D" w:rsidRPr="00D14CD7" w:rsidRDefault="00BE151D" w:rsidP="00567BE9">
            <w:pPr>
              <w:spacing w:after="0" w:line="240" w:lineRule="auto"/>
              <w:jc w:val="right"/>
              <w:rPr>
                <w:rFonts w:eastAsia="Times New Roman"/>
                <w:color w:val="000000" w:themeColor="text1"/>
                <w:sz w:val="16"/>
                <w:szCs w:val="16"/>
              </w:rPr>
            </w:pPr>
            <w:r w:rsidRPr="00D14CD7">
              <w:rPr>
                <w:rFonts w:eastAsia="Times New Roman"/>
                <w:color w:val="000000" w:themeColor="text1"/>
                <w:sz w:val="16"/>
                <w:szCs w:val="16"/>
              </w:rPr>
              <w:t>—</w:t>
            </w:r>
          </w:p>
        </w:tc>
        <w:tc>
          <w:tcPr>
            <w:tcW w:w="188" w:type="pct"/>
            <w:tcBorders>
              <w:top w:val="single" w:sz="4" w:space="0" w:color="auto"/>
              <w:bottom w:val="single" w:sz="4" w:space="0" w:color="auto"/>
            </w:tcBorders>
            <w:shd w:val="clear" w:color="auto" w:fill="auto"/>
            <w:noWrap/>
            <w:vAlign w:val="center"/>
            <w:hideMark/>
          </w:tcPr>
          <w:p w14:paraId="0C8252B2" w14:textId="77777777" w:rsidR="00BE151D" w:rsidRPr="00D14CD7" w:rsidRDefault="00BE151D" w:rsidP="00567BE9">
            <w:pPr>
              <w:spacing w:after="0" w:line="240" w:lineRule="auto"/>
              <w:jc w:val="right"/>
              <w:rPr>
                <w:rFonts w:eastAsia="Times New Roman"/>
                <w:color w:val="000000" w:themeColor="text1"/>
                <w:sz w:val="16"/>
                <w:szCs w:val="16"/>
              </w:rPr>
            </w:pPr>
            <w:r w:rsidRPr="00D14CD7">
              <w:rPr>
                <w:rFonts w:eastAsia="Times New Roman"/>
                <w:color w:val="000000" w:themeColor="text1"/>
                <w:sz w:val="16"/>
                <w:szCs w:val="16"/>
              </w:rPr>
              <w:t>—</w:t>
            </w:r>
          </w:p>
        </w:tc>
        <w:tc>
          <w:tcPr>
            <w:tcW w:w="170" w:type="pct"/>
            <w:tcBorders>
              <w:top w:val="single" w:sz="4" w:space="0" w:color="auto"/>
              <w:bottom w:val="single" w:sz="4" w:space="0" w:color="auto"/>
            </w:tcBorders>
            <w:shd w:val="clear" w:color="auto" w:fill="auto"/>
            <w:noWrap/>
            <w:vAlign w:val="center"/>
            <w:hideMark/>
          </w:tcPr>
          <w:p w14:paraId="7EAB2BA3" w14:textId="77777777" w:rsidR="00BE151D" w:rsidRPr="00D14CD7" w:rsidRDefault="00BE151D" w:rsidP="00567BE9">
            <w:pPr>
              <w:spacing w:after="0" w:line="240" w:lineRule="auto"/>
              <w:jc w:val="right"/>
              <w:rPr>
                <w:rFonts w:eastAsia="Times New Roman"/>
                <w:color w:val="000000" w:themeColor="text1"/>
                <w:sz w:val="16"/>
                <w:szCs w:val="16"/>
              </w:rPr>
            </w:pPr>
            <w:r w:rsidRPr="00D14CD7">
              <w:rPr>
                <w:rFonts w:eastAsia="Times New Roman"/>
                <w:color w:val="000000" w:themeColor="text1"/>
                <w:sz w:val="16"/>
                <w:szCs w:val="16"/>
              </w:rPr>
              <w:t>—</w:t>
            </w:r>
          </w:p>
        </w:tc>
        <w:tc>
          <w:tcPr>
            <w:tcW w:w="173" w:type="pct"/>
            <w:tcBorders>
              <w:top w:val="single" w:sz="4" w:space="0" w:color="auto"/>
              <w:bottom w:val="single" w:sz="4" w:space="0" w:color="auto"/>
            </w:tcBorders>
            <w:shd w:val="clear" w:color="auto" w:fill="auto"/>
            <w:noWrap/>
            <w:vAlign w:val="center"/>
            <w:hideMark/>
          </w:tcPr>
          <w:p w14:paraId="07B5F62B" w14:textId="77777777" w:rsidR="00BE151D" w:rsidRPr="00D14CD7" w:rsidRDefault="00BE151D" w:rsidP="00567BE9">
            <w:pPr>
              <w:spacing w:after="0" w:line="240" w:lineRule="auto"/>
              <w:jc w:val="right"/>
              <w:rPr>
                <w:rFonts w:eastAsia="Times New Roman"/>
                <w:color w:val="000000" w:themeColor="text1"/>
                <w:sz w:val="16"/>
                <w:szCs w:val="16"/>
              </w:rPr>
            </w:pPr>
            <w:r w:rsidRPr="00D14CD7">
              <w:rPr>
                <w:rFonts w:eastAsia="Times New Roman"/>
                <w:color w:val="000000" w:themeColor="text1"/>
                <w:sz w:val="16"/>
                <w:szCs w:val="16"/>
              </w:rPr>
              <w:t>—</w:t>
            </w:r>
          </w:p>
        </w:tc>
        <w:tc>
          <w:tcPr>
            <w:tcW w:w="160" w:type="pct"/>
            <w:tcBorders>
              <w:top w:val="single" w:sz="4" w:space="0" w:color="auto"/>
              <w:bottom w:val="single" w:sz="4" w:space="0" w:color="auto"/>
              <w:right w:val="double" w:sz="4" w:space="0" w:color="auto"/>
            </w:tcBorders>
            <w:shd w:val="clear" w:color="auto" w:fill="auto"/>
            <w:noWrap/>
            <w:vAlign w:val="center"/>
            <w:hideMark/>
          </w:tcPr>
          <w:p w14:paraId="6AB17D1A" w14:textId="77777777" w:rsidR="00BE151D" w:rsidRPr="00D14CD7" w:rsidRDefault="00BE151D" w:rsidP="00567BE9">
            <w:pPr>
              <w:spacing w:after="0" w:line="240" w:lineRule="auto"/>
              <w:jc w:val="right"/>
              <w:rPr>
                <w:rFonts w:eastAsia="Times New Roman"/>
                <w:color w:val="000000" w:themeColor="text1"/>
                <w:sz w:val="16"/>
                <w:szCs w:val="16"/>
              </w:rPr>
            </w:pPr>
            <w:r w:rsidRPr="00D14CD7">
              <w:rPr>
                <w:rFonts w:eastAsia="Times New Roman"/>
                <w:color w:val="000000" w:themeColor="text1"/>
                <w:sz w:val="16"/>
                <w:szCs w:val="16"/>
              </w:rPr>
              <w:t>—</w:t>
            </w:r>
          </w:p>
        </w:tc>
        <w:tc>
          <w:tcPr>
            <w:tcW w:w="186" w:type="pct"/>
            <w:tcBorders>
              <w:top w:val="single" w:sz="4" w:space="0" w:color="auto"/>
              <w:left w:val="double" w:sz="4" w:space="0" w:color="auto"/>
              <w:bottom w:val="single" w:sz="4" w:space="0" w:color="auto"/>
            </w:tcBorders>
            <w:shd w:val="clear" w:color="auto" w:fill="auto"/>
            <w:noWrap/>
            <w:vAlign w:val="bottom"/>
          </w:tcPr>
          <w:p w14:paraId="3619321A" w14:textId="77777777" w:rsidR="00BE151D" w:rsidRPr="00D14CD7" w:rsidRDefault="00BE151D" w:rsidP="00567BE9">
            <w:pPr>
              <w:spacing w:after="0" w:line="240" w:lineRule="auto"/>
              <w:jc w:val="right"/>
              <w:rPr>
                <w:rFonts w:eastAsia="Times New Roman"/>
                <w:color w:val="000000" w:themeColor="text1"/>
                <w:sz w:val="16"/>
                <w:szCs w:val="16"/>
              </w:rPr>
            </w:pPr>
            <w:r w:rsidRPr="00D14CD7">
              <w:rPr>
                <w:color w:val="000000" w:themeColor="text1"/>
                <w:sz w:val="16"/>
                <w:szCs w:val="16"/>
              </w:rPr>
              <w:t>0.117</w:t>
            </w:r>
          </w:p>
        </w:tc>
        <w:tc>
          <w:tcPr>
            <w:tcW w:w="152" w:type="pct"/>
            <w:tcBorders>
              <w:top w:val="single" w:sz="4" w:space="0" w:color="auto"/>
              <w:bottom w:val="single" w:sz="4" w:space="0" w:color="auto"/>
            </w:tcBorders>
            <w:shd w:val="clear" w:color="auto" w:fill="auto"/>
            <w:noWrap/>
            <w:vAlign w:val="bottom"/>
          </w:tcPr>
          <w:p w14:paraId="7FA3D93F" w14:textId="77777777" w:rsidR="00BE151D" w:rsidRPr="00D14CD7" w:rsidRDefault="00BE151D" w:rsidP="00567BE9">
            <w:pPr>
              <w:spacing w:after="0" w:line="240" w:lineRule="auto"/>
              <w:jc w:val="right"/>
              <w:rPr>
                <w:rFonts w:eastAsia="Times New Roman"/>
                <w:color w:val="000000" w:themeColor="text1"/>
                <w:sz w:val="16"/>
                <w:szCs w:val="16"/>
              </w:rPr>
            </w:pPr>
            <w:r w:rsidRPr="00D14CD7">
              <w:rPr>
                <w:color w:val="000000" w:themeColor="text1"/>
                <w:sz w:val="16"/>
                <w:szCs w:val="16"/>
              </w:rPr>
              <w:t>3.38</w:t>
            </w:r>
          </w:p>
        </w:tc>
      </w:tr>
      <w:tr w:rsidR="00D14CD7" w:rsidRPr="00D14CD7" w14:paraId="793C4B8D" w14:textId="77777777" w:rsidTr="00AC40E4">
        <w:trPr>
          <w:trHeight w:val="72"/>
        </w:trPr>
        <w:tc>
          <w:tcPr>
            <w:tcW w:w="1719" w:type="pct"/>
            <w:tcBorders>
              <w:top w:val="single" w:sz="4" w:space="0" w:color="auto"/>
              <w:bottom w:val="single" w:sz="4" w:space="0" w:color="auto"/>
              <w:right w:val="double" w:sz="4" w:space="0" w:color="auto"/>
            </w:tcBorders>
            <w:shd w:val="clear" w:color="auto" w:fill="auto"/>
            <w:noWrap/>
            <w:vAlign w:val="center"/>
            <w:hideMark/>
          </w:tcPr>
          <w:p w14:paraId="5C5C1796" w14:textId="77777777" w:rsidR="00BE151D" w:rsidRPr="00D14CD7" w:rsidRDefault="00BE151D" w:rsidP="00567BE9">
            <w:pPr>
              <w:spacing w:after="0" w:line="240" w:lineRule="auto"/>
              <w:ind w:firstLineChars="100" w:firstLine="160"/>
              <w:rPr>
                <w:rFonts w:eastAsia="Times New Roman"/>
                <w:color w:val="000000" w:themeColor="text1"/>
                <w:sz w:val="16"/>
                <w:szCs w:val="16"/>
              </w:rPr>
            </w:pPr>
            <w:r w:rsidRPr="00D14CD7">
              <w:rPr>
                <w:rFonts w:eastAsia="Times New Roman"/>
                <w:color w:val="000000" w:themeColor="text1"/>
                <w:sz w:val="16"/>
                <w:szCs w:val="16"/>
              </w:rPr>
              <w:t>2 | 3</w:t>
            </w:r>
          </w:p>
        </w:tc>
        <w:tc>
          <w:tcPr>
            <w:tcW w:w="217" w:type="pct"/>
            <w:tcBorders>
              <w:left w:val="double" w:sz="4" w:space="0" w:color="auto"/>
            </w:tcBorders>
            <w:shd w:val="clear" w:color="auto" w:fill="auto"/>
            <w:noWrap/>
            <w:vAlign w:val="center"/>
            <w:hideMark/>
          </w:tcPr>
          <w:p w14:paraId="5401C6A2" w14:textId="77777777" w:rsidR="00BE151D" w:rsidRPr="00D14CD7" w:rsidRDefault="00BE151D" w:rsidP="00567BE9">
            <w:pPr>
              <w:spacing w:after="0" w:line="240" w:lineRule="auto"/>
              <w:jc w:val="right"/>
              <w:rPr>
                <w:rFonts w:eastAsia="Times New Roman"/>
                <w:color w:val="000000" w:themeColor="text1"/>
                <w:sz w:val="16"/>
                <w:szCs w:val="16"/>
              </w:rPr>
            </w:pPr>
            <w:r w:rsidRPr="00D14CD7">
              <w:rPr>
                <w:rFonts w:eastAsia="Times New Roman"/>
                <w:color w:val="000000" w:themeColor="text1"/>
                <w:sz w:val="16"/>
                <w:szCs w:val="16"/>
              </w:rPr>
              <w:t>—</w:t>
            </w:r>
          </w:p>
        </w:tc>
        <w:tc>
          <w:tcPr>
            <w:tcW w:w="213" w:type="pct"/>
            <w:shd w:val="clear" w:color="auto" w:fill="auto"/>
            <w:noWrap/>
            <w:vAlign w:val="center"/>
            <w:hideMark/>
          </w:tcPr>
          <w:p w14:paraId="632E1954" w14:textId="77777777" w:rsidR="00BE151D" w:rsidRPr="00D14CD7" w:rsidRDefault="00BE151D" w:rsidP="00567BE9">
            <w:pPr>
              <w:spacing w:after="0" w:line="240" w:lineRule="auto"/>
              <w:jc w:val="right"/>
              <w:rPr>
                <w:rFonts w:eastAsia="Times New Roman"/>
                <w:color w:val="000000" w:themeColor="text1"/>
                <w:sz w:val="16"/>
                <w:szCs w:val="16"/>
              </w:rPr>
            </w:pPr>
            <w:r w:rsidRPr="00D14CD7">
              <w:rPr>
                <w:rFonts w:eastAsia="Times New Roman"/>
                <w:color w:val="000000" w:themeColor="text1"/>
                <w:sz w:val="16"/>
                <w:szCs w:val="16"/>
              </w:rPr>
              <w:t>—</w:t>
            </w:r>
          </w:p>
        </w:tc>
        <w:tc>
          <w:tcPr>
            <w:tcW w:w="188" w:type="pct"/>
            <w:shd w:val="clear" w:color="auto" w:fill="auto"/>
            <w:noWrap/>
            <w:vAlign w:val="center"/>
            <w:hideMark/>
          </w:tcPr>
          <w:p w14:paraId="7A8E9B9B" w14:textId="77777777" w:rsidR="00BE151D" w:rsidRPr="00D14CD7" w:rsidRDefault="00BE151D" w:rsidP="00567BE9">
            <w:pPr>
              <w:spacing w:after="0" w:line="240" w:lineRule="auto"/>
              <w:jc w:val="right"/>
              <w:rPr>
                <w:rFonts w:eastAsia="Times New Roman"/>
                <w:color w:val="000000" w:themeColor="text1"/>
                <w:sz w:val="16"/>
                <w:szCs w:val="16"/>
              </w:rPr>
            </w:pPr>
            <w:r w:rsidRPr="00D14CD7">
              <w:rPr>
                <w:rFonts w:eastAsia="Times New Roman"/>
                <w:color w:val="000000" w:themeColor="text1"/>
                <w:sz w:val="16"/>
                <w:szCs w:val="16"/>
              </w:rPr>
              <w:t>—</w:t>
            </w:r>
          </w:p>
        </w:tc>
        <w:tc>
          <w:tcPr>
            <w:tcW w:w="188" w:type="pct"/>
            <w:shd w:val="clear" w:color="auto" w:fill="auto"/>
            <w:noWrap/>
            <w:vAlign w:val="center"/>
            <w:hideMark/>
          </w:tcPr>
          <w:p w14:paraId="4BF47F52" w14:textId="77777777" w:rsidR="00BE151D" w:rsidRPr="00D14CD7" w:rsidRDefault="00BE151D" w:rsidP="00567BE9">
            <w:pPr>
              <w:spacing w:after="0" w:line="240" w:lineRule="auto"/>
              <w:jc w:val="right"/>
              <w:rPr>
                <w:rFonts w:eastAsia="Times New Roman"/>
                <w:color w:val="000000" w:themeColor="text1"/>
                <w:sz w:val="16"/>
                <w:szCs w:val="16"/>
              </w:rPr>
            </w:pPr>
            <w:r w:rsidRPr="00D14CD7">
              <w:rPr>
                <w:rFonts w:eastAsia="Times New Roman"/>
                <w:color w:val="000000" w:themeColor="text1"/>
                <w:sz w:val="16"/>
                <w:szCs w:val="16"/>
              </w:rPr>
              <w:t>—</w:t>
            </w:r>
          </w:p>
        </w:tc>
        <w:tc>
          <w:tcPr>
            <w:tcW w:w="188" w:type="pct"/>
            <w:shd w:val="clear" w:color="auto" w:fill="auto"/>
            <w:noWrap/>
            <w:vAlign w:val="center"/>
            <w:hideMark/>
          </w:tcPr>
          <w:p w14:paraId="7DC549EC" w14:textId="77777777" w:rsidR="00BE151D" w:rsidRPr="00D14CD7" w:rsidRDefault="00BE151D" w:rsidP="00567BE9">
            <w:pPr>
              <w:spacing w:after="0" w:line="240" w:lineRule="auto"/>
              <w:jc w:val="right"/>
              <w:rPr>
                <w:rFonts w:eastAsia="Times New Roman"/>
                <w:color w:val="000000" w:themeColor="text1"/>
                <w:sz w:val="16"/>
                <w:szCs w:val="16"/>
              </w:rPr>
            </w:pPr>
            <w:r w:rsidRPr="00D14CD7">
              <w:rPr>
                <w:rFonts w:eastAsia="Times New Roman"/>
                <w:color w:val="000000" w:themeColor="text1"/>
                <w:sz w:val="16"/>
                <w:szCs w:val="16"/>
              </w:rPr>
              <w:t>—</w:t>
            </w:r>
          </w:p>
        </w:tc>
        <w:tc>
          <w:tcPr>
            <w:tcW w:w="188" w:type="pct"/>
            <w:shd w:val="clear" w:color="auto" w:fill="auto"/>
            <w:noWrap/>
            <w:vAlign w:val="center"/>
            <w:hideMark/>
          </w:tcPr>
          <w:p w14:paraId="14B1DA79" w14:textId="77777777" w:rsidR="00BE151D" w:rsidRPr="00D14CD7" w:rsidRDefault="00BE151D" w:rsidP="00567BE9">
            <w:pPr>
              <w:spacing w:after="0" w:line="240" w:lineRule="auto"/>
              <w:jc w:val="right"/>
              <w:rPr>
                <w:rFonts w:eastAsia="Times New Roman"/>
                <w:color w:val="000000" w:themeColor="text1"/>
                <w:sz w:val="16"/>
                <w:szCs w:val="16"/>
              </w:rPr>
            </w:pPr>
            <w:r w:rsidRPr="00D14CD7">
              <w:rPr>
                <w:rFonts w:eastAsia="Times New Roman"/>
                <w:color w:val="000000" w:themeColor="text1"/>
                <w:sz w:val="16"/>
                <w:szCs w:val="16"/>
              </w:rPr>
              <w:t>—</w:t>
            </w:r>
          </w:p>
        </w:tc>
        <w:tc>
          <w:tcPr>
            <w:tcW w:w="188" w:type="pct"/>
            <w:shd w:val="clear" w:color="auto" w:fill="auto"/>
            <w:noWrap/>
            <w:vAlign w:val="center"/>
            <w:hideMark/>
          </w:tcPr>
          <w:p w14:paraId="061711A0" w14:textId="77777777" w:rsidR="00BE151D" w:rsidRPr="00D14CD7" w:rsidRDefault="00BE151D" w:rsidP="00567BE9">
            <w:pPr>
              <w:spacing w:after="0" w:line="240" w:lineRule="auto"/>
              <w:jc w:val="right"/>
              <w:rPr>
                <w:rFonts w:eastAsia="Times New Roman"/>
                <w:color w:val="000000" w:themeColor="text1"/>
                <w:sz w:val="16"/>
                <w:szCs w:val="16"/>
              </w:rPr>
            </w:pPr>
            <w:r w:rsidRPr="00D14CD7">
              <w:rPr>
                <w:rFonts w:eastAsia="Times New Roman"/>
                <w:color w:val="000000" w:themeColor="text1"/>
                <w:sz w:val="16"/>
                <w:szCs w:val="16"/>
              </w:rPr>
              <w:t>—</w:t>
            </w:r>
          </w:p>
        </w:tc>
        <w:tc>
          <w:tcPr>
            <w:tcW w:w="159" w:type="pct"/>
            <w:tcBorders>
              <w:right w:val="double" w:sz="4" w:space="0" w:color="auto"/>
            </w:tcBorders>
            <w:shd w:val="clear" w:color="auto" w:fill="auto"/>
            <w:noWrap/>
            <w:vAlign w:val="center"/>
            <w:hideMark/>
          </w:tcPr>
          <w:p w14:paraId="3E0BED68" w14:textId="77777777" w:rsidR="00BE151D" w:rsidRPr="00D14CD7" w:rsidRDefault="00BE151D" w:rsidP="00567BE9">
            <w:pPr>
              <w:spacing w:after="0" w:line="240" w:lineRule="auto"/>
              <w:jc w:val="right"/>
              <w:rPr>
                <w:rFonts w:eastAsia="Times New Roman"/>
                <w:color w:val="000000" w:themeColor="text1"/>
                <w:sz w:val="16"/>
                <w:szCs w:val="16"/>
              </w:rPr>
            </w:pPr>
            <w:r w:rsidRPr="00D14CD7">
              <w:rPr>
                <w:rFonts w:eastAsia="Times New Roman"/>
                <w:color w:val="000000" w:themeColor="text1"/>
                <w:sz w:val="16"/>
                <w:szCs w:val="16"/>
              </w:rPr>
              <w:t>—</w:t>
            </w:r>
          </w:p>
        </w:tc>
        <w:tc>
          <w:tcPr>
            <w:tcW w:w="189" w:type="pct"/>
            <w:tcBorders>
              <w:top w:val="single" w:sz="4" w:space="0" w:color="auto"/>
              <w:left w:val="double" w:sz="4" w:space="0" w:color="auto"/>
              <w:bottom w:val="single" w:sz="4" w:space="0" w:color="auto"/>
            </w:tcBorders>
            <w:shd w:val="clear" w:color="auto" w:fill="auto"/>
            <w:noWrap/>
            <w:vAlign w:val="center"/>
            <w:hideMark/>
          </w:tcPr>
          <w:p w14:paraId="6A9F9727" w14:textId="77777777" w:rsidR="00BE151D" w:rsidRPr="00D14CD7" w:rsidRDefault="00BE151D" w:rsidP="00567BE9">
            <w:pPr>
              <w:spacing w:after="0" w:line="240" w:lineRule="auto"/>
              <w:jc w:val="right"/>
              <w:rPr>
                <w:rFonts w:eastAsia="Times New Roman"/>
                <w:color w:val="000000" w:themeColor="text1"/>
                <w:sz w:val="16"/>
                <w:szCs w:val="16"/>
              </w:rPr>
            </w:pPr>
            <w:r w:rsidRPr="00D14CD7">
              <w:rPr>
                <w:rFonts w:eastAsia="Times New Roman"/>
                <w:color w:val="000000" w:themeColor="text1"/>
                <w:sz w:val="16"/>
                <w:szCs w:val="16"/>
              </w:rPr>
              <w:t>—</w:t>
            </w:r>
          </w:p>
        </w:tc>
        <w:tc>
          <w:tcPr>
            <w:tcW w:w="159" w:type="pct"/>
            <w:tcBorders>
              <w:top w:val="single" w:sz="4" w:space="0" w:color="auto"/>
              <w:bottom w:val="single" w:sz="4" w:space="0" w:color="auto"/>
            </w:tcBorders>
            <w:shd w:val="clear" w:color="auto" w:fill="auto"/>
            <w:noWrap/>
            <w:vAlign w:val="center"/>
            <w:hideMark/>
          </w:tcPr>
          <w:p w14:paraId="0776B459" w14:textId="77777777" w:rsidR="00BE151D" w:rsidRPr="00D14CD7" w:rsidRDefault="00BE151D" w:rsidP="00567BE9">
            <w:pPr>
              <w:spacing w:after="0" w:line="240" w:lineRule="auto"/>
              <w:jc w:val="right"/>
              <w:rPr>
                <w:rFonts w:eastAsia="Times New Roman"/>
                <w:color w:val="000000" w:themeColor="text1"/>
                <w:sz w:val="16"/>
                <w:szCs w:val="16"/>
              </w:rPr>
            </w:pPr>
            <w:r w:rsidRPr="00D14CD7">
              <w:rPr>
                <w:rFonts w:eastAsia="Times New Roman"/>
                <w:color w:val="000000" w:themeColor="text1"/>
                <w:sz w:val="16"/>
                <w:szCs w:val="16"/>
              </w:rPr>
              <w:t>—</w:t>
            </w:r>
          </w:p>
        </w:tc>
        <w:tc>
          <w:tcPr>
            <w:tcW w:w="187" w:type="pct"/>
            <w:tcBorders>
              <w:top w:val="single" w:sz="4" w:space="0" w:color="auto"/>
              <w:bottom w:val="single" w:sz="4" w:space="0" w:color="auto"/>
            </w:tcBorders>
            <w:shd w:val="clear" w:color="auto" w:fill="auto"/>
            <w:noWrap/>
            <w:vAlign w:val="center"/>
            <w:hideMark/>
          </w:tcPr>
          <w:p w14:paraId="6FF17380" w14:textId="77777777" w:rsidR="00BE151D" w:rsidRPr="00D14CD7" w:rsidRDefault="00BE151D" w:rsidP="00567BE9">
            <w:pPr>
              <w:spacing w:after="0" w:line="240" w:lineRule="auto"/>
              <w:jc w:val="right"/>
              <w:rPr>
                <w:rFonts w:eastAsia="Times New Roman"/>
                <w:color w:val="000000" w:themeColor="text1"/>
                <w:sz w:val="16"/>
                <w:szCs w:val="16"/>
              </w:rPr>
            </w:pPr>
            <w:r w:rsidRPr="00D14CD7">
              <w:rPr>
                <w:rFonts w:eastAsia="Times New Roman"/>
                <w:color w:val="000000" w:themeColor="text1"/>
                <w:sz w:val="16"/>
                <w:szCs w:val="16"/>
              </w:rPr>
              <w:t>—</w:t>
            </w:r>
          </w:p>
        </w:tc>
        <w:tc>
          <w:tcPr>
            <w:tcW w:w="188" w:type="pct"/>
            <w:tcBorders>
              <w:top w:val="single" w:sz="4" w:space="0" w:color="auto"/>
              <w:bottom w:val="single" w:sz="4" w:space="0" w:color="auto"/>
            </w:tcBorders>
            <w:shd w:val="clear" w:color="auto" w:fill="auto"/>
            <w:noWrap/>
            <w:vAlign w:val="center"/>
            <w:hideMark/>
          </w:tcPr>
          <w:p w14:paraId="1CE8E60B" w14:textId="77777777" w:rsidR="00BE151D" w:rsidRPr="00D14CD7" w:rsidRDefault="00BE151D" w:rsidP="00567BE9">
            <w:pPr>
              <w:spacing w:after="0" w:line="240" w:lineRule="auto"/>
              <w:jc w:val="right"/>
              <w:rPr>
                <w:rFonts w:eastAsia="Times New Roman"/>
                <w:color w:val="000000" w:themeColor="text1"/>
                <w:sz w:val="16"/>
                <w:szCs w:val="16"/>
              </w:rPr>
            </w:pPr>
            <w:r w:rsidRPr="00D14CD7">
              <w:rPr>
                <w:rFonts w:eastAsia="Times New Roman"/>
                <w:color w:val="000000" w:themeColor="text1"/>
                <w:sz w:val="16"/>
                <w:szCs w:val="16"/>
              </w:rPr>
              <w:t>—</w:t>
            </w:r>
          </w:p>
        </w:tc>
        <w:tc>
          <w:tcPr>
            <w:tcW w:w="188" w:type="pct"/>
            <w:tcBorders>
              <w:top w:val="single" w:sz="4" w:space="0" w:color="auto"/>
              <w:bottom w:val="single" w:sz="4" w:space="0" w:color="auto"/>
            </w:tcBorders>
            <w:shd w:val="clear" w:color="auto" w:fill="auto"/>
            <w:noWrap/>
            <w:vAlign w:val="center"/>
            <w:hideMark/>
          </w:tcPr>
          <w:p w14:paraId="2DCE073E" w14:textId="77777777" w:rsidR="00BE151D" w:rsidRPr="00D14CD7" w:rsidRDefault="00BE151D" w:rsidP="00567BE9">
            <w:pPr>
              <w:spacing w:after="0" w:line="240" w:lineRule="auto"/>
              <w:jc w:val="right"/>
              <w:rPr>
                <w:rFonts w:eastAsia="Times New Roman"/>
                <w:color w:val="000000" w:themeColor="text1"/>
                <w:sz w:val="16"/>
                <w:szCs w:val="16"/>
              </w:rPr>
            </w:pPr>
            <w:r w:rsidRPr="00D14CD7">
              <w:rPr>
                <w:rFonts w:eastAsia="Times New Roman"/>
                <w:color w:val="000000" w:themeColor="text1"/>
                <w:sz w:val="16"/>
                <w:szCs w:val="16"/>
              </w:rPr>
              <w:t>—</w:t>
            </w:r>
          </w:p>
        </w:tc>
        <w:tc>
          <w:tcPr>
            <w:tcW w:w="170" w:type="pct"/>
            <w:tcBorders>
              <w:top w:val="single" w:sz="4" w:space="0" w:color="auto"/>
              <w:bottom w:val="single" w:sz="4" w:space="0" w:color="auto"/>
            </w:tcBorders>
            <w:shd w:val="clear" w:color="auto" w:fill="auto"/>
            <w:noWrap/>
            <w:vAlign w:val="center"/>
            <w:hideMark/>
          </w:tcPr>
          <w:p w14:paraId="53F8A7CB" w14:textId="77777777" w:rsidR="00BE151D" w:rsidRPr="00D14CD7" w:rsidRDefault="00BE151D" w:rsidP="00567BE9">
            <w:pPr>
              <w:spacing w:after="0" w:line="240" w:lineRule="auto"/>
              <w:jc w:val="right"/>
              <w:rPr>
                <w:rFonts w:eastAsia="Times New Roman"/>
                <w:color w:val="000000" w:themeColor="text1"/>
                <w:sz w:val="16"/>
                <w:szCs w:val="16"/>
              </w:rPr>
            </w:pPr>
            <w:r w:rsidRPr="00D14CD7">
              <w:rPr>
                <w:rFonts w:eastAsia="Times New Roman"/>
                <w:color w:val="000000" w:themeColor="text1"/>
                <w:sz w:val="16"/>
                <w:szCs w:val="16"/>
              </w:rPr>
              <w:t>—</w:t>
            </w:r>
          </w:p>
        </w:tc>
        <w:tc>
          <w:tcPr>
            <w:tcW w:w="173" w:type="pct"/>
            <w:tcBorders>
              <w:top w:val="single" w:sz="4" w:space="0" w:color="auto"/>
              <w:bottom w:val="single" w:sz="4" w:space="0" w:color="auto"/>
            </w:tcBorders>
            <w:shd w:val="clear" w:color="auto" w:fill="auto"/>
            <w:noWrap/>
            <w:vAlign w:val="center"/>
            <w:hideMark/>
          </w:tcPr>
          <w:p w14:paraId="054A0186" w14:textId="77777777" w:rsidR="00BE151D" w:rsidRPr="00D14CD7" w:rsidRDefault="00BE151D" w:rsidP="00567BE9">
            <w:pPr>
              <w:spacing w:after="0" w:line="240" w:lineRule="auto"/>
              <w:jc w:val="right"/>
              <w:rPr>
                <w:rFonts w:eastAsia="Times New Roman"/>
                <w:color w:val="000000" w:themeColor="text1"/>
                <w:sz w:val="16"/>
                <w:szCs w:val="16"/>
              </w:rPr>
            </w:pPr>
            <w:r w:rsidRPr="00D14CD7">
              <w:rPr>
                <w:rFonts w:eastAsia="Times New Roman"/>
                <w:color w:val="000000" w:themeColor="text1"/>
                <w:sz w:val="16"/>
                <w:szCs w:val="16"/>
              </w:rPr>
              <w:t>—</w:t>
            </w:r>
          </w:p>
        </w:tc>
        <w:tc>
          <w:tcPr>
            <w:tcW w:w="160" w:type="pct"/>
            <w:tcBorders>
              <w:top w:val="single" w:sz="4" w:space="0" w:color="auto"/>
              <w:bottom w:val="single" w:sz="4" w:space="0" w:color="auto"/>
              <w:right w:val="double" w:sz="4" w:space="0" w:color="auto"/>
            </w:tcBorders>
            <w:shd w:val="clear" w:color="auto" w:fill="auto"/>
            <w:noWrap/>
            <w:vAlign w:val="center"/>
            <w:hideMark/>
          </w:tcPr>
          <w:p w14:paraId="03291EF1" w14:textId="77777777" w:rsidR="00BE151D" w:rsidRPr="00D14CD7" w:rsidRDefault="00BE151D" w:rsidP="00567BE9">
            <w:pPr>
              <w:spacing w:after="0" w:line="240" w:lineRule="auto"/>
              <w:jc w:val="right"/>
              <w:rPr>
                <w:rFonts w:eastAsia="Times New Roman"/>
                <w:color w:val="000000" w:themeColor="text1"/>
                <w:sz w:val="16"/>
                <w:szCs w:val="16"/>
              </w:rPr>
            </w:pPr>
            <w:r w:rsidRPr="00D14CD7">
              <w:rPr>
                <w:rFonts w:eastAsia="Times New Roman"/>
                <w:color w:val="000000" w:themeColor="text1"/>
                <w:sz w:val="16"/>
                <w:szCs w:val="16"/>
              </w:rPr>
              <w:t>—</w:t>
            </w:r>
          </w:p>
        </w:tc>
        <w:tc>
          <w:tcPr>
            <w:tcW w:w="186" w:type="pct"/>
            <w:tcBorders>
              <w:top w:val="single" w:sz="4" w:space="0" w:color="auto"/>
              <w:left w:val="double" w:sz="4" w:space="0" w:color="auto"/>
              <w:bottom w:val="single" w:sz="4" w:space="0" w:color="auto"/>
            </w:tcBorders>
            <w:shd w:val="clear" w:color="auto" w:fill="auto"/>
            <w:noWrap/>
            <w:vAlign w:val="bottom"/>
          </w:tcPr>
          <w:p w14:paraId="5B94ABF0" w14:textId="77777777" w:rsidR="00BE151D" w:rsidRPr="00D14CD7" w:rsidRDefault="00BE151D" w:rsidP="00567BE9">
            <w:pPr>
              <w:spacing w:after="0" w:line="240" w:lineRule="auto"/>
              <w:jc w:val="right"/>
              <w:rPr>
                <w:rFonts w:eastAsia="Times New Roman"/>
                <w:color w:val="000000" w:themeColor="text1"/>
                <w:sz w:val="16"/>
                <w:szCs w:val="16"/>
              </w:rPr>
            </w:pPr>
            <w:r w:rsidRPr="00D14CD7">
              <w:rPr>
                <w:color w:val="000000" w:themeColor="text1"/>
                <w:sz w:val="16"/>
                <w:szCs w:val="16"/>
              </w:rPr>
              <w:t>0.196</w:t>
            </w:r>
          </w:p>
        </w:tc>
        <w:tc>
          <w:tcPr>
            <w:tcW w:w="152" w:type="pct"/>
            <w:tcBorders>
              <w:top w:val="single" w:sz="4" w:space="0" w:color="auto"/>
              <w:bottom w:val="single" w:sz="4" w:space="0" w:color="auto"/>
            </w:tcBorders>
            <w:shd w:val="clear" w:color="auto" w:fill="auto"/>
            <w:noWrap/>
            <w:vAlign w:val="bottom"/>
          </w:tcPr>
          <w:p w14:paraId="7194EC5B" w14:textId="77777777" w:rsidR="00BE151D" w:rsidRPr="00D14CD7" w:rsidRDefault="00BE151D" w:rsidP="00567BE9">
            <w:pPr>
              <w:spacing w:after="0" w:line="240" w:lineRule="auto"/>
              <w:jc w:val="right"/>
              <w:rPr>
                <w:rFonts w:eastAsia="Times New Roman"/>
                <w:color w:val="000000" w:themeColor="text1"/>
                <w:sz w:val="16"/>
                <w:szCs w:val="16"/>
              </w:rPr>
            </w:pPr>
            <w:r w:rsidRPr="00D14CD7">
              <w:rPr>
                <w:color w:val="000000" w:themeColor="text1"/>
                <w:sz w:val="16"/>
                <w:szCs w:val="16"/>
              </w:rPr>
              <w:t>5.42</w:t>
            </w:r>
          </w:p>
        </w:tc>
      </w:tr>
      <w:tr w:rsidR="00D14CD7" w:rsidRPr="00D14CD7" w14:paraId="13EBFC61" w14:textId="77777777" w:rsidTr="00AC40E4">
        <w:trPr>
          <w:trHeight w:val="72"/>
        </w:trPr>
        <w:tc>
          <w:tcPr>
            <w:tcW w:w="1719" w:type="pct"/>
            <w:tcBorders>
              <w:top w:val="single" w:sz="4" w:space="0" w:color="auto"/>
              <w:bottom w:val="single" w:sz="4" w:space="0" w:color="auto"/>
              <w:right w:val="double" w:sz="4" w:space="0" w:color="auto"/>
            </w:tcBorders>
            <w:shd w:val="clear" w:color="auto" w:fill="auto"/>
            <w:noWrap/>
            <w:vAlign w:val="center"/>
            <w:hideMark/>
          </w:tcPr>
          <w:p w14:paraId="192B6107" w14:textId="77777777" w:rsidR="00BE151D" w:rsidRPr="00D14CD7" w:rsidRDefault="00BE151D" w:rsidP="00567BE9">
            <w:pPr>
              <w:spacing w:after="0" w:line="240" w:lineRule="auto"/>
              <w:ind w:firstLineChars="100" w:firstLine="160"/>
              <w:rPr>
                <w:rFonts w:eastAsia="Times New Roman"/>
                <w:color w:val="000000" w:themeColor="text1"/>
                <w:sz w:val="16"/>
                <w:szCs w:val="16"/>
              </w:rPr>
            </w:pPr>
            <w:r w:rsidRPr="00D14CD7">
              <w:rPr>
                <w:rFonts w:eastAsia="Times New Roman"/>
                <w:color w:val="000000" w:themeColor="text1"/>
                <w:sz w:val="16"/>
                <w:szCs w:val="16"/>
              </w:rPr>
              <w:t>4 | 5</w:t>
            </w:r>
          </w:p>
        </w:tc>
        <w:tc>
          <w:tcPr>
            <w:tcW w:w="217" w:type="pct"/>
            <w:tcBorders>
              <w:left w:val="double" w:sz="4" w:space="0" w:color="auto"/>
            </w:tcBorders>
            <w:shd w:val="clear" w:color="auto" w:fill="auto"/>
            <w:noWrap/>
            <w:vAlign w:val="center"/>
            <w:hideMark/>
          </w:tcPr>
          <w:p w14:paraId="30360650" w14:textId="77777777" w:rsidR="00BE151D" w:rsidRPr="00D14CD7" w:rsidRDefault="00BE151D" w:rsidP="00567BE9">
            <w:pPr>
              <w:spacing w:after="0" w:line="240" w:lineRule="auto"/>
              <w:jc w:val="right"/>
              <w:rPr>
                <w:rFonts w:eastAsia="Times New Roman"/>
                <w:color w:val="000000" w:themeColor="text1"/>
                <w:sz w:val="16"/>
                <w:szCs w:val="16"/>
              </w:rPr>
            </w:pPr>
            <w:r w:rsidRPr="00D14CD7">
              <w:rPr>
                <w:rFonts w:eastAsia="Times New Roman"/>
                <w:color w:val="000000" w:themeColor="text1"/>
                <w:sz w:val="16"/>
                <w:szCs w:val="16"/>
              </w:rPr>
              <w:t>—</w:t>
            </w:r>
          </w:p>
        </w:tc>
        <w:tc>
          <w:tcPr>
            <w:tcW w:w="213" w:type="pct"/>
            <w:shd w:val="clear" w:color="auto" w:fill="auto"/>
            <w:noWrap/>
            <w:vAlign w:val="center"/>
            <w:hideMark/>
          </w:tcPr>
          <w:p w14:paraId="239CEA74" w14:textId="77777777" w:rsidR="00BE151D" w:rsidRPr="00D14CD7" w:rsidRDefault="00BE151D" w:rsidP="00567BE9">
            <w:pPr>
              <w:spacing w:after="0" w:line="240" w:lineRule="auto"/>
              <w:jc w:val="right"/>
              <w:rPr>
                <w:rFonts w:eastAsia="Times New Roman"/>
                <w:color w:val="000000" w:themeColor="text1"/>
                <w:sz w:val="16"/>
                <w:szCs w:val="16"/>
              </w:rPr>
            </w:pPr>
            <w:r w:rsidRPr="00D14CD7">
              <w:rPr>
                <w:rFonts w:eastAsia="Times New Roman"/>
                <w:color w:val="000000" w:themeColor="text1"/>
                <w:sz w:val="16"/>
                <w:szCs w:val="16"/>
              </w:rPr>
              <w:t>—</w:t>
            </w:r>
          </w:p>
        </w:tc>
        <w:tc>
          <w:tcPr>
            <w:tcW w:w="188" w:type="pct"/>
            <w:shd w:val="clear" w:color="auto" w:fill="auto"/>
            <w:noWrap/>
            <w:vAlign w:val="center"/>
            <w:hideMark/>
          </w:tcPr>
          <w:p w14:paraId="55DB313E" w14:textId="77777777" w:rsidR="00BE151D" w:rsidRPr="00D14CD7" w:rsidRDefault="00BE151D" w:rsidP="00567BE9">
            <w:pPr>
              <w:spacing w:after="0" w:line="240" w:lineRule="auto"/>
              <w:jc w:val="right"/>
              <w:rPr>
                <w:rFonts w:eastAsia="Times New Roman"/>
                <w:color w:val="000000" w:themeColor="text1"/>
                <w:sz w:val="16"/>
                <w:szCs w:val="16"/>
              </w:rPr>
            </w:pPr>
            <w:r w:rsidRPr="00D14CD7">
              <w:rPr>
                <w:rFonts w:eastAsia="Times New Roman"/>
                <w:color w:val="000000" w:themeColor="text1"/>
                <w:sz w:val="16"/>
                <w:szCs w:val="16"/>
              </w:rPr>
              <w:t>—</w:t>
            </w:r>
          </w:p>
        </w:tc>
        <w:tc>
          <w:tcPr>
            <w:tcW w:w="188" w:type="pct"/>
            <w:shd w:val="clear" w:color="auto" w:fill="auto"/>
            <w:noWrap/>
            <w:vAlign w:val="center"/>
            <w:hideMark/>
          </w:tcPr>
          <w:p w14:paraId="54FCEDD7" w14:textId="77777777" w:rsidR="00BE151D" w:rsidRPr="00D14CD7" w:rsidRDefault="00BE151D" w:rsidP="00567BE9">
            <w:pPr>
              <w:spacing w:after="0" w:line="240" w:lineRule="auto"/>
              <w:jc w:val="right"/>
              <w:rPr>
                <w:rFonts w:eastAsia="Times New Roman"/>
                <w:color w:val="000000" w:themeColor="text1"/>
                <w:sz w:val="16"/>
                <w:szCs w:val="16"/>
              </w:rPr>
            </w:pPr>
            <w:r w:rsidRPr="00D14CD7">
              <w:rPr>
                <w:rFonts w:eastAsia="Times New Roman"/>
                <w:color w:val="000000" w:themeColor="text1"/>
                <w:sz w:val="16"/>
                <w:szCs w:val="16"/>
              </w:rPr>
              <w:t>—</w:t>
            </w:r>
          </w:p>
        </w:tc>
        <w:tc>
          <w:tcPr>
            <w:tcW w:w="188" w:type="pct"/>
            <w:shd w:val="clear" w:color="auto" w:fill="auto"/>
            <w:noWrap/>
            <w:vAlign w:val="center"/>
            <w:hideMark/>
          </w:tcPr>
          <w:p w14:paraId="063D348A" w14:textId="77777777" w:rsidR="00BE151D" w:rsidRPr="00D14CD7" w:rsidRDefault="00BE151D" w:rsidP="00567BE9">
            <w:pPr>
              <w:spacing w:after="0" w:line="240" w:lineRule="auto"/>
              <w:jc w:val="right"/>
              <w:rPr>
                <w:rFonts w:eastAsia="Times New Roman"/>
                <w:color w:val="000000" w:themeColor="text1"/>
                <w:sz w:val="16"/>
                <w:szCs w:val="16"/>
              </w:rPr>
            </w:pPr>
            <w:r w:rsidRPr="00D14CD7">
              <w:rPr>
                <w:rFonts w:eastAsia="Times New Roman"/>
                <w:color w:val="000000" w:themeColor="text1"/>
                <w:sz w:val="16"/>
                <w:szCs w:val="16"/>
              </w:rPr>
              <w:t>—</w:t>
            </w:r>
          </w:p>
        </w:tc>
        <w:tc>
          <w:tcPr>
            <w:tcW w:w="188" w:type="pct"/>
            <w:shd w:val="clear" w:color="auto" w:fill="auto"/>
            <w:noWrap/>
            <w:vAlign w:val="center"/>
            <w:hideMark/>
          </w:tcPr>
          <w:p w14:paraId="75154707" w14:textId="77777777" w:rsidR="00BE151D" w:rsidRPr="00D14CD7" w:rsidRDefault="00BE151D" w:rsidP="00567BE9">
            <w:pPr>
              <w:spacing w:after="0" w:line="240" w:lineRule="auto"/>
              <w:jc w:val="right"/>
              <w:rPr>
                <w:rFonts w:eastAsia="Times New Roman"/>
                <w:color w:val="000000" w:themeColor="text1"/>
                <w:sz w:val="16"/>
                <w:szCs w:val="16"/>
              </w:rPr>
            </w:pPr>
            <w:r w:rsidRPr="00D14CD7">
              <w:rPr>
                <w:rFonts w:eastAsia="Times New Roman"/>
                <w:color w:val="000000" w:themeColor="text1"/>
                <w:sz w:val="16"/>
                <w:szCs w:val="16"/>
              </w:rPr>
              <w:t>—</w:t>
            </w:r>
          </w:p>
        </w:tc>
        <w:tc>
          <w:tcPr>
            <w:tcW w:w="188" w:type="pct"/>
            <w:shd w:val="clear" w:color="auto" w:fill="auto"/>
            <w:noWrap/>
            <w:vAlign w:val="center"/>
            <w:hideMark/>
          </w:tcPr>
          <w:p w14:paraId="4C52E0E3" w14:textId="77777777" w:rsidR="00BE151D" w:rsidRPr="00D14CD7" w:rsidRDefault="00BE151D" w:rsidP="00567BE9">
            <w:pPr>
              <w:spacing w:after="0" w:line="240" w:lineRule="auto"/>
              <w:jc w:val="right"/>
              <w:rPr>
                <w:rFonts w:eastAsia="Times New Roman"/>
                <w:color w:val="000000" w:themeColor="text1"/>
                <w:sz w:val="16"/>
                <w:szCs w:val="16"/>
              </w:rPr>
            </w:pPr>
            <w:r w:rsidRPr="00D14CD7">
              <w:rPr>
                <w:rFonts w:eastAsia="Times New Roman"/>
                <w:color w:val="000000" w:themeColor="text1"/>
                <w:sz w:val="16"/>
                <w:szCs w:val="16"/>
              </w:rPr>
              <w:t>—</w:t>
            </w:r>
          </w:p>
        </w:tc>
        <w:tc>
          <w:tcPr>
            <w:tcW w:w="159" w:type="pct"/>
            <w:tcBorders>
              <w:right w:val="double" w:sz="4" w:space="0" w:color="auto"/>
            </w:tcBorders>
            <w:shd w:val="clear" w:color="auto" w:fill="auto"/>
            <w:noWrap/>
            <w:vAlign w:val="center"/>
            <w:hideMark/>
          </w:tcPr>
          <w:p w14:paraId="228A3C5C" w14:textId="77777777" w:rsidR="00BE151D" w:rsidRPr="00D14CD7" w:rsidRDefault="00BE151D" w:rsidP="00567BE9">
            <w:pPr>
              <w:spacing w:after="0" w:line="240" w:lineRule="auto"/>
              <w:jc w:val="right"/>
              <w:rPr>
                <w:rFonts w:eastAsia="Times New Roman"/>
                <w:color w:val="000000" w:themeColor="text1"/>
                <w:sz w:val="16"/>
                <w:szCs w:val="16"/>
              </w:rPr>
            </w:pPr>
            <w:r w:rsidRPr="00D14CD7">
              <w:rPr>
                <w:rFonts w:eastAsia="Times New Roman"/>
                <w:color w:val="000000" w:themeColor="text1"/>
                <w:sz w:val="16"/>
                <w:szCs w:val="16"/>
              </w:rPr>
              <w:t>—</w:t>
            </w:r>
          </w:p>
        </w:tc>
        <w:tc>
          <w:tcPr>
            <w:tcW w:w="189" w:type="pct"/>
            <w:tcBorders>
              <w:top w:val="single" w:sz="4" w:space="0" w:color="auto"/>
              <w:left w:val="double" w:sz="4" w:space="0" w:color="auto"/>
              <w:bottom w:val="single" w:sz="4" w:space="0" w:color="auto"/>
            </w:tcBorders>
            <w:shd w:val="clear" w:color="auto" w:fill="auto"/>
            <w:noWrap/>
            <w:vAlign w:val="center"/>
            <w:hideMark/>
          </w:tcPr>
          <w:p w14:paraId="2C3A4B5F" w14:textId="77777777" w:rsidR="00BE151D" w:rsidRPr="00D14CD7" w:rsidRDefault="00BE151D" w:rsidP="00567BE9">
            <w:pPr>
              <w:spacing w:after="0" w:line="240" w:lineRule="auto"/>
              <w:jc w:val="right"/>
              <w:rPr>
                <w:rFonts w:eastAsia="Times New Roman"/>
                <w:color w:val="000000" w:themeColor="text1"/>
                <w:sz w:val="16"/>
                <w:szCs w:val="16"/>
              </w:rPr>
            </w:pPr>
            <w:r w:rsidRPr="00D14CD7">
              <w:rPr>
                <w:rFonts w:eastAsia="Times New Roman"/>
                <w:color w:val="000000" w:themeColor="text1"/>
                <w:sz w:val="16"/>
                <w:szCs w:val="16"/>
              </w:rPr>
              <w:t>—</w:t>
            </w:r>
          </w:p>
        </w:tc>
        <w:tc>
          <w:tcPr>
            <w:tcW w:w="159" w:type="pct"/>
            <w:tcBorders>
              <w:top w:val="single" w:sz="4" w:space="0" w:color="auto"/>
              <w:bottom w:val="single" w:sz="4" w:space="0" w:color="auto"/>
            </w:tcBorders>
            <w:shd w:val="clear" w:color="auto" w:fill="auto"/>
            <w:noWrap/>
            <w:vAlign w:val="center"/>
            <w:hideMark/>
          </w:tcPr>
          <w:p w14:paraId="536A4CF5" w14:textId="77777777" w:rsidR="00BE151D" w:rsidRPr="00D14CD7" w:rsidRDefault="00BE151D" w:rsidP="00567BE9">
            <w:pPr>
              <w:spacing w:after="0" w:line="240" w:lineRule="auto"/>
              <w:jc w:val="right"/>
              <w:rPr>
                <w:rFonts w:eastAsia="Times New Roman"/>
                <w:color w:val="000000" w:themeColor="text1"/>
                <w:sz w:val="16"/>
                <w:szCs w:val="16"/>
              </w:rPr>
            </w:pPr>
            <w:r w:rsidRPr="00D14CD7">
              <w:rPr>
                <w:rFonts w:eastAsia="Times New Roman"/>
                <w:color w:val="000000" w:themeColor="text1"/>
                <w:sz w:val="16"/>
                <w:szCs w:val="16"/>
              </w:rPr>
              <w:t>—</w:t>
            </w:r>
          </w:p>
        </w:tc>
        <w:tc>
          <w:tcPr>
            <w:tcW w:w="187" w:type="pct"/>
            <w:tcBorders>
              <w:top w:val="single" w:sz="4" w:space="0" w:color="auto"/>
              <w:bottom w:val="single" w:sz="4" w:space="0" w:color="auto"/>
            </w:tcBorders>
            <w:shd w:val="clear" w:color="auto" w:fill="auto"/>
            <w:noWrap/>
            <w:vAlign w:val="center"/>
            <w:hideMark/>
          </w:tcPr>
          <w:p w14:paraId="30173DDA" w14:textId="77777777" w:rsidR="00BE151D" w:rsidRPr="00D14CD7" w:rsidRDefault="00BE151D" w:rsidP="00567BE9">
            <w:pPr>
              <w:spacing w:after="0" w:line="240" w:lineRule="auto"/>
              <w:jc w:val="right"/>
              <w:rPr>
                <w:rFonts w:eastAsia="Times New Roman"/>
                <w:color w:val="000000" w:themeColor="text1"/>
                <w:sz w:val="16"/>
                <w:szCs w:val="16"/>
              </w:rPr>
            </w:pPr>
            <w:r w:rsidRPr="00D14CD7">
              <w:rPr>
                <w:rFonts w:eastAsia="Times New Roman"/>
                <w:color w:val="000000" w:themeColor="text1"/>
                <w:sz w:val="16"/>
                <w:szCs w:val="16"/>
              </w:rPr>
              <w:t>—</w:t>
            </w:r>
          </w:p>
        </w:tc>
        <w:tc>
          <w:tcPr>
            <w:tcW w:w="188" w:type="pct"/>
            <w:tcBorders>
              <w:top w:val="single" w:sz="4" w:space="0" w:color="auto"/>
              <w:bottom w:val="single" w:sz="4" w:space="0" w:color="auto"/>
            </w:tcBorders>
            <w:shd w:val="clear" w:color="auto" w:fill="auto"/>
            <w:noWrap/>
            <w:vAlign w:val="center"/>
            <w:hideMark/>
          </w:tcPr>
          <w:p w14:paraId="06ACAECA" w14:textId="77777777" w:rsidR="00BE151D" w:rsidRPr="00D14CD7" w:rsidRDefault="00BE151D" w:rsidP="00567BE9">
            <w:pPr>
              <w:spacing w:after="0" w:line="240" w:lineRule="auto"/>
              <w:jc w:val="right"/>
              <w:rPr>
                <w:rFonts w:eastAsia="Times New Roman"/>
                <w:color w:val="000000" w:themeColor="text1"/>
                <w:sz w:val="16"/>
                <w:szCs w:val="16"/>
              </w:rPr>
            </w:pPr>
            <w:r w:rsidRPr="00D14CD7">
              <w:rPr>
                <w:rFonts w:eastAsia="Times New Roman"/>
                <w:color w:val="000000" w:themeColor="text1"/>
                <w:sz w:val="16"/>
                <w:szCs w:val="16"/>
              </w:rPr>
              <w:t>—</w:t>
            </w:r>
          </w:p>
        </w:tc>
        <w:tc>
          <w:tcPr>
            <w:tcW w:w="188" w:type="pct"/>
            <w:tcBorders>
              <w:top w:val="single" w:sz="4" w:space="0" w:color="auto"/>
              <w:bottom w:val="single" w:sz="4" w:space="0" w:color="auto"/>
            </w:tcBorders>
            <w:shd w:val="clear" w:color="auto" w:fill="auto"/>
            <w:noWrap/>
            <w:vAlign w:val="center"/>
            <w:hideMark/>
          </w:tcPr>
          <w:p w14:paraId="29BA1FA6" w14:textId="77777777" w:rsidR="00BE151D" w:rsidRPr="00D14CD7" w:rsidRDefault="00BE151D" w:rsidP="00567BE9">
            <w:pPr>
              <w:spacing w:after="0" w:line="240" w:lineRule="auto"/>
              <w:jc w:val="right"/>
              <w:rPr>
                <w:rFonts w:eastAsia="Times New Roman"/>
                <w:color w:val="000000" w:themeColor="text1"/>
                <w:sz w:val="16"/>
                <w:szCs w:val="16"/>
              </w:rPr>
            </w:pPr>
            <w:r w:rsidRPr="00D14CD7">
              <w:rPr>
                <w:rFonts w:eastAsia="Times New Roman"/>
                <w:color w:val="000000" w:themeColor="text1"/>
                <w:sz w:val="16"/>
                <w:szCs w:val="16"/>
              </w:rPr>
              <w:t>—</w:t>
            </w:r>
          </w:p>
        </w:tc>
        <w:tc>
          <w:tcPr>
            <w:tcW w:w="170" w:type="pct"/>
            <w:tcBorders>
              <w:top w:val="single" w:sz="4" w:space="0" w:color="auto"/>
              <w:bottom w:val="single" w:sz="4" w:space="0" w:color="auto"/>
            </w:tcBorders>
            <w:shd w:val="clear" w:color="auto" w:fill="auto"/>
            <w:noWrap/>
            <w:vAlign w:val="center"/>
            <w:hideMark/>
          </w:tcPr>
          <w:p w14:paraId="645CF9D8" w14:textId="77777777" w:rsidR="00BE151D" w:rsidRPr="00D14CD7" w:rsidRDefault="00BE151D" w:rsidP="00567BE9">
            <w:pPr>
              <w:spacing w:after="0" w:line="240" w:lineRule="auto"/>
              <w:jc w:val="right"/>
              <w:rPr>
                <w:rFonts w:eastAsia="Times New Roman"/>
                <w:color w:val="000000" w:themeColor="text1"/>
                <w:sz w:val="16"/>
                <w:szCs w:val="16"/>
              </w:rPr>
            </w:pPr>
            <w:r w:rsidRPr="00D14CD7">
              <w:rPr>
                <w:rFonts w:eastAsia="Times New Roman"/>
                <w:color w:val="000000" w:themeColor="text1"/>
                <w:sz w:val="16"/>
                <w:szCs w:val="16"/>
              </w:rPr>
              <w:t>—</w:t>
            </w:r>
          </w:p>
        </w:tc>
        <w:tc>
          <w:tcPr>
            <w:tcW w:w="173" w:type="pct"/>
            <w:tcBorders>
              <w:top w:val="single" w:sz="4" w:space="0" w:color="auto"/>
              <w:bottom w:val="single" w:sz="4" w:space="0" w:color="auto"/>
            </w:tcBorders>
            <w:shd w:val="clear" w:color="auto" w:fill="auto"/>
            <w:noWrap/>
            <w:vAlign w:val="center"/>
            <w:hideMark/>
          </w:tcPr>
          <w:p w14:paraId="5DE9CBCD" w14:textId="77777777" w:rsidR="00BE151D" w:rsidRPr="00D14CD7" w:rsidRDefault="00BE151D" w:rsidP="00567BE9">
            <w:pPr>
              <w:spacing w:after="0" w:line="240" w:lineRule="auto"/>
              <w:jc w:val="right"/>
              <w:rPr>
                <w:rFonts w:eastAsia="Times New Roman"/>
                <w:color w:val="000000" w:themeColor="text1"/>
                <w:sz w:val="16"/>
                <w:szCs w:val="16"/>
              </w:rPr>
            </w:pPr>
            <w:r w:rsidRPr="00D14CD7">
              <w:rPr>
                <w:rFonts w:eastAsia="Times New Roman"/>
                <w:color w:val="000000" w:themeColor="text1"/>
                <w:sz w:val="16"/>
                <w:szCs w:val="16"/>
              </w:rPr>
              <w:t>—</w:t>
            </w:r>
          </w:p>
        </w:tc>
        <w:tc>
          <w:tcPr>
            <w:tcW w:w="160" w:type="pct"/>
            <w:tcBorders>
              <w:top w:val="single" w:sz="4" w:space="0" w:color="auto"/>
              <w:bottom w:val="single" w:sz="4" w:space="0" w:color="auto"/>
              <w:right w:val="double" w:sz="4" w:space="0" w:color="auto"/>
            </w:tcBorders>
            <w:shd w:val="clear" w:color="auto" w:fill="auto"/>
            <w:noWrap/>
            <w:vAlign w:val="center"/>
            <w:hideMark/>
          </w:tcPr>
          <w:p w14:paraId="6D3C6CBC" w14:textId="77777777" w:rsidR="00BE151D" w:rsidRPr="00D14CD7" w:rsidRDefault="00BE151D" w:rsidP="00567BE9">
            <w:pPr>
              <w:spacing w:after="0" w:line="240" w:lineRule="auto"/>
              <w:jc w:val="right"/>
              <w:rPr>
                <w:rFonts w:eastAsia="Times New Roman"/>
                <w:color w:val="000000" w:themeColor="text1"/>
                <w:sz w:val="16"/>
                <w:szCs w:val="16"/>
              </w:rPr>
            </w:pPr>
            <w:r w:rsidRPr="00D14CD7">
              <w:rPr>
                <w:rFonts w:eastAsia="Times New Roman"/>
                <w:color w:val="000000" w:themeColor="text1"/>
                <w:sz w:val="16"/>
                <w:szCs w:val="16"/>
              </w:rPr>
              <w:t>—</w:t>
            </w:r>
          </w:p>
        </w:tc>
        <w:tc>
          <w:tcPr>
            <w:tcW w:w="186" w:type="pct"/>
            <w:tcBorders>
              <w:top w:val="single" w:sz="4" w:space="0" w:color="auto"/>
              <w:left w:val="double" w:sz="4" w:space="0" w:color="auto"/>
              <w:bottom w:val="single" w:sz="4" w:space="0" w:color="auto"/>
            </w:tcBorders>
            <w:shd w:val="clear" w:color="auto" w:fill="auto"/>
            <w:noWrap/>
            <w:vAlign w:val="bottom"/>
          </w:tcPr>
          <w:p w14:paraId="42244C67" w14:textId="77777777" w:rsidR="00BE151D" w:rsidRPr="00D14CD7" w:rsidRDefault="00BE151D" w:rsidP="00567BE9">
            <w:pPr>
              <w:spacing w:after="0" w:line="240" w:lineRule="auto"/>
              <w:jc w:val="right"/>
              <w:rPr>
                <w:rFonts w:eastAsia="Times New Roman"/>
                <w:color w:val="000000" w:themeColor="text1"/>
                <w:sz w:val="16"/>
                <w:szCs w:val="16"/>
              </w:rPr>
            </w:pPr>
            <w:r w:rsidRPr="00D14CD7">
              <w:rPr>
                <w:color w:val="000000" w:themeColor="text1"/>
                <w:sz w:val="16"/>
                <w:szCs w:val="16"/>
              </w:rPr>
              <w:t>0.208</w:t>
            </w:r>
          </w:p>
        </w:tc>
        <w:tc>
          <w:tcPr>
            <w:tcW w:w="152" w:type="pct"/>
            <w:tcBorders>
              <w:top w:val="single" w:sz="4" w:space="0" w:color="auto"/>
              <w:bottom w:val="single" w:sz="4" w:space="0" w:color="auto"/>
            </w:tcBorders>
            <w:shd w:val="clear" w:color="auto" w:fill="auto"/>
            <w:noWrap/>
            <w:vAlign w:val="bottom"/>
          </w:tcPr>
          <w:p w14:paraId="0593D8AC" w14:textId="77777777" w:rsidR="00BE151D" w:rsidRPr="00D14CD7" w:rsidRDefault="00BE151D" w:rsidP="00567BE9">
            <w:pPr>
              <w:spacing w:after="0" w:line="240" w:lineRule="auto"/>
              <w:jc w:val="right"/>
              <w:rPr>
                <w:rFonts w:eastAsia="Times New Roman"/>
                <w:color w:val="000000" w:themeColor="text1"/>
                <w:sz w:val="16"/>
                <w:szCs w:val="16"/>
              </w:rPr>
            </w:pPr>
            <w:r w:rsidRPr="00D14CD7">
              <w:rPr>
                <w:color w:val="000000" w:themeColor="text1"/>
                <w:sz w:val="16"/>
                <w:szCs w:val="16"/>
              </w:rPr>
              <w:t>5.01</w:t>
            </w:r>
          </w:p>
        </w:tc>
      </w:tr>
      <w:tr w:rsidR="00D14CD7" w:rsidRPr="00D14CD7" w14:paraId="5A4789DF" w14:textId="77777777" w:rsidTr="00AC40E4">
        <w:trPr>
          <w:trHeight w:val="72"/>
        </w:trPr>
        <w:tc>
          <w:tcPr>
            <w:tcW w:w="1719" w:type="pct"/>
            <w:tcBorders>
              <w:top w:val="single" w:sz="4" w:space="0" w:color="auto"/>
              <w:bottom w:val="single" w:sz="4" w:space="0" w:color="auto"/>
              <w:right w:val="double" w:sz="4" w:space="0" w:color="auto"/>
            </w:tcBorders>
            <w:shd w:val="clear" w:color="auto" w:fill="auto"/>
            <w:noWrap/>
            <w:vAlign w:val="center"/>
            <w:hideMark/>
          </w:tcPr>
          <w:p w14:paraId="5F3DCA10" w14:textId="77777777" w:rsidR="00BE151D" w:rsidRPr="00D14CD7" w:rsidRDefault="00BE151D" w:rsidP="00567BE9">
            <w:pPr>
              <w:spacing w:after="0" w:line="240" w:lineRule="auto"/>
              <w:ind w:firstLineChars="100" w:firstLine="160"/>
              <w:rPr>
                <w:rFonts w:eastAsia="Times New Roman"/>
                <w:color w:val="000000" w:themeColor="text1"/>
                <w:sz w:val="16"/>
                <w:szCs w:val="16"/>
              </w:rPr>
            </w:pPr>
            <w:r w:rsidRPr="00D14CD7">
              <w:rPr>
                <w:rFonts w:eastAsia="Times New Roman"/>
                <w:color w:val="000000" w:themeColor="text1"/>
                <w:sz w:val="16"/>
                <w:szCs w:val="16"/>
              </w:rPr>
              <w:t>10 | 11</w:t>
            </w:r>
          </w:p>
        </w:tc>
        <w:tc>
          <w:tcPr>
            <w:tcW w:w="217" w:type="pct"/>
            <w:tcBorders>
              <w:left w:val="double" w:sz="4" w:space="0" w:color="auto"/>
            </w:tcBorders>
            <w:shd w:val="clear" w:color="auto" w:fill="auto"/>
            <w:noWrap/>
            <w:vAlign w:val="center"/>
            <w:hideMark/>
          </w:tcPr>
          <w:p w14:paraId="607DA3D3" w14:textId="77777777" w:rsidR="00BE151D" w:rsidRPr="00D14CD7" w:rsidRDefault="00BE151D" w:rsidP="00567BE9">
            <w:pPr>
              <w:spacing w:after="0" w:line="240" w:lineRule="auto"/>
              <w:jc w:val="right"/>
              <w:rPr>
                <w:rFonts w:eastAsia="Times New Roman"/>
                <w:color w:val="000000" w:themeColor="text1"/>
                <w:sz w:val="16"/>
                <w:szCs w:val="16"/>
              </w:rPr>
            </w:pPr>
            <w:r w:rsidRPr="00D14CD7">
              <w:rPr>
                <w:rFonts w:eastAsia="Times New Roman"/>
                <w:color w:val="000000" w:themeColor="text1"/>
                <w:sz w:val="16"/>
                <w:szCs w:val="16"/>
              </w:rPr>
              <w:t>—</w:t>
            </w:r>
          </w:p>
        </w:tc>
        <w:tc>
          <w:tcPr>
            <w:tcW w:w="213" w:type="pct"/>
            <w:shd w:val="clear" w:color="auto" w:fill="auto"/>
            <w:noWrap/>
            <w:vAlign w:val="center"/>
            <w:hideMark/>
          </w:tcPr>
          <w:p w14:paraId="4F02B197" w14:textId="77777777" w:rsidR="00BE151D" w:rsidRPr="00D14CD7" w:rsidRDefault="00BE151D" w:rsidP="00567BE9">
            <w:pPr>
              <w:spacing w:after="0" w:line="240" w:lineRule="auto"/>
              <w:jc w:val="right"/>
              <w:rPr>
                <w:rFonts w:eastAsia="Times New Roman"/>
                <w:color w:val="000000" w:themeColor="text1"/>
                <w:sz w:val="16"/>
                <w:szCs w:val="16"/>
              </w:rPr>
            </w:pPr>
            <w:r w:rsidRPr="00D14CD7">
              <w:rPr>
                <w:rFonts w:eastAsia="Times New Roman"/>
                <w:color w:val="000000" w:themeColor="text1"/>
                <w:sz w:val="16"/>
                <w:szCs w:val="16"/>
              </w:rPr>
              <w:t>—</w:t>
            </w:r>
          </w:p>
        </w:tc>
        <w:tc>
          <w:tcPr>
            <w:tcW w:w="188" w:type="pct"/>
            <w:shd w:val="clear" w:color="auto" w:fill="auto"/>
            <w:noWrap/>
            <w:vAlign w:val="center"/>
            <w:hideMark/>
          </w:tcPr>
          <w:p w14:paraId="3563C2D3" w14:textId="77777777" w:rsidR="00BE151D" w:rsidRPr="00D14CD7" w:rsidRDefault="00BE151D" w:rsidP="00567BE9">
            <w:pPr>
              <w:spacing w:after="0" w:line="240" w:lineRule="auto"/>
              <w:jc w:val="right"/>
              <w:rPr>
                <w:rFonts w:eastAsia="Times New Roman"/>
                <w:color w:val="000000" w:themeColor="text1"/>
                <w:sz w:val="16"/>
                <w:szCs w:val="16"/>
              </w:rPr>
            </w:pPr>
            <w:r w:rsidRPr="00D14CD7">
              <w:rPr>
                <w:rFonts w:eastAsia="Times New Roman"/>
                <w:color w:val="000000" w:themeColor="text1"/>
                <w:sz w:val="16"/>
                <w:szCs w:val="16"/>
              </w:rPr>
              <w:t>—</w:t>
            </w:r>
          </w:p>
        </w:tc>
        <w:tc>
          <w:tcPr>
            <w:tcW w:w="188" w:type="pct"/>
            <w:shd w:val="clear" w:color="auto" w:fill="auto"/>
            <w:noWrap/>
            <w:vAlign w:val="center"/>
            <w:hideMark/>
          </w:tcPr>
          <w:p w14:paraId="4F35F1BE" w14:textId="77777777" w:rsidR="00BE151D" w:rsidRPr="00D14CD7" w:rsidRDefault="00BE151D" w:rsidP="00567BE9">
            <w:pPr>
              <w:spacing w:after="0" w:line="240" w:lineRule="auto"/>
              <w:jc w:val="right"/>
              <w:rPr>
                <w:rFonts w:eastAsia="Times New Roman"/>
                <w:color w:val="000000" w:themeColor="text1"/>
                <w:sz w:val="16"/>
                <w:szCs w:val="16"/>
              </w:rPr>
            </w:pPr>
            <w:r w:rsidRPr="00D14CD7">
              <w:rPr>
                <w:rFonts w:eastAsia="Times New Roman"/>
                <w:color w:val="000000" w:themeColor="text1"/>
                <w:sz w:val="16"/>
                <w:szCs w:val="16"/>
              </w:rPr>
              <w:t>—</w:t>
            </w:r>
          </w:p>
        </w:tc>
        <w:tc>
          <w:tcPr>
            <w:tcW w:w="188" w:type="pct"/>
            <w:shd w:val="clear" w:color="auto" w:fill="auto"/>
            <w:noWrap/>
            <w:vAlign w:val="center"/>
            <w:hideMark/>
          </w:tcPr>
          <w:p w14:paraId="6387DEBD" w14:textId="77777777" w:rsidR="00BE151D" w:rsidRPr="00D14CD7" w:rsidRDefault="00BE151D" w:rsidP="00567BE9">
            <w:pPr>
              <w:spacing w:after="0" w:line="240" w:lineRule="auto"/>
              <w:jc w:val="right"/>
              <w:rPr>
                <w:rFonts w:eastAsia="Times New Roman"/>
                <w:color w:val="000000" w:themeColor="text1"/>
                <w:sz w:val="16"/>
                <w:szCs w:val="16"/>
              </w:rPr>
            </w:pPr>
            <w:r w:rsidRPr="00D14CD7">
              <w:rPr>
                <w:rFonts w:eastAsia="Times New Roman"/>
                <w:color w:val="000000" w:themeColor="text1"/>
                <w:sz w:val="16"/>
                <w:szCs w:val="16"/>
              </w:rPr>
              <w:t>—</w:t>
            </w:r>
          </w:p>
        </w:tc>
        <w:tc>
          <w:tcPr>
            <w:tcW w:w="188" w:type="pct"/>
            <w:shd w:val="clear" w:color="auto" w:fill="auto"/>
            <w:noWrap/>
            <w:vAlign w:val="center"/>
            <w:hideMark/>
          </w:tcPr>
          <w:p w14:paraId="6E78D4E5" w14:textId="77777777" w:rsidR="00BE151D" w:rsidRPr="00D14CD7" w:rsidRDefault="00BE151D" w:rsidP="00567BE9">
            <w:pPr>
              <w:spacing w:after="0" w:line="240" w:lineRule="auto"/>
              <w:jc w:val="right"/>
              <w:rPr>
                <w:rFonts w:eastAsia="Times New Roman"/>
                <w:color w:val="000000" w:themeColor="text1"/>
                <w:sz w:val="16"/>
                <w:szCs w:val="16"/>
              </w:rPr>
            </w:pPr>
            <w:r w:rsidRPr="00D14CD7">
              <w:rPr>
                <w:rFonts w:eastAsia="Times New Roman"/>
                <w:color w:val="000000" w:themeColor="text1"/>
                <w:sz w:val="16"/>
                <w:szCs w:val="16"/>
              </w:rPr>
              <w:t>—</w:t>
            </w:r>
          </w:p>
        </w:tc>
        <w:tc>
          <w:tcPr>
            <w:tcW w:w="188" w:type="pct"/>
            <w:shd w:val="clear" w:color="auto" w:fill="auto"/>
            <w:noWrap/>
            <w:vAlign w:val="center"/>
            <w:hideMark/>
          </w:tcPr>
          <w:p w14:paraId="2C8C4609" w14:textId="77777777" w:rsidR="00BE151D" w:rsidRPr="00D14CD7" w:rsidRDefault="00BE151D" w:rsidP="00567BE9">
            <w:pPr>
              <w:spacing w:after="0" w:line="240" w:lineRule="auto"/>
              <w:jc w:val="right"/>
              <w:rPr>
                <w:rFonts w:eastAsia="Times New Roman"/>
                <w:color w:val="000000" w:themeColor="text1"/>
                <w:sz w:val="16"/>
                <w:szCs w:val="16"/>
              </w:rPr>
            </w:pPr>
            <w:r w:rsidRPr="00D14CD7">
              <w:rPr>
                <w:rFonts w:eastAsia="Times New Roman"/>
                <w:color w:val="000000" w:themeColor="text1"/>
                <w:sz w:val="16"/>
                <w:szCs w:val="16"/>
              </w:rPr>
              <w:t>—</w:t>
            </w:r>
          </w:p>
        </w:tc>
        <w:tc>
          <w:tcPr>
            <w:tcW w:w="159" w:type="pct"/>
            <w:tcBorders>
              <w:right w:val="double" w:sz="4" w:space="0" w:color="auto"/>
            </w:tcBorders>
            <w:shd w:val="clear" w:color="auto" w:fill="auto"/>
            <w:noWrap/>
            <w:vAlign w:val="center"/>
            <w:hideMark/>
          </w:tcPr>
          <w:p w14:paraId="1C679007" w14:textId="77777777" w:rsidR="00BE151D" w:rsidRPr="00D14CD7" w:rsidRDefault="00BE151D" w:rsidP="00567BE9">
            <w:pPr>
              <w:spacing w:after="0" w:line="240" w:lineRule="auto"/>
              <w:jc w:val="right"/>
              <w:rPr>
                <w:rFonts w:eastAsia="Times New Roman"/>
                <w:color w:val="000000" w:themeColor="text1"/>
                <w:sz w:val="16"/>
                <w:szCs w:val="16"/>
              </w:rPr>
            </w:pPr>
            <w:r w:rsidRPr="00D14CD7">
              <w:rPr>
                <w:rFonts w:eastAsia="Times New Roman"/>
                <w:color w:val="000000" w:themeColor="text1"/>
                <w:sz w:val="16"/>
                <w:szCs w:val="16"/>
              </w:rPr>
              <w:t>—</w:t>
            </w:r>
          </w:p>
        </w:tc>
        <w:tc>
          <w:tcPr>
            <w:tcW w:w="189" w:type="pct"/>
            <w:tcBorders>
              <w:top w:val="single" w:sz="4" w:space="0" w:color="auto"/>
              <w:left w:val="double" w:sz="4" w:space="0" w:color="auto"/>
              <w:bottom w:val="single" w:sz="4" w:space="0" w:color="auto"/>
            </w:tcBorders>
            <w:shd w:val="clear" w:color="auto" w:fill="auto"/>
            <w:noWrap/>
            <w:vAlign w:val="center"/>
            <w:hideMark/>
          </w:tcPr>
          <w:p w14:paraId="4C0D1E54" w14:textId="77777777" w:rsidR="00BE151D" w:rsidRPr="00D14CD7" w:rsidRDefault="00BE151D" w:rsidP="00567BE9">
            <w:pPr>
              <w:spacing w:after="0" w:line="240" w:lineRule="auto"/>
              <w:jc w:val="right"/>
              <w:rPr>
                <w:rFonts w:eastAsia="Times New Roman"/>
                <w:color w:val="000000" w:themeColor="text1"/>
                <w:sz w:val="16"/>
                <w:szCs w:val="16"/>
              </w:rPr>
            </w:pPr>
            <w:r w:rsidRPr="00D14CD7">
              <w:rPr>
                <w:rFonts w:eastAsia="Times New Roman"/>
                <w:color w:val="000000" w:themeColor="text1"/>
                <w:sz w:val="16"/>
                <w:szCs w:val="16"/>
              </w:rPr>
              <w:t>—</w:t>
            </w:r>
          </w:p>
        </w:tc>
        <w:tc>
          <w:tcPr>
            <w:tcW w:w="159" w:type="pct"/>
            <w:tcBorders>
              <w:top w:val="single" w:sz="4" w:space="0" w:color="auto"/>
              <w:bottom w:val="single" w:sz="4" w:space="0" w:color="auto"/>
            </w:tcBorders>
            <w:shd w:val="clear" w:color="auto" w:fill="auto"/>
            <w:noWrap/>
            <w:vAlign w:val="center"/>
            <w:hideMark/>
          </w:tcPr>
          <w:p w14:paraId="2E5168CA" w14:textId="77777777" w:rsidR="00BE151D" w:rsidRPr="00D14CD7" w:rsidRDefault="00BE151D" w:rsidP="00567BE9">
            <w:pPr>
              <w:spacing w:after="0" w:line="240" w:lineRule="auto"/>
              <w:jc w:val="right"/>
              <w:rPr>
                <w:rFonts w:eastAsia="Times New Roman"/>
                <w:color w:val="000000" w:themeColor="text1"/>
                <w:sz w:val="16"/>
                <w:szCs w:val="16"/>
              </w:rPr>
            </w:pPr>
            <w:r w:rsidRPr="00D14CD7">
              <w:rPr>
                <w:rFonts w:eastAsia="Times New Roman"/>
                <w:color w:val="000000" w:themeColor="text1"/>
                <w:sz w:val="16"/>
                <w:szCs w:val="16"/>
              </w:rPr>
              <w:t>—</w:t>
            </w:r>
          </w:p>
        </w:tc>
        <w:tc>
          <w:tcPr>
            <w:tcW w:w="187" w:type="pct"/>
            <w:tcBorders>
              <w:top w:val="single" w:sz="4" w:space="0" w:color="auto"/>
              <w:bottom w:val="single" w:sz="4" w:space="0" w:color="auto"/>
            </w:tcBorders>
            <w:shd w:val="clear" w:color="auto" w:fill="auto"/>
            <w:noWrap/>
            <w:vAlign w:val="center"/>
            <w:hideMark/>
          </w:tcPr>
          <w:p w14:paraId="042DD2EC" w14:textId="77777777" w:rsidR="00BE151D" w:rsidRPr="00D14CD7" w:rsidRDefault="00BE151D" w:rsidP="00567BE9">
            <w:pPr>
              <w:spacing w:after="0" w:line="240" w:lineRule="auto"/>
              <w:jc w:val="right"/>
              <w:rPr>
                <w:rFonts w:eastAsia="Times New Roman"/>
                <w:color w:val="000000" w:themeColor="text1"/>
                <w:sz w:val="16"/>
                <w:szCs w:val="16"/>
              </w:rPr>
            </w:pPr>
            <w:r w:rsidRPr="00D14CD7">
              <w:rPr>
                <w:rFonts w:eastAsia="Times New Roman"/>
                <w:color w:val="000000" w:themeColor="text1"/>
                <w:sz w:val="16"/>
                <w:szCs w:val="16"/>
              </w:rPr>
              <w:t>—</w:t>
            </w:r>
          </w:p>
        </w:tc>
        <w:tc>
          <w:tcPr>
            <w:tcW w:w="188" w:type="pct"/>
            <w:tcBorders>
              <w:top w:val="single" w:sz="4" w:space="0" w:color="auto"/>
              <w:bottom w:val="single" w:sz="4" w:space="0" w:color="auto"/>
            </w:tcBorders>
            <w:shd w:val="clear" w:color="auto" w:fill="auto"/>
            <w:noWrap/>
            <w:vAlign w:val="center"/>
            <w:hideMark/>
          </w:tcPr>
          <w:p w14:paraId="6D014A6C" w14:textId="77777777" w:rsidR="00BE151D" w:rsidRPr="00D14CD7" w:rsidRDefault="00BE151D" w:rsidP="00567BE9">
            <w:pPr>
              <w:spacing w:after="0" w:line="240" w:lineRule="auto"/>
              <w:jc w:val="right"/>
              <w:rPr>
                <w:rFonts w:eastAsia="Times New Roman"/>
                <w:color w:val="000000" w:themeColor="text1"/>
                <w:sz w:val="16"/>
                <w:szCs w:val="16"/>
              </w:rPr>
            </w:pPr>
            <w:r w:rsidRPr="00D14CD7">
              <w:rPr>
                <w:rFonts w:eastAsia="Times New Roman"/>
                <w:color w:val="000000" w:themeColor="text1"/>
                <w:sz w:val="16"/>
                <w:szCs w:val="16"/>
              </w:rPr>
              <w:t>—</w:t>
            </w:r>
          </w:p>
        </w:tc>
        <w:tc>
          <w:tcPr>
            <w:tcW w:w="188" w:type="pct"/>
            <w:tcBorders>
              <w:top w:val="single" w:sz="4" w:space="0" w:color="auto"/>
              <w:bottom w:val="single" w:sz="4" w:space="0" w:color="auto"/>
            </w:tcBorders>
            <w:shd w:val="clear" w:color="auto" w:fill="auto"/>
            <w:noWrap/>
            <w:vAlign w:val="center"/>
            <w:hideMark/>
          </w:tcPr>
          <w:p w14:paraId="65911542" w14:textId="77777777" w:rsidR="00BE151D" w:rsidRPr="00D14CD7" w:rsidRDefault="00BE151D" w:rsidP="00567BE9">
            <w:pPr>
              <w:spacing w:after="0" w:line="240" w:lineRule="auto"/>
              <w:jc w:val="right"/>
              <w:rPr>
                <w:rFonts w:eastAsia="Times New Roman"/>
                <w:color w:val="000000" w:themeColor="text1"/>
                <w:sz w:val="16"/>
                <w:szCs w:val="16"/>
              </w:rPr>
            </w:pPr>
            <w:r w:rsidRPr="00D14CD7">
              <w:rPr>
                <w:rFonts w:eastAsia="Times New Roman"/>
                <w:color w:val="000000" w:themeColor="text1"/>
                <w:sz w:val="16"/>
                <w:szCs w:val="16"/>
              </w:rPr>
              <w:t>—</w:t>
            </w:r>
          </w:p>
        </w:tc>
        <w:tc>
          <w:tcPr>
            <w:tcW w:w="170" w:type="pct"/>
            <w:tcBorders>
              <w:top w:val="single" w:sz="4" w:space="0" w:color="auto"/>
              <w:bottom w:val="single" w:sz="4" w:space="0" w:color="auto"/>
            </w:tcBorders>
            <w:shd w:val="clear" w:color="auto" w:fill="auto"/>
            <w:noWrap/>
            <w:vAlign w:val="center"/>
            <w:hideMark/>
          </w:tcPr>
          <w:p w14:paraId="09E960EB" w14:textId="77777777" w:rsidR="00BE151D" w:rsidRPr="00D14CD7" w:rsidRDefault="00BE151D" w:rsidP="00567BE9">
            <w:pPr>
              <w:spacing w:after="0" w:line="240" w:lineRule="auto"/>
              <w:jc w:val="right"/>
              <w:rPr>
                <w:rFonts w:eastAsia="Times New Roman"/>
                <w:color w:val="000000" w:themeColor="text1"/>
                <w:sz w:val="16"/>
                <w:szCs w:val="16"/>
              </w:rPr>
            </w:pPr>
            <w:r w:rsidRPr="00D14CD7">
              <w:rPr>
                <w:rFonts w:eastAsia="Times New Roman"/>
                <w:color w:val="000000" w:themeColor="text1"/>
                <w:sz w:val="16"/>
                <w:szCs w:val="16"/>
              </w:rPr>
              <w:t>—</w:t>
            </w:r>
          </w:p>
        </w:tc>
        <w:tc>
          <w:tcPr>
            <w:tcW w:w="173" w:type="pct"/>
            <w:tcBorders>
              <w:top w:val="single" w:sz="4" w:space="0" w:color="auto"/>
              <w:bottom w:val="single" w:sz="4" w:space="0" w:color="auto"/>
            </w:tcBorders>
            <w:shd w:val="clear" w:color="auto" w:fill="auto"/>
            <w:noWrap/>
            <w:vAlign w:val="center"/>
            <w:hideMark/>
          </w:tcPr>
          <w:p w14:paraId="5937C5FA" w14:textId="77777777" w:rsidR="00BE151D" w:rsidRPr="00D14CD7" w:rsidRDefault="00BE151D" w:rsidP="00567BE9">
            <w:pPr>
              <w:spacing w:after="0" w:line="240" w:lineRule="auto"/>
              <w:jc w:val="right"/>
              <w:rPr>
                <w:rFonts w:eastAsia="Times New Roman"/>
                <w:color w:val="000000" w:themeColor="text1"/>
                <w:sz w:val="16"/>
                <w:szCs w:val="16"/>
              </w:rPr>
            </w:pPr>
            <w:r w:rsidRPr="00D14CD7">
              <w:rPr>
                <w:rFonts w:eastAsia="Times New Roman"/>
                <w:color w:val="000000" w:themeColor="text1"/>
                <w:sz w:val="16"/>
                <w:szCs w:val="16"/>
              </w:rPr>
              <w:t>—</w:t>
            </w:r>
          </w:p>
        </w:tc>
        <w:tc>
          <w:tcPr>
            <w:tcW w:w="160" w:type="pct"/>
            <w:tcBorders>
              <w:top w:val="single" w:sz="4" w:space="0" w:color="auto"/>
              <w:bottom w:val="single" w:sz="4" w:space="0" w:color="auto"/>
              <w:right w:val="double" w:sz="4" w:space="0" w:color="auto"/>
            </w:tcBorders>
            <w:shd w:val="clear" w:color="auto" w:fill="auto"/>
            <w:noWrap/>
            <w:vAlign w:val="center"/>
            <w:hideMark/>
          </w:tcPr>
          <w:p w14:paraId="4BB2E0E9" w14:textId="77777777" w:rsidR="00BE151D" w:rsidRPr="00D14CD7" w:rsidRDefault="00BE151D" w:rsidP="00567BE9">
            <w:pPr>
              <w:spacing w:after="0" w:line="240" w:lineRule="auto"/>
              <w:jc w:val="right"/>
              <w:rPr>
                <w:rFonts w:eastAsia="Times New Roman"/>
                <w:color w:val="000000" w:themeColor="text1"/>
                <w:sz w:val="16"/>
                <w:szCs w:val="16"/>
              </w:rPr>
            </w:pPr>
            <w:r w:rsidRPr="00D14CD7">
              <w:rPr>
                <w:rFonts w:eastAsia="Times New Roman"/>
                <w:color w:val="000000" w:themeColor="text1"/>
                <w:sz w:val="16"/>
                <w:szCs w:val="16"/>
              </w:rPr>
              <w:t>—</w:t>
            </w:r>
          </w:p>
        </w:tc>
        <w:tc>
          <w:tcPr>
            <w:tcW w:w="186" w:type="pct"/>
            <w:tcBorders>
              <w:top w:val="single" w:sz="4" w:space="0" w:color="auto"/>
              <w:left w:val="double" w:sz="4" w:space="0" w:color="auto"/>
              <w:bottom w:val="single" w:sz="4" w:space="0" w:color="auto"/>
            </w:tcBorders>
            <w:shd w:val="clear" w:color="auto" w:fill="auto"/>
            <w:noWrap/>
            <w:vAlign w:val="bottom"/>
          </w:tcPr>
          <w:p w14:paraId="286B235D" w14:textId="77777777" w:rsidR="00BE151D" w:rsidRPr="00D14CD7" w:rsidRDefault="00BE151D" w:rsidP="00567BE9">
            <w:pPr>
              <w:spacing w:after="0" w:line="240" w:lineRule="auto"/>
              <w:jc w:val="right"/>
              <w:rPr>
                <w:rFonts w:eastAsia="Times New Roman"/>
                <w:color w:val="000000" w:themeColor="text1"/>
                <w:sz w:val="16"/>
                <w:szCs w:val="16"/>
              </w:rPr>
            </w:pPr>
            <w:r w:rsidRPr="00D14CD7">
              <w:rPr>
                <w:color w:val="000000" w:themeColor="text1"/>
                <w:sz w:val="16"/>
                <w:szCs w:val="16"/>
              </w:rPr>
              <w:t>1.364</w:t>
            </w:r>
          </w:p>
        </w:tc>
        <w:tc>
          <w:tcPr>
            <w:tcW w:w="152" w:type="pct"/>
            <w:tcBorders>
              <w:top w:val="single" w:sz="4" w:space="0" w:color="auto"/>
              <w:bottom w:val="single" w:sz="4" w:space="0" w:color="auto"/>
            </w:tcBorders>
            <w:shd w:val="clear" w:color="auto" w:fill="auto"/>
            <w:noWrap/>
            <w:vAlign w:val="bottom"/>
          </w:tcPr>
          <w:p w14:paraId="31385CA9" w14:textId="77777777" w:rsidR="00BE151D" w:rsidRPr="00D14CD7" w:rsidRDefault="00BE151D" w:rsidP="00567BE9">
            <w:pPr>
              <w:spacing w:after="0" w:line="240" w:lineRule="auto"/>
              <w:jc w:val="right"/>
              <w:rPr>
                <w:rFonts w:eastAsia="Times New Roman"/>
                <w:color w:val="000000" w:themeColor="text1"/>
                <w:sz w:val="16"/>
                <w:szCs w:val="16"/>
              </w:rPr>
            </w:pPr>
            <w:r w:rsidRPr="00D14CD7">
              <w:rPr>
                <w:color w:val="000000" w:themeColor="text1"/>
                <w:sz w:val="16"/>
                <w:szCs w:val="16"/>
              </w:rPr>
              <w:t>5.85</w:t>
            </w:r>
          </w:p>
        </w:tc>
      </w:tr>
      <w:tr w:rsidR="00D14CD7" w:rsidRPr="00D14CD7" w14:paraId="6F988456" w14:textId="77777777" w:rsidTr="00AC40E4">
        <w:trPr>
          <w:trHeight w:val="72"/>
        </w:trPr>
        <w:tc>
          <w:tcPr>
            <w:tcW w:w="1719" w:type="pct"/>
            <w:tcBorders>
              <w:top w:val="single" w:sz="4" w:space="0" w:color="auto"/>
              <w:bottom w:val="single" w:sz="4" w:space="0" w:color="auto"/>
              <w:right w:val="double" w:sz="4" w:space="0" w:color="auto"/>
            </w:tcBorders>
            <w:shd w:val="clear" w:color="auto" w:fill="auto"/>
            <w:noWrap/>
            <w:vAlign w:val="center"/>
            <w:hideMark/>
          </w:tcPr>
          <w:p w14:paraId="05811EFC" w14:textId="77777777" w:rsidR="00BE151D" w:rsidRPr="00D14CD7" w:rsidRDefault="00BE151D" w:rsidP="00567BE9">
            <w:pPr>
              <w:spacing w:after="0" w:line="240" w:lineRule="auto"/>
              <w:ind w:firstLineChars="100" w:firstLine="160"/>
              <w:rPr>
                <w:rFonts w:eastAsia="Times New Roman"/>
                <w:color w:val="000000" w:themeColor="text1"/>
                <w:sz w:val="16"/>
                <w:szCs w:val="16"/>
              </w:rPr>
            </w:pPr>
            <w:r w:rsidRPr="00D14CD7">
              <w:rPr>
                <w:rFonts w:eastAsia="Times New Roman"/>
                <w:color w:val="000000" w:themeColor="text1"/>
                <w:sz w:val="16"/>
                <w:szCs w:val="16"/>
              </w:rPr>
              <w:t>12 | 13</w:t>
            </w:r>
          </w:p>
        </w:tc>
        <w:tc>
          <w:tcPr>
            <w:tcW w:w="217" w:type="pct"/>
            <w:tcBorders>
              <w:left w:val="double" w:sz="4" w:space="0" w:color="auto"/>
            </w:tcBorders>
            <w:shd w:val="clear" w:color="auto" w:fill="auto"/>
            <w:noWrap/>
            <w:vAlign w:val="center"/>
            <w:hideMark/>
          </w:tcPr>
          <w:p w14:paraId="458E5D66" w14:textId="77777777" w:rsidR="00BE151D" w:rsidRPr="00D14CD7" w:rsidRDefault="00BE151D" w:rsidP="00567BE9">
            <w:pPr>
              <w:spacing w:after="0" w:line="240" w:lineRule="auto"/>
              <w:jc w:val="right"/>
              <w:rPr>
                <w:rFonts w:eastAsia="Times New Roman"/>
                <w:color w:val="000000" w:themeColor="text1"/>
                <w:sz w:val="16"/>
                <w:szCs w:val="16"/>
              </w:rPr>
            </w:pPr>
            <w:r w:rsidRPr="00D14CD7">
              <w:rPr>
                <w:rFonts w:eastAsia="Times New Roman"/>
                <w:color w:val="000000" w:themeColor="text1"/>
                <w:sz w:val="16"/>
                <w:szCs w:val="16"/>
              </w:rPr>
              <w:t>—</w:t>
            </w:r>
          </w:p>
        </w:tc>
        <w:tc>
          <w:tcPr>
            <w:tcW w:w="213" w:type="pct"/>
            <w:shd w:val="clear" w:color="auto" w:fill="auto"/>
            <w:noWrap/>
            <w:vAlign w:val="center"/>
            <w:hideMark/>
          </w:tcPr>
          <w:p w14:paraId="01A1E036" w14:textId="77777777" w:rsidR="00BE151D" w:rsidRPr="00D14CD7" w:rsidRDefault="00BE151D" w:rsidP="00567BE9">
            <w:pPr>
              <w:spacing w:after="0" w:line="240" w:lineRule="auto"/>
              <w:jc w:val="right"/>
              <w:rPr>
                <w:rFonts w:eastAsia="Times New Roman"/>
                <w:color w:val="000000" w:themeColor="text1"/>
                <w:sz w:val="16"/>
                <w:szCs w:val="16"/>
              </w:rPr>
            </w:pPr>
            <w:r w:rsidRPr="00D14CD7">
              <w:rPr>
                <w:rFonts w:eastAsia="Times New Roman"/>
                <w:color w:val="000000" w:themeColor="text1"/>
                <w:sz w:val="16"/>
                <w:szCs w:val="16"/>
              </w:rPr>
              <w:t>—</w:t>
            </w:r>
          </w:p>
        </w:tc>
        <w:tc>
          <w:tcPr>
            <w:tcW w:w="188" w:type="pct"/>
            <w:shd w:val="clear" w:color="auto" w:fill="auto"/>
            <w:noWrap/>
            <w:vAlign w:val="center"/>
            <w:hideMark/>
          </w:tcPr>
          <w:p w14:paraId="3A23160A" w14:textId="77777777" w:rsidR="00BE151D" w:rsidRPr="00D14CD7" w:rsidRDefault="00BE151D" w:rsidP="00567BE9">
            <w:pPr>
              <w:spacing w:after="0" w:line="240" w:lineRule="auto"/>
              <w:jc w:val="right"/>
              <w:rPr>
                <w:rFonts w:eastAsia="Times New Roman"/>
                <w:color w:val="000000" w:themeColor="text1"/>
                <w:sz w:val="16"/>
                <w:szCs w:val="16"/>
              </w:rPr>
            </w:pPr>
            <w:r w:rsidRPr="00D14CD7">
              <w:rPr>
                <w:rFonts w:eastAsia="Times New Roman"/>
                <w:color w:val="000000" w:themeColor="text1"/>
                <w:sz w:val="16"/>
                <w:szCs w:val="16"/>
              </w:rPr>
              <w:t>—</w:t>
            </w:r>
          </w:p>
        </w:tc>
        <w:tc>
          <w:tcPr>
            <w:tcW w:w="188" w:type="pct"/>
            <w:shd w:val="clear" w:color="auto" w:fill="auto"/>
            <w:noWrap/>
            <w:vAlign w:val="center"/>
            <w:hideMark/>
          </w:tcPr>
          <w:p w14:paraId="6F114DBB" w14:textId="77777777" w:rsidR="00BE151D" w:rsidRPr="00D14CD7" w:rsidRDefault="00BE151D" w:rsidP="00567BE9">
            <w:pPr>
              <w:spacing w:after="0" w:line="240" w:lineRule="auto"/>
              <w:jc w:val="right"/>
              <w:rPr>
                <w:rFonts w:eastAsia="Times New Roman"/>
                <w:color w:val="000000" w:themeColor="text1"/>
                <w:sz w:val="16"/>
                <w:szCs w:val="16"/>
              </w:rPr>
            </w:pPr>
            <w:r w:rsidRPr="00D14CD7">
              <w:rPr>
                <w:rFonts w:eastAsia="Times New Roman"/>
                <w:color w:val="000000" w:themeColor="text1"/>
                <w:sz w:val="16"/>
                <w:szCs w:val="16"/>
              </w:rPr>
              <w:t>—</w:t>
            </w:r>
          </w:p>
        </w:tc>
        <w:tc>
          <w:tcPr>
            <w:tcW w:w="188" w:type="pct"/>
            <w:shd w:val="clear" w:color="auto" w:fill="auto"/>
            <w:noWrap/>
            <w:vAlign w:val="center"/>
            <w:hideMark/>
          </w:tcPr>
          <w:p w14:paraId="05DFEAE9" w14:textId="77777777" w:rsidR="00BE151D" w:rsidRPr="00D14CD7" w:rsidRDefault="00BE151D" w:rsidP="00567BE9">
            <w:pPr>
              <w:spacing w:after="0" w:line="240" w:lineRule="auto"/>
              <w:jc w:val="right"/>
              <w:rPr>
                <w:rFonts w:eastAsia="Times New Roman"/>
                <w:color w:val="000000" w:themeColor="text1"/>
                <w:sz w:val="16"/>
                <w:szCs w:val="16"/>
              </w:rPr>
            </w:pPr>
            <w:r w:rsidRPr="00D14CD7">
              <w:rPr>
                <w:rFonts w:eastAsia="Times New Roman"/>
                <w:color w:val="000000" w:themeColor="text1"/>
                <w:sz w:val="16"/>
                <w:szCs w:val="16"/>
              </w:rPr>
              <w:t>—</w:t>
            </w:r>
          </w:p>
        </w:tc>
        <w:tc>
          <w:tcPr>
            <w:tcW w:w="188" w:type="pct"/>
            <w:shd w:val="clear" w:color="auto" w:fill="auto"/>
            <w:noWrap/>
            <w:vAlign w:val="center"/>
            <w:hideMark/>
          </w:tcPr>
          <w:p w14:paraId="7A439660" w14:textId="77777777" w:rsidR="00BE151D" w:rsidRPr="00D14CD7" w:rsidRDefault="00BE151D" w:rsidP="00567BE9">
            <w:pPr>
              <w:spacing w:after="0" w:line="240" w:lineRule="auto"/>
              <w:jc w:val="right"/>
              <w:rPr>
                <w:rFonts w:eastAsia="Times New Roman"/>
                <w:color w:val="000000" w:themeColor="text1"/>
                <w:sz w:val="16"/>
                <w:szCs w:val="16"/>
              </w:rPr>
            </w:pPr>
            <w:r w:rsidRPr="00D14CD7">
              <w:rPr>
                <w:rFonts w:eastAsia="Times New Roman"/>
                <w:color w:val="000000" w:themeColor="text1"/>
                <w:sz w:val="16"/>
                <w:szCs w:val="16"/>
              </w:rPr>
              <w:t>—</w:t>
            </w:r>
          </w:p>
        </w:tc>
        <w:tc>
          <w:tcPr>
            <w:tcW w:w="188" w:type="pct"/>
            <w:shd w:val="clear" w:color="auto" w:fill="auto"/>
            <w:noWrap/>
            <w:vAlign w:val="center"/>
            <w:hideMark/>
          </w:tcPr>
          <w:p w14:paraId="0DECE7C0" w14:textId="77777777" w:rsidR="00BE151D" w:rsidRPr="00D14CD7" w:rsidRDefault="00BE151D" w:rsidP="00567BE9">
            <w:pPr>
              <w:spacing w:after="0" w:line="240" w:lineRule="auto"/>
              <w:jc w:val="right"/>
              <w:rPr>
                <w:rFonts w:eastAsia="Times New Roman"/>
                <w:color w:val="000000" w:themeColor="text1"/>
                <w:sz w:val="16"/>
                <w:szCs w:val="16"/>
              </w:rPr>
            </w:pPr>
            <w:r w:rsidRPr="00D14CD7">
              <w:rPr>
                <w:rFonts w:eastAsia="Times New Roman"/>
                <w:color w:val="000000" w:themeColor="text1"/>
                <w:sz w:val="16"/>
                <w:szCs w:val="16"/>
              </w:rPr>
              <w:t>—</w:t>
            </w:r>
          </w:p>
        </w:tc>
        <w:tc>
          <w:tcPr>
            <w:tcW w:w="159" w:type="pct"/>
            <w:tcBorders>
              <w:right w:val="double" w:sz="4" w:space="0" w:color="auto"/>
            </w:tcBorders>
            <w:shd w:val="clear" w:color="auto" w:fill="auto"/>
            <w:noWrap/>
            <w:vAlign w:val="center"/>
            <w:hideMark/>
          </w:tcPr>
          <w:p w14:paraId="5483626D" w14:textId="77777777" w:rsidR="00BE151D" w:rsidRPr="00D14CD7" w:rsidRDefault="00BE151D" w:rsidP="00567BE9">
            <w:pPr>
              <w:spacing w:after="0" w:line="240" w:lineRule="auto"/>
              <w:jc w:val="right"/>
              <w:rPr>
                <w:rFonts w:eastAsia="Times New Roman"/>
                <w:color w:val="000000" w:themeColor="text1"/>
                <w:sz w:val="16"/>
                <w:szCs w:val="16"/>
              </w:rPr>
            </w:pPr>
            <w:r w:rsidRPr="00D14CD7">
              <w:rPr>
                <w:rFonts w:eastAsia="Times New Roman"/>
                <w:color w:val="000000" w:themeColor="text1"/>
                <w:sz w:val="16"/>
                <w:szCs w:val="16"/>
              </w:rPr>
              <w:t>—</w:t>
            </w:r>
          </w:p>
        </w:tc>
        <w:tc>
          <w:tcPr>
            <w:tcW w:w="189" w:type="pct"/>
            <w:tcBorders>
              <w:top w:val="single" w:sz="4" w:space="0" w:color="auto"/>
              <w:left w:val="double" w:sz="4" w:space="0" w:color="auto"/>
              <w:bottom w:val="single" w:sz="4" w:space="0" w:color="auto"/>
            </w:tcBorders>
            <w:shd w:val="clear" w:color="auto" w:fill="auto"/>
            <w:noWrap/>
            <w:vAlign w:val="center"/>
            <w:hideMark/>
          </w:tcPr>
          <w:p w14:paraId="4F63D9D8" w14:textId="77777777" w:rsidR="00BE151D" w:rsidRPr="00D14CD7" w:rsidRDefault="00BE151D" w:rsidP="00567BE9">
            <w:pPr>
              <w:spacing w:after="0" w:line="240" w:lineRule="auto"/>
              <w:jc w:val="right"/>
              <w:rPr>
                <w:rFonts w:eastAsia="Times New Roman"/>
                <w:color w:val="000000" w:themeColor="text1"/>
                <w:sz w:val="16"/>
                <w:szCs w:val="16"/>
              </w:rPr>
            </w:pPr>
            <w:r w:rsidRPr="00D14CD7">
              <w:rPr>
                <w:rFonts w:eastAsia="Times New Roman"/>
                <w:color w:val="000000" w:themeColor="text1"/>
                <w:sz w:val="16"/>
                <w:szCs w:val="16"/>
              </w:rPr>
              <w:t>—</w:t>
            </w:r>
          </w:p>
        </w:tc>
        <w:tc>
          <w:tcPr>
            <w:tcW w:w="159" w:type="pct"/>
            <w:tcBorders>
              <w:top w:val="single" w:sz="4" w:space="0" w:color="auto"/>
              <w:bottom w:val="single" w:sz="4" w:space="0" w:color="auto"/>
            </w:tcBorders>
            <w:shd w:val="clear" w:color="auto" w:fill="auto"/>
            <w:noWrap/>
            <w:vAlign w:val="center"/>
            <w:hideMark/>
          </w:tcPr>
          <w:p w14:paraId="44A92309" w14:textId="77777777" w:rsidR="00BE151D" w:rsidRPr="00D14CD7" w:rsidRDefault="00BE151D" w:rsidP="00567BE9">
            <w:pPr>
              <w:spacing w:after="0" w:line="240" w:lineRule="auto"/>
              <w:jc w:val="right"/>
              <w:rPr>
                <w:rFonts w:eastAsia="Times New Roman"/>
                <w:color w:val="000000" w:themeColor="text1"/>
                <w:sz w:val="16"/>
                <w:szCs w:val="16"/>
              </w:rPr>
            </w:pPr>
            <w:r w:rsidRPr="00D14CD7">
              <w:rPr>
                <w:rFonts w:eastAsia="Times New Roman"/>
                <w:color w:val="000000" w:themeColor="text1"/>
                <w:sz w:val="16"/>
                <w:szCs w:val="16"/>
              </w:rPr>
              <w:t>—</w:t>
            </w:r>
          </w:p>
        </w:tc>
        <w:tc>
          <w:tcPr>
            <w:tcW w:w="187" w:type="pct"/>
            <w:tcBorders>
              <w:top w:val="single" w:sz="4" w:space="0" w:color="auto"/>
              <w:bottom w:val="single" w:sz="4" w:space="0" w:color="auto"/>
            </w:tcBorders>
            <w:shd w:val="clear" w:color="auto" w:fill="auto"/>
            <w:noWrap/>
            <w:vAlign w:val="center"/>
            <w:hideMark/>
          </w:tcPr>
          <w:p w14:paraId="27B1FBDE" w14:textId="77777777" w:rsidR="00BE151D" w:rsidRPr="00D14CD7" w:rsidRDefault="00BE151D" w:rsidP="00567BE9">
            <w:pPr>
              <w:spacing w:after="0" w:line="240" w:lineRule="auto"/>
              <w:jc w:val="right"/>
              <w:rPr>
                <w:rFonts w:eastAsia="Times New Roman"/>
                <w:color w:val="000000" w:themeColor="text1"/>
                <w:sz w:val="16"/>
                <w:szCs w:val="16"/>
              </w:rPr>
            </w:pPr>
            <w:r w:rsidRPr="00D14CD7">
              <w:rPr>
                <w:rFonts w:eastAsia="Times New Roman"/>
                <w:color w:val="000000" w:themeColor="text1"/>
                <w:sz w:val="16"/>
                <w:szCs w:val="16"/>
              </w:rPr>
              <w:t>—</w:t>
            </w:r>
          </w:p>
        </w:tc>
        <w:tc>
          <w:tcPr>
            <w:tcW w:w="188" w:type="pct"/>
            <w:tcBorders>
              <w:top w:val="single" w:sz="4" w:space="0" w:color="auto"/>
              <w:bottom w:val="single" w:sz="4" w:space="0" w:color="auto"/>
            </w:tcBorders>
            <w:shd w:val="clear" w:color="auto" w:fill="auto"/>
            <w:noWrap/>
            <w:vAlign w:val="center"/>
            <w:hideMark/>
          </w:tcPr>
          <w:p w14:paraId="72184731" w14:textId="77777777" w:rsidR="00BE151D" w:rsidRPr="00D14CD7" w:rsidRDefault="00BE151D" w:rsidP="00567BE9">
            <w:pPr>
              <w:spacing w:after="0" w:line="240" w:lineRule="auto"/>
              <w:jc w:val="right"/>
              <w:rPr>
                <w:rFonts w:eastAsia="Times New Roman"/>
                <w:color w:val="000000" w:themeColor="text1"/>
                <w:sz w:val="16"/>
                <w:szCs w:val="16"/>
              </w:rPr>
            </w:pPr>
            <w:r w:rsidRPr="00D14CD7">
              <w:rPr>
                <w:rFonts w:eastAsia="Times New Roman"/>
                <w:color w:val="000000" w:themeColor="text1"/>
                <w:sz w:val="16"/>
                <w:szCs w:val="16"/>
              </w:rPr>
              <w:t>—</w:t>
            </w:r>
          </w:p>
        </w:tc>
        <w:tc>
          <w:tcPr>
            <w:tcW w:w="188" w:type="pct"/>
            <w:tcBorders>
              <w:top w:val="single" w:sz="4" w:space="0" w:color="auto"/>
              <w:bottom w:val="single" w:sz="4" w:space="0" w:color="auto"/>
            </w:tcBorders>
            <w:shd w:val="clear" w:color="auto" w:fill="auto"/>
            <w:noWrap/>
            <w:vAlign w:val="center"/>
            <w:hideMark/>
          </w:tcPr>
          <w:p w14:paraId="287010F2" w14:textId="77777777" w:rsidR="00BE151D" w:rsidRPr="00D14CD7" w:rsidRDefault="00BE151D" w:rsidP="00567BE9">
            <w:pPr>
              <w:spacing w:after="0" w:line="240" w:lineRule="auto"/>
              <w:jc w:val="right"/>
              <w:rPr>
                <w:rFonts w:eastAsia="Times New Roman"/>
                <w:color w:val="000000" w:themeColor="text1"/>
                <w:sz w:val="16"/>
                <w:szCs w:val="16"/>
              </w:rPr>
            </w:pPr>
            <w:r w:rsidRPr="00D14CD7">
              <w:rPr>
                <w:rFonts w:eastAsia="Times New Roman"/>
                <w:color w:val="000000" w:themeColor="text1"/>
                <w:sz w:val="16"/>
                <w:szCs w:val="16"/>
              </w:rPr>
              <w:t>—</w:t>
            </w:r>
          </w:p>
        </w:tc>
        <w:tc>
          <w:tcPr>
            <w:tcW w:w="170" w:type="pct"/>
            <w:tcBorders>
              <w:top w:val="single" w:sz="4" w:space="0" w:color="auto"/>
              <w:bottom w:val="single" w:sz="4" w:space="0" w:color="auto"/>
            </w:tcBorders>
            <w:shd w:val="clear" w:color="auto" w:fill="auto"/>
            <w:noWrap/>
            <w:vAlign w:val="center"/>
            <w:hideMark/>
          </w:tcPr>
          <w:p w14:paraId="6E46EE5A" w14:textId="77777777" w:rsidR="00BE151D" w:rsidRPr="00D14CD7" w:rsidRDefault="00BE151D" w:rsidP="00567BE9">
            <w:pPr>
              <w:spacing w:after="0" w:line="240" w:lineRule="auto"/>
              <w:jc w:val="right"/>
              <w:rPr>
                <w:rFonts w:eastAsia="Times New Roman"/>
                <w:color w:val="000000" w:themeColor="text1"/>
                <w:sz w:val="16"/>
                <w:szCs w:val="16"/>
              </w:rPr>
            </w:pPr>
            <w:r w:rsidRPr="00D14CD7">
              <w:rPr>
                <w:rFonts w:eastAsia="Times New Roman"/>
                <w:color w:val="000000" w:themeColor="text1"/>
                <w:sz w:val="16"/>
                <w:szCs w:val="16"/>
              </w:rPr>
              <w:t>—</w:t>
            </w:r>
          </w:p>
        </w:tc>
        <w:tc>
          <w:tcPr>
            <w:tcW w:w="173" w:type="pct"/>
            <w:tcBorders>
              <w:top w:val="single" w:sz="4" w:space="0" w:color="auto"/>
              <w:bottom w:val="single" w:sz="4" w:space="0" w:color="auto"/>
            </w:tcBorders>
            <w:shd w:val="clear" w:color="auto" w:fill="auto"/>
            <w:noWrap/>
            <w:vAlign w:val="center"/>
            <w:hideMark/>
          </w:tcPr>
          <w:p w14:paraId="3232D5C0" w14:textId="77777777" w:rsidR="00BE151D" w:rsidRPr="00D14CD7" w:rsidRDefault="00BE151D" w:rsidP="00567BE9">
            <w:pPr>
              <w:spacing w:after="0" w:line="240" w:lineRule="auto"/>
              <w:jc w:val="right"/>
              <w:rPr>
                <w:rFonts w:eastAsia="Times New Roman"/>
                <w:color w:val="000000" w:themeColor="text1"/>
                <w:sz w:val="16"/>
                <w:szCs w:val="16"/>
              </w:rPr>
            </w:pPr>
            <w:r w:rsidRPr="00D14CD7">
              <w:rPr>
                <w:rFonts w:eastAsia="Times New Roman"/>
                <w:color w:val="000000" w:themeColor="text1"/>
                <w:sz w:val="16"/>
                <w:szCs w:val="16"/>
              </w:rPr>
              <w:t>—</w:t>
            </w:r>
          </w:p>
        </w:tc>
        <w:tc>
          <w:tcPr>
            <w:tcW w:w="160" w:type="pct"/>
            <w:tcBorders>
              <w:top w:val="single" w:sz="4" w:space="0" w:color="auto"/>
              <w:bottom w:val="single" w:sz="4" w:space="0" w:color="auto"/>
              <w:right w:val="double" w:sz="4" w:space="0" w:color="auto"/>
            </w:tcBorders>
            <w:shd w:val="clear" w:color="auto" w:fill="auto"/>
            <w:noWrap/>
            <w:vAlign w:val="center"/>
            <w:hideMark/>
          </w:tcPr>
          <w:p w14:paraId="633F05AF" w14:textId="77777777" w:rsidR="00BE151D" w:rsidRPr="00D14CD7" w:rsidRDefault="00BE151D" w:rsidP="00567BE9">
            <w:pPr>
              <w:spacing w:after="0" w:line="240" w:lineRule="auto"/>
              <w:jc w:val="right"/>
              <w:rPr>
                <w:rFonts w:eastAsia="Times New Roman"/>
                <w:color w:val="000000" w:themeColor="text1"/>
                <w:sz w:val="16"/>
                <w:szCs w:val="16"/>
              </w:rPr>
            </w:pPr>
            <w:r w:rsidRPr="00D14CD7">
              <w:rPr>
                <w:rFonts w:eastAsia="Times New Roman"/>
                <w:color w:val="000000" w:themeColor="text1"/>
                <w:sz w:val="16"/>
                <w:szCs w:val="16"/>
              </w:rPr>
              <w:t>—</w:t>
            </w:r>
          </w:p>
        </w:tc>
        <w:tc>
          <w:tcPr>
            <w:tcW w:w="186" w:type="pct"/>
            <w:tcBorders>
              <w:top w:val="single" w:sz="4" w:space="0" w:color="auto"/>
              <w:left w:val="double" w:sz="4" w:space="0" w:color="auto"/>
              <w:bottom w:val="single" w:sz="4" w:space="0" w:color="auto"/>
            </w:tcBorders>
            <w:shd w:val="clear" w:color="auto" w:fill="auto"/>
            <w:noWrap/>
            <w:vAlign w:val="bottom"/>
          </w:tcPr>
          <w:p w14:paraId="03C9E9BD" w14:textId="77777777" w:rsidR="00BE151D" w:rsidRPr="00D14CD7" w:rsidRDefault="00BE151D" w:rsidP="00567BE9">
            <w:pPr>
              <w:spacing w:after="0" w:line="240" w:lineRule="auto"/>
              <w:jc w:val="right"/>
              <w:rPr>
                <w:rFonts w:eastAsia="Times New Roman"/>
                <w:color w:val="000000" w:themeColor="text1"/>
                <w:sz w:val="16"/>
                <w:szCs w:val="16"/>
              </w:rPr>
            </w:pPr>
            <w:r w:rsidRPr="00D14CD7">
              <w:rPr>
                <w:color w:val="000000" w:themeColor="text1"/>
                <w:sz w:val="16"/>
                <w:szCs w:val="16"/>
              </w:rPr>
              <w:t>2.525</w:t>
            </w:r>
          </w:p>
        </w:tc>
        <w:tc>
          <w:tcPr>
            <w:tcW w:w="152" w:type="pct"/>
            <w:tcBorders>
              <w:top w:val="single" w:sz="4" w:space="0" w:color="auto"/>
              <w:bottom w:val="single" w:sz="4" w:space="0" w:color="auto"/>
            </w:tcBorders>
            <w:shd w:val="clear" w:color="auto" w:fill="auto"/>
            <w:noWrap/>
            <w:vAlign w:val="bottom"/>
          </w:tcPr>
          <w:p w14:paraId="74189EFF" w14:textId="77777777" w:rsidR="00BE151D" w:rsidRPr="00D14CD7" w:rsidRDefault="00BE151D" w:rsidP="00567BE9">
            <w:pPr>
              <w:spacing w:after="0" w:line="240" w:lineRule="auto"/>
              <w:jc w:val="right"/>
              <w:rPr>
                <w:rFonts w:eastAsia="Times New Roman"/>
                <w:color w:val="000000" w:themeColor="text1"/>
                <w:sz w:val="16"/>
                <w:szCs w:val="16"/>
              </w:rPr>
            </w:pPr>
            <w:r w:rsidRPr="00D14CD7">
              <w:rPr>
                <w:color w:val="000000" w:themeColor="text1"/>
                <w:sz w:val="16"/>
                <w:szCs w:val="16"/>
              </w:rPr>
              <w:t>2.45</w:t>
            </w:r>
          </w:p>
        </w:tc>
      </w:tr>
      <w:tr w:rsidR="00D14CD7" w:rsidRPr="00D14CD7" w14:paraId="58BA9D06" w14:textId="77777777" w:rsidTr="00AC40E4">
        <w:trPr>
          <w:trHeight w:val="72"/>
        </w:trPr>
        <w:tc>
          <w:tcPr>
            <w:tcW w:w="1719" w:type="pct"/>
            <w:tcBorders>
              <w:top w:val="single" w:sz="4" w:space="0" w:color="auto"/>
              <w:bottom w:val="single" w:sz="4" w:space="0" w:color="auto"/>
              <w:right w:val="double" w:sz="4" w:space="0" w:color="auto"/>
            </w:tcBorders>
            <w:shd w:val="clear" w:color="auto" w:fill="auto"/>
            <w:noWrap/>
            <w:vAlign w:val="center"/>
            <w:hideMark/>
          </w:tcPr>
          <w:p w14:paraId="4919C011" w14:textId="77777777" w:rsidR="00BE151D" w:rsidRPr="00D14CD7" w:rsidRDefault="00BE151D" w:rsidP="00567BE9">
            <w:pPr>
              <w:spacing w:after="0" w:line="240" w:lineRule="auto"/>
              <w:ind w:firstLineChars="100" w:firstLine="160"/>
              <w:rPr>
                <w:rFonts w:eastAsia="Times New Roman"/>
                <w:color w:val="000000" w:themeColor="text1"/>
                <w:sz w:val="16"/>
                <w:szCs w:val="16"/>
              </w:rPr>
            </w:pPr>
            <w:r w:rsidRPr="00D14CD7">
              <w:rPr>
                <w:rFonts w:eastAsia="Times New Roman"/>
                <w:color w:val="000000" w:themeColor="text1"/>
                <w:sz w:val="16"/>
                <w:szCs w:val="16"/>
              </w:rPr>
              <w:t>14 | 15</w:t>
            </w:r>
          </w:p>
        </w:tc>
        <w:tc>
          <w:tcPr>
            <w:tcW w:w="217" w:type="pct"/>
            <w:tcBorders>
              <w:left w:val="double" w:sz="4" w:space="0" w:color="auto"/>
            </w:tcBorders>
            <w:shd w:val="clear" w:color="auto" w:fill="auto"/>
            <w:noWrap/>
            <w:vAlign w:val="center"/>
            <w:hideMark/>
          </w:tcPr>
          <w:p w14:paraId="7BEA2A82" w14:textId="77777777" w:rsidR="00BE151D" w:rsidRPr="00D14CD7" w:rsidRDefault="00BE151D" w:rsidP="00567BE9">
            <w:pPr>
              <w:spacing w:after="0" w:line="240" w:lineRule="auto"/>
              <w:jc w:val="right"/>
              <w:rPr>
                <w:rFonts w:eastAsia="Times New Roman"/>
                <w:color w:val="000000" w:themeColor="text1"/>
                <w:sz w:val="16"/>
                <w:szCs w:val="16"/>
              </w:rPr>
            </w:pPr>
            <w:r w:rsidRPr="00D14CD7">
              <w:rPr>
                <w:rFonts w:eastAsia="Times New Roman"/>
                <w:color w:val="000000" w:themeColor="text1"/>
                <w:sz w:val="16"/>
                <w:szCs w:val="16"/>
              </w:rPr>
              <w:t>—</w:t>
            </w:r>
          </w:p>
        </w:tc>
        <w:tc>
          <w:tcPr>
            <w:tcW w:w="213" w:type="pct"/>
            <w:shd w:val="clear" w:color="auto" w:fill="auto"/>
            <w:noWrap/>
            <w:vAlign w:val="center"/>
            <w:hideMark/>
          </w:tcPr>
          <w:p w14:paraId="616DB15D" w14:textId="77777777" w:rsidR="00BE151D" w:rsidRPr="00D14CD7" w:rsidRDefault="00BE151D" w:rsidP="00567BE9">
            <w:pPr>
              <w:spacing w:after="0" w:line="240" w:lineRule="auto"/>
              <w:jc w:val="right"/>
              <w:rPr>
                <w:rFonts w:eastAsia="Times New Roman"/>
                <w:color w:val="000000" w:themeColor="text1"/>
                <w:sz w:val="16"/>
                <w:szCs w:val="16"/>
              </w:rPr>
            </w:pPr>
            <w:r w:rsidRPr="00D14CD7">
              <w:rPr>
                <w:rFonts w:eastAsia="Times New Roman"/>
                <w:color w:val="000000" w:themeColor="text1"/>
                <w:sz w:val="16"/>
                <w:szCs w:val="16"/>
              </w:rPr>
              <w:t>—</w:t>
            </w:r>
          </w:p>
        </w:tc>
        <w:tc>
          <w:tcPr>
            <w:tcW w:w="188" w:type="pct"/>
            <w:shd w:val="clear" w:color="auto" w:fill="auto"/>
            <w:noWrap/>
            <w:vAlign w:val="center"/>
            <w:hideMark/>
          </w:tcPr>
          <w:p w14:paraId="483A2B9B" w14:textId="77777777" w:rsidR="00BE151D" w:rsidRPr="00D14CD7" w:rsidRDefault="00BE151D" w:rsidP="00567BE9">
            <w:pPr>
              <w:spacing w:after="0" w:line="240" w:lineRule="auto"/>
              <w:jc w:val="right"/>
              <w:rPr>
                <w:rFonts w:eastAsia="Times New Roman"/>
                <w:color w:val="000000" w:themeColor="text1"/>
                <w:sz w:val="16"/>
                <w:szCs w:val="16"/>
              </w:rPr>
            </w:pPr>
            <w:r w:rsidRPr="00D14CD7">
              <w:rPr>
                <w:rFonts w:eastAsia="Times New Roman"/>
                <w:color w:val="000000" w:themeColor="text1"/>
                <w:sz w:val="16"/>
                <w:szCs w:val="16"/>
              </w:rPr>
              <w:t>—</w:t>
            </w:r>
          </w:p>
        </w:tc>
        <w:tc>
          <w:tcPr>
            <w:tcW w:w="188" w:type="pct"/>
            <w:shd w:val="clear" w:color="auto" w:fill="auto"/>
            <w:noWrap/>
            <w:vAlign w:val="center"/>
            <w:hideMark/>
          </w:tcPr>
          <w:p w14:paraId="7AA7A595" w14:textId="77777777" w:rsidR="00BE151D" w:rsidRPr="00D14CD7" w:rsidRDefault="00BE151D" w:rsidP="00567BE9">
            <w:pPr>
              <w:spacing w:after="0" w:line="240" w:lineRule="auto"/>
              <w:jc w:val="right"/>
              <w:rPr>
                <w:rFonts w:eastAsia="Times New Roman"/>
                <w:color w:val="000000" w:themeColor="text1"/>
                <w:sz w:val="16"/>
                <w:szCs w:val="16"/>
              </w:rPr>
            </w:pPr>
            <w:r w:rsidRPr="00D14CD7">
              <w:rPr>
                <w:rFonts w:eastAsia="Times New Roman"/>
                <w:color w:val="000000" w:themeColor="text1"/>
                <w:sz w:val="16"/>
                <w:szCs w:val="16"/>
              </w:rPr>
              <w:t>—</w:t>
            </w:r>
          </w:p>
        </w:tc>
        <w:tc>
          <w:tcPr>
            <w:tcW w:w="188" w:type="pct"/>
            <w:shd w:val="clear" w:color="auto" w:fill="auto"/>
            <w:noWrap/>
            <w:vAlign w:val="center"/>
            <w:hideMark/>
          </w:tcPr>
          <w:p w14:paraId="0C8841E3" w14:textId="77777777" w:rsidR="00BE151D" w:rsidRPr="00D14CD7" w:rsidRDefault="00BE151D" w:rsidP="00567BE9">
            <w:pPr>
              <w:spacing w:after="0" w:line="240" w:lineRule="auto"/>
              <w:jc w:val="right"/>
              <w:rPr>
                <w:rFonts w:eastAsia="Times New Roman"/>
                <w:color w:val="000000" w:themeColor="text1"/>
                <w:sz w:val="16"/>
                <w:szCs w:val="16"/>
              </w:rPr>
            </w:pPr>
            <w:r w:rsidRPr="00D14CD7">
              <w:rPr>
                <w:rFonts w:eastAsia="Times New Roman"/>
                <w:color w:val="000000" w:themeColor="text1"/>
                <w:sz w:val="16"/>
                <w:szCs w:val="16"/>
              </w:rPr>
              <w:t>—</w:t>
            </w:r>
          </w:p>
        </w:tc>
        <w:tc>
          <w:tcPr>
            <w:tcW w:w="188" w:type="pct"/>
            <w:shd w:val="clear" w:color="auto" w:fill="auto"/>
            <w:noWrap/>
            <w:vAlign w:val="center"/>
            <w:hideMark/>
          </w:tcPr>
          <w:p w14:paraId="62546593" w14:textId="77777777" w:rsidR="00BE151D" w:rsidRPr="00D14CD7" w:rsidRDefault="00BE151D" w:rsidP="00567BE9">
            <w:pPr>
              <w:spacing w:after="0" w:line="240" w:lineRule="auto"/>
              <w:jc w:val="right"/>
              <w:rPr>
                <w:rFonts w:eastAsia="Times New Roman"/>
                <w:color w:val="000000" w:themeColor="text1"/>
                <w:sz w:val="16"/>
                <w:szCs w:val="16"/>
              </w:rPr>
            </w:pPr>
            <w:r w:rsidRPr="00D14CD7">
              <w:rPr>
                <w:rFonts w:eastAsia="Times New Roman"/>
                <w:color w:val="000000" w:themeColor="text1"/>
                <w:sz w:val="16"/>
                <w:szCs w:val="16"/>
              </w:rPr>
              <w:t>—</w:t>
            </w:r>
          </w:p>
        </w:tc>
        <w:tc>
          <w:tcPr>
            <w:tcW w:w="188" w:type="pct"/>
            <w:shd w:val="clear" w:color="auto" w:fill="auto"/>
            <w:noWrap/>
            <w:vAlign w:val="center"/>
            <w:hideMark/>
          </w:tcPr>
          <w:p w14:paraId="5AC99683" w14:textId="77777777" w:rsidR="00BE151D" w:rsidRPr="00D14CD7" w:rsidRDefault="00BE151D" w:rsidP="00567BE9">
            <w:pPr>
              <w:spacing w:after="0" w:line="240" w:lineRule="auto"/>
              <w:jc w:val="right"/>
              <w:rPr>
                <w:rFonts w:eastAsia="Times New Roman"/>
                <w:color w:val="000000" w:themeColor="text1"/>
                <w:sz w:val="16"/>
                <w:szCs w:val="16"/>
              </w:rPr>
            </w:pPr>
            <w:r w:rsidRPr="00D14CD7">
              <w:rPr>
                <w:rFonts w:eastAsia="Times New Roman"/>
                <w:color w:val="000000" w:themeColor="text1"/>
                <w:sz w:val="16"/>
                <w:szCs w:val="16"/>
              </w:rPr>
              <w:t>—</w:t>
            </w:r>
          </w:p>
        </w:tc>
        <w:tc>
          <w:tcPr>
            <w:tcW w:w="159" w:type="pct"/>
            <w:tcBorders>
              <w:right w:val="double" w:sz="4" w:space="0" w:color="auto"/>
            </w:tcBorders>
            <w:shd w:val="clear" w:color="auto" w:fill="auto"/>
            <w:noWrap/>
            <w:vAlign w:val="center"/>
            <w:hideMark/>
          </w:tcPr>
          <w:p w14:paraId="029FFED4" w14:textId="77777777" w:rsidR="00BE151D" w:rsidRPr="00D14CD7" w:rsidRDefault="00BE151D" w:rsidP="00567BE9">
            <w:pPr>
              <w:spacing w:after="0" w:line="240" w:lineRule="auto"/>
              <w:jc w:val="right"/>
              <w:rPr>
                <w:rFonts w:eastAsia="Times New Roman"/>
                <w:color w:val="000000" w:themeColor="text1"/>
                <w:sz w:val="16"/>
                <w:szCs w:val="16"/>
              </w:rPr>
            </w:pPr>
            <w:r w:rsidRPr="00D14CD7">
              <w:rPr>
                <w:rFonts w:eastAsia="Times New Roman"/>
                <w:color w:val="000000" w:themeColor="text1"/>
                <w:sz w:val="16"/>
                <w:szCs w:val="16"/>
              </w:rPr>
              <w:t>—</w:t>
            </w:r>
          </w:p>
        </w:tc>
        <w:tc>
          <w:tcPr>
            <w:tcW w:w="189" w:type="pct"/>
            <w:tcBorders>
              <w:top w:val="single" w:sz="4" w:space="0" w:color="auto"/>
              <w:left w:val="double" w:sz="4" w:space="0" w:color="auto"/>
              <w:bottom w:val="single" w:sz="4" w:space="0" w:color="auto"/>
            </w:tcBorders>
            <w:shd w:val="clear" w:color="auto" w:fill="auto"/>
            <w:noWrap/>
            <w:vAlign w:val="center"/>
            <w:hideMark/>
          </w:tcPr>
          <w:p w14:paraId="4EFFB952" w14:textId="77777777" w:rsidR="00BE151D" w:rsidRPr="00D14CD7" w:rsidRDefault="00BE151D" w:rsidP="00567BE9">
            <w:pPr>
              <w:spacing w:after="0" w:line="240" w:lineRule="auto"/>
              <w:jc w:val="right"/>
              <w:rPr>
                <w:rFonts w:eastAsia="Times New Roman"/>
                <w:color w:val="000000" w:themeColor="text1"/>
                <w:sz w:val="16"/>
                <w:szCs w:val="16"/>
              </w:rPr>
            </w:pPr>
            <w:r w:rsidRPr="00D14CD7">
              <w:rPr>
                <w:rFonts w:eastAsia="Times New Roman"/>
                <w:color w:val="000000" w:themeColor="text1"/>
                <w:sz w:val="16"/>
                <w:szCs w:val="16"/>
              </w:rPr>
              <w:t>—</w:t>
            </w:r>
          </w:p>
        </w:tc>
        <w:tc>
          <w:tcPr>
            <w:tcW w:w="159" w:type="pct"/>
            <w:tcBorders>
              <w:top w:val="single" w:sz="4" w:space="0" w:color="auto"/>
              <w:bottom w:val="single" w:sz="4" w:space="0" w:color="auto"/>
            </w:tcBorders>
            <w:shd w:val="clear" w:color="auto" w:fill="auto"/>
            <w:noWrap/>
            <w:vAlign w:val="center"/>
            <w:hideMark/>
          </w:tcPr>
          <w:p w14:paraId="4375625F" w14:textId="77777777" w:rsidR="00BE151D" w:rsidRPr="00D14CD7" w:rsidRDefault="00BE151D" w:rsidP="00567BE9">
            <w:pPr>
              <w:spacing w:after="0" w:line="240" w:lineRule="auto"/>
              <w:jc w:val="right"/>
              <w:rPr>
                <w:rFonts w:eastAsia="Times New Roman"/>
                <w:color w:val="000000" w:themeColor="text1"/>
                <w:sz w:val="16"/>
                <w:szCs w:val="16"/>
              </w:rPr>
            </w:pPr>
            <w:r w:rsidRPr="00D14CD7">
              <w:rPr>
                <w:rFonts w:eastAsia="Times New Roman"/>
                <w:color w:val="000000" w:themeColor="text1"/>
                <w:sz w:val="16"/>
                <w:szCs w:val="16"/>
              </w:rPr>
              <w:t>—</w:t>
            </w:r>
          </w:p>
        </w:tc>
        <w:tc>
          <w:tcPr>
            <w:tcW w:w="187" w:type="pct"/>
            <w:tcBorders>
              <w:top w:val="single" w:sz="4" w:space="0" w:color="auto"/>
              <w:bottom w:val="single" w:sz="4" w:space="0" w:color="auto"/>
            </w:tcBorders>
            <w:shd w:val="clear" w:color="auto" w:fill="auto"/>
            <w:noWrap/>
            <w:vAlign w:val="center"/>
            <w:hideMark/>
          </w:tcPr>
          <w:p w14:paraId="094BB05B" w14:textId="77777777" w:rsidR="00BE151D" w:rsidRPr="00D14CD7" w:rsidRDefault="00BE151D" w:rsidP="00567BE9">
            <w:pPr>
              <w:spacing w:after="0" w:line="240" w:lineRule="auto"/>
              <w:jc w:val="right"/>
              <w:rPr>
                <w:rFonts w:eastAsia="Times New Roman"/>
                <w:color w:val="000000" w:themeColor="text1"/>
                <w:sz w:val="16"/>
                <w:szCs w:val="16"/>
              </w:rPr>
            </w:pPr>
            <w:r w:rsidRPr="00D14CD7">
              <w:rPr>
                <w:rFonts w:eastAsia="Times New Roman"/>
                <w:color w:val="000000" w:themeColor="text1"/>
                <w:sz w:val="16"/>
                <w:szCs w:val="16"/>
              </w:rPr>
              <w:t>—</w:t>
            </w:r>
          </w:p>
        </w:tc>
        <w:tc>
          <w:tcPr>
            <w:tcW w:w="188" w:type="pct"/>
            <w:tcBorders>
              <w:top w:val="single" w:sz="4" w:space="0" w:color="auto"/>
              <w:bottom w:val="single" w:sz="4" w:space="0" w:color="auto"/>
            </w:tcBorders>
            <w:shd w:val="clear" w:color="auto" w:fill="auto"/>
            <w:noWrap/>
            <w:vAlign w:val="center"/>
            <w:hideMark/>
          </w:tcPr>
          <w:p w14:paraId="37B93E5E" w14:textId="77777777" w:rsidR="00BE151D" w:rsidRPr="00D14CD7" w:rsidRDefault="00BE151D" w:rsidP="00567BE9">
            <w:pPr>
              <w:spacing w:after="0" w:line="240" w:lineRule="auto"/>
              <w:jc w:val="right"/>
              <w:rPr>
                <w:rFonts w:eastAsia="Times New Roman"/>
                <w:color w:val="000000" w:themeColor="text1"/>
                <w:sz w:val="16"/>
                <w:szCs w:val="16"/>
              </w:rPr>
            </w:pPr>
            <w:r w:rsidRPr="00D14CD7">
              <w:rPr>
                <w:rFonts w:eastAsia="Times New Roman"/>
                <w:color w:val="000000" w:themeColor="text1"/>
                <w:sz w:val="16"/>
                <w:szCs w:val="16"/>
              </w:rPr>
              <w:t>—</w:t>
            </w:r>
          </w:p>
        </w:tc>
        <w:tc>
          <w:tcPr>
            <w:tcW w:w="188" w:type="pct"/>
            <w:tcBorders>
              <w:top w:val="single" w:sz="4" w:space="0" w:color="auto"/>
              <w:bottom w:val="single" w:sz="4" w:space="0" w:color="auto"/>
            </w:tcBorders>
            <w:shd w:val="clear" w:color="auto" w:fill="auto"/>
            <w:noWrap/>
            <w:vAlign w:val="center"/>
            <w:hideMark/>
          </w:tcPr>
          <w:p w14:paraId="589A7589" w14:textId="77777777" w:rsidR="00BE151D" w:rsidRPr="00D14CD7" w:rsidRDefault="00BE151D" w:rsidP="00567BE9">
            <w:pPr>
              <w:spacing w:after="0" w:line="240" w:lineRule="auto"/>
              <w:jc w:val="right"/>
              <w:rPr>
                <w:rFonts w:eastAsia="Times New Roman"/>
                <w:color w:val="000000" w:themeColor="text1"/>
                <w:sz w:val="16"/>
                <w:szCs w:val="16"/>
              </w:rPr>
            </w:pPr>
            <w:r w:rsidRPr="00D14CD7">
              <w:rPr>
                <w:rFonts w:eastAsia="Times New Roman"/>
                <w:color w:val="000000" w:themeColor="text1"/>
                <w:sz w:val="16"/>
                <w:szCs w:val="16"/>
              </w:rPr>
              <w:t>—</w:t>
            </w:r>
          </w:p>
        </w:tc>
        <w:tc>
          <w:tcPr>
            <w:tcW w:w="170" w:type="pct"/>
            <w:tcBorders>
              <w:top w:val="single" w:sz="4" w:space="0" w:color="auto"/>
              <w:bottom w:val="single" w:sz="4" w:space="0" w:color="auto"/>
            </w:tcBorders>
            <w:shd w:val="clear" w:color="auto" w:fill="auto"/>
            <w:noWrap/>
            <w:vAlign w:val="center"/>
            <w:hideMark/>
          </w:tcPr>
          <w:p w14:paraId="389BFD5C" w14:textId="77777777" w:rsidR="00BE151D" w:rsidRPr="00D14CD7" w:rsidRDefault="00BE151D" w:rsidP="00567BE9">
            <w:pPr>
              <w:spacing w:after="0" w:line="240" w:lineRule="auto"/>
              <w:jc w:val="right"/>
              <w:rPr>
                <w:rFonts w:eastAsia="Times New Roman"/>
                <w:color w:val="000000" w:themeColor="text1"/>
                <w:sz w:val="16"/>
                <w:szCs w:val="16"/>
              </w:rPr>
            </w:pPr>
            <w:r w:rsidRPr="00D14CD7">
              <w:rPr>
                <w:rFonts w:eastAsia="Times New Roman"/>
                <w:color w:val="000000" w:themeColor="text1"/>
                <w:sz w:val="16"/>
                <w:szCs w:val="16"/>
              </w:rPr>
              <w:t>—</w:t>
            </w:r>
          </w:p>
        </w:tc>
        <w:tc>
          <w:tcPr>
            <w:tcW w:w="173" w:type="pct"/>
            <w:tcBorders>
              <w:top w:val="single" w:sz="4" w:space="0" w:color="auto"/>
              <w:bottom w:val="single" w:sz="4" w:space="0" w:color="auto"/>
            </w:tcBorders>
            <w:shd w:val="clear" w:color="auto" w:fill="auto"/>
            <w:noWrap/>
            <w:vAlign w:val="center"/>
            <w:hideMark/>
          </w:tcPr>
          <w:p w14:paraId="53537E2C" w14:textId="77777777" w:rsidR="00BE151D" w:rsidRPr="00D14CD7" w:rsidRDefault="00BE151D" w:rsidP="00567BE9">
            <w:pPr>
              <w:spacing w:after="0" w:line="240" w:lineRule="auto"/>
              <w:jc w:val="right"/>
              <w:rPr>
                <w:rFonts w:eastAsia="Times New Roman"/>
                <w:color w:val="000000" w:themeColor="text1"/>
                <w:sz w:val="16"/>
                <w:szCs w:val="16"/>
              </w:rPr>
            </w:pPr>
            <w:r w:rsidRPr="00D14CD7">
              <w:rPr>
                <w:rFonts w:eastAsia="Times New Roman"/>
                <w:color w:val="000000" w:themeColor="text1"/>
                <w:sz w:val="16"/>
                <w:szCs w:val="16"/>
              </w:rPr>
              <w:t>—</w:t>
            </w:r>
          </w:p>
        </w:tc>
        <w:tc>
          <w:tcPr>
            <w:tcW w:w="160" w:type="pct"/>
            <w:tcBorders>
              <w:top w:val="single" w:sz="4" w:space="0" w:color="auto"/>
              <w:bottom w:val="single" w:sz="4" w:space="0" w:color="auto"/>
              <w:right w:val="double" w:sz="4" w:space="0" w:color="auto"/>
            </w:tcBorders>
            <w:shd w:val="clear" w:color="auto" w:fill="auto"/>
            <w:noWrap/>
            <w:vAlign w:val="center"/>
            <w:hideMark/>
          </w:tcPr>
          <w:p w14:paraId="451C5053" w14:textId="77777777" w:rsidR="00BE151D" w:rsidRPr="00D14CD7" w:rsidRDefault="00BE151D" w:rsidP="00567BE9">
            <w:pPr>
              <w:spacing w:after="0" w:line="240" w:lineRule="auto"/>
              <w:jc w:val="right"/>
              <w:rPr>
                <w:rFonts w:eastAsia="Times New Roman"/>
                <w:color w:val="000000" w:themeColor="text1"/>
                <w:sz w:val="16"/>
                <w:szCs w:val="16"/>
              </w:rPr>
            </w:pPr>
            <w:r w:rsidRPr="00D14CD7">
              <w:rPr>
                <w:rFonts w:eastAsia="Times New Roman"/>
                <w:color w:val="000000" w:themeColor="text1"/>
                <w:sz w:val="16"/>
                <w:szCs w:val="16"/>
              </w:rPr>
              <w:t>—</w:t>
            </w:r>
          </w:p>
        </w:tc>
        <w:tc>
          <w:tcPr>
            <w:tcW w:w="186" w:type="pct"/>
            <w:tcBorders>
              <w:top w:val="single" w:sz="4" w:space="0" w:color="auto"/>
              <w:left w:val="double" w:sz="4" w:space="0" w:color="auto"/>
              <w:bottom w:val="single" w:sz="4" w:space="0" w:color="auto"/>
            </w:tcBorders>
            <w:shd w:val="clear" w:color="auto" w:fill="auto"/>
            <w:noWrap/>
            <w:vAlign w:val="bottom"/>
          </w:tcPr>
          <w:p w14:paraId="6A426108" w14:textId="77777777" w:rsidR="00BE151D" w:rsidRPr="00D14CD7" w:rsidRDefault="00BE151D" w:rsidP="00567BE9">
            <w:pPr>
              <w:spacing w:after="0" w:line="240" w:lineRule="auto"/>
              <w:jc w:val="right"/>
              <w:rPr>
                <w:rFonts w:eastAsia="Times New Roman"/>
                <w:color w:val="000000" w:themeColor="text1"/>
                <w:sz w:val="16"/>
                <w:szCs w:val="16"/>
              </w:rPr>
            </w:pPr>
            <w:r w:rsidRPr="00D14CD7">
              <w:rPr>
                <w:color w:val="000000" w:themeColor="text1"/>
                <w:sz w:val="16"/>
                <w:szCs w:val="16"/>
              </w:rPr>
              <w:t>-8.208</w:t>
            </w:r>
          </w:p>
        </w:tc>
        <w:tc>
          <w:tcPr>
            <w:tcW w:w="152" w:type="pct"/>
            <w:tcBorders>
              <w:top w:val="single" w:sz="4" w:space="0" w:color="auto"/>
              <w:bottom w:val="single" w:sz="4" w:space="0" w:color="auto"/>
            </w:tcBorders>
            <w:shd w:val="clear" w:color="auto" w:fill="auto"/>
            <w:noWrap/>
            <w:vAlign w:val="bottom"/>
          </w:tcPr>
          <w:p w14:paraId="0F916ACB" w14:textId="77777777" w:rsidR="00BE151D" w:rsidRPr="00D14CD7" w:rsidRDefault="00BE151D" w:rsidP="00567BE9">
            <w:pPr>
              <w:spacing w:after="0" w:line="240" w:lineRule="auto"/>
              <w:jc w:val="right"/>
              <w:rPr>
                <w:rFonts w:eastAsia="Times New Roman"/>
                <w:color w:val="000000" w:themeColor="text1"/>
                <w:sz w:val="16"/>
                <w:szCs w:val="16"/>
              </w:rPr>
            </w:pPr>
            <w:r w:rsidRPr="00D14CD7">
              <w:rPr>
                <w:color w:val="000000" w:themeColor="text1"/>
                <w:sz w:val="16"/>
                <w:szCs w:val="16"/>
              </w:rPr>
              <w:t>-7.32</w:t>
            </w:r>
          </w:p>
        </w:tc>
      </w:tr>
      <w:tr w:rsidR="00D14CD7" w:rsidRPr="00D14CD7" w14:paraId="610E3C19" w14:textId="77777777" w:rsidTr="00AC40E4">
        <w:trPr>
          <w:trHeight w:val="72"/>
        </w:trPr>
        <w:tc>
          <w:tcPr>
            <w:tcW w:w="1719" w:type="pct"/>
            <w:tcBorders>
              <w:top w:val="single" w:sz="4" w:space="0" w:color="auto"/>
              <w:bottom w:val="single" w:sz="8" w:space="0" w:color="auto"/>
              <w:right w:val="double" w:sz="4" w:space="0" w:color="auto"/>
            </w:tcBorders>
            <w:shd w:val="clear" w:color="auto" w:fill="auto"/>
            <w:noWrap/>
            <w:vAlign w:val="center"/>
            <w:hideMark/>
          </w:tcPr>
          <w:p w14:paraId="0A26E0A0" w14:textId="77777777" w:rsidR="00BE151D" w:rsidRPr="00D14CD7" w:rsidRDefault="00BE151D" w:rsidP="00567BE9">
            <w:pPr>
              <w:spacing w:after="0" w:line="240" w:lineRule="auto"/>
              <w:ind w:firstLineChars="100" w:firstLine="160"/>
              <w:rPr>
                <w:rFonts w:eastAsia="Times New Roman"/>
                <w:color w:val="000000" w:themeColor="text1"/>
                <w:sz w:val="16"/>
                <w:szCs w:val="16"/>
              </w:rPr>
            </w:pPr>
            <w:r w:rsidRPr="00D14CD7">
              <w:rPr>
                <w:rFonts w:eastAsia="Times New Roman"/>
                <w:color w:val="000000" w:themeColor="text1"/>
                <w:sz w:val="16"/>
                <w:szCs w:val="16"/>
              </w:rPr>
              <w:t>20 | 21</w:t>
            </w:r>
          </w:p>
        </w:tc>
        <w:tc>
          <w:tcPr>
            <w:tcW w:w="217" w:type="pct"/>
            <w:tcBorders>
              <w:left w:val="double" w:sz="4" w:space="0" w:color="auto"/>
              <w:bottom w:val="single" w:sz="8" w:space="0" w:color="auto"/>
            </w:tcBorders>
            <w:shd w:val="clear" w:color="auto" w:fill="auto"/>
            <w:noWrap/>
            <w:vAlign w:val="center"/>
            <w:hideMark/>
          </w:tcPr>
          <w:p w14:paraId="10840DC1" w14:textId="77777777" w:rsidR="00BE151D" w:rsidRPr="00D14CD7" w:rsidRDefault="00BE151D" w:rsidP="00567BE9">
            <w:pPr>
              <w:spacing w:after="0" w:line="240" w:lineRule="auto"/>
              <w:jc w:val="right"/>
              <w:rPr>
                <w:rFonts w:eastAsia="Times New Roman"/>
                <w:color w:val="000000" w:themeColor="text1"/>
                <w:sz w:val="16"/>
                <w:szCs w:val="16"/>
              </w:rPr>
            </w:pPr>
            <w:r w:rsidRPr="00D14CD7">
              <w:rPr>
                <w:rFonts w:eastAsia="Times New Roman"/>
                <w:color w:val="000000" w:themeColor="text1"/>
                <w:sz w:val="16"/>
                <w:szCs w:val="16"/>
              </w:rPr>
              <w:t>—</w:t>
            </w:r>
          </w:p>
        </w:tc>
        <w:tc>
          <w:tcPr>
            <w:tcW w:w="213" w:type="pct"/>
            <w:tcBorders>
              <w:bottom w:val="single" w:sz="8" w:space="0" w:color="auto"/>
            </w:tcBorders>
            <w:shd w:val="clear" w:color="auto" w:fill="auto"/>
            <w:noWrap/>
            <w:vAlign w:val="center"/>
            <w:hideMark/>
          </w:tcPr>
          <w:p w14:paraId="35105E5C" w14:textId="77777777" w:rsidR="00BE151D" w:rsidRPr="00D14CD7" w:rsidRDefault="00BE151D" w:rsidP="00567BE9">
            <w:pPr>
              <w:spacing w:after="0" w:line="240" w:lineRule="auto"/>
              <w:jc w:val="right"/>
              <w:rPr>
                <w:rFonts w:eastAsia="Times New Roman"/>
                <w:color w:val="000000" w:themeColor="text1"/>
                <w:sz w:val="16"/>
                <w:szCs w:val="16"/>
              </w:rPr>
            </w:pPr>
            <w:r w:rsidRPr="00D14CD7">
              <w:rPr>
                <w:rFonts w:eastAsia="Times New Roman"/>
                <w:color w:val="000000" w:themeColor="text1"/>
                <w:sz w:val="16"/>
                <w:szCs w:val="16"/>
              </w:rPr>
              <w:t>—</w:t>
            </w:r>
          </w:p>
        </w:tc>
        <w:tc>
          <w:tcPr>
            <w:tcW w:w="188" w:type="pct"/>
            <w:tcBorders>
              <w:bottom w:val="single" w:sz="8" w:space="0" w:color="auto"/>
            </w:tcBorders>
            <w:shd w:val="clear" w:color="auto" w:fill="auto"/>
            <w:noWrap/>
            <w:vAlign w:val="center"/>
            <w:hideMark/>
          </w:tcPr>
          <w:p w14:paraId="5000C092" w14:textId="77777777" w:rsidR="00BE151D" w:rsidRPr="00D14CD7" w:rsidRDefault="00BE151D" w:rsidP="00567BE9">
            <w:pPr>
              <w:spacing w:after="0" w:line="240" w:lineRule="auto"/>
              <w:jc w:val="right"/>
              <w:rPr>
                <w:rFonts w:eastAsia="Times New Roman"/>
                <w:color w:val="000000" w:themeColor="text1"/>
                <w:sz w:val="16"/>
                <w:szCs w:val="16"/>
              </w:rPr>
            </w:pPr>
            <w:r w:rsidRPr="00D14CD7">
              <w:rPr>
                <w:rFonts w:eastAsia="Times New Roman"/>
                <w:color w:val="000000" w:themeColor="text1"/>
                <w:sz w:val="16"/>
                <w:szCs w:val="16"/>
              </w:rPr>
              <w:t>—</w:t>
            </w:r>
          </w:p>
        </w:tc>
        <w:tc>
          <w:tcPr>
            <w:tcW w:w="188" w:type="pct"/>
            <w:tcBorders>
              <w:bottom w:val="single" w:sz="8" w:space="0" w:color="auto"/>
            </w:tcBorders>
            <w:shd w:val="clear" w:color="auto" w:fill="auto"/>
            <w:noWrap/>
            <w:vAlign w:val="center"/>
            <w:hideMark/>
          </w:tcPr>
          <w:p w14:paraId="47E87003" w14:textId="77777777" w:rsidR="00BE151D" w:rsidRPr="00D14CD7" w:rsidRDefault="00BE151D" w:rsidP="00567BE9">
            <w:pPr>
              <w:spacing w:after="0" w:line="240" w:lineRule="auto"/>
              <w:jc w:val="right"/>
              <w:rPr>
                <w:rFonts w:eastAsia="Times New Roman"/>
                <w:color w:val="000000" w:themeColor="text1"/>
                <w:sz w:val="16"/>
                <w:szCs w:val="16"/>
              </w:rPr>
            </w:pPr>
            <w:r w:rsidRPr="00D14CD7">
              <w:rPr>
                <w:rFonts w:eastAsia="Times New Roman"/>
                <w:color w:val="000000" w:themeColor="text1"/>
                <w:sz w:val="16"/>
                <w:szCs w:val="16"/>
              </w:rPr>
              <w:t>—</w:t>
            </w:r>
          </w:p>
        </w:tc>
        <w:tc>
          <w:tcPr>
            <w:tcW w:w="188" w:type="pct"/>
            <w:tcBorders>
              <w:bottom w:val="single" w:sz="8" w:space="0" w:color="auto"/>
            </w:tcBorders>
            <w:shd w:val="clear" w:color="auto" w:fill="auto"/>
            <w:noWrap/>
            <w:vAlign w:val="center"/>
            <w:hideMark/>
          </w:tcPr>
          <w:p w14:paraId="3B1E0E2A" w14:textId="77777777" w:rsidR="00BE151D" w:rsidRPr="00D14CD7" w:rsidRDefault="00BE151D" w:rsidP="00567BE9">
            <w:pPr>
              <w:spacing w:after="0" w:line="240" w:lineRule="auto"/>
              <w:jc w:val="right"/>
              <w:rPr>
                <w:rFonts w:eastAsia="Times New Roman"/>
                <w:color w:val="000000" w:themeColor="text1"/>
                <w:sz w:val="16"/>
                <w:szCs w:val="16"/>
              </w:rPr>
            </w:pPr>
            <w:r w:rsidRPr="00D14CD7">
              <w:rPr>
                <w:rFonts w:eastAsia="Times New Roman"/>
                <w:color w:val="000000" w:themeColor="text1"/>
                <w:sz w:val="16"/>
                <w:szCs w:val="16"/>
              </w:rPr>
              <w:t>—</w:t>
            </w:r>
          </w:p>
        </w:tc>
        <w:tc>
          <w:tcPr>
            <w:tcW w:w="188" w:type="pct"/>
            <w:tcBorders>
              <w:bottom w:val="single" w:sz="8" w:space="0" w:color="auto"/>
            </w:tcBorders>
            <w:shd w:val="clear" w:color="auto" w:fill="auto"/>
            <w:noWrap/>
            <w:vAlign w:val="center"/>
            <w:hideMark/>
          </w:tcPr>
          <w:p w14:paraId="0B122A64" w14:textId="77777777" w:rsidR="00BE151D" w:rsidRPr="00D14CD7" w:rsidRDefault="00BE151D" w:rsidP="00567BE9">
            <w:pPr>
              <w:spacing w:after="0" w:line="240" w:lineRule="auto"/>
              <w:jc w:val="right"/>
              <w:rPr>
                <w:rFonts w:eastAsia="Times New Roman"/>
                <w:color w:val="000000" w:themeColor="text1"/>
                <w:sz w:val="16"/>
                <w:szCs w:val="16"/>
              </w:rPr>
            </w:pPr>
            <w:r w:rsidRPr="00D14CD7">
              <w:rPr>
                <w:rFonts w:eastAsia="Times New Roman"/>
                <w:color w:val="000000" w:themeColor="text1"/>
                <w:sz w:val="16"/>
                <w:szCs w:val="16"/>
              </w:rPr>
              <w:t>—</w:t>
            </w:r>
          </w:p>
        </w:tc>
        <w:tc>
          <w:tcPr>
            <w:tcW w:w="188" w:type="pct"/>
            <w:tcBorders>
              <w:bottom w:val="single" w:sz="8" w:space="0" w:color="auto"/>
            </w:tcBorders>
            <w:shd w:val="clear" w:color="auto" w:fill="auto"/>
            <w:noWrap/>
            <w:vAlign w:val="center"/>
            <w:hideMark/>
          </w:tcPr>
          <w:p w14:paraId="52F0FC98" w14:textId="77777777" w:rsidR="00BE151D" w:rsidRPr="00D14CD7" w:rsidRDefault="00BE151D" w:rsidP="00567BE9">
            <w:pPr>
              <w:spacing w:after="0" w:line="240" w:lineRule="auto"/>
              <w:jc w:val="right"/>
              <w:rPr>
                <w:rFonts w:eastAsia="Times New Roman"/>
                <w:color w:val="000000" w:themeColor="text1"/>
                <w:sz w:val="16"/>
                <w:szCs w:val="16"/>
              </w:rPr>
            </w:pPr>
            <w:r w:rsidRPr="00D14CD7">
              <w:rPr>
                <w:rFonts w:eastAsia="Times New Roman"/>
                <w:color w:val="000000" w:themeColor="text1"/>
                <w:sz w:val="16"/>
                <w:szCs w:val="16"/>
              </w:rPr>
              <w:t>—</w:t>
            </w:r>
          </w:p>
        </w:tc>
        <w:tc>
          <w:tcPr>
            <w:tcW w:w="159" w:type="pct"/>
            <w:tcBorders>
              <w:bottom w:val="single" w:sz="8" w:space="0" w:color="auto"/>
              <w:right w:val="double" w:sz="4" w:space="0" w:color="auto"/>
            </w:tcBorders>
            <w:shd w:val="clear" w:color="auto" w:fill="auto"/>
            <w:noWrap/>
            <w:vAlign w:val="center"/>
            <w:hideMark/>
          </w:tcPr>
          <w:p w14:paraId="02172AE4" w14:textId="77777777" w:rsidR="00BE151D" w:rsidRPr="00D14CD7" w:rsidRDefault="00BE151D" w:rsidP="00567BE9">
            <w:pPr>
              <w:spacing w:after="0" w:line="240" w:lineRule="auto"/>
              <w:jc w:val="right"/>
              <w:rPr>
                <w:rFonts w:eastAsia="Times New Roman"/>
                <w:color w:val="000000" w:themeColor="text1"/>
                <w:sz w:val="16"/>
                <w:szCs w:val="16"/>
              </w:rPr>
            </w:pPr>
            <w:r w:rsidRPr="00D14CD7">
              <w:rPr>
                <w:rFonts w:eastAsia="Times New Roman"/>
                <w:color w:val="000000" w:themeColor="text1"/>
                <w:sz w:val="16"/>
                <w:szCs w:val="16"/>
              </w:rPr>
              <w:t>—</w:t>
            </w:r>
          </w:p>
        </w:tc>
        <w:tc>
          <w:tcPr>
            <w:tcW w:w="189" w:type="pct"/>
            <w:tcBorders>
              <w:top w:val="single" w:sz="4" w:space="0" w:color="auto"/>
              <w:left w:val="double" w:sz="4" w:space="0" w:color="auto"/>
              <w:bottom w:val="single" w:sz="8" w:space="0" w:color="auto"/>
            </w:tcBorders>
            <w:shd w:val="clear" w:color="auto" w:fill="auto"/>
            <w:noWrap/>
            <w:vAlign w:val="center"/>
            <w:hideMark/>
          </w:tcPr>
          <w:p w14:paraId="4DD50DDF" w14:textId="77777777" w:rsidR="00BE151D" w:rsidRPr="00D14CD7" w:rsidRDefault="00BE151D" w:rsidP="00567BE9">
            <w:pPr>
              <w:spacing w:after="0" w:line="240" w:lineRule="auto"/>
              <w:jc w:val="right"/>
              <w:rPr>
                <w:rFonts w:eastAsia="Times New Roman"/>
                <w:color w:val="000000" w:themeColor="text1"/>
                <w:sz w:val="16"/>
                <w:szCs w:val="16"/>
              </w:rPr>
            </w:pPr>
            <w:r w:rsidRPr="00D14CD7">
              <w:rPr>
                <w:rFonts w:eastAsia="Times New Roman"/>
                <w:color w:val="000000" w:themeColor="text1"/>
                <w:sz w:val="16"/>
                <w:szCs w:val="16"/>
              </w:rPr>
              <w:t>—</w:t>
            </w:r>
          </w:p>
        </w:tc>
        <w:tc>
          <w:tcPr>
            <w:tcW w:w="159" w:type="pct"/>
            <w:tcBorders>
              <w:top w:val="single" w:sz="4" w:space="0" w:color="auto"/>
              <w:bottom w:val="single" w:sz="8" w:space="0" w:color="auto"/>
            </w:tcBorders>
            <w:shd w:val="clear" w:color="auto" w:fill="auto"/>
            <w:noWrap/>
            <w:vAlign w:val="center"/>
            <w:hideMark/>
          </w:tcPr>
          <w:p w14:paraId="018201D4" w14:textId="77777777" w:rsidR="00BE151D" w:rsidRPr="00D14CD7" w:rsidRDefault="00BE151D" w:rsidP="00567BE9">
            <w:pPr>
              <w:spacing w:after="0" w:line="240" w:lineRule="auto"/>
              <w:jc w:val="right"/>
              <w:rPr>
                <w:rFonts w:eastAsia="Times New Roman"/>
                <w:color w:val="000000" w:themeColor="text1"/>
                <w:sz w:val="16"/>
                <w:szCs w:val="16"/>
              </w:rPr>
            </w:pPr>
            <w:r w:rsidRPr="00D14CD7">
              <w:rPr>
                <w:rFonts w:eastAsia="Times New Roman"/>
                <w:color w:val="000000" w:themeColor="text1"/>
                <w:sz w:val="16"/>
                <w:szCs w:val="16"/>
              </w:rPr>
              <w:t>—</w:t>
            </w:r>
          </w:p>
        </w:tc>
        <w:tc>
          <w:tcPr>
            <w:tcW w:w="187" w:type="pct"/>
            <w:tcBorders>
              <w:top w:val="single" w:sz="4" w:space="0" w:color="auto"/>
              <w:bottom w:val="single" w:sz="8" w:space="0" w:color="auto"/>
            </w:tcBorders>
            <w:shd w:val="clear" w:color="auto" w:fill="auto"/>
            <w:noWrap/>
            <w:vAlign w:val="center"/>
            <w:hideMark/>
          </w:tcPr>
          <w:p w14:paraId="738CD603" w14:textId="77777777" w:rsidR="00BE151D" w:rsidRPr="00D14CD7" w:rsidRDefault="00BE151D" w:rsidP="00567BE9">
            <w:pPr>
              <w:spacing w:after="0" w:line="240" w:lineRule="auto"/>
              <w:jc w:val="right"/>
              <w:rPr>
                <w:rFonts w:eastAsia="Times New Roman"/>
                <w:color w:val="000000" w:themeColor="text1"/>
                <w:sz w:val="16"/>
                <w:szCs w:val="16"/>
              </w:rPr>
            </w:pPr>
            <w:r w:rsidRPr="00D14CD7">
              <w:rPr>
                <w:rFonts w:eastAsia="Times New Roman"/>
                <w:color w:val="000000" w:themeColor="text1"/>
                <w:sz w:val="16"/>
                <w:szCs w:val="16"/>
              </w:rPr>
              <w:t>—</w:t>
            </w:r>
          </w:p>
        </w:tc>
        <w:tc>
          <w:tcPr>
            <w:tcW w:w="188" w:type="pct"/>
            <w:tcBorders>
              <w:top w:val="single" w:sz="4" w:space="0" w:color="auto"/>
              <w:bottom w:val="single" w:sz="8" w:space="0" w:color="auto"/>
            </w:tcBorders>
            <w:shd w:val="clear" w:color="auto" w:fill="auto"/>
            <w:noWrap/>
            <w:vAlign w:val="center"/>
            <w:hideMark/>
          </w:tcPr>
          <w:p w14:paraId="7CFB338A" w14:textId="77777777" w:rsidR="00BE151D" w:rsidRPr="00D14CD7" w:rsidRDefault="00BE151D" w:rsidP="00567BE9">
            <w:pPr>
              <w:spacing w:after="0" w:line="240" w:lineRule="auto"/>
              <w:jc w:val="right"/>
              <w:rPr>
                <w:rFonts w:eastAsia="Times New Roman"/>
                <w:color w:val="000000" w:themeColor="text1"/>
                <w:sz w:val="16"/>
                <w:szCs w:val="16"/>
              </w:rPr>
            </w:pPr>
            <w:r w:rsidRPr="00D14CD7">
              <w:rPr>
                <w:rFonts w:eastAsia="Times New Roman"/>
                <w:color w:val="000000" w:themeColor="text1"/>
                <w:sz w:val="16"/>
                <w:szCs w:val="16"/>
              </w:rPr>
              <w:t>—</w:t>
            </w:r>
          </w:p>
        </w:tc>
        <w:tc>
          <w:tcPr>
            <w:tcW w:w="188" w:type="pct"/>
            <w:tcBorders>
              <w:top w:val="single" w:sz="4" w:space="0" w:color="auto"/>
              <w:bottom w:val="single" w:sz="8" w:space="0" w:color="auto"/>
            </w:tcBorders>
            <w:shd w:val="clear" w:color="auto" w:fill="auto"/>
            <w:noWrap/>
            <w:vAlign w:val="center"/>
            <w:hideMark/>
          </w:tcPr>
          <w:p w14:paraId="4BF523A7" w14:textId="77777777" w:rsidR="00BE151D" w:rsidRPr="00D14CD7" w:rsidRDefault="00BE151D" w:rsidP="00567BE9">
            <w:pPr>
              <w:spacing w:after="0" w:line="240" w:lineRule="auto"/>
              <w:jc w:val="right"/>
              <w:rPr>
                <w:rFonts w:eastAsia="Times New Roman"/>
                <w:color w:val="000000" w:themeColor="text1"/>
                <w:sz w:val="16"/>
                <w:szCs w:val="16"/>
              </w:rPr>
            </w:pPr>
            <w:r w:rsidRPr="00D14CD7">
              <w:rPr>
                <w:rFonts w:eastAsia="Times New Roman"/>
                <w:color w:val="000000" w:themeColor="text1"/>
                <w:sz w:val="16"/>
                <w:szCs w:val="16"/>
              </w:rPr>
              <w:t>—</w:t>
            </w:r>
          </w:p>
        </w:tc>
        <w:tc>
          <w:tcPr>
            <w:tcW w:w="170" w:type="pct"/>
            <w:tcBorders>
              <w:top w:val="single" w:sz="4" w:space="0" w:color="auto"/>
              <w:bottom w:val="single" w:sz="8" w:space="0" w:color="auto"/>
            </w:tcBorders>
            <w:shd w:val="clear" w:color="auto" w:fill="auto"/>
            <w:noWrap/>
            <w:vAlign w:val="center"/>
            <w:hideMark/>
          </w:tcPr>
          <w:p w14:paraId="16659483" w14:textId="77777777" w:rsidR="00BE151D" w:rsidRPr="00D14CD7" w:rsidRDefault="00BE151D" w:rsidP="00567BE9">
            <w:pPr>
              <w:spacing w:after="0" w:line="240" w:lineRule="auto"/>
              <w:jc w:val="right"/>
              <w:rPr>
                <w:rFonts w:eastAsia="Times New Roman"/>
                <w:color w:val="000000" w:themeColor="text1"/>
                <w:sz w:val="16"/>
                <w:szCs w:val="16"/>
              </w:rPr>
            </w:pPr>
            <w:r w:rsidRPr="00D14CD7">
              <w:rPr>
                <w:rFonts w:eastAsia="Times New Roman"/>
                <w:color w:val="000000" w:themeColor="text1"/>
                <w:sz w:val="16"/>
                <w:szCs w:val="16"/>
              </w:rPr>
              <w:t>—</w:t>
            </w:r>
          </w:p>
        </w:tc>
        <w:tc>
          <w:tcPr>
            <w:tcW w:w="173" w:type="pct"/>
            <w:tcBorders>
              <w:top w:val="single" w:sz="4" w:space="0" w:color="auto"/>
              <w:bottom w:val="single" w:sz="8" w:space="0" w:color="auto"/>
            </w:tcBorders>
            <w:shd w:val="clear" w:color="auto" w:fill="auto"/>
            <w:noWrap/>
            <w:vAlign w:val="center"/>
            <w:hideMark/>
          </w:tcPr>
          <w:p w14:paraId="51FF2D12" w14:textId="77777777" w:rsidR="00BE151D" w:rsidRPr="00D14CD7" w:rsidRDefault="00BE151D" w:rsidP="00567BE9">
            <w:pPr>
              <w:spacing w:after="0" w:line="240" w:lineRule="auto"/>
              <w:jc w:val="right"/>
              <w:rPr>
                <w:rFonts w:eastAsia="Times New Roman"/>
                <w:color w:val="000000" w:themeColor="text1"/>
                <w:sz w:val="16"/>
                <w:szCs w:val="16"/>
              </w:rPr>
            </w:pPr>
            <w:r w:rsidRPr="00D14CD7">
              <w:rPr>
                <w:rFonts w:eastAsia="Times New Roman"/>
                <w:color w:val="000000" w:themeColor="text1"/>
                <w:sz w:val="16"/>
                <w:szCs w:val="16"/>
              </w:rPr>
              <w:t>—</w:t>
            </w:r>
          </w:p>
        </w:tc>
        <w:tc>
          <w:tcPr>
            <w:tcW w:w="160" w:type="pct"/>
            <w:tcBorders>
              <w:top w:val="single" w:sz="4" w:space="0" w:color="auto"/>
              <w:bottom w:val="single" w:sz="8" w:space="0" w:color="auto"/>
              <w:right w:val="double" w:sz="4" w:space="0" w:color="auto"/>
            </w:tcBorders>
            <w:shd w:val="clear" w:color="auto" w:fill="auto"/>
            <w:noWrap/>
            <w:vAlign w:val="center"/>
            <w:hideMark/>
          </w:tcPr>
          <w:p w14:paraId="4570F051" w14:textId="77777777" w:rsidR="00BE151D" w:rsidRPr="00D14CD7" w:rsidRDefault="00BE151D" w:rsidP="00567BE9">
            <w:pPr>
              <w:spacing w:after="0" w:line="240" w:lineRule="auto"/>
              <w:jc w:val="right"/>
              <w:rPr>
                <w:rFonts w:eastAsia="Times New Roman"/>
                <w:color w:val="000000" w:themeColor="text1"/>
                <w:sz w:val="16"/>
                <w:szCs w:val="16"/>
              </w:rPr>
            </w:pPr>
            <w:r w:rsidRPr="00D14CD7">
              <w:rPr>
                <w:rFonts w:eastAsia="Times New Roman"/>
                <w:color w:val="000000" w:themeColor="text1"/>
                <w:sz w:val="16"/>
                <w:szCs w:val="16"/>
              </w:rPr>
              <w:t>—</w:t>
            </w:r>
          </w:p>
        </w:tc>
        <w:tc>
          <w:tcPr>
            <w:tcW w:w="186" w:type="pct"/>
            <w:tcBorders>
              <w:top w:val="single" w:sz="4" w:space="0" w:color="auto"/>
              <w:left w:val="double" w:sz="4" w:space="0" w:color="auto"/>
              <w:bottom w:val="single" w:sz="8" w:space="0" w:color="auto"/>
            </w:tcBorders>
            <w:shd w:val="clear" w:color="auto" w:fill="auto"/>
            <w:noWrap/>
            <w:vAlign w:val="bottom"/>
          </w:tcPr>
          <w:p w14:paraId="18C03908" w14:textId="77777777" w:rsidR="00BE151D" w:rsidRPr="00D14CD7" w:rsidRDefault="00BE151D" w:rsidP="00567BE9">
            <w:pPr>
              <w:spacing w:after="0" w:line="240" w:lineRule="auto"/>
              <w:jc w:val="right"/>
              <w:rPr>
                <w:rFonts w:eastAsia="Times New Roman"/>
                <w:color w:val="000000" w:themeColor="text1"/>
                <w:sz w:val="16"/>
                <w:szCs w:val="16"/>
              </w:rPr>
            </w:pPr>
            <w:r w:rsidRPr="00D14CD7">
              <w:rPr>
                <w:color w:val="000000" w:themeColor="text1"/>
                <w:sz w:val="16"/>
                <w:szCs w:val="16"/>
              </w:rPr>
              <w:t>0.717</w:t>
            </w:r>
          </w:p>
        </w:tc>
        <w:tc>
          <w:tcPr>
            <w:tcW w:w="152" w:type="pct"/>
            <w:tcBorders>
              <w:top w:val="single" w:sz="4" w:space="0" w:color="auto"/>
              <w:bottom w:val="single" w:sz="8" w:space="0" w:color="auto"/>
            </w:tcBorders>
            <w:shd w:val="clear" w:color="auto" w:fill="auto"/>
            <w:noWrap/>
            <w:vAlign w:val="bottom"/>
          </w:tcPr>
          <w:p w14:paraId="2158A713" w14:textId="77777777" w:rsidR="00BE151D" w:rsidRPr="00D14CD7" w:rsidRDefault="00BE151D" w:rsidP="00567BE9">
            <w:pPr>
              <w:spacing w:after="0" w:line="240" w:lineRule="auto"/>
              <w:jc w:val="right"/>
              <w:rPr>
                <w:rFonts w:eastAsia="Times New Roman"/>
                <w:color w:val="000000" w:themeColor="text1"/>
                <w:sz w:val="16"/>
                <w:szCs w:val="16"/>
              </w:rPr>
            </w:pPr>
            <w:r w:rsidRPr="00D14CD7">
              <w:rPr>
                <w:color w:val="000000" w:themeColor="text1"/>
                <w:sz w:val="16"/>
                <w:szCs w:val="16"/>
              </w:rPr>
              <w:t>1.87</w:t>
            </w:r>
          </w:p>
        </w:tc>
      </w:tr>
      <w:tr w:rsidR="00AC40E4" w:rsidRPr="00D14CD7" w14:paraId="28C50982" w14:textId="77777777" w:rsidTr="00013D25">
        <w:trPr>
          <w:trHeight w:val="72"/>
        </w:trPr>
        <w:tc>
          <w:tcPr>
            <w:tcW w:w="5000" w:type="pct"/>
            <w:gridSpan w:val="19"/>
            <w:tcBorders>
              <w:top w:val="single" w:sz="8" w:space="0" w:color="auto"/>
              <w:bottom w:val="single" w:sz="8" w:space="0" w:color="auto"/>
            </w:tcBorders>
            <w:shd w:val="clear" w:color="auto" w:fill="auto"/>
            <w:noWrap/>
            <w:vAlign w:val="center"/>
          </w:tcPr>
          <w:p w14:paraId="3576C735" w14:textId="77777777" w:rsidR="00AC40E4" w:rsidRPr="00D14CD7" w:rsidRDefault="00AC40E4" w:rsidP="00013D25">
            <w:pPr>
              <w:spacing w:after="0" w:line="240" w:lineRule="auto"/>
              <w:rPr>
                <w:color w:val="000000" w:themeColor="text1"/>
                <w:sz w:val="16"/>
                <w:szCs w:val="16"/>
              </w:rPr>
            </w:pPr>
            <w:r w:rsidRPr="006819D4">
              <w:rPr>
                <w:rFonts w:eastAsia="Times New Roman"/>
                <w:b/>
                <w:bCs/>
                <w:color w:val="000000" w:themeColor="text1"/>
                <w:sz w:val="16"/>
                <w:szCs w:val="16"/>
              </w:rPr>
              <w:t>Goodness of Fit</w:t>
            </w:r>
          </w:p>
        </w:tc>
      </w:tr>
      <w:tr w:rsidR="00AC40E4" w:rsidRPr="00D14CD7" w14:paraId="46FCC801" w14:textId="77777777" w:rsidTr="00013D25">
        <w:trPr>
          <w:trHeight w:val="72"/>
        </w:trPr>
        <w:tc>
          <w:tcPr>
            <w:tcW w:w="1719" w:type="pct"/>
            <w:tcBorders>
              <w:top w:val="single" w:sz="8" w:space="0" w:color="auto"/>
              <w:bottom w:val="single" w:sz="4" w:space="0" w:color="auto"/>
              <w:right w:val="double" w:sz="4" w:space="0" w:color="auto"/>
            </w:tcBorders>
            <w:shd w:val="clear" w:color="auto" w:fill="auto"/>
            <w:noWrap/>
            <w:vAlign w:val="center"/>
          </w:tcPr>
          <w:p w14:paraId="2A0A7E1E" w14:textId="77777777" w:rsidR="00AC40E4" w:rsidRPr="006819D4" w:rsidRDefault="00AC40E4" w:rsidP="008D36F7">
            <w:pPr>
              <w:spacing w:after="0" w:line="240" w:lineRule="auto"/>
              <w:ind w:firstLineChars="100" w:firstLine="160"/>
              <w:jc w:val="left"/>
              <w:rPr>
                <w:rFonts w:eastAsia="Times New Roman"/>
                <w:color w:val="000000" w:themeColor="text1"/>
                <w:sz w:val="16"/>
                <w:szCs w:val="16"/>
              </w:rPr>
            </w:pPr>
            <w:r w:rsidRPr="006819D4">
              <w:rPr>
                <w:rFonts w:eastAsia="Times New Roman"/>
                <w:color w:val="000000" w:themeColor="text1"/>
                <w:sz w:val="16"/>
                <w:szCs w:val="16"/>
              </w:rPr>
              <w:t>Log-likelihood at convergence</w:t>
            </w:r>
          </w:p>
        </w:tc>
        <w:tc>
          <w:tcPr>
            <w:tcW w:w="3281" w:type="pct"/>
            <w:gridSpan w:val="18"/>
            <w:tcBorders>
              <w:top w:val="single" w:sz="8" w:space="0" w:color="auto"/>
              <w:left w:val="double" w:sz="4" w:space="0" w:color="auto"/>
              <w:bottom w:val="single" w:sz="4" w:space="0" w:color="auto"/>
            </w:tcBorders>
            <w:shd w:val="clear" w:color="auto" w:fill="auto"/>
            <w:noWrap/>
            <w:vAlign w:val="center"/>
          </w:tcPr>
          <w:p w14:paraId="6F952015" w14:textId="77777777" w:rsidR="00AC40E4" w:rsidRPr="006819D4" w:rsidRDefault="00AC40E4" w:rsidP="00013D25">
            <w:pPr>
              <w:spacing w:after="0" w:line="240" w:lineRule="auto"/>
              <w:jc w:val="center"/>
              <w:rPr>
                <w:rFonts w:eastAsia="Times New Roman"/>
                <w:color w:val="000000" w:themeColor="text1"/>
                <w:sz w:val="16"/>
                <w:szCs w:val="16"/>
              </w:rPr>
            </w:pPr>
            <w:r w:rsidRPr="006819D4">
              <w:rPr>
                <w:rFonts w:eastAsia="Times New Roman"/>
                <w:color w:val="000000" w:themeColor="text1"/>
                <w:sz w:val="16"/>
                <w:szCs w:val="16"/>
              </w:rPr>
              <w:t>-3728.09</w:t>
            </w:r>
          </w:p>
        </w:tc>
      </w:tr>
      <w:tr w:rsidR="00AC40E4" w:rsidRPr="00D14CD7" w14:paraId="1DDF96A5" w14:textId="77777777" w:rsidTr="00013D25">
        <w:trPr>
          <w:trHeight w:val="72"/>
        </w:trPr>
        <w:tc>
          <w:tcPr>
            <w:tcW w:w="1719" w:type="pct"/>
            <w:tcBorders>
              <w:top w:val="single" w:sz="4" w:space="0" w:color="auto"/>
              <w:bottom w:val="single" w:sz="4" w:space="0" w:color="auto"/>
              <w:right w:val="double" w:sz="4" w:space="0" w:color="auto"/>
            </w:tcBorders>
            <w:shd w:val="clear" w:color="auto" w:fill="auto"/>
            <w:noWrap/>
            <w:vAlign w:val="center"/>
          </w:tcPr>
          <w:p w14:paraId="6A91AA4C" w14:textId="77777777" w:rsidR="00AC40E4" w:rsidRPr="006819D4" w:rsidRDefault="00AC40E4" w:rsidP="008D36F7">
            <w:pPr>
              <w:spacing w:after="0" w:line="240" w:lineRule="auto"/>
              <w:ind w:firstLineChars="100" w:firstLine="160"/>
              <w:jc w:val="left"/>
              <w:rPr>
                <w:rFonts w:eastAsia="Times New Roman"/>
                <w:color w:val="000000" w:themeColor="text1"/>
                <w:sz w:val="16"/>
                <w:szCs w:val="16"/>
              </w:rPr>
            </w:pPr>
            <w:r w:rsidRPr="006819D4">
              <w:rPr>
                <w:rFonts w:eastAsia="Times New Roman"/>
                <w:color w:val="000000" w:themeColor="text1"/>
                <w:sz w:val="16"/>
                <w:szCs w:val="16"/>
              </w:rPr>
              <w:t>Bayesian Information Criterion (BIC)</w:t>
            </w:r>
          </w:p>
        </w:tc>
        <w:tc>
          <w:tcPr>
            <w:tcW w:w="3281" w:type="pct"/>
            <w:gridSpan w:val="18"/>
            <w:tcBorders>
              <w:top w:val="single" w:sz="4" w:space="0" w:color="auto"/>
              <w:left w:val="double" w:sz="4" w:space="0" w:color="auto"/>
              <w:bottom w:val="single" w:sz="4" w:space="0" w:color="auto"/>
            </w:tcBorders>
            <w:shd w:val="clear" w:color="auto" w:fill="auto"/>
            <w:noWrap/>
            <w:vAlign w:val="center"/>
          </w:tcPr>
          <w:p w14:paraId="713F20F0" w14:textId="77777777" w:rsidR="00AC40E4" w:rsidRPr="006819D4" w:rsidRDefault="00AC40E4" w:rsidP="00013D25">
            <w:pPr>
              <w:spacing w:after="0" w:line="240" w:lineRule="auto"/>
              <w:jc w:val="center"/>
              <w:rPr>
                <w:rFonts w:eastAsia="Times New Roman"/>
                <w:color w:val="000000" w:themeColor="text1"/>
                <w:sz w:val="16"/>
                <w:szCs w:val="16"/>
              </w:rPr>
            </w:pPr>
            <w:r w:rsidRPr="006819D4">
              <w:rPr>
                <w:rFonts w:eastAsia="Times New Roman"/>
                <w:color w:val="000000" w:themeColor="text1"/>
                <w:sz w:val="16"/>
                <w:szCs w:val="16"/>
              </w:rPr>
              <w:t>3958.95</w:t>
            </w:r>
          </w:p>
        </w:tc>
      </w:tr>
      <w:tr w:rsidR="00AC40E4" w:rsidRPr="00D14CD7" w14:paraId="5E88986A" w14:textId="77777777" w:rsidTr="00013D25">
        <w:trPr>
          <w:trHeight w:val="53"/>
        </w:trPr>
        <w:tc>
          <w:tcPr>
            <w:tcW w:w="1719" w:type="pct"/>
            <w:tcBorders>
              <w:top w:val="single" w:sz="4" w:space="0" w:color="auto"/>
              <w:bottom w:val="single" w:sz="4" w:space="0" w:color="auto"/>
              <w:right w:val="double" w:sz="4" w:space="0" w:color="auto"/>
            </w:tcBorders>
            <w:shd w:val="clear" w:color="auto" w:fill="auto"/>
            <w:noWrap/>
            <w:vAlign w:val="center"/>
          </w:tcPr>
          <w:p w14:paraId="25A2EA5F" w14:textId="77777777" w:rsidR="00AC40E4" w:rsidRPr="006819D4" w:rsidRDefault="00AC40E4" w:rsidP="008D36F7">
            <w:pPr>
              <w:spacing w:after="0" w:line="240" w:lineRule="auto"/>
              <w:ind w:firstLineChars="100" w:firstLine="160"/>
              <w:jc w:val="left"/>
              <w:rPr>
                <w:rFonts w:eastAsia="Times New Roman"/>
                <w:color w:val="000000" w:themeColor="text1"/>
                <w:sz w:val="16"/>
                <w:szCs w:val="16"/>
              </w:rPr>
            </w:pPr>
            <w:r w:rsidRPr="006819D4">
              <w:rPr>
                <w:rFonts w:eastAsia="Times New Roman"/>
                <w:color w:val="000000" w:themeColor="text1"/>
                <w:sz w:val="16"/>
                <w:szCs w:val="16"/>
              </w:rPr>
              <w:t xml:space="preserve"> </w:t>
            </w:r>
            <m:oMath>
              <m:sSup>
                <m:sSupPr>
                  <m:ctrlPr>
                    <w:rPr>
                      <w:rFonts w:ascii="Cambria Math" w:eastAsia="Times New Roman" w:hAnsi="Cambria Math"/>
                      <w:color w:val="000000" w:themeColor="text1"/>
                      <w:sz w:val="16"/>
                      <w:szCs w:val="16"/>
                    </w:rPr>
                  </m:ctrlPr>
                </m:sSupPr>
                <m:e>
                  <m:acc>
                    <m:accPr>
                      <m:chr m:val="̅"/>
                      <m:ctrlPr>
                        <w:rPr>
                          <w:rFonts w:ascii="Cambria Math" w:eastAsia="Times New Roman" w:hAnsi="Cambria Math"/>
                          <w:color w:val="000000" w:themeColor="text1"/>
                          <w:sz w:val="16"/>
                          <w:szCs w:val="16"/>
                        </w:rPr>
                      </m:ctrlPr>
                    </m:accPr>
                    <m:e>
                      <m:r>
                        <w:rPr>
                          <w:rFonts w:ascii="Cambria Math" w:eastAsia="Times New Roman" w:hAnsi="Cambria Math"/>
                          <w:color w:val="000000" w:themeColor="text1"/>
                          <w:sz w:val="16"/>
                          <w:szCs w:val="16"/>
                        </w:rPr>
                        <m:t>ρ</m:t>
                      </m:r>
                    </m:e>
                  </m:acc>
                </m:e>
                <m:sup>
                  <m:r>
                    <m:rPr>
                      <m:sty m:val="p"/>
                    </m:rPr>
                    <w:rPr>
                      <w:rFonts w:ascii="Cambria Math" w:eastAsia="Times New Roman" w:hAnsi="Cambria Math"/>
                      <w:color w:val="000000" w:themeColor="text1"/>
                      <w:sz w:val="16"/>
                      <w:szCs w:val="16"/>
                    </w:rPr>
                    <m:t>2</m:t>
                  </m:r>
                </m:sup>
              </m:sSup>
            </m:oMath>
          </w:p>
        </w:tc>
        <w:tc>
          <w:tcPr>
            <w:tcW w:w="3281" w:type="pct"/>
            <w:gridSpan w:val="18"/>
            <w:tcBorders>
              <w:top w:val="single" w:sz="4" w:space="0" w:color="auto"/>
              <w:left w:val="double" w:sz="4" w:space="0" w:color="auto"/>
              <w:bottom w:val="single" w:sz="4" w:space="0" w:color="auto"/>
            </w:tcBorders>
            <w:shd w:val="clear" w:color="auto" w:fill="auto"/>
            <w:noWrap/>
            <w:vAlign w:val="center"/>
          </w:tcPr>
          <w:p w14:paraId="7605FB5A" w14:textId="77777777" w:rsidR="00AC40E4" w:rsidRPr="006819D4" w:rsidRDefault="00AC40E4" w:rsidP="00013D25">
            <w:pPr>
              <w:spacing w:after="0" w:line="240" w:lineRule="auto"/>
              <w:jc w:val="center"/>
              <w:rPr>
                <w:rFonts w:eastAsia="Times New Roman"/>
                <w:color w:val="000000" w:themeColor="text1"/>
                <w:sz w:val="16"/>
                <w:szCs w:val="16"/>
              </w:rPr>
            </w:pPr>
            <w:r w:rsidRPr="006819D4">
              <w:rPr>
                <w:rFonts w:eastAsia="Times New Roman"/>
                <w:color w:val="000000" w:themeColor="text1"/>
                <w:sz w:val="16"/>
                <w:szCs w:val="16"/>
              </w:rPr>
              <w:t>-3876.63</w:t>
            </w:r>
          </w:p>
        </w:tc>
      </w:tr>
      <w:tr w:rsidR="00AC40E4" w:rsidRPr="00D14CD7" w14:paraId="007B3C45" w14:textId="77777777" w:rsidTr="00013D25">
        <w:trPr>
          <w:trHeight w:val="72"/>
        </w:trPr>
        <w:tc>
          <w:tcPr>
            <w:tcW w:w="1719" w:type="pct"/>
            <w:tcBorders>
              <w:top w:val="single" w:sz="4" w:space="0" w:color="auto"/>
              <w:bottom w:val="single" w:sz="4" w:space="0" w:color="auto"/>
              <w:right w:val="double" w:sz="4" w:space="0" w:color="auto"/>
            </w:tcBorders>
            <w:shd w:val="clear" w:color="auto" w:fill="auto"/>
            <w:noWrap/>
            <w:vAlign w:val="center"/>
          </w:tcPr>
          <w:p w14:paraId="394C09ED" w14:textId="77777777" w:rsidR="00AC40E4" w:rsidRPr="006819D4" w:rsidRDefault="00AC40E4" w:rsidP="008D36F7">
            <w:pPr>
              <w:spacing w:after="0" w:line="240" w:lineRule="auto"/>
              <w:ind w:firstLineChars="100" w:firstLine="160"/>
              <w:jc w:val="left"/>
              <w:rPr>
                <w:rFonts w:eastAsia="Times New Roman"/>
                <w:color w:val="000000" w:themeColor="text1"/>
                <w:sz w:val="16"/>
                <w:szCs w:val="16"/>
              </w:rPr>
            </w:pPr>
            <w:r w:rsidRPr="006819D4">
              <w:rPr>
                <w:rFonts w:eastAsia="Times New Roman"/>
                <w:color w:val="000000" w:themeColor="text1"/>
                <w:sz w:val="16"/>
                <w:szCs w:val="16"/>
              </w:rPr>
              <w:t>Constants and threshold-shifters (CT) only log-likelihood*</w:t>
            </w:r>
          </w:p>
        </w:tc>
        <w:tc>
          <w:tcPr>
            <w:tcW w:w="3281" w:type="pct"/>
            <w:gridSpan w:val="18"/>
            <w:tcBorders>
              <w:top w:val="single" w:sz="4" w:space="0" w:color="auto"/>
              <w:left w:val="double" w:sz="4" w:space="0" w:color="auto"/>
              <w:bottom w:val="single" w:sz="4" w:space="0" w:color="auto"/>
            </w:tcBorders>
            <w:shd w:val="clear" w:color="auto" w:fill="auto"/>
            <w:noWrap/>
            <w:vAlign w:val="center"/>
          </w:tcPr>
          <w:p w14:paraId="3525A6C2" w14:textId="77777777" w:rsidR="00AC40E4" w:rsidRPr="006819D4" w:rsidRDefault="00AC40E4" w:rsidP="00013D25">
            <w:pPr>
              <w:spacing w:after="0" w:line="240" w:lineRule="auto"/>
              <w:jc w:val="center"/>
              <w:rPr>
                <w:rFonts w:eastAsia="Times New Roman"/>
                <w:color w:val="000000" w:themeColor="text1"/>
                <w:sz w:val="16"/>
                <w:szCs w:val="16"/>
              </w:rPr>
            </w:pPr>
            <w:r w:rsidRPr="006819D4">
              <w:rPr>
                <w:rFonts w:eastAsia="Times New Roman"/>
                <w:color w:val="000000" w:themeColor="text1"/>
                <w:sz w:val="16"/>
                <w:szCs w:val="16"/>
              </w:rPr>
              <w:t>0.025</w:t>
            </w:r>
          </w:p>
        </w:tc>
      </w:tr>
      <w:tr w:rsidR="00AC40E4" w:rsidRPr="00D14CD7" w14:paraId="50A7D7F4" w14:textId="77777777" w:rsidTr="00013D25">
        <w:trPr>
          <w:trHeight w:val="72"/>
        </w:trPr>
        <w:tc>
          <w:tcPr>
            <w:tcW w:w="1719" w:type="pct"/>
            <w:tcBorders>
              <w:top w:val="single" w:sz="4" w:space="0" w:color="auto"/>
              <w:bottom w:val="double" w:sz="4" w:space="0" w:color="auto"/>
              <w:right w:val="double" w:sz="4" w:space="0" w:color="auto"/>
            </w:tcBorders>
            <w:shd w:val="clear" w:color="auto" w:fill="auto"/>
            <w:noWrap/>
            <w:vAlign w:val="center"/>
          </w:tcPr>
          <w:p w14:paraId="12C3C3BD" w14:textId="77777777" w:rsidR="00AC40E4" w:rsidRPr="00D14CD7" w:rsidRDefault="00AC40E4" w:rsidP="008D36F7">
            <w:pPr>
              <w:spacing w:after="0" w:line="240" w:lineRule="auto"/>
              <w:ind w:left="135"/>
              <w:jc w:val="left"/>
              <w:rPr>
                <w:rFonts w:eastAsia="Times New Roman"/>
                <w:color w:val="000000" w:themeColor="text1"/>
                <w:sz w:val="16"/>
                <w:szCs w:val="16"/>
              </w:rPr>
            </w:pPr>
            <w:r w:rsidRPr="006819D4">
              <w:rPr>
                <w:rFonts w:eastAsia="Times New Roman"/>
                <w:color w:val="000000" w:themeColor="text1"/>
                <w:sz w:val="16"/>
                <w:szCs w:val="16"/>
              </w:rPr>
              <w:t xml:space="preserve">Nested likelihood ratio test: </w:t>
            </w:r>
            <w:r>
              <w:rPr>
                <w:rFonts w:eastAsia="Times New Roman"/>
                <w:color w:val="000000" w:themeColor="text1"/>
                <w:sz w:val="16"/>
                <w:szCs w:val="16"/>
              </w:rPr>
              <w:t>Unl</w:t>
            </w:r>
            <w:r w:rsidRPr="006819D4">
              <w:rPr>
                <w:rFonts w:eastAsia="Times New Roman"/>
                <w:color w:val="000000" w:themeColor="text1"/>
                <w:sz w:val="16"/>
                <w:szCs w:val="16"/>
              </w:rPr>
              <w:t xml:space="preserve">inked model versus </w:t>
            </w:r>
            <w:bookmarkStart w:id="67" w:name="_Hlk182323087"/>
            <w:r>
              <w:rPr>
                <w:rFonts w:eastAsia="Times New Roman"/>
                <w:color w:val="000000" w:themeColor="text1"/>
                <w:sz w:val="16"/>
                <w:szCs w:val="16"/>
              </w:rPr>
              <w:t>c</w:t>
            </w:r>
            <w:r w:rsidRPr="006819D4">
              <w:rPr>
                <w:rFonts w:eastAsia="Times New Roman"/>
                <w:color w:val="000000" w:themeColor="text1"/>
                <w:sz w:val="16"/>
                <w:szCs w:val="16"/>
              </w:rPr>
              <w:t>onstants and threshold-shifters</w:t>
            </w:r>
            <w:r>
              <w:rPr>
                <w:rFonts w:eastAsia="Times New Roman"/>
                <w:color w:val="000000" w:themeColor="text1"/>
                <w:sz w:val="16"/>
                <w:szCs w:val="16"/>
              </w:rPr>
              <w:t xml:space="preserve"> </w:t>
            </w:r>
            <w:r w:rsidRPr="006819D4">
              <w:rPr>
                <w:rFonts w:eastAsia="Times New Roman"/>
                <w:color w:val="000000" w:themeColor="text1"/>
                <w:sz w:val="16"/>
                <w:szCs w:val="16"/>
              </w:rPr>
              <w:t>only model</w:t>
            </w:r>
            <w:bookmarkEnd w:id="67"/>
          </w:p>
        </w:tc>
        <w:tc>
          <w:tcPr>
            <w:tcW w:w="3281" w:type="pct"/>
            <w:gridSpan w:val="18"/>
            <w:tcBorders>
              <w:top w:val="single" w:sz="4" w:space="0" w:color="auto"/>
              <w:left w:val="double" w:sz="4" w:space="0" w:color="auto"/>
              <w:bottom w:val="double" w:sz="4" w:space="0" w:color="auto"/>
            </w:tcBorders>
            <w:shd w:val="clear" w:color="auto" w:fill="auto"/>
            <w:noWrap/>
            <w:vAlign w:val="center"/>
          </w:tcPr>
          <w:p w14:paraId="7B38E4A0" w14:textId="77777777" w:rsidR="00AC40E4" w:rsidRPr="006819D4" w:rsidRDefault="00AC40E4" w:rsidP="00013D25">
            <w:pPr>
              <w:spacing w:after="0" w:line="240" w:lineRule="auto"/>
              <w:jc w:val="center"/>
              <w:rPr>
                <w:rFonts w:eastAsia="Times New Roman"/>
                <w:color w:val="000000" w:themeColor="text1"/>
                <w:sz w:val="16"/>
                <w:szCs w:val="16"/>
              </w:rPr>
            </w:pPr>
            <w:r w:rsidRPr="006819D4">
              <w:rPr>
                <w:rFonts w:eastAsia="Times New Roman"/>
                <w:color w:val="000000" w:themeColor="text1"/>
                <w:sz w:val="16"/>
                <w:szCs w:val="16"/>
              </w:rPr>
              <w:t xml:space="preserve">LR=297.08&gt; </w:t>
            </w:r>
            <m:oMath>
              <m:sSubSup>
                <m:sSubSupPr>
                  <m:ctrlPr>
                    <w:rPr>
                      <w:rFonts w:ascii="Cambria Math" w:eastAsia="Times New Roman" w:hAnsi="Cambria Math"/>
                      <w:color w:val="000000" w:themeColor="text1"/>
                      <w:sz w:val="16"/>
                      <w:szCs w:val="16"/>
                    </w:rPr>
                  </m:ctrlPr>
                </m:sSubSupPr>
                <m:e>
                  <m:r>
                    <w:rPr>
                      <w:rFonts w:ascii="Cambria Math" w:eastAsia="Times New Roman" w:hAnsi="Cambria Math"/>
                      <w:color w:val="000000" w:themeColor="text1"/>
                      <w:sz w:val="16"/>
                      <w:szCs w:val="16"/>
                    </w:rPr>
                    <m:t>χ</m:t>
                  </m:r>
                </m:e>
                <m:sub>
                  <m:r>
                    <m:rPr>
                      <m:sty m:val="p"/>
                    </m:rPr>
                    <w:rPr>
                      <w:rFonts w:ascii="Cambria Math" w:eastAsia="Times New Roman" w:hAnsi="Cambria Math"/>
                      <w:color w:val="000000" w:themeColor="text1"/>
                      <w:sz w:val="16"/>
                      <w:szCs w:val="16"/>
                    </w:rPr>
                    <m:t>(50,0.05)</m:t>
                  </m:r>
                </m:sub>
                <m:sup>
                  <m:r>
                    <m:rPr>
                      <m:sty m:val="p"/>
                    </m:rPr>
                    <w:rPr>
                      <w:rFonts w:ascii="Cambria Math" w:eastAsia="Times New Roman" w:hAnsi="Cambria Math"/>
                      <w:color w:val="000000" w:themeColor="text1"/>
                      <w:sz w:val="16"/>
                      <w:szCs w:val="16"/>
                    </w:rPr>
                    <m:t>2</m:t>
                  </m:r>
                </m:sup>
              </m:sSubSup>
            </m:oMath>
            <w:r w:rsidRPr="006819D4">
              <w:rPr>
                <w:rFonts w:eastAsia="Times New Roman"/>
                <w:color w:val="000000" w:themeColor="text1"/>
                <w:sz w:val="16"/>
                <w:szCs w:val="16"/>
              </w:rPr>
              <w:t>=67.505</w:t>
            </w:r>
          </w:p>
        </w:tc>
      </w:tr>
    </w:tbl>
    <w:p w14:paraId="52149D9B" w14:textId="77777777" w:rsidR="00AC40E4" w:rsidRPr="00981718" w:rsidRDefault="00AC40E4" w:rsidP="00AC40E4">
      <w:pPr>
        <w:rPr>
          <w:color w:val="000000" w:themeColor="text1"/>
          <w:sz w:val="16"/>
          <w:szCs w:val="16"/>
        </w:rPr>
      </w:pPr>
      <w:r w:rsidRPr="00981718">
        <w:rPr>
          <w:color w:val="000000" w:themeColor="text1"/>
          <w:sz w:val="16"/>
          <w:szCs w:val="16"/>
        </w:rPr>
        <w:t>* The value refers to the (CT) only log-likelihood of the unlinked model.</w:t>
      </w:r>
    </w:p>
    <w:p w14:paraId="4F414F3E" w14:textId="1789DA83" w:rsidR="00BE151D" w:rsidRPr="00D14CD7" w:rsidRDefault="00BE151D" w:rsidP="00A4347B">
      <w:pPr>
        <w:rPr>
          <w:color w:val="000000" w:themeColor="text1"/>
        </w:rPr>
      </w:pPr>
    </w:p>
    <w:p w14:paraId="1E909707" w14:textId="77777777" w:rsidR="00BE151D" w:rsidRPr="00D14CD7" w:rsidRDefault="00BE151D" w:rsidP="00A4347B">
      <w:pPr>
        <w:rPr>
          <w:color w:val="000000" w:themeColor="text1"/>
        </w:rPr>
      </w:pPr>
    </w:p>
    <w:sectPr w:rsidR="00BE151D" w:rsidRPr="00D14CD7" w:rsidSect="00630A69">
      <w:pgSz w:w="15840" w:h="12240" w:orient="landscape"/>
      <w:pgMar w:top="1152" w:right="720" w:bottom="1008"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F9D7A9" w14:textId="77777777" w:rsidR="00915961" w:rsidRDefault="00915961" w:rsidP="001D1432">
      <w:pPr>
        <w:spacing w:after="0" w:line="240" w:lineRule="auto"/>
      </w:pPr>
      <w:r>
        <w:separator/>
      </w:r>
    </w:p>
  </w:endnote>
  <w:endnote w:type="continuationSeparator" w:id="0">
    <w:p w14:paraId="6EA30835" w14:textId="77777777" w:rsidR="00915961" w:rsidRDefault="00915961" w:rsidP="001D1432">
      <w:pPr>
        <w:spacing w:after="0" w:line="240" w:lineRule="auto"/>
      </w:pPr>
      <w:r>
        <w:continuationSeparator/>
      </w:r>
    </w:p>
  </w:endnote>
  <w:endnote w:type="continuationNotice" w:id="1">
    <w:p w14:paraId="3F9198E0" w14:textId="77777777" w:rsidR="00915961" w:rsidRDefault="0091596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3794594"/>
      <w:docPartObj>
        <w:docPartGallery w:val="Page Numbers (Bottom of Page)"/>
        <w:docPartUnique/>
      </w:docPartObj>
    </w:sdtPr>
    <w:sdtEndPr>
      <w:rPr>
        <w:noProof/>
        <w:sz w:val="22"/>
        <w:szCs w:val="22"/>
      </w:rPr>
    </w:sdtEndPr>
    <w:sdtContent>
      <w:p w14:paraId="301DA7B5" w14:textId="42219B6B" w:rsidR="00AF1518" w:rsidRPr="00AE0A4C" w:rsidRDefault="00AF1518" w:rsidP="00AE0A4C">
        <w:pPr>
          <w:pStyle w:val="Footer"/>
          <w:jc w:val="center"/>
          <w:rPr>
            <w:sz w:val="22"/>
            <w:szCs w:val="22"/>
          </w:rPr>
        </w:pPr>
        <w:r w:rsidRPr="00AE0A4C">
          <w:rPr>
            <w:sz w:val="22"/>
            <w:szCs w:val="22"/>
          </w:rPr>
          <w:fldChar w:fldCharType="begin"/>
        </w:r>
        <w:r w:rsidRPr="00AE0A4C">
          <w:rPr>
            <w:sz w:val="22"/>
            <w:szCs w:val="22"/>
          </w:rPr>
          <w:instrText xml:space="preserve"> PAGE   \* MERGEFORMAT </w:instrText>
        </w:r>
        <w:r w:rsidRPr="00AE0A4C">
          <w:rPr>
            <w:sz w:val="22"/>
            <w:szCs w:val="22"/>
          </w:rPr>
          <w:fldChar w:fldCharType="separate"/>
        </w:r>
        <w:r w:rsidRPr="00AE0A4C">
          <w:rPr>
            <w:noProof/>
            <w:sz w:val="22"/>
            <w:szCs w:val="22"/>
          </w:rPr>
          <w:t>2</w:t>
        </w:r>
        <w:r w:rsidRPr="00AE0A4C">
          <w:rPr>
            <w:noProof/>
            <w:sz w:val="22"/>
            <w:szCs w:val="22"/>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38819B" w14:textId="77777777" w:rsidR="00915961" w:rsidRDefault="00915961" w:rsidP="001D1432">
      <w:pPr>
        <w:spacing w:after="0" w:line="240" w:lineRule="auto"/>
      </w:pPr>
      <w:r>
        <w:separator/>
      </w:r>
    </w:p>
  </w:footnote>
  <w:footnote w:type="continuationSeparator" w:id="0">
    <w:p w14:paraId="387E1EF6" w14:textId="77777777" w:rsidR="00915961" w:rsidRDefault="00915961" w:rsidP="001D1432">
      <w:pPr>
        <w:spacing w:after="0" w:line="240" w:lineRule="auto"/>
      </w:pPr>
      <w:r>
        <w:continuationSeparator/>
      </w:r>
    </w:p>
  </w:footnote>
  <w:footnote w:type="continuationNotice" w:id="1">
    <w:p w14:paraId="36968AA2" w14:textId="77777777" w:rsidR="00915961" w:rsidRDefault="00915961">
      <w:pPr>
        <w:spacing w:after="0" w:line="240" w:lineRule="auto"/>
      </w:pPr>
    </w:p>
  </w:footnote>
  <w:footnote w:id="2">
    <w:p w14:paraId="379AB97C" w14:textId="266EC6AB" w:rsidR="004D2A6C" w:rsidRDefault="004D2A6C" w:rsidP="00870555">
      <w:pPr>
        <w:pStyle w:val="FootnoteText"/>
      </w:pPr>
      <w:r>
        <w:rPr>
          <w:rStyle w:val="FootnoteReference"/>
        </w:rPr>
        <w:footnoteRef/>
      </w:r>
      <w:r w:rsidR="0068023F">
        <w:t xml:space="preserve"> </w:t>
      </w:r>
      <w:r>
        <w:t xml:space="preserve">Some studies in Paths A and B with restaurant choice as the endogenous outcome do not examine individual-level heterogeneity in the relative sensitivities across individuals in restaurant attributes. Similarly, there are studies that directly ask individuals to rank the importance of attributes they consider in making their restaurant choice, but do not consider heterogeneity in attribute selection/priority across individuals (that is, these studies ignore Path C -- the individual-attribute link; see, for example, Jang and Namkung, 2009 and Chua et al., 2020). We do not review such studies here, which tend to be descriptive rather than predictive. We only consider those studies that expressly consider Path C (that is, controlling for individual characteristics) as they study Paths A and B. </w:t>
      </w:r>
    </w:p>
  </w:footnote>
  <w:footnote w:id="3">
    <w:p w14:paraId="45CAA3BC" w14:textId="02C852FC" w:rsidR="004D2A6C" w:rsidRDefault="004D2A6C" w:rsidP="004D2A6C">
      <w:pPr>
        <w:pStyle w:val="FootnoteText"/>
      </w:pPr>
      <w:r>
        <w:rPr>
          <w:rStyle w:val="FootnoteReference"/>
        </w:rPr>
        <w:footnoteRef/>
      </w:r>
      <w:r w:rsidR="0068023F">
        <w:t xml:space="preserve"> </w:t>
      </w:r>
      <w:r>
        <w:t xml:space="preserve">We are not aware of a study of restaurant attribute selection that considers consumer characteristics (that is, accommodates Path C effects), while also considering event type effects on restaurant attribute type choice (that is, Path A) or even restaurant segment choice (that is, Path D). Besides, from a predictive standpoint, considering event type in a model would require that event types themselves be predicted, which can be challenging given the vagaries of life events. So, in the rest of this review and paper, we will not focus on the effect of event type choice on restaurant attribute ranking (Path A) or restaurant segment choice (Path D). </w:t>
      </w:r>
    </w:p>
  </w:footnote>
  <w:footnote w:id="4">
    <w:p w14:paraId="2BB8145F" w14:textId="0D77281C" w:rsidR="00AF1518" w:rsidRDefault="00AF1518" w:rsidP="00540E05">
      <w:pPr>
        <w:pStyle w:val="FootnoteText"/>
        <w:spacing w:after="60"/>
      </w:pPr>
      <w:r w:rsidRPr="00354732">
        <w:rPr>
          <w:rStyle w:val="FootnoteReference"/>
        </w:rPr>
        <w:footnoteRef/>
      </w:r>
      <w:r w:rsidRPr="00354732">
        <w:t xml:space="preserve"> Part-time workers are those who work 30 hours or less per week, while full-time workers are those who work more than 30 hours per week.</w:t>
      </w:r>
      <w:r>
        <w:t xml:space="preserve"> </w:t>
      </w:r>
    </w:p>
  </w:footnote>
  <w:footnote w:id="5">
    <w:p w14:paraId="3BB08718" w14:textId="3E75BED9" w:rsidR="00AF1518" w:rsidRDefault="00AF1518" w:rsidP="005100C1">
      <w:pPr>
        <w:pStyle w:val="FootnoteText"/>
      </w:pPr>
      <w:r>
        <w:rPr>
          <w:rStyle w:val="FootnoteReference"/>
        </w:rPr>
        <w:footnoteRef/>
      </w:r>
      <w:r>
        <w:t xml:space="preserve"> The commute time here refers only to those employed individuals with a designated out-of-home work office (or simply “office” for short from hereon) that they commuted to at least occasionally in the month. The Texas mean of 26.6 minutes also refers to only those who had a designated office and commuted at least occasionally to that office. </w:t>
      </w:r>
    </w:p>
  </w:footnote>
  <w:footnote w:id="6">
    <w:p w14:paraId="57A8092B" w14:textId="48CF0741" w:rsidR="00AF1518" w:rsidRDefault="00AF1518" w:rsidP="004E3632">
      <w:pPr>
        <w:pStyle w:val="FootnoteText"/>
        <w:spacing w:before="60"/>
      </w:pPr>
      <w:bookmarkStart w:id="29" w:name="_Hlk171344287"/>
      <w:r>
        <w:rPr>
          <w:rStyle w:val="FootnoteReference"/>
        </w:rPr>
        <w:footnoteRef/>
      </w:r>
      <w:r>
        <w:t xml:space="preserve"> Unlike the prior formulation in Bhat (2022) where the scale of the error terms in the baseline preference parameters was normalized to one, in this paper, we relax the scale parameter to be freely estimated. This results in superior model performance in terms of goodness-of-fit measures and forecasts. </w:t>
      </w:r>
      <w:bookmarkEnd w:id="29"/>
    </w:p>
  </w:footnote>
  <w:footnote w:id="7">
    <w:p w14:paraId="71B8EC30" w14:textId="4B8D3275" w:rsidR="00AF1518" w:rsidRDefault="00AF1518" w:rsidP="00E009D8">
      <w:pPr>
        <w:pStyle w:val="FootnoteText"/>
      </w:pPr>
      <w:r>
        <w:rPr>
          <w:rStyle w:val="FootnoteReference"/>
        </w:rPr>
        <w:footnoteRef/>
      </w:r>
      <w:r>
        <w:t xml:space="preserve"> Note that </w:t>
      </w:r>
      <w:r w:rsidRPr="005E50F3">
        <w:rPr>
          <w:position w:val="-28"/>
        </w:rPr>
        <w:object w:dxaOrig="2079" w:dyaOrig="660" w14:anchorId="211B7005">
          <v:shape id="_x0000_i1142" type="#_x0000_t75" style="width:90.85pt;height:28.7pt" o:ole="">
            <v:imagedata r:id="rId1" o:title=""/>
          </v:shape>
          <o:OLEObject Type="Embed" ProgID="Equation.DSMT4" ShapeID="_x0000_i1142" DrawAspect="Content" ObjectID="_1793173729" r:id="rId2"/>
        </w:object>
      </w:r>
      <w:r>
        <w:t xml:space="preserve">, with </w:t>
      </w:r>
      <w:r w:rsidRPr="00BD7E67">
        <w:rPr>
          <w:position w:val="-6"/>
        </w:rPr>
        <w:object w:dxaOrig="800" w:dyaOrig="279" w14:anchorId="0BD8FD62">
          <v:shape id="_x0000_i1144" type="#_x0000_t75" style="width:38.15pt;height:15pt" o:ole="">
            <v:imagedata r:id="rId3" o:title=""/>
          </v:shape>
          <o:OLEObject Type="Embed" ProgID="Equation.DSMT4" ShapeID="_x0000_i1144" DrawAspect="Content" ObjectID="_1793173730" r:id="rId4"/>
        </w:object>
      </w:r>
      <w:r>
        <w:t xml:space="preserve"> Thus, if an element of</w:t>
      </w:r>
      <w:r w:rsidRPr="003A31B5">
        <w:rPr>
          <w:position w:val="-6"/>
        </w:rPr>
        <w:object w:dxaOrig="220" w:dyaOrig="200" w14:anchorId="3D9E714C">
          <v:shape id="_x0000_i1146" type="#_x0000_t75" style="width:10.7pt;height:10.7pt" o:ole="">
            <v:imagedata r:id="rId5" o:title=""/>
          </v:shape>
          <o:OLEObject Type="Embed" ProgID="Equation.DSMT4" ShapeID="_x0000_i1146" DrawAspect="Content" ObjectID="_1793173731" r:id="rId6"/>
        </w:object>
      </w:r>
      <w:r>
        <w:t xml:space="preserve"> is positive, it decreases  </w:t>
      </w:r>
      <w:r w:rsidRPr="005E50F3">
        <w:rPr>
          <w:position w:val="-26"/>
        </w:rPr>
        <w:object w:dxaOrig="820" w:dyaOrig="620" w14:anchorId="03C41408">
          <v:shape id="_x0000_i1148" type="#_x0000_t75" style="width:40.7pt;height:31.3pt" o:ole="">
            <v:imagedata r:id="rId7" o:title=""/>
          </v:shape>
          <o:OLEObject Type="Embed" ProgID="Equation.DSMT4" ShapeID="_x0000_i1148" DrawAspect="Content" ObjectID="_1793173732" r:id="rId8"/>
        </w:object>
      </w:r>
      <w:r>
        <w:t xml:space="preserve">, increases </w:t>
      </w:r>
      <w:r w:rsidRPr="005E50F3">
        <w:rPr>
          <w:position w:val="-26"/>
        </w:rPr>
        <w:object w:dxaOrig="1260" w:dyaOrig="620" w14:anchorId="4FED3FE7">
          <v:shape id="_x0000_i1150" type="#_x0000_t75" style="width:53.15pt;height:27pt" o:ole="">
            <v:imagedata r:id="rId9" o:title=""/>
          </v:shape>
          <o:OLEObject Type="Embed" ProgID="Equation.DSMT4" ShapeID="_x0000_i1150" DrawAspect="Content" ObjectID="_1793173733" r:id="rId10"/>
        </w:object>
      </w:r>
      <w:r>
        <w:t xml:space="preserve">, and therefore decreases </w:t>
      </w:r>
      <w:r w:rsidRPr="005E50F3">
        <w:rPr>
          <w:position w:val="-10"/>
        </w:rPr>
        <w:object w:dxaOrig="480" w:dyaOrig="300" w14:anchorId="5BB96086">
          <v:shape id="_x0000_i1152" type="#_x0000_t75" style="width:22.7pt;height:13.7pt" o:ole="">
            <v:imagedata r:id="rId11" o:title=""/>
          </v:shape>
          <o:OLEObject Type="Embed" ProgID="Equation.DSMT4" ShapeID="_x0000_i1152" DrawAspect="Content" ObjectID="_1793173734" r:id="rId12"/>
        </w:object>
      </w:r>
      <w:r>
        <w:t xml:space="preserve">. </w:t>
      </w:r>
    </w:p>
  </w:footnote>
  <w:footnote w:id="8">
    <w:p w14:paraId="01386131" w14:textId="72A6FF83" w:rsidR="00AF1518" w:rsidRPr="00F779F5" w:rsidRDefault="00AF1518" w:rsidP="007E2CED">
      <w:pPr>
        <w:pStyle w:val="FootnoteText"/>
        <w:spacing w:after="60"/>
      </w:pPr>
      <w:r w:rsidRPr="00887124">
        <w:rPr>
          <w:rStyle w:val="FootnoteReference"/>
        </w:rPr>
        <w:footnoteRef/>
      </w:r>
      <w:r w:rsidRPr="00887124">
        <w:t xml:space="preserve"> </w:t>
      </w:r>
      <w:r>
        <w:t>The linked and non-linked models are non-nested (see Bhat, 2022), because the kernel error term distributions are different between the two models. While many</w:t>
      </w:r>
      <w:r w:rsidRPr="004F31CF">
        <w:t xml:space="preserve"> measures have been suggested in the literature to evaluate model fit</w:t>
      </w:r>
      <w:r>
        <w:t xml:space="preserve"> among non-nested models </w:t>
      </w:r>
      <w:r w:rsidRPr="004F31CF">
        <w:t xml:space="preserve">(see </w:t>
      </w:r>
      <w:r>
        <w:t xml:space="preserve">Dziak </w:t>
      </w:r>
      <w:r w:rsidRPr="00F779F5">
        <w:t>et al., 2020), the BIC-based measures demand a higher strength of evidence to add complexity than do the other measures, and thus the BIC-based measure favors more parsimonious models.</w:t>
      </w:r>
    </w:p>
  </w:footnote>
  <w:footnote w:id="9">
    <w:p w14:paraId="6A83998A" w14:textId="40736966" w:rsidR="00AF1518" w:rsidRDefault="00AF1518">
      <w:pPr>
        <w:pStyle w:val="FootnoteText"/>
      </w:pPr>
      <w:r w:rsidRPr="00F779F5">
        <w:rPr>
          <w:rStyle w:val="FootnoteReference"/>
        </w:rPr>
        <w:footnoteRef/>
      </w:r>
      <w:r w:rsidRPr="00F779F5">
        <w:t xml:space="preserve"> The</w:t>
      </w:r>
      <w:r>
        <w:t xml:space="preserve"> </w:t>
      </w:r>
      <w:r w:rsidRPr="007E2CED">
        <w:rPr>
          <w:i/>
          <w:iCs/>
        </w:rPr>
        <w:t>L</w:t>
      </w:r>
      <w:r>
        <w:t>(</w:t>
      </w:r>
      <w:r w:rsidRPr="007E2CED">
        <w:rPr>
          <w:i/>
          <w:iCs/>
        </w:rPr>
        <w:t>c</w:t>
      </w:r>
      <w:r>
        <w:t>)</w:t>
      </w:r>
      <w:r w:rsidRPr="00F779F5">
        <w:t xml:space="preserve"> values differ for the unlinked and linked models because of the different count component error structures in the two models. For consistency and comparison purposes between the unlinked and linked models, in all computations in the current section, we use the </w:t>
      </w:r>
      <w:r w:rsidRPr="007E2CED">
        <w:rPr>
          <w:i/>
          <w:iCs/>
        </w:rPr>
        <w:t>L</w:t>
      </w:r>
      <w:r>
        <w:t>(</w:t>
      </w:r>
      <w:r w:rsidRPr="007E2CED">
        <w:rPr>
          <w:i/>
          <w:iCs/>
        </w:rPr>
        <w:t>c</w:t>
      </w:r>
      <w:r>
        <w:t>)</w:t>
      </w:r>
      <w:r w:rsidRPr="00F779F5">
        <w:t xml:space="preserve"> value for the unlinked model.</w:t>
      </w:r>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841724"/>
    <w:multiLevelType w:val="hybridMultilevel"/>
    <w:tmpl w:val="193ED9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8A7628"/>
    <w:multiLevelType w:val="hybridMultilevel"/>
    <w:tmpl w:val="4036EBB0"/>
    <w:lvl w:ilvl="0" w:tplc="F828DEDC">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9712D89"/>
    <w:multiLevelType w:val="multilevel"/>
    <w:tmpl w:val="3BF697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4476117"/>
    <w:multiLevelType w:val="multilevel"/>
    <w:tmpl w:val="F89AEB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8980EB1"/>
    <w:multiLevelType w:val="hybridMultilevel"/>
    <w:tmpl w:val="9F90D6EE"/>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9C2280D"/>
    <w:multiLevelType w:val="hybridMultilevel"/>
    <w:tmpl w:val="8F66C906"/>
    <w:lvl w:ilvl="0" w:tplc="04090005">
      <w:start w:val="1"/>
      <w:numFmt w:val="bullet"/>
      <w:lvlText w:val=""/>
      <w:lvlJc w:val="left"/>
      <w:pPr>
        <w:ind w:left="720" w:hanging="360"/>
      </w:pPr>
      <w:rPr>
        <w:rFonts w:ascii="Wingdings" w:hAnsi="Wingdings" w:hint="default"/>
      </w:rPr>
    </w:lvl>
    <w:lvl w:ilvl="1" w:tplc="04090005">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1181A44"/>
    <w:multiLevelType w:val="hybridMultilevel"/>
    <w:tmpl w:val="D5049294"/>
    <w:lvl w:ilvl="0" w:tplc="EFAE8158">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E296817"/>
    <w:multiLevelType w:val="hybridMultilevel"/>
    <w:tmpl w:val="FE86EB46"/>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E7604A6"/>
    <w:multiLevelType w:val="hybridMultilevel"/>
    <w:tmpl w:val="9D7AB800"/>
    <w:lvl w:ilvl="0" w:tplc="EFAE8158">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4763862"/>
    <w:multiLevelType w:val="hybridMultilevel"/>
    <w:tmpl w:val="2C2E33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BE345DA2">
      <w:numFmt w:val="bullet"/>
      <w:lvlText w:val="-"/>
      <w:lvlJc w:val="left"/>
      <w:pPr>
        <w:ind w:left="2160" w:hanging="360"/>
      </w:pPr>
      <w:rPr>
        <w:rFonts w:ascii="Times New Roman" w:eastAsiaTheme="minorHAnsi" w:hAnsi="Times New Roman" w:cs="Times New Roman"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F8450FB"/>
    <w:multiLevelType w:val="hybridMultilevel"/>
    <w:tmpl w:val="78026152"/>
    <w:lvl w:ilvl="0" w:tplc="73063B54">
      <w:numFmt w:val="bullet"/>
      <w:lvlText w:val="-"/>
      <w:lvlJc w:val="left"/>
      <w:pPr>
        <w:ind w:left="720" w:hanging="360"/>
      </w:pPr>
      <w:rPr>
        <w:rFonts w:ascii="Times New Roman" w:eastAsiaTheme="minorHAns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19877CC"/>
    <w:multiLevelType w:val="multilevel"/>
    <w:tmpl w:val="403815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4632020"/>
    <w:multiLevelType w:val="hybridMultilevel"/>
    <w:tmpl w:val="26B2F244"/>
    <w:lvl w:ilvl="0" w:tplc="DFCACE4E">
      <w:start w:val="1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49B7882"/>
    <w:multiLevelType w:val="hybridMultilevel"/>
    <w:tmpl w:val="0E366902"/>
    <w:lvl w:ilvl="0" w:tplc="E3BC3022">
      <w:start w:val="1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A4844AF"/>
    <w:multiLevelType w:val="hybridMultilevel"/>
    <w:tmpl w:val="7F0677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5A11795"/>
    <w:multiLevelType w:val="hybridMultilevel"/>
    <w:tmpl w:val="B694FED0"/>
    <w:lvl w:ilvl="0" w:tplc="6FC2D83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C4D0484"/>
    <w:multiLevelType w:val="multilevel"/>
    <w:tmpl w:val="E43A37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ED35879"/>
    <w:multiLevelType w:val="multilevel"/>
    <w:tmpl w:val="84DECB6A"/>
    <w:lvl w:ilvl="0">
      <w:start w:val="1"/>
      <w:numFmt w:val="decimal"/>
      <w:pStyle w:val="Heading1"/>
      <w:lvlText w:val="%1."/>
      <w:lvlJc w:val="left"/>
      <w:pPr>
        <w:ind w:left="720" w:hanging="360"/>
      </w:pPr>
      <w:rPr>
        <w:rFonts w:hint="default"/>
      </w:rPr>
    </w:lvl>
    <w:lvl w:ilvl="1">
      <w:start w:val="1"/>
      <w:numFmt w:val="decimal"/>
      <w:pStyle w:val="Heading2"/>
      <w:isLgl/>
      <w:lvlText w:val="%1.%2."/>
      <w:lvlJc w:val="left"/>
      <w:pPr>
        <w:ind w:left="2250" w:hanging="360"/>
      </w:pPr>
      <w:rPr>
        <w:rFonts w:hint="default"/>
      </w:rPr>
    </w:lvl>
    <w:lvl w:ilvl="2">
      <w:start w:val="1"/>
      <w:numFmt w:val="decimal"/>
      <w:pStyle w:val="Heading3"/>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735564E8"/>
    <w:multiLevelType w:val="hybridMultilevel"/>
    <w:tmpl w:val="2B4667F6"/>
    <w:lvl w:ilvl="0" w:tplc="7A98B2A6">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AE57D9C"/>
    <w:multiLevelType w:val="hybridMultilevel"/>
    <w:tmpl w:val="5E929104"/>
    <w:lvl w:ilvl="0" w:tplc="04090005">
      <w:start w:val="1"/>
      <w:numFmt w:val="bullet"/>
      <w:lvlText w:val=""/>
      <w:lvlJc w:val="left"/>
      <w:pPr>
        <w:ind w:left="720" w:hanging="360"/>
      </w:pPr>
      <w:rPr>
        <w:rFonts w:ascii="Wingdings" w:hAnsi="Wingdings" w:hint="default"/>
      </w:rPr>
    </w:lvl>
    <w:lvl w:ilvl="1" w:tplc="EFAE8158">
      <w:numFmt w:val="bullet"/>
      <w:lvlText w:val="-"/>
      <w:lvlJc w:val="left"/>
      <w:pPr>
        <w:ind w:left="1440" w:hanging="360"/>
      </w:pPr>
      <w:rPr>
        <w:rFonts w:ascii="Calibri" w:eastAsiaTheme="minorHAnsi" w:hAnsi="Calibri" w:cs="Calibri"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BD330A7"/>
    <w:multiLevelType w:val="hybridMultilevel"/>
    <w:tmpl w:val="5D2A93C2"/>
    <w:lvl w:ilvl="0" w:tplc="04090005">
      <w:start w:val="1"/>
      <w:numFmt w:val="bullet"/>
      <w:lvlText w:val=""/>
      <w:lvlJc w:val="left"/>
      <w:pPr>
        <w:ind w:left="720" w:hanging="360"/>
      </w:pPr>
      <w:rPr>
        <w:rFonts w:ascii="Wingdings" w:hAnsi="Wingdings" w:hint="default"/>
      </w:rPr>
    </w:lvl>
    <w:lvl w:ilvl="1" w:tplc="EFAE8158">
      <w:numFmt w:val="bullet"/>
      <w:lvlText w:val="-"/>
      <w:lvlJc w:val="left"/>
      <w:pPr>
        <w:ind w:left="1440" w:hanging="360"/>
      </w:pPr>
      <w:rPr>
        <w:rFonts w:ascii="Calibri" w:eastAsiaTheme="minorHAnsi" w:hAnsi="Calibri" w:cs="Calibri"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C6B6452"/>
    <w:multiLevelType w:val="hybridMultilevel"/>
    <w:tmpl w:val="D514F9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D020AC9"/>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F1A4C0C"/>
    <w:multiLevelType w:val="multilevel"/>
    <w:tmpl w:val="5FB04D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4"/>
  </w:num>
  <w:num w:numId="2">
    <w:abstractNumId w:val="17"/>
  </w:num>
  <w:num w:numId="3">
    <w:abstractNumId w:val="1"/>
  </w:num>
  <w:num w:numId="4">
    <w:abstractNumId w:val="10"/>
  </w:num>
  <w:num w:numId="5">
    <w:abstractNumId w:val="8"/>
  </w:num>
  <w:num w:numId="6">
    <w:abstractNumId w:val="13"/>
  </w:num>
  <w:num w:numId="7">
    <w:abstractNumId w:val="23"/>
  </w:num>
  <w:num w:numId="8">
    <w:abstractNumId w:val="12"/>
  </w:num>
  <w:num w:numId="9">
    <w:abstractNumId w:val="16"/>
  </w:num>
  <w:num w:numId="10">
    <w:abstractNumId w:val="6"/>
  </w:num>
  <w:num w:numId="11">
    <w:abstractNumId w:val="21"/>
  </w:num>
  <w:num w:numId="12">
    <w:abstractNumId w:val="9"/>
  </w:num>
  <w:num w:numId="13">
    <w:abstractNumId w:val="22"/>
  </w:num>
  <w:num w:numId="14">
    <w:abstractNumId w:val="0"/>
  </w:num>
  <w:num w:numId="15">
    <w:abstractNumId w:val="7"/>
  </w:num>
  <w:num w:numId="16">
    <w:abstractNumId w:val="4"/>
  </w:num>
  <w:num w:numId="17">
    <w:abstractNumId w:val="5"/>
  </w:num>
  <w:num w:numId="18">
    <w:abstractNumId w:val="20"/>
  </w:num>
  <w:num w:numId="19">
    <w:abstractNumId w:val="19"/>
  </w:num>
  <w:num w:numId="20">
    <w:abstractNumId w:val="18"/>
  </w:num>
  <w:num w:numId="21">
    <w:abstractNumId w:val="3"/>
  </w:num>
  <w:num w:numId="22">
    <w:abstractNumId w:val="2"/>
  </w:num>
  <w:num w:numId="23">
    <w:abstractNumId w:val="15"/>
  </w:num>
  <w:num w:numId="2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LQ0MzMxNDA3sDA0NLdU0lEKTi0uzszPAykwNasFAJFqx0AtAAAA"/>
  </w:docVars>
  <w:rsids>
    <w:rsidRoot w:val="000B2640"/>
    <w:rsid w:val="000006C0"/>
    <w:rsid w:val="0000199C"/>
    <w:rsid w:val="00003A71"/>
    <w:rsid w:val="0000405A"/>
    <w:rsid w:val="00004F2B"/>
    <w:rsid w:val="00006304"/>
    <w:rsid w:val="00007BD6"/>
    <w:rsid w:val="0001103E"/>
    <w:rsid w:val="00011AA3"/>
    <w:rsid w:val="00011E3D"/>
    <w:rsid w:val="00012F05"/>
    <w:rsid w:val="00013492"/>
    <w:rsid w:val="00013C17"/>
    <w:rsid w:val="00015031"/>
    <w:rsid w:val="00016215"/>
    <w:rsid w:val="000162EC"/>
    <w:rsid w:val="0001668B"/>
    <w:rsid w:val="0001684B"/>
    <w:rsid w:val="00020A4C"/>
    <w:rsid w:val="000213CC"/>
    <w:rsid w:val="0002145C"/>
    <w:rsid w:val="0002251D"/>
    <w:rsid w:val="00024944"/>
    <w:rsid w:val="000279D8"/>
    <w:rsid w:val="00031196"/>
    <w:rsid w:val="000314C6"/>
    <w:rsid w:val="00032591"/>
    <w:rsid w:val="00032626"/>
    <w:rsid w:val="0003408E"/>
    <w:rsid w:val="000348AC"/>
    <w:rsid w:val="00034B7C"/>
    <w:rsid w:val="00034E0B"/>
    <w:rsid w:val="000366E5"/>
    <w:rsid w:val="00036C6D"/>
    <w:rsid w:val="000376C8"/>
    <w:rsid w:val="00040F83"/>
    <w:rsid w:val="0004136C"/>
    <w:rsid w:val="00041972"/>
    <w:rsid w:val="00042600"/>
    <w:rsid w:val="0004332B"/>
    <w:rsid w:val="00043B2F"/>
    <w:rsid w:val="00044023"/>
    <w:rsid w:val="000443CA"/>
    <w:rsid w:val="00045867"/>
    <w:rsid w:val="000459A9"/>
    <w:rsid w:val="00045A56"/>
    <w:rsid w:val="00045F23"/>
    <w:rsid w:val="000517DA"/>
    <w:rsid w:val="00051F4C"/>
    <w:rsid w:val="00052CBD"/>
    <w:rsid w:val="0005359E"/>
    <w:rsid w:val="00053DBF"/>
    <w:rsid w:val="00057536"/>
    <w:rsid w:val="0005799C"/>
    <w:rsid w:val="0006100E"/>
    <w:rsid w:val="00061599"/>
    <w:rsid w:val="0006166B"/>
    <w:rsid w:val="00061E3F"/>
    <w:rsid w:val="00062B8D"/>
    <w:rsid w:val="00063708"/>
    <w:rsid w:val="00064C9E"/>
    <w:rsid w:val="00064D25"/>
    <w:rsid w:val="000660AE"/>
    <w:rsid w:val="00071CDF"/>
    <w:rsid w:val="00073703"/>
    <w:rsid w:val="00074B0C"/>
    <w:rsid w:val="0007513C"/>
    <w:rsid w:val="000769FC"/>
    <w:rsid w:val="00077806"/>
    <w:rsid w:val="00077F25"/>
    <w:rsid w:val="00083708"/>
    <w:rsid w:val="00084391"/>
    <w:rsid w:val="00084812"/>
    <w:rsid w:val="00086A63"/>
    <w:rsid w:val="000914A1"/>
    <w:rsid w:val="000926EA"/>
    <w:rsid w:val="00094491"/>
    <w:rsid w:val="00095325"/>
    <w:rsid w:val="00095529"/>
    <w:rsid w:val="00096D47"/>
    <w:rsid w:val="000A2763"/>
    <w:rsid w:val="000A2EF7"/>
    <w:rsid w:val="000A3F34"/>
    <w:rsid w:val="000A70E8"/>
    <w:rsid w:val="000B0E58"/>
    <w:rsid w:val="000B1669"/>
    <w:rsid w:val="000B20F3"/>
    <w:rsid w:val="000B2640"/>
    <w:rsid w:val="000B2812"/>
    <w:rsid w:val="000B2EC6"/>
    <w:rsid w:val="000B3A2D"/>
    <w:rsid w:val="000B40EC"/>
    <w:rsid w:val="000B53BF"/>
    <w:rsid w:val="000C0372"/>
    <w:rsid w:val="000C2910"/>
    <w:rsid w:val="000C4AC2"/>
    <w:rsid w:val="000C4C43"/>
    <w:rsid w:val="000C504E"/>
    <w:rsid w:val="000C62C0"/>
    <w:rsid w:val="000C6E5A"/>
    <w:rsid w:val="000C7F14"/>
    <w:rsid w:val="000D0C16"/>
    <w:rsid w:val="000D12DD"/>
    <w:rsid w:val="000D1FDA"/>
    <w:rsid w:val="000D36BF"/>
    <w:rsid w:val="000D4C20"/>
    <w:rsid w:val="000D5133"/>
    <w:rsid w:val="000E12D1"/>
    <w:rsid w:val="000E1C99"/>
    <w:rsid w:val="000E2913"/>
    <w:rsid w:val="000E42CB"/>
    <w:rsid w:val="000E531D"/>
    <w:rsid w:val="000E7B00"/>
    <w:rsid w:val="000F0F2F"/>
    <w:rsid w:val="000F179B"/>
    <w:rsid w:val="000F198E"/>
    <w:rsid w:val="000F3E3B"/>
    <w:rsid w:val="000F57BD"/>
    <w:rsid w:val="000F66FA"/>
    <w:rsid w:val="000F7213"/>
    <w:rsid w:val="000F794C"/>
    <w:rsid w:val="00100956"/>
    <w:rsid w:val="00100BD7"/>
    <w:rsid w:val="001028E5"/>
    <w:rsid w:val="001031CE"/>
    <w:rsid w:val="00106CB9"/>
    <w:rsid w:val="00107026"/>
    <w:rsid w:val="00107F42"/>
    <w:rsid w:val="001145D6"/>
    <w:rsid w:val="00114FDF"/>
    <w:rsid w:val="00116EA9"/>
    <w:rsid w:val="00120239"/>
    <w:rsid w:val="001202B2"/>
    <w:rsid w:val="001209C7"/>
    <w:rsid w:val="00120DEE"/>
    <w:rsid w:val="001227AE"/>
    <w:rsid w:val="00122809"/>
    <w:rsid w:val="00122866"/>
    <w:rsid w:val="00123160"/>
    <w:rsid w:val="001257A1"/>
    <w:rsid w:val="001268DE"/>
    <w:rsid w:val="0013007D"/>
    <w:rsid w:val="001321AB"/>
    <w:rsid w:val="0013524F"/>
    <w:rsid w:val="00135EA9"/>
    <w:rsid w:val="0013664E"/>
    <w:rsid w:val="00136A69"/>
    <w:rsid w:val="00137540"/>
    <w:rsid w:val="0014179A"/>
    <w:rsid w:val="0014266B"/>
    <w:rsid w:val="00143821"/>
    <w:rsid w:val="00144794"/>
    <w:rsid w:val="001464BB"/>
    <w:rsid w:val="001522B8"/>
    <w:rsid w:val="00153EA1"/>
    <w:rsid w:val="00156573"/>
    <w:rsid w:val="0015694F"/>
    <w:rsid w:val="00156AE8"/>
    <w:rsid w:val="001603C7"/>
    <w:rsid w:val="00160EBD"/>
    <w:rsid w:val="0016165A"/>
    <w:rsid w:val="00161A84"/>
    <w:rsid w:val="0016279C"/>
    <w:rsid w:val="00162AA6"/>
    <w:rsid w:val="00163C22"/>
    <w:rsid w:val="00165A4E"/>
    <w:rsid w:val="00165CD8"/>
    <w:rsid w:val="00166F11"/>
    <w:rsid w:val="00167221"/>
    <w:rsid w:val="001702A5"/>
    <w:rsid w:val="00170887"/>
    <w:rsid w:val="001710A3"/>
    <w:rsid w:val="00171462"/>
    <w:rsid w:val="00171BEC"/>
    <w:rsid w:val="001733D0"/>
    <w:rsid w:val="00174530"/>
    <w:rsid w:val="00177CD1"/>
    <w:rsid w:val="00180583"/>
    <w:rsid w:val="0018383E"/>
    <w:rsid w:val="0018394D"/>
    <w:rsid w:val="001848F3"/>
    <w:rsid w:val="00184C1B"/>
    <w:rsid w:val="00185199"/>
    <w:rsid w:val="001860B6"/>
    <w:rsid w:val="00187987"/>
    <w:rsid w:val="00191F46"/>
    <w:rsid w:val="00192C28"/>
    <w:rsid w:val="00193B3E"/>
    <w:rsid w:val="00194FDE"/>
    <w:rsid w:val="00195108"/>
    <w:rsid w:val="00196DF4"/>
    <w:rsid w:val="001A38D2"/>
    <w:rsid w:val="001A3E29"/>
    <w:rsid w:val="001A552A"/>
    <w:rsid w:val="001A75D6"/>
    <w:rsid w:val="001A7B04"/>
    <w:rsid w:val="001B0018"/>
    <w:rsid w:val="001B3720"/>
    <w:rsid w:val="001B4255"/>
    <w:rsid w:val="001B4C08"/>
    <w:rsid w:val="001B61C7"/>
    <w:rsid w:val="001B6746"/>
    <w:rsid w:val="001C0413"/>
    <w:rsid w:val="001C0D7D"/>
    <w:rsid w:val="001C1D0F"/>
    <w:rsid w:val="001C1FE5"/>
    <w:rsid w:val="001C3166"/>
    <w:rsid w:val="001C45D1"/>
    <w:rsid w:val="001C7C62"/>
    <w:rsid w:val="001D1432"/>
    <w:rsid w:val="001D1C74"/>
    <w:rsid w:val="001D27E3"/>
    <w:rsid w:val="001D331B"/>
    <w:rsid w:val="001D52DC"/>
    <w:rsid w:val="001D69F0"/>
    <w:rsid w:val="001D7094"/>
    <w:rsid w:val="001D7C95"/>
    <w:rsid w:val="001E0DC0"/>
    <w:rsid w:val="001E2231"/>
    <w:rsid w:val="001E3196"/>
    <w:rsid w:val="001E4B31"/>
    <w:rsid w:val="001E4CFD"/>
    <w:rsid w:val="001E60D3"/>
    <w:rsid w:val="001E7A7A"/>
    <w:rsid w:val="001F05A7"/>
    <w:rsid w:val="001F3EB6"/>
    <w:rsid w:val="001F3F33"/>
    <w:rsid w:val="001F6BEB"/>
    <w:rsid w:val="00201945"/>
    <w:rsid w:val="00204CD1"/>
    <w:rsid w:val="0020657C"/>
    <w:rsid w:val="00206B2F"/>
    <w:rsid w:val="00207040"/>
    <w:rsid w:val="00207801"/>
    <w:rsid w:val="00210E18"/>
    <w:rsid w:val="0021102E"/>
    <w:rsid w:val="00211F6E"/>
    <w:rsid w:val="002129CC"/>
    <w:rsid w:val="0021354A"/>
    <w:rsid w:val="00213EC5"/>
    <w:rsid w:val="002148A9"/>
    <w:rsid w:val="0021514B"/>
    <w:rsid w:val="00215C98"/>
    <w:rsid w:val="002165D4"/>
    <w:rsid w:val="0022056A"/>
    <w:rsid w:val="0022103E"/>
    <w:rsid w:val="00224D8D"/>
    <w:rsid w:val="00230EBD"/>
    <w:rsid w:val="0023282A"/>
    <w:rsid w:val="00232EF7"/>
    <w:rsid w:val="002344EE"/>
    <w:rsid w:val="00235349"/>
    <w:rsid w:val="0023585F"/>
    <w:rsid w:val="00235F32"/>
    <w:rsid w:val="002374D6"/>
    <w:rsid w:val="00240AE9"/>
    <w:rsid w:val="00241C52"/>
    <w:rsid w:val="002429BD"/>
    <w:rsid w:val="00243A1F"/>
    <w:rsid w:val="0024539B"/>
    <w:rsid w:val="00245CC3"/>
    <w:rsid w:val="00246701"/>
    <w:rsid w:val="002478BF"/>
    <w:rsid w:val="00247CBF"/>
    <w:rsid w:val="00251C39"/>
    <w:rsid w:val="002545A7"/>
    <w:rsid w:val="00255A33"/>
    <w:rsid w:val="002577BF"/>
    <w:rsid w:val="00261B43"/>
    <w:rsid w:val="002625AF"/>
    <w:rsid w:val="002627C6"/>
    <w:rsid w:val="00263932"/>
    <w:rsid w:val="00263DD0"/>
    <w:rsid w:val="00264C72"/>
    <w:rsid w:val="00265656"/>
    <w:rsid w:val="00266DAB"/>
    <w:rsid w:val="002672BE"/>
    <w:rsid w:val="00270163"/>
    <w:rsid w:val="00271F02"/>
    <w:rsid w:val="00273C2E"/>
    <w:rsid w:val="00273F2A"/>
    <w:rsid w:val="00274DD4"/>
    <w:rsid w:val="00275937"/>
    <w:rsid w:val="00275BEE"/>
    <w:rsid w:val="00276ADB"/>
    <w:rsid w:val="00277C6D"/>
    <w:rsid w:val="002831AD"/>
    <w:rsid w:val="0028453F"/>
    <w:rsid w:val="00286339"/>
    <w:rsid w:val="002903F6"/>
    <w:rsid w:val="00290C9D"/>
    <w:rsid w:val="0029544A"/>
    <w:rsid w:val="00295A90"/>
    <w:rsid w:val="00295DD8"/>
    <w:rsid w:val="002961D7"/>
    <w:rsid w:val="00296EAE"/>
    <w:rsid w:val="00297319"/>
    <w:rsid w:val="002A24F1"/>
    <w:rsid w:val="002A2CAA"/>
    <w:rsid w:val="002A668A"/>
    <w:rsid w:val="002B1F5A"/>
    <w:rsid w:val="002B36E7"/>
    <w:rsid w:val="002B396C"/>
    <w:rsid w:val="002B424A"/>
    <w:rsid w:val="002B62DB"/>
    <w:rsid w:val="002C00B9"/>
    <w:rsid w:val="002C25B4"/>
    <w:rsid w:val="002C3B52"/>
    <w:rsid w:val="002C4A18"/>
    <w:rsid w:val="002C6057"/>
    <w:rsid w:val="002D136E"/>
    <w:rsid w:val="002D1DC6"/>
    <w:rsid w:val="002D2053"/>
    <w:rsid w:val="002D3B22"/>
    <w:rsid w:val="002D4248"/>
    <w:rsid w:val="002D77AC"/>
    <w:rsid w:val="002D7805"/>
    <w:rsid w:val="002E0DEF"/>
    <w:rsid w:val="002E1207"/>
    <w:rsid w:val="002E53AB"/>
    <w:rsid w:val="002E59CF"/>
    <w:rsid w:val="002E6F26"/>
    <w:rsid w:val="002F06E6"/>
    <w:rsid w:val="002F101C"/>
    <w:rsid w:val="002F2227"/>
    <w:rsid w:val="002F29E2"/>
    <w:rsid w:val="002F2C31"/>
    <w:rsid w:val="002F2DD6"/>
    <w:rsid w:val="002F3C1B"/>
    <w:rsid w:val="002F4023"/>
    <w:rsid w:val="002F5C17"/>
    <w:rsid w:val="002F7F29"/>
    <w:rsid w:val="003058C8"/>
    <w:rsid w:val="00306BFA"/>
    <w:rsid w:val="003140C2"/>
    <w:rsid w:val="00314433"/>
    <w:rsid w:val="00314CD4"/>
    <w:rsid w:val="003150A3"/>
    <w:rsid w:val="00316197"/>
    <w:rsid w:val="00317389"/>
    <w:rsid w:val="00317EAE"/>
    <w:rsid w:val="003207E3"/>
    <w:rsid w:val="00324D5A"/>
    <w:rsid w:val="00325143"/>
    <w:rsid w:val="00326B39"/>
    <w:rsid w:val="003322C0"/>
    <w:rsid w:val="00333B6B"/>
    <w:rsid w:val="0033419B"/>
    <w:rsid w:val="00340C96"/>
    <w:rsid w:val="00341C20"/>
    <w:rsid w:val="00344A8E"/>
    <w:rsid w:val="00346C7E"/>
    <w:rsid w:val="003475E9"/>
    <w:rsid w:val="00350478"/>
    <w:rsid w:val="003507FF"/>
    <w:rsid w:val="0035150E"/>
    <w:rsid w:val="003521E3"/>
    <w:rsid w:val="00352714"/>
    <w:rsid w:val="00352F13"/>
    <w:rsid w:val="00353C95"/>
    <w:rsid w:val="00354304"/>
    <w:rsid w:val="00354732"/>
    <w:rsid w:val="00354E94"/>
    <w:rsid w:val="00355401"/>
    <w:rsid w:val="003608C4"/>
    <w:rsid w:val="0036147F"/>
    <w:rsid w:val="003619E8"/>
    <w:rsid w:val="00362C4A"/>
    <w:rsid w:val="00364CEC"/>
    <w:rsid w:val="00366529"/>
    <w:rsid w:val="00367220"/>
    <w:rsid w:val="00367AD5"/>
    <w:rsid w:val="00372F5B"/>
    <w:rsid w:val="00377243"/>
    <w:rsid w:val="003800E7"/>
    <w:rsid w:val="0038031B"/>
    <w:rsid w:val="00384CE6"/>
    <w:rsid w:val="003855B5"/>
    <w:rsid w:val="00385EC8"/>
    <w:rsid w:val="003865C6"/>
    <w:rsid w:val="00387C24"/>
    <w:rsid w:val="003904D7"/>
    <w:rsid w:val="003930EB"/>
    <w:rsid w:val="003943FF"/>
    <w:rsid w:val="00394497"/>
    <w:rsid w:val="003958A3"/>
    <w:rsid w:val="00395AE5"/>
    <w:rsid w:val="00397E2C"/>
    <w:rsid w:val="003A06AB"/>
    <w:rsid w:val="003A253F"/>
    <w:rsid w:val="003A4CE4"/>
    <w:rsid w:val="003A4FD0"/>
    <w:rsid w:val="003A56AF"/>
    <w:rsid w:val="003B0557"/>
    <w:rsid w:val="003B1B17"/>
    <w:rsid w:val="003B34FD"/>
    <w:rsid w:val="003B3E6D"/>
    <w:rsid w:val="003B3FA0"/>
    <w:rsid w:val="003B47DB"/>
    <w:rsid w:val="003B678D"/>
    <w:rsid w:val="003B6FE9"/>
    <w:rsid w:val="003C053B"/>
    <w:rsid w:val="003C19E7"/>
    <w:rsid w:val="003C3C09"/>
    <w:rsid w:val="003C6182"/>
    <w:rsid w:val="003D2BF6"/>
    <w:rsid w:val="003D5C2C"/>
    <w:rsid w:val="003E016D"/>
    <w:rsid w:val="003E0625"/>
    <w:rsid w:val="003E42D1"/>
    <w:rsid w:val="003E436B"/>
    <w:rsid w:val="003E44D9"/>
    <w:rsid w:val="003E462E"/>
    <w:rsid w:val="003E78CE"/>
    <w:rsid w:val="003F12A2"/>
    <w:rsid w:val="003F25B5"/>
    <w:rsid w:val="003F313A"/>
    <w:rsid w:val="003F34DD"/>
    <w:rsid w:val="003F50BD"/>
    <w:rsid w:val="00400C43"/>
    <w:rsid w:val="0040130E"/>
    <w:rsid w:val="004022E5"/>
    <w:rsid w:val="004035F5"/>
    <w:rsid w:val="00403646"/>
    <w:rsid w:val="00405F95"/>
    <w:rsid w:val="004105CF"/>
    <w:rsid w:val="004113DE"/>
    <w:rsid w:val="004128B9"/>
    <w:rsid w:val="00412D3E"/>
    <w:rsid w:val="004165A0"/>
    <w:rsid w:val="00417957"/>
    <w:rsid w:val="004203C1"/>
    <w:rsid w:val="00421A5F"/>
    <w:rsid w:val="00421AE6"/>
    <w:rsid w:val="00421D3E"/>
    <w:rsid w:val="00421EA0"/>
    <w:rsid w:val="00423E96"/>
    <w:rsid w:val="00425D12"/>
    <w:rsid w:val="00426FD3"/>
    <w:rsid w:val="004319C0"/>
    <w:rsid w:val="00432BFB"/>
    <w:rsid w:val="00434405"/>
    <w:rsid w:val="00434692"/>
    <w:rsid w:val="00436262"/>
    <w:rsid w:val="00437495"/>
    <w:rsid w:val="004416B8"/>
    <w:rsid w:val="00443A8E"/>
    <w:rsid w:val="00443B58"/>
    <w:rsid w:val="00443D1E"/>
    <w:rsid w:val="0044630A"/>
    <w:rsid w:val="00451E2E"/>
    <w:rsid w:val="00453532"/>
    <w:rsid w:val="004611AE"/>
    <w:rsid w:val="00461F24"/>
    <w:rsid w:val="00463FF9"/>
    <w:rsid w:val="00464B8F"/>
    <w:rsid w:val="00470118"/>
    <w:rsid w:val="0047016B"/>
    <w:rsid w:val="004720C0"/>
    <w:rsid w:val="004732A3"/>
    <w:rsid w:val="00476B82"/>
    <w:rsid w:val="00482FD9"/>
    <w:rsid w:val="00483393"/>
    <w:rsid w:val="0049409A"/>
    <w:rsid w:val="004A17BD"/>
    <w:rsid w:val="004A2846"/>
    <w:rsid w:val="004A3221"/>
    <w:rsid w:val="004A672B"/>
    <w:rsid w:val="004A7AFD"/>
    <w:rsid w:val="004B01E2"/>
    <w:rsid w:val="004B0255"/>
    <w:rsid w:val="004B148E"/>
    <w:rsid w:val="004B19D5"/>
    <w:rsid w:val="004B1FE0"/>
    <w:rsid w:val="004B245B"/>
    <w:rsid w:val="004B41DC"/>
    <w:rsid w:val="004B4822"/>
    <w:rsid w:val="004B5485"/>
    <w:rsid w:val="004B56C1"/>
    <w:rsid w:val="004B5DC4"/>
    <w:rsid w:val="004C10C3"/>
    <w:rsid w:val="004C1425"/>
    <w:rsid w:val="004C3271"/>
    <w:rsid w:val="004C49D3"/>
    <w:rsid w:val="004C60DA"/>
    <w:rsid w:val="004C66BC"/>
    <w:rsid w:val="004C78C5"/>
    <w:rsid w:val="004D22AA"/>
    <w:rsid w:val="004D2A6C"/>
    <w:rsid w:val="004D3A74"/>
    <w:rsid w:val="004D4133"/>
    <w:rsid w:val="004D4318"/>
    <w:rsid w:val="004D5672"/>
    <w:rsid w:val="004D7F1F"/>
    <w:rsid w:val="004D7F45"/>
    <w:rsid w:val="004E0311"/>
    <w:rsid w:val="004E0788"/>
    <w:rsid w:val="004E0A41"/>
    <w:rsid w:val="004E2FB4"/>
    <w:rsid w:val="004E3602"/>
    <w:rsid w:val="004E3632"/>
    <w:rsid w:val="004E3823"/>
    <w:rsid w:val="004E4033"/>
    <w:rsid w:val="004F16D7"/>
    <w:rsid w:val="004F2107"/>
    <w:rsid w:val="004F2536"/>
    <w:rsid w:val="004F35AB"/>
    <w:rsid w:val="004F54F3"/>
    <w:rsid w:val="004F5C0F"/>
    <w:rsid w:val="004F73DD"/>
    <w:rsid w:val="00500877"/>
    <w:rsid w:val="0050127D"/>
    <w:rsid w:val="00503602"/>
    <w:rsid w:val="005060A6"/>
    <w:rsid w:val="00506C9B"/>
    <w:rsid w:val="00507C62"/>
    <w:rsid w:val="005100C1"/>
    <w:rsid w:val="00512B0C"/>
    <w:rsid w:val="00513076"/>
    <w:rsid w:val="0051329B"/>
    <w:rsid w:val="00513A83"/>
    <w:rsid w:val="00513C80"/>
    <w:rsid w:val="00513D40"/>
    <w:rsid w:val="00513E45"/>
    <w:rsid w:val="005151AE"/>
    <w:rsid w:val="00516663"/>
    <w:rsid w:val="00517709"/>
    <w:rsid w:val="00517C9F"/>
    <w:rsid w:val="00517F54"/>
    <w:rsid w:val="00520F33"/>
    <w:rsid w:val="0052296D"/>
    <w:rsid w:val="0052341E"/>
    <w:rsid w:val="00523C4B"/>
    <w:rsid w:val="00523FE4"/>
    <w:rsid w:val="00533ABB"/>
    <w:rsid w:val="00533AC5"/>
    <w:rsid w:val="0053572B"/>
    <w:rsid w:val="005363F5"/>
    <w:rsid w:val="00537CDF"/>
    <w:rsid w:val="00540780"/>
    <w:rsid w:val="00540E05"/>
    <w:rsid w:val="0054175E"/>
    <w:rsid w:val="00544D54"/>
    <w:rsid w:val="005533C6"/>
    <w:rsid w:val="00554302"/>
    <w:rsid w:val="00555BAB"/>
    <w:rsid w:val="00555E19"/>
    <w:rsid w:val="005563C5"/>
    <w:rsid w:val="005647D5"/>
    <w:rsid w:val="0057006E"/>
    <w:rsid w:val="005726A2"/>
    <w:rsid w:val="00572F23"/>
    <w:rsid w:val="005736F5"/>
    <w:rsid w:val="00573C04"/>
    <w:rsid w:val="00573DBD"/>
    <w:rsid w:val="00574BBE"/>
    <w:rsid w:val="00576418"/>
    <w:rsid w:val="00581838"/>
    <w:rsid w:val="00581D7B"/>
    <w:rsid w:val="005829AD"/>
    <w:rsid w:val="00583BD0"/>
    <w:rsid w:val="005840EF"/>
    <w:rsid w:val="0058441D"/>
    <w:rsid w:val="00584963"/>
    <w:rsid w:val="00585AA0"/>
    <w:rsid w:val="00585FF0"/>
    <w:rsid w:val="0059050B"/>
    <w:rsid w:val="00593A4B"/>
    <w:rsid w:val="005943A8"/>
    <w:rsid w:val="005970AF"/>
    <w:rsid w:val="00597E04"/>
    <w:rsid w:val="005A3216"/>
    <w:rsid w:val="005A3897"/>
    <w:rsid w:val="005A7122"/>
    <w:rsid w:val="005A7319"/>
    <w:rsid w:val="005B3E05"/>
    <w:rsid w:val="005B5286"/>
    <w:rsid w:val="005B6BB0"/>
    <w:rsid w:val="005C0287"/>
    <w:rsid w:val="005C2453"/>
    <w:rsid w:val="005C2D9E"/>
    <w:rsid w:val="005C3F9C"/>
    <w:rsid w:val="005C55ED"/>
    <w:rsid w:val="005C7376"/>
    <w:rsid w:val="005D09DB"/>
    <w:rsid w:val="005D23AD"/>
    <w:rsid w:val="005D2420"/>
    <w:rsid w:val="005D24B5"/>
    <w:rsid w:val="005D34D4"/>
    <w:rsid w:val="005D3A47"/>
    <w:rsid w:val="005D4F56"/>
    <w:rsid w:val="005D5527"/>
    <w:rsid w:val="005D5869"/>
    <w:rsid w:val="005D6EA9"/>
    <w:rsid w:val="005D7CD3"/>
    <w:rsid w:val="005E0607"/>
    <w:rsid w:val="005E39B0"/>
    <w:rsid w:val="005E4336"/>
    <w:rsid w:val="005E49B9"/>
    <w:rsid w:val="005E50F3"/>
    <w:rsid w:val="005E5299"/>
    <w:rsid w:val="005E5A27"/>
    <w:rsid w:val="005E5B7F"/>
    <w:rsid w:val="005E5C1E"/>
    <w:rsid w:val="005E6988"/>
    <w:rsid w:val="005E7F04"/>
    <w:rsid w:val="005F09EF"/>
    <w:rsid w:val="005F1701"/>
    <w:rsid w:val="005F2F23"/>
    <w:rsid w:val="005F5B75"/>
    <w:rsid w:val="005F6402"/>
    <w:rsid w:val="005F79E3"/>
    <w:rsid w:val="005F7EAA"/>
    <w:rsid w:val="0060575B"/>
    <w:rsid w:val="0061061E"/>
    <w:rsid w:val="00613972"/>
    <w:rsid w:val="00614834"/>
    <w:rsid w:val="006177E4"/>
    <w:rsid w:val="006203D3"/>
    <w:rsid w:val="0062204E"/>
    <w:rsid w:val="00625253"/>
    <w:rsid w:val="00625B99"/>
    <w:rsid w:val="006272F9"/>
    <w:rsid w:val="00630154"/>
    <w:rsid w:val="0063035B"/>
    <w:rsid w:val="00630A69"/>
    <w:rsid w:val="00631F86"/>
    <w:rsid w:val="00633836"/>
    <w:rsid w:val="00634FD1"/>
    <w:rsid w:val="0063650D"/>
    <w:rsid w:val="006371A3"/>
    <w:rsid w:val="0064164F"/>
    <w:rsid w:val="00641BDA"/>
    <w:rsid w:val="00644F33"/>
    <w:rsid w:val="00647148"/>
    <w:rsid w:val="0065054A"/>
    <w:rsid w:val="0065687F"/>
    <w:rsid w:val="00656F93"/>
    <w:rsid w:val="00657B22"/>
    <w:rsid w:val="00661783"/>
    <w:rsid w:val="00662FDE"/>
    <w:rsid w:val="006640F9"/>
    <w:rsid w:val="00664A55"/>
    <w:rsid w:val="00667682"/>
    <w:rsid w:val="00670008"/>
    <w:rsid w:val="00670778"/>
    <w:rsid w:val="00671A68"/>
    <w:rsid w:val="00674920"/>
    <w:rsid w:val="0068023F"/>
    <w:rsid w:val="006809D2"/>
    <w:rsid w:val="00681A46"/>
    <w:rsid w:val="00684079"/>
    <w:rsid w:val="00684178"/>
    <w:rsid w:val="006850A1"/>
    <w:rsid w:val="00692030"/>
    <w:rsid w:val="00692857"/>
    <w:rsid w:val="006947A7"/>
    <w:rsid w:val="006A0DD9"/>
    <w:rsid w:val="006A200E"/>
    <w:rsid w:val="006A5557"/>
    <w:rsid w:val="006A5E45"/>
    <w:rsid w:val="006A7544"/>
    <w:rsid w:val="006B0347"/>
    <w:rsid w:val="006B1A43"/>
    <w:rsid w:val="006B1D1F"/>
    <w:rsid w:val="006B40E2"/>
    <w:rsid w:val="006B7255"/>
    <w:rsid w:val="006B748A"/>
    <w:rsid w:val="006C0A51"/>
    <w:rsid w:val="006C5CFF"/>
    <w:rsid w:val="006C7A2C"/>
    <w:rsid w:val="006D4C39"/>
    <w:rsid w:val="006D58FD"/>
    <w:rsid w:val="006D6A7F"/>
    <w:rsid w:val="006D7A25"/>
    <w:rsid w:val="006E26A4"/>
    <w:rsid w:val="006E5709"/>
    <w:rsid w:val="006E742B"/>
    <w:rsid w:val="006F12C7"/>
    <w:rsid w:val="006F2338"/>
    <w:rsid w:val="006F2781"/>
    <w:rsid w:val="006F43D5"/>
    <w:rsid w:val="006F4557"/>
    <w:rsid w:val="006F53AD"/>
    <w:rsid w:val="006F59A4"/>
    <w:rsid w:val="006F5FE2"/>
    <w:rsid w:val="007005C4"/>
    <w:rsid w:val="00700B4C"/>
    <w:rsid w:val="00702501"/>
    <w:rsid w:val="007028D1"/>
    <w:rsid w:val="00702E75"/>
    <w:rsid w:val="00704FB0"/>
    <w:rsid w:val="007078D5"/>
    <w:rsid w:val="00707F4D"/>
    <w:rsid w:val="007107F6"/>
    <w:rsid w:val="0071480D"/>
    <w:rsid w:val="00715736"/>
    <w:rsid w:val="007218AE"/>
    <w:rsid w:val="00721D0F"/>
    <w:rsid w:val="00721F56"/>
    <w:rsid w:val="0072360A"/>
    <w:rsid w:val="007306BC"/>
    <w:rsid w:val="00731D30"/>
    <w:rsid w:val="00735B4B"/>
    <w:rsid w:val="00735D19"/>
    <w:rsid w:val="007363D8"/>
    <w:rsid w:val="00740F45"/>
    <w:rsid w:val="00742888"/>
    <w:rsid w:val="00743B40"/>
    <w:rsid w:val="00743D20"/>
    <w:rsid w:val="00745023"/>
    <w:rsid w:val="00745193"/>
    <w:rsid w:val="00746EA2"/>
    <w:rsid w:val="00747135"/>
    <w:rsid w:val="00750CB7"/>
    <w:rsid w:val="00752668"/>
    <w:rsid w:val="00752D99"/>
    <w:rsid w:val="00755F70"/>
    <w:rsid w:val="0075608F"/>
    <w:rsid w:val="00756A03"/>
    <w:rsid w:val="00764F82"/>
    <w:rsid w:val="0077087E"/>
    <w:rsid w:val="00770886"/>
    <w:rsid w:val="00771521"/>
    <w:rsid w:val="007717F5"/>
    <w:rsid w:val="00774A0F"/>
    <w:rsid w:val="00775943"/>
    <w:rsid w:val="00776EDD"/>
    <w:rsid w:val="00777F2A"/>
    <w:rsid w:val="0078011B"/>
    <w:rsid w:val="00780F4B"/>
    <w:rsid w:val="007813DA"/>
    <w:rsid w:val="00782923"/>
    <w:rsid w:val="00782ED1"/>
    <w:rsid w:val="00783671"/>
    <w:rsid w:val="00784577"/>
    <w:rsid w:val="00785476"/>
    <w:rsid w:val="00785C06"/>
    <w:rsid w:val="0078646A"/>
    <w:rsid w:val="0078671B"/>
    <w:rsid w:val="00787CE5"/>
    <w:rsid w:val="00793F2D"/>
    <w:rsid w:val="00794B61"/>
    <w:rsid w:val="007A72E9"/>
    <w:rsid w:val="007B0FDC"/>
    <w:rsid w:val="007B2D8D"/>
    <w:rsid w:val="007B5761"/>
    <w:rsid w:val="007B5EE0"/>
    <w:rsid w:val="007B61E8"/>
    <w:rsid w:val="007B6632"/>
    <w:rsid w:val="007C6D0E"/>
    <w:rsid w:val="007D0629"/>
    <w:rsid w:val="007D2F53"/>
    <w:rsid w:val="007D3C36"/>
    <w:rsid w:val="007D3D92"/>
    <w:rsid w:val="007D43FB"/>
    <w:rsid w:val="007D79E2"/>
    <w:rsid w:val="007E1969"/>
    <w:rsid w:val="007E2CED"/>
    <w:rsid w:val="007E3373"/>
    <w:rsid w:val="007E3539"/>
    <w:rsid w:val="007E4521"/>
    <w:rsid w:val="007E48F7"/>
    <w:rsid w:val="007E5293"/>
    <w:rsid w:val="007E5D15"/>
    <w:rsid w:val="007E6743"/>
    <w:rsid w:val="007E7B0C"/>
    <w:rsid w:val="007F07DE"/>
    <w:rsid w:val="007F08B5"/>
    <w:rsid w:val="007F34E6"/>
    <w:rsid w:val="007F4B92"/>
    <w:rsid w:val="007F4FF3"/>
    <w:rsid w:val="007F5FC9"/>
    <w:rsid w:val="0080453F"/>
    <w:rsid w:val="00805EA9"/>
    <w:rsid w:val="0080675B"/>
    <w:rsid w:val="008101FD"/>
    <w:rsid w:val="008106D4"/>
    <w:rsid w:val="00813424"/>
    <w:rsid w:val="0081403D"/>
    <w:rsid w:val="0081467F"/>
    <w:rsid w:val="00815F30"/>
    <w:rsid w:val="008171D0"/>
    <w:rsid w:val="00821CF0"/>
    <w:rsid w:val="00822628"/>
    <w:rsid w:val="008233CD"/>
    <w:rsid w:val="00824D31"/>
    <w:rsid w:val="00825D8B"/>
    <w:rsid w:val="0082756A"/>
    <w:rsid w:val="0083149C"/>
    <w:rsid w:val="00831CD6"/>
    <w:rsid w:val="00832C7B"/>
    <w:rsid w:val="00835C27"/>
    <w:rsid w:val="00837236"/>
    <w:rsid w:val="0084203F"/>
    <w:rsid w:val="00844A29"/>
    <w:rsid w:val="00847621"/>
    <w:rsid w:val="00850442"/>
    <w:rsid w:val="00851C1A"/>
    <w:rsid w:val="00851E94"/>
    <w:rsid w:val="0085460F"/>
    <w:rsid w:val="00856165"/>
    <w:rsid w:val="0085686C"/>
    <w:rsid w:val="00856C72"/>
    <w:rsid w:val="00860572"/>
    <w:rsid w:val="008649BC"/>
    <w:rsid w:val="00870555"/>
    <w:rsid w:val="008734AD"/>
    <w:rsid w:val="00873AE6"/>
    <w:rsid w:val="00874821"/>
    <w:rsid w:val="00874B62"/>
    <w:rsid w:val="00882F85"/>
    <w:rsid w:val="008837E9"/>
    <w:rsid w:val="0088791A"/>
    <w:rsid w:val="00890022"/>
    <w:rsid w:val="00890C32"/>
    <w:rsid w:val="00891009"/>
    <w:rsid w:val="00891AA3"/>
    <w:rsid w:val="008927C3"/>
    <w:rsid w:val="008936D4"/>
    <w:rsid w:val="00893866"/>
    <w:rsid w:val="008938AB"/>
    <w:rsid w:val="00894A2B"/>
    <w:rsid w:val="00894C21"/>
    <w:rsid w:val="00894EFF"/>
    <w:rsid w:val="0089550B"/>
    <w:rsid w:val="008A1ED7"/>
    <w:rsid w:val="008A2ABF"/>
    <w:rsid w:val="008A44EF"/>
    <w:rsid w:val="008A4696"/>
    <w:rsid w:val="008A5E04"/>
    <w:rsid w:val="008B049E"/>
    <w:rsid w:val="008B2144"/>
    <w:rsid w:val="008B4D25"/>
    <w:rsid w:val="008B5428"/>
    <w:rsid w:val="008B59F4"/>
    <w:rsid w:val="008B6ECD"/>
    <w:rsid w:val="008B78A1"/>
    <w:rsid w:val="008C0608"/>
    <w:rsid w:val="008C1842"/>
    <w:rsid w:val="008C23FF"/>
    <w:rsid w:val="008C27ED"/>
    <w:rsid w:val="008C340E"/>
    <w:rsid w:val="008C38A8"/>
    <w:rsid w:val="008C3ED1"/>
    <w:rsid w:val="008C5254"/>
    <w:rsid w:val="008C7740"/>
    <w:rsid w:val="008D0143"/>
    <w:rsid w:val="008D046B"/>
    <w:rsid w:val="008D0A55"/>
    <w:rsid w:val="008D1C06"/>
    <w:rsid w:val="008D36F7"/>
    <w:rsid w:val="008D45A4"/>
    <w:rsid w:val="008D77FC"/>
    <w:rsid w:val="008E06B3"/>
    <w:rsid w:val="008E29C7"/>
    <w:rsid w:val="008E332A"/>
    <w:rsid w:val="008E3C7B"/>
    <w:rsid w:val="008E456A"/>
    <w:rsid w:val="008E6014"/>
    <w:rsid w:val="008F0199"/>
    <w:rsid w:val="008F0840"/>
    <w:rsid w:val="008F1E84"/>
    <w:rsid w:val="008F250C"/>
    <w:rsid w:val="008F32CE"/>
    <w:rsid w:val="008F3C52"/>
    <w:rsid w:val="008F451D"/>
    <w:rsid w:val="008F5008"/>
    <w:rsid w:val="008F792C"/>
    <w:rsid w:val="008F799D"/>
    <w:rsid w:val="0090061C"/>
    <w:rsid w:val="00900E47"/>
    <w:rsid w:val="0090241E"/>
    <w:rsid w:val="0090271B"/>
    <w:rsid w:val="0091020E"/>
    <w:rsid w:val="009103B1"/>
    <w:rsid w:val="00910E3D"/>
    <w:rsid w:val="00911BB2"/>
    <w:rsid w:val="00912537"/>
    <w:rsid w:val="0091536F"/>
    <w:rsid w:val="00915961"/>
    <w:rsid w:val="00915C02"/>
    <w:rsid w:val="009160D5"/>
    <w:rsid w:val="00922A27"/>
    <w:rsid w:val="00924A11"/>
    <w:rsid w:val="00926617"/>
    <w:rsid w:val="00927D2D"/>
    <w:rsid w:val="0093008C"/>
    <w:rsid w:val="00930B9D"/>
    <w:rsid w:val="00931784"/>
    <w:rsid w:val="00933552"/>
    <w:rsid w:val="0093392A"/>
    <w:rsid w:val="009345E6"/>
    <w:rsid w:val="0094173D"/>
    <w:rsid w:val="00945ABD"/>
    <w:rsid w:val="009479D0"/>
    <w:rsid w:val="00954461"/>
    <w:rsid w:val="00961A0C"/>
    <w:rsid w:val="0096248F"/>
    <w:rsid w:val="00962911"/>
    <w:rsid w:val="00962CB1"/>
    <w:rsid w:val="00962DE4"/>
    <w:rsid w:val="009678B0"/>
    <w:rsid w:val="009708BB"/>
    <w:rsid w:val="00970BC6"/>
    <w:rsid w:val="0097296D"/>
    <w:rsid w:val="00972DF5"/>
    <w:rsid w:val="009739C0"/>
    <w:rsid w:val="00976806"/>
    <w:rsid w:val="00976F00"/>
    <w:rsid w:val="00980B7E"/>
    <w:rsid w:val="0098190F"/>
    <w:rsid w:val="00981C92"/>
    <w:rsid w:val="00982A72"/>
    <w:rsid w:val="0099161E"/>
    <w:rsid w:val="00992046"/>
    <w:rsid w:val="009962E5"/>
    <w:rsid w:val="009A1582"/>
    <w:rsid w:val="009A6AC4"/>
    <w:rsid w:val="009A6B2E"/>
    <w:rsid w:val="009B10A8"/>
    <w:rsid w:val="009B448C"/>
    <w:rsid w:val="009B4E18"/>
    <w:rsid w:val="009B64D8"/>
    <w:rsid w:val="009B6D2A"/>
    <w:rsid w:val="009B7DC4"/>
    <w:rsid w:val="009C130F"/>
    <w:rsid w:val="009C1F43"/>
    <w:rsid w:val="009C23DB"/>
    <w:rsid w:val="009C6B9D"/>
    <w:rsid w:val="009D31D7"/>
    <w:rsid w:val="009D634B"/>
    <w:rsid w:val="009D7783"/>
    <w:rsid w:val="009E1F83"/>
    <w:rsid w:val="009F1346"/>
    <w:rsid w:val="009F136E"/>
    <w:rsid w:val="009F1430"/>
    <w:rsid w:val="009F14AB"/>
    <w:rsid w:val="009F2BB3"/>
    <w:rsid w:val="009F2F62"/>
    <w:rsid w:val="009F32F1"/>
    <w:rsid w:val="009F3D16"/>
    <w:rsid w:val="009F65B4"/>
    <w:rsid w:val="009F6DC8"/>
    <w:rsid w:val="00A0178C"/>
    <w:rsid w:val="00A01CBD"/>
    <w:rsid w:val="00A03101"/>
    <w:rsid w:val="00A05699"/>
    <w:rsid w:val="00A1064F"/>
    <w:rsid w:val="00A124F9"/>
    <w:rsid w:val="00A167D1"/>
    <w:rsid w:val="00A201F5"/>
    <w:rsid w:val="00A20CDA"/>
    <w:rsid w:val="00A21CFA"/>
    <w:rsid w:val="00A2331B"/>
    <w:rsid w:val="00A25E80"/>
    <w:rsid w:val="00A2680D"/>
    <w:rsid w:val="00A3174B"/>
    <w:rsid w:val="00A31C91"/>
    <w:rsid w:val="00A31D7D"/>
    <w:rsid w:val="00A33F65"/>
    <w:rsid w:val="00A34022"/>
    <w:rsid w:val="00A343B5"/>
    <w:rsid w:val="00A34C9A"/>
    <w:rsid w:val="00A36130"/>
    <w:rsid w:val="00A40E11"/>
    <w:rsid w:val="00A41C42"/>
    <w:rsid w:val="00A430D7"/>
    <w:rsid w:val="00A4347B"/>
    <w:rsid w:val="00A44A01"/>
    <w:rsid w:val="00A44B69"/>
    <w:rsid w:val="00A5216B"/>
    <w:rsid w:val="00A54350"/>
    <w:rsid w:val="00A54654"/>
    <w:rsid w:val="00A553A2"/>
    <w:rsid w:val="00A5725D"/>
    <w:rsid w:val="00A6161D"/>
    <w:rsid w:val="00A628A9"/>
    <w:rsid w:val="00A63375"/>
    <w:rsid w:val="00A63F7D"/>
    <w:rsid w:val="00A6419C"/>
    <w:rsid w:val="00A6472B"/>
    <w:rsid w:val="00A64A49"/>
    <w:rsid w:val="00A65277"/>
    <w:rsid w:val="00A66F10"/>
    <w:rsid w:val="00A71716"/>
    <w:rsid w:val="00A73FAD"/>
    <w:rsid w:val="00A743AC"/>
    <w:rsid w:val="00A74F7E"/>
    <w:rsid w:val="00A760F4"/>
    <w:rsid w:val="00A77AAC"/>
    <w:rsid w:val="00A833C3"/>
    <w:rsid w:val="00A83970"/>
    <w:rsid w:val="00A84900"/>
    <w:rsid w:val="00A92D10"/>
    <w:rsid w:val="00A9577F"/>
    <w:rsid w:val="00A96F76"/>
    <w:rsid w:val="00AA021F"/>
    <w:rsid w:val="00AA1CEE"/>
    <w:rsid w:val="00AA1F9F"/>
    <w:rsid w:val="00AA2E05"/>
    <w:rsid w:val="00AA4458"/>
    <w:rsid w:val="00AA7DFD"/>
    <w:rsid w:val="00AB3B0B"/>
    <w:rsid w:val="00AB5005"/>
    <w:rsid w:val="00AC09E9"/>
    <w:rsid w:val="00AC14D2"/>
    <w:rsid w:val="00AC23EC"/>
    <w:rsid w:val="00AC2D77"/>
    <w:rsid w:val="00AC32DC"/>
    <w:rsid w:val="00AC3C4B"/>
    <w:rsid w:val="00AC40E4"/>
    <w:rsid w:val="00AC46AD"/>
    <w:rsid w:val="00AC5C91"/>
    <w:rsid w:val="00AC608E"/>
    <w:rsid w:val="00AC739E"/>
    <w:rsid w:val="00AD1C6D"/>
    <w:rsid w:val="00AD2B79"/>
    <w:rsid w:val="00AD40CE"/>
    <w:rsid w:val="00AE0A4C"/>
    <w:rsid w:val="00AE38F4"/>
    <w:rsid w:val="00AE6C5B"/>
    <w:rsid w:val="00AE6ED1"/>
    <w:rsid w:val="00AE7D06"/>
    <w:rsid w:val="00AF1518"/>
    <w:rsid w:val="00AF1C09"/>
    <w:rsid w:val="00AF28C8"/>
    <w:rsid w:val="00AF4E7D"/>
    <w:rsid w:val="00AF58BC"/>
    <w:rsid w:val="00AF5AD7"/>
    <w:rsid w:val="00AF681C"/>
    <w:rsid w:val="00B02954"/>
    <w:rsid w:val="00B0378F"/>
    <w:rsid w:val="00B0657F"/>
    <w:rsid w:val="00B1106F"/>
    <w:rsid w:val="00B112E2"/>
    <w:rsid w:val="00B125DB"/>
    <w:rsid w:val="00B12FC9"/>
    <w:rsid w:val="00B139AC"/>
    <w:rsid w:val="00B17481"/>
    <w:rsid w:val="00B17F7D"/>
    <w:rsid w:val="00B21972"/>
    <w:rsid w:val="00B26726"/>
    <w:rsid w:val="00B33498"/>
    <w:rsid w:val="00B334B6"/>
    <w:rsid w:val="00B3353A"/>
    <w:rsid w:val="00B33594"/>
    <w:rsid w:val="00B33E6F"/>
    <w:rsid w:val="00B3458A"/>
    <w:rsid w:val="00B37980"/>
    <w:rsid w:val="00B37DE4"/>
    <w:rsid w:val="00B4233F"/>
    <w:rsid w:val="00B43609"/>
    <w:rsid w:val="00B43BF7"/>
    <w:rsid w:val="00B45092"/>
    <w:rsid w:val="00B46732"/>
    <w:rsid w:val="00B51ED0"/>
    <w:rsid w:val="00B52D1C"/>
    <w:rsid w:val="00B54DFD"/>
    <w:rsid w:val="00B608FB"/>
    <w:rsid w:val="00B60CA1"/>
    <w:rsid w:val="00B61199"/>
    <w:rsid w:val="00B616E3"/>
    <w:rsid w:val="00B649E0"/>
    <w:rsid w:val="00B67AC2"/>
    <w:rsid w:val="00B710A4"/>
    <w:rsid w:val="00B715E9"/>
    <w:rsid w:val="00B72331"/>
    <w:rsid w:val="00B72F59"/>
    <w:rsid w:val="00B73078"/>
    <w:rsid w:val="00B76155"/>
    <w:rsid w:val="00B765B6"/>
    <w:rsid w:val="00B76A8C"/>
    <w:rsid w:val="00B76DC9"/>
    <w:rsid w:val="00B80B9B"/>
    <w:rsid w:val="00B81C66"/>
    <w:rsid w:val="00B8292B"/>
    <w:rsid w:val="00B82EAF"/>
    <w:rsid w:val="00B8375D"/>
    <w:rsid w:val="00B83D2A"/>
    <w:rsid w:val="00B847D4"/>
    <w:rsid w:val="00B84A85"/>
    <w:rsid w:val="00B87848"/>
    <w:rsid w:val="00B87DF7"/>
    <w:rsid w:val="00B915DE"/>
    <w:rsid w:val="00B922C1"/>
    <w:rsid w:val="00B930ED"/>
    <w:rsid w:val="00BA1548"/>
    <w:rsid w:val="00BA1FD6"/>
    <w:rsid w:val="00BA2517"/>
    <w:rsid w:val="00BA2927"/>
    <w:rsid w:val="00BA29E1"/>
    <w:rsid w:val="00BA445E"/>
    <w:rsid w:val="00BA5A10"/>
    <w:rsid w:val="00BA61BE"/>
    <w:rsid w:val="00BA6A37"/>
    <w:rsid w:val="00BA6D5F"/>
    <w:rsid w:val="00BB1F44"/>
    <w:rsid w:val="00BB2EEB"/>
    <w:rsid w:val="00BB6226"/>
    <w:rsid w:val="00BC250D"/>
    <w:rsid w:val="00BC3293"/>
    <w:rsid w:val="00BC4CBB"/>
    <w:rsid w:val="00BC7858"/>
    <w:rsid w:val="00BD14FD"/>
    <w:rsid w:val="00BD1A2F"/>
    <w:rsid w:val="00BD43E4"/>
    <w:rsid w:val="00BD445A"/>
    <w:rsid w:val="00BD5BF9"/>
    <w:rsid w:val="00BD799F"/>
    <w:rsid w:val="00BE0663"/>
    <w:rsid w:val="00BE0872"/>
    <w:rsid w:val="00BE151D"/>
    <w:rsid w:val="00BE252E"/>
    <w:rsid w:val="00BE45F7"/>
    <w:rsid w:val="00BE48F2"/>
    <w:rsid w:val="00BE540F"/>
    <w:rsid w:val="00BE7858"/>
    <w:rsid w:val="00BE7971"/>
    <w:rsid w:val="00BF01EB"/>
    <w:rsid w:val="00BF0A39"/>
    <w:rsid w:val="00BF1F5D"/>
    <w:rsid w:val="00BF1FD2"/>
    <w:rsid w:val="00BF42B1"/>
    <w:rsid w:val="00BF49C0"/>
    <w:rsid w:val="00BF5ADC"/>
    <w:rsid w:val="00BF7F8B"/>
    <w:rsid w:val="00C01FAA"/>
    <w:rsid w:val="00C03310"/>
    <w:rsid w:val="00C04D47"/>
    <w:rsid w:val="00C06321"/>
    <w:rsid w:val="00C101F3"/>
    <w:rsid w:val="00C12F51"/>
    <w:rsid w:val="00C13BFC"/>
    <w:rsid w:val="00C15A14"/>
    <w:rsid w:val="00C264C4"/>
    <w:rsid w:val="00C26F14"/>
    <w:rsid w:val="00C31F16"/>
    <w:rsid w:val="00C32F0A"/>
    <w:rsid w:val="00C335B0"/>
    <w:rsid w:val="00C34209"/>
    <w:rsid w:val="00C34AF3"/>
    <w:rsid w:val="00C3597D"/>
    <w:rsid w:val="00C40513"/>
    <w:rsid w:val="00C41667"/>
    <w:rsid w:val="00C42346"/>
    <w:rsid w:val="00C427AA"/>
    <w:rsid w:val="00C434F1"/>
    <w:rsid w:val="00C4597C"/>
    <w:rsid w:val="00C46970"/>
    <w:rsid w:val="00C46E32"/>
    <w:rsid w:val="00C470C1"/>
    <w:rsid w:val="00C50597"/>
    <w:rsid w:val="00C53AF1"/>
    <w:rsid w:val="00C54D4A"/>
    <w:rsid w:val="00C56029"/>
    <w:rsid w:val="00C56CB6"/>
    <w:rsid w:val="00C578ED"/>
    <w:rsid w:val="00C614EB"/>
    <w:rsid w:val="00C62087"/>
    <w:rsid w:val="00C629C9"/>
    <w:rsid w:val="00C62B9A"/>
    <w:rsid w:val="00C64419"/>
    <w:rsid w:val="00C64E12"/>
    <w:rsid w:val="00C650DF"/>
    <w:rsid w:val="00C654F4"/>
    <w:rsid w:val="00C6635D"/>
    <w:rsid w:val="00C667A8"/>
    <w:rsid w:val="00C67029"/>
    <w:rsid w:val="00C70792"/>
    <w:rsid w:val="00C72AB8"/>
    <w:rsid w:val="00C745F8"/>
    <w:rsid w:val="00C76FC3"/>
    <w:rsid w:val="00C80964"/>
    <w:rsid w:val="00C82790"/>
    <w:rsid w:val="00C83307"/>
    <w:rsid w:val="00C83598"/>
    <w:rsid w:val="00C84585"/>
    <w:rsid w:val="00C8695B"/>
    <w:rsid w:val="00C86C5E"/>
    <w:rsid w:val="00C87FF1"/>
    <w:rsid w:val="00C9393C"/>
    <w:rsid w:val="00CA0FFD"/>
    <w:rsid w:val="00CA1685"/>
    <w:rsid w:val="00CA2879"/>
    <w:rsid w:val="00CA3234"/>
    <w:rsid w:val="00CA32E4"/>
    <w:rsid w:val="00CA3615"/>
    <w:rsid w:val="00CA5580"/>
    <w:rsid w:val="00CA6351"/>
    <w:rsid w:val="00CB0070"/>
    <w:rsid w:val="00CB2D49"/>
    <w:rsid w:val="00CB3566"/>
    <w:rsid w:val="00CB36F1"/>
    <w:rsid w:val="00CB517C"/>
    <w:rsid w:val="00CC0030"/>
    <w:rsid w:val="00CC1B0A"/>
    <w:rsid w:val="00CC1EF8"/>
    <w:rsid w:val="00CC20FC"/>
    <w:rsid w:val="00CC3B39"/>
    <w:rsid w:val="00CC4862"/>
    <w:rsid w:val="00CC5129"/>
    <w:rsid w:val="00CC5DBF"/>
    <w:rsid w:val="00CC655F"/>
    <w:rsid w:val="00CC6E65"/>
    <w:rsid w:val="00CC6E9C"/>
    <w:rsid w:val="00CC7252"/>
    <w:rsid w:val="00CC77A3"/>
    <w:rsid w:val="00CC7B8D"/>
    <w:rsid w:val="00CD19E5"/>
    <w:rsid w:val="00CD35B1"/>
    <w:rsid w:val="00CD7D4A"/>
    <w:rsid w:val="00CE2C8F"/>
    <w:rsid w:val="00CE528A"/>
    <w:rsid w:val="00CE5666"/>
    <w:rsid w:val="00CE64E9"/>
    <w:rsid w:val="00CF2D78"/>
    <w:rsid w:val="00CF5BB1"/>
    <w:rsid w:val="00CF63D1"/>
    <w:rsid w:val="00CF6492"/>
    <w:rsid w:val="00CF6658"/>
    <w:rsid w:val="00D13D54"/>
    <w:rsid w:val="00D147A9"/>
    <w:rsid w:val="00D14CD7"/>
    <w:rsid w:val="00D15DBC"/>
    <w:rsid w:val="00D210E0"/>
    <w:rsid w:val="00D215EF"/>
    <w:rsid w:val="00D220C7"/>
    <w:rsid w:val="00D23274"/>
    <w:rsid w:val="00D2328A"/>
    <w:rsid w:val="00D2468C"/>
    <w:rsid w:val="00D25185"/>
    <w:rsid w:val="00D260C5"/>
    <w:rsid w:val="00D26D50"/>
    <w:rsid w:val="00D275C1"/>
    <w:rsid w:val="00D27ACE"/>
    <w:rsid w:val="00D30129"/>
    <w:rsid w:val="00D33279"/>
    <w:rsid w:val="00D33A74"/>
    <w:rsid w:val="00D37578"/>
    <w:rsid w:val="00D37DE8"/>
    <w:rsid w:val="00D4335F"/>
    <w:rsid w:val="00D4502C"/>
    <w:rsid w:val="00D45212"/>
    <w:rsid w:val="00D45FE1"/>
    <w:rsid w:val="00D53C34"/>
    <w:rsid w:val="00D56D9F"/>
    <w:rsid w:val="00D627A6"/>
    <w:rsid w:val="00D6470D"/>
    <w:rsid w:val="00D64A53"/>
    <w:rsid w:val="00D66914"/>
    <w:rsid w:val="00D67E1C"/>
    <w:rsid w:val="00D67FBD"/>
    <w:rsid w:val="00D72DFF"/>
    <w:rsid w:val="00D74013"/>
    <w:rsid w:val="00D74C96"/>
    <w:rsid w:val="00D756CC"/>
    <w:rsid w:val="00D768A8"/>
    <w:rsid w:val="00D77CB9"/>
    <w:rsid w:val="00D801DA"/>
    <w:rsid w:val="00D82898"/>
    <w:rsid w:val="00D836F2"/>
    <w:rsid w:val="00D841C0"/>
    <w:rsid w:val="00D84B13"/>
    <w:rsid w:val="00D87CE3"/>
    <w:rsid w:val="00D9059E"/>
    <w:rsid w:val="00D919F1"/>
    <w:rsid w:val="00D91A13"/>
    <w:rsid w:val="00D93454"/>
    <w:rsid w:val="00D93FEC"/>
    <w:rsid w:val="00D95D9E"/>
    <w:rsid w:val="00D97265"/>
    <w:rsid w:val="00DA3EEA"/>
    <w:rsid w:val="00DA6097"/>
    <w:rsid w:val="00DA713B"/>
    <w:rsid w:val="00DA7C0D"/>
    <w:rsid w:val="00DA7E60"/>
    <w:rsid w:val="00DB0152"/>
    <w:rsid w:val="00DB098E"/>
    <w:rsid w:val="00DB135C"/>
    <w:rsid w:val="00DB30EA"/>
    <w:rsid w:val="00DB53B5"/>
    <w:rsid w:val="00DB5ADE"/>
    <w:rsid w:val="00DB5B14"/>
    <w:rsid w:val="00DB66C3"/>
    <w:rsid w:val="00DB66C9"/>
    <w:rsid w:val="00DB6B46"/>
    <w:rsid w:val="00DC0C17"/>
    <w:rsid w:val="00DC0DF6"/>
    <w:rsid w:val="00DC2037"/>
    <w:rsid w:val="00DC4202"/>
    <w:rsid w:val="00DC4F16"/>
    <w:rsid w:val="00DC682A"/>
    <w:rsid w:val="00DC7CC6"/>
    <w:rsid w:val="00DD1045"/>
    <w:rsid w:val="00DD1EBD"/>
    <w:rsid w:val="00DD2090"/>
    <w:rsid w:val="00DD3F69"/>
    <w:rsid w:val="00DD4685"/>
    <w:rsid w:val="00DD4EA3"/>
    <w:rsid w:val="00DD7716"/>
    <w:rsid w:val="00DE0256"/>
    <w:rsid w:val="00DE14BD"/>
    <w:rsid w:val="00DE1C06"/>
    <w:rsid w:val="00DE288D"/>
    <w:rsid w:val="00DE4ECC"/>
    <w:rsid w:val="00DE7D43"/>
    <w:rsid w:val="00DF0952"/>
    <w:rsid w:val="00DF0CD5"/>
    <w:rsid w:val="00DF24CE"/>
    <w:rsid w:val="00DF45AA"/>
    <w:rsid w:val="00DF4C8E"/>
    <w:rsid w:val="00DF5F23"/>
    <w:rsid w:val="00DF7943"/>
    <w:rsid w:val="00E00035"/>
    <w:rsid w:val="00E009D8"/>
    <w:rsid w:val="00E0183A"/>
    <w:rsid w:val="00E03486"/>
    <w:rsid w:val="00E03A36"/>
    <w:rsid w:val="00E05AE1"/>
    <w:rsid w:val="00E0605A"/>
    <w:rsid w:val="00E06734"/>
    <w:rsid w:val="00E109FB"/>
    <w:rsid w:val="00E112F6"/>
    <w:rsid w:val="00E113CA"/>
    <w:rsid w:val="00E12218"/>
    <w:rsid w:val="00E12995"/>
    <w:rsid w:val="00E1344C"/>
    <w:rsid w:val="00E13472"/>
    <w:rsid w:val="00E1592D"/>
    <w:rsid w:val="00E15F94"/>
    <w:rsid w:val="00E1620D"/>
    <w:rsid w:val="00E16696"/>
    <w:rsid w:val="00E178D1"/>
    <w:rsid w:val="00E20E3F"/>
    <w:rsid w:val="00E23599"/>
    <w:rsid w:val="00E247EF"/>
    <w:rsid w:val="00E25365"/>
    <w:rsid w:val="00E25CD3"/>
    <w:rsid w:val="00E31134"/>
    <w:rsid w:val="00E34C11"/>
    <w:rsid w:val="00E34C14"/>
    <w:rsid w:val="00E372C8"/>
    <w:rsid w:val="00E37D54"/>
    <w:rsid w:val="00E40D2C"/>
    <w:rsid w:val="00E43832"/>
    <w:rsid w:val="00E43E29"/>
    <w:rsid w:val="00E44026"/>
    <w:rsid w:val="00E44093"/>
    <w:rsid w:val="00E447E4"/>
    <w:rsid w:val="00E47865"/>
    <w:rsid w:val="00E523F0"/>
    <w:rsid w:val="00E54EB4"/>
    <w:rsid w:val="00E56A7C"/>
    <w:rsid w:val="00E56B42"/>
    <w:rsid w:val="00E57CCC"/>
    <w:rsid w:val="00E57FE9"/>
    <w:rsid w:val="00E602BF"/>
    <w:rsid w:val="00E6050D"/>
    <w:rsid w:val="00E638C1"/>
    <w:rsid w:val="00E675D8"/>
    <w:rsid w:val="00E7338A"/>
    <w:rsid w:val="00E73EE3"/>
    <w:rsid w:val="00E760B3"/>
    <w:rsid w:val="00E7628F"/>
    <w:rsid w:val="00E774AF"/>
    <w:rsid w:val="00E80AD9"/>
    <w:rsid w:val="00E82C9F"/>
    <w:rsid w:val="00E83F71"/>
    <w:rsid w:val="00E83FF8"/>
    <w:rsid w:val="00E84366"/>
    <w:rsid w:val="00E84744"/>
    <w:rsid w:val="00E86703"/>
    <w:rsid w:val="00E92315"/>
    <w:rsid w:val="00E934B1"/>
    <w:rsid w:val="00E93853"/>
    <w:rsid w:val="00E94E41"/>
    <w:rsid w:val="00E96005"/>
    <w:rsid w:val="00EA042A"/>
    <w:rsid w:val="00EA1F7A"/>
    <w:rsid w:val="00EA2A73"/>
    <w:rsid w:val="00EA2E36"/>
    <w:rsid w:val="00EA4DC4"/>
    <w:rsid w:val="00EB3097"/>
    <w:rsid w:val="00EB35E5"/>
    <w:rsid w:val="00EB44C4"/>
    <w:rsid w:val="00EB44FC"/>
    <w:rsid w:val="00EC0B59"/>
    <w:rsid w:val="00EC3E1C"/>
    <w:rsid w:val="00EC3FCD"/>
    <w:rsid w:val="00EC5F42"/>
    <w:rsid w:val="00EC65FD"/>
    <w:rsid w:val="00EC7CE1"/>
    <w:rsid w:val="00ED050C"/>
    <w:rsid w:val="00ED0B29"/>
    <w:rsid w:val="00ED197F"/>
    <w:rsid w:val="00ED1F84"/>
    <w:rsid w:val="00ED2DAE"/>
    <w:rsid w:val="00ED3D01"/>
    <w:rsid w:val="00ED500D"/>
    <w:rsid w:val="00ED6C0B"/>
    <w:rsid w:val="00ED7E14"/>
    <w:rsid w:val="00EE11DE"/>
    <w:rsid w:val="00EE22B4"/>
    <w:rsid w:val="00EE2ACB"/>
    <w:rsid w:val="00EE6951"/>
    <w:rsid w:val="00EE6B28"/>
    <w:rsid w:val="00EE7486"/>
    <w:rsid w:val="00EF2EC9"/>
    <w:rsid w:val="00EF3218"/>
    <w:rsid w:val="00EF5DD9"/>
    <w:rsid w:val="00F00702"/>
    <w:rsid w:val="00F010BC"/>
    <w:rsid w:val="00F0110E"/>
    <w:rsid w:val="00F030EF"/>
    <w:rsid w:val="00F045C8"/>
    <w:rsid w:val="00F072B1"/>
    <w:rsid w:val="00F078A8"/>
    <w:rsid w:val="00F1353D"/>
    <w:rsid w:val="00F17150"/>
    <w:rsid w:val="00F21994"/>
    <w:rsid w:val="00F23CD7"/>
    <w:rsid w:val="00F23F9E"/>
    <w:rsid w:val="00F253F3"/>
    <w:rsid w:val="00F26033"/>
    <w:rsid w:val="00F264C7"/>
    <w:rsid w:val="00F266C2"/>
    <w:rsid w:val="00F2784C"/>
    <w:rsid w:val="00F27C11"/>
    <w:rsid w:val="00F3424D"/>
    <w:rsid w:val="00F3695A"/>
    <w:rsid w:val="00F40F1A"/>
    <w:rsid w:val="00F45589"/>
    <w:rsid w:val="00F45699"/>
    <w:rsid w:val="00F45EEE"/>
    <w:rsid w:val="00F46D73"/>
    <w:rsid w:val="00F56BB9"/>
    <w:rsid w:val="00F56D43"/>
    <w:rsid w:val="00F57977"/>
    <w:rsid w:val="00F60439"/>
    <w:rsid w:val="00F60710"/>
    <w:rsid w:val="00F60742"/>
    <w:rsid w:val="00F60E0F"/>
    <w:rsid w:val="00F60E2F"/>
    <w:rsid w:val="00F66932"/>
    <w:rsid w:val="00F66AA2"/>
    <w:rsid w:val="00F6769E"/>
    <w:rsid w:val="00F7177E"/>
    <w:rsid w:val="00F7315A"/>
    <w:rsid w:val="00F73D33"/>
    <w:rsid w:val="00F742E0"/>
    <w:rsid w:val="00F74DB0"/>
    <w:rsid w:val="00F779F5"/>
    <w:rsid w:val="00F80B9A"/>
    <w:rsid w:val="00F80EF6"/>
    <w:rsid w:val="00F8195D"/>
    <w:rsid w:val="00F846BB"/>
    <w:rsid w:val="00F85F00"/>
    <w:rsid w:val="00F87945"/>
    <w:rsid w:val="00F87DBA"/>
    <w:rsid w:val="00F90322"/>
    <w:rsid w:val="00F908A2"/>
    <w:rsid w:val="00F91372"/>
    <w:rsid w:val="00F91518"/>
    <w:rsid w:val="00F9377A"/>
    <w:rsid w:val="00F937A7"/>
    <w:rsid w:val="00F970AD"/>
    <w:rsid w:val="00F97753"/>
    <w:rsid w:val="00FA1389"/>
    <w:rsid w:val="00FA1F95"/>
    <w:rsid w:val="00FA75A1"/>
    <w:rsid w:val="00FB2A50"/>
    <w:rsid w:val="00FB3566"/>
    <w:rsid w:val="00FB4EB7"/>
    <w:rsid w:val="00FB55F6"/>
    <w:rsid w:val="00FB7281"/>
    <w:rsid w:val="00FC474C"/>
    <w:rsid w:val="00FC5AF9"/>
    <w:rsid w:val="00FC630C"/>
    <w:rsid w:val="00FC663E"/>
    <w:rsid w:val="00FC7AF6"/>
    <w:rsid w:val="00FD04F0"/>
    <w:rsid w:val="00FD205B"/>
    <w:rsid w:val="00FD2110"/>
    <w:rsid w:val="00FD2DB9"/>
    <w:rsid w:val="00FD4D36"/>
    <w:rsid w:val="00FD71CB"/>
    <w:rsid w:val="00FE1D48"/>
    <w:rsid w:val="00FE2BC3"/>
    <w:rsid w:val="00FE537B"/>
    <w:rsid w:val="00FE55AE"/>
    <w:rsid w:val="00FE5BC3"/>
    <w:rsid w:val="00FE5BD9"/>
    <w:rsid w:val="00FE73A8"/>
    <w:rsid w:val="00FF55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245EE59D"/>
  <w15:chartTrackingRefBased/>
  <w15:docId w15:val="{70D3F33C-7594-4803-91D4-C2F0D842FB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2640"/>
    <w:pPr>
      <w:jc w:val="both"/>
    </w:pPr>
    <w:rPr>
      <w:rFonts w:ascii="Times New Roman" w:hAnsi="Times New Roman" w:cs="Times New Roman"/>
      <w:sz w:val="24"/>
      <w:szCs w:val="24"/>
    </w:rPr>
  </w:style>
  <w:style w:type="paragraph" w:styleId="Heading1">
    <w:name w:val="heading 1"/>
    <w:basedOn w:val="ListParagraph"/>
    <w:next w:val="Normal"/>
    <w:link w:val="Heading1Char"/>
    <w:uiPriority w:val="9"/>
    <w:qFormat/>
    <w:rsid w:val="00D2328A"/>
    <w:pPr>
      <w:numPr>
        <w:numId w:val="2"/>
      </w:numPr>
      <w:ind w:left="360"/>
      <w:outlineLvl w:val="0"/>
    </w:pPr>
    <w:rPr>
      <w:b/>
    </w:rPr>
  </w:style>
  <w:style w:type="paragraph" w:styleId="Heading2">
    <w:name w:val="heading 2"/>
    <w:basedOn w:val="ListParagraph"/>
    <w:next w:val="Normal"/>
    <w:link w:val="Heading2Char"/>
    <w:uiPriority w:val="9"/>
    <w:unhideWhenUsed/>
    <w:qFormat/>
    <w:rsid w:val="00D2328A"/>
    <w:pPr>
      <w:numPr>
        <w:ilvl w:val="1"/>
        <w:numId w:val="2"/>
      </w:numPr>
      <w:spacing w:before="240"/>
      <w:ind w:left="360"/>
      <w:outlineLvl w:val="1"/>
    </w:pPr>
    <w:rPr>
      <w:b/>
      <w:iCs/>
    </w:rPr>
  </w:style>
  <w:style w:type="paragraph" w:styleId="Heading3">
    <w:name w:val="heading 3"/>
    <w:basedOn w:val="Normal"/>
    <w:next w:val="Normal"/>
    <w:link w:val="Heading3Char"/>
    <w:uiPriority w:val="9"/>
    <w:unhideWhenUsed/>
    <w:qFormat/>
    <w:rsid w:val="000926EA"/>
    <w:pPr>
      <w:keepNext/>
      <w:keepLines/>
      <w:numPr>
        <w:ilvl w:val="2"/>
        <w:numId w:val="2"/>
      </w:numPr>
      <w:spacing w:before="40" w:after="0"/>
      <w:ind w:left="720"/>
      <w:outlineLvl w:val="2"/>
    </w:pPr>
    <w:rPr>
      <w:rFonts w:eastAsiaTheme="majorEastAsia"/>
      <w:i/>
      <w:color w:val="000000" w:themeColor="text1"/>
      <w:u w:val="single"/>
    </w:rPr>
  </w:style>
  <w:style w:type="paragraph" w:styleId="Heading4">
    <w:name w:val="heading 4"/>
    <w:basedOn w:val="Normal"/>
    <w:next w:val="Normal"/>
    <w:link w:val="Heading4Char"/>
    <w:uiPriority w:val="9"/>
    <w:unhideWhenUsed/>
    <w:qFormat/>
    <w:rsid w:val="008927C3"/>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B2640"/>
    <w:pPr>
      <w:ind w:left="720"/>
      <w:contextualSpacing/>
    </w:pPr>
  </w:style>
  <w:style w:type="character" w:customStyle="1" w:styleId="Heading1Char">
    <w:name w:val="Heading 1 Char"/>
    <w:basedOn w:val="DefaultParagraphFont"/>
    <w:link w:val="Heading1"/>
    <w:uiPriority w:val="9"/>
    <w:rsid w:val="00D2328A"/>
    <w:rPr>
      <w:rFonts w:ascii="Times New Roman" w:hAnsi="Times New Roman" w:cs="Times New Roman"/>
      <w:b/>
      <w:sz w:val="24"/>
      <w:szCs w:val="24"/>
    </w:rPr>
  </w:style>
  <w:style w:type="character" w:customStyle="1" w:styleId="Heading2Char">
    <w:name w:val="Heading 2 Char"/>
    <w:basedOn w:val="DefaultParagraphFont"/>
    <w:link w:val="Heading2"/>
    <w:uiPriority w:val="9"/>
    <w:rsid w:val="00D2328A"/>
    <w:rPr>
      <w:rFonts w:ascii="Times New Roman" w:hAnsi="Times New Roman" w:cs="Times New Roman"/>
      <w:b/>
      <w:iCs/>
      <w:sz w:val="24"/>
      <w:szCs w:val="24"/>
    </w:rPr>
  </w:style>
  <w:style w:type="paragraph" w:styleId="Bibliography">
    <w:name w:val="Bibliography"/>
    <w:basedOn w:val="Normal"/>
    <w:next w:val="Normal"/>
    <w:uiPriority w:val="37"/>
    <w:unhideWhenUsed/>
    <w:rsid w:val="000B2640"/>
    <w:pPr>
      <w:spacing w:after="0" w:line="480" w:lineRule="auto"/>
      <w:ind w:left="720" w:hanging="720"/>
    </w:pPr>
  </w:style>
  <w:style w:type="character" w:styleId="Hyperlink">
    <w:name w:val="Hyperlink"/>
    <w:basedOn w:val="DefaultParagraphFont"/>
    <w:uiPriority w:val="99"/>
    <w:unhideWhenUsed/>
    <w:rsid w:val="00634FD1"/>
    <w:rPr>
      <w:color w:val="0563C1" w:themeColor="hyperlink"/>
      <w:u w:val="single"/>
    </w:rPr>
  </w:style>
  <w:style w:type="character" w:styleId="UnresolvedMention">
    <w:name w:val="Unresolved Mention"/>
    <w:basedOn w:val="DefaultParagraphFont"/>
    <w:uiPriority w:val="99"/>
    <w:semiHidden/>
    <w:unhideWhenUsed/>
    <w:rsid w:val="00634FD1"/>
    <w:rPr>
      <w:color w:val="605E5C"/>
      <w:shd w:val="clear" w:color="auto" w:fill="E1DFDD"/>
    </w:rPr>
  </w:style>
  <w:style w:type="character" w:styleId="CommentReference">
    <w:name w:val="annotation reference"/>
    <w:basedOn w:val="DefaultParagraphFont"/>
    <w:uiPriority w:val="99"/>
    <w:semiHidden/>
    <w:unhideWhenUsed/>
    <w:rsid w:val="00634FD1"/>
    <w:rPr>
      <w:sz w:val="16"/>
      <w:szCs w:val="16"/>
    </w:rPr>
  </w:style>
  <w:style w:type="paragraph" w:styleId="CommentText">
    <w:name w:val="annotation text"/>
    <w:basedOn w:val="Normal"/>
    <w:link w:val="CommentTextChar"/>
    <w:uiPriority w:val="99"/>
    <w:semiHidden/>
    <w:unhideWhenUsed/>
    <w:rsid w:val="00634FD1"/>
    <w:pPr>
      <w:spacing w:line="240" w:lineRule="auto"/>
    </w:pPr>
    <w:rPr>
      <w:sz w:val="20"/>
      <w:szCs w:val="20"/>
    </w:rPr>
  </w:style>
  <w:style w:type="character" w:customStyle="1" w:styleId="CommentTextChar">
    <w:name w:val="Comment Text Char"/>
    <w:basedOn w:val="DefaultParagraphFont"/>
    <w:link w:val="CommentText"/>
    <w:uiPriority w:val="99"/>
    <w:semiHidden/>
    <w:rsid w:val="00634FD1"/>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634FD1"/>
    <w:rPr>
      <w:b/>
      <w:bCs/>
    </w:rPr>
  </w:style>
  <w:style w:type="character" w:customStyle="1" w:styleId="CommentSubjectChar">
    <w:name w:val="Comment Subject Char"/>
    <w:basedOn w:val="CommentTextChar"/>
    <w:link w:val="CommentSubject"/>
    <w:uiPriority w:val="99"/>
    <w:semiHidden/>
    <w:rsid w:val="00634FD1"/>
    <w:rPr>
      <w:rFonts w:ascii="Times New Roman" w:hAnsi="Times New Roman" w:cs="Times New Roman"/>
      <w:b/>
      <w:bCs/>
      <w:sz w:val="20"/>
      <w:szCs w:val="20"/>
    </w:rPr>
  </w:style>
  <w:style w:type="paragraph" w:styleId="BalloonText">
    <w:name w:val="Balloon Text"/>
    <w:basedOn w:val="Normal"/>
    <w:link w:val="BalloonTextChar"/>
    <w:uiPriority w:val="99"/>
    <w:semiHidden/>
    <w:unhideWhenUsed/>
    <w:rsid w:val="00634FD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34FD1"/>
    <w:rPr>
      <w:rFonts w:ascii="Segoe UI" w:hAnsi="Segoe UI" w:cs="Segoe UI"/>
      <w:sz w:val="18"/>
      <w:szCs w:val="18"/>
    </w:rPr>
  </w:style>
  <w:style w:type="character" w:customStyle="1" w:styleId="Heading4Char">
    <w:name w:val="Heading 4 Char"/>
    <w:basedOn w:val="DefaultParagraphFont"/>
    <w:link w:val="Heading4"/>
    <w:uiPriority w:val="9"/>
    <w:rsid w:val="008927C3"/>
    <w:rPr>
      <w:rFonts w:asciiTheme="majorHAnsi" w:eastAsiaTheme="majorEastAsia" w:hAnsiTheme="majorHAnsi" w:cstheme="majorBidi"/>
      <w:i/>
      <w:iCs/>
      <w:color w:val="2F5496" w:themeColor="accent1" w:themeShade="BF"/>
      <w:sz w:val="24"/>
      <w:szCs w:val="24"/>
    </w:rPr>
  </w:style>
  <w:style w:type="character" w:customStyle="1" w:styleId="Heading3Char">
    <w:name w:val="Heading 3 Char"/>
    <w:basedOn w:val="DefaultParagraphFont"/>
    <w:link w:val="Heading3"/>
    <w:uiPriority w:val="9"/>
    <w:rsid w:val="000926EA"/>
    <w:rPr>
      <w:rFonts w:ascii="Times New Roman" w:eastAsiaTheme="majorEastAsia" w:hAnsi="Times New Roman" w:cs="Times New Roman"/>
      <w:i/>
      <w:color w:val="000000" w:themeColor="text1"/>
      <w:sz w:val="24"/>
      <w:szCs w:val="24"/>
      <w:u w:val="single"/>
    </w:rPr>
  </w:style>
  <w:style w:type="paragraph" w:styleId="NormalWeb">
    <w:name w:val="Normal (Web)"/>
    <w:basedOn w:val="Normal"/>
    <w:uiPriority w:val="99"/>
    <w:unhideWhenUsed/>
    <w:rsid w:val="00184C1B"/>
    <w:pPr>
      <w:spacing w:before="100" w:beforeAutospacing="1" w:after="100" w:afterAutospacing="1" w:line="240" w:lineRule="auto"/>
      <w:jc w:val="left"/>
    </w:pPr>
    <w:rPr>
      <w:rFonts w:eastAsia="Times New Roman"/>
    </w:rPr>
  </w:style>
  <w:style w:type="character" w:styleId="Strong">
    <w:name w:val="Strong"/>
    <w:basedOn w:val="DefaultParagraphFont"/>
    <w:uiPriority w:val="22"/>
    <w:qFormat/>
    <w:rsid w:val="00184C1B"/>
    <w:rPr>
      <w:b/>
      <w:bCs/>
    </w:rPr>
  </w:style>
  <w:style w:type="character" w:styleId="FollowedHyperlink">
    <w:name w:val="FollowedHyperlink"/>
    <w:basedOn w:val="DefaultParagraphFont"/>
    <w:uiPriority w:val="99"/>
    <w:semiHidden/>
    <w:unhideWhenUsed/>
    <w:rsid w:val="00C62087"/>
    <w:rPr>
      <w:color w:val="954F72" w:themeColor="followedHyperlink"/>
      <w:u w:val="single"/>
    </w:rPr>
  </w:style>
  <w:style w:type="character" w:styleId="Emphasis">
    <w:name w:val="Emphasis"/>
    <w:basedOn w:val="DefaultParagraphFont"/>
    <w:uiPriority w:val="20"/>
    <w:qFormat/>
    <w:rsid w:val="00D67FBD"/>
    <w:rPr>
      <w:i/>
      <w:iCs/>
    </w:rPr>
  </w:style>
  <w:style w:type="paragraph" w:styleId="Header">
    <w:name w:val="header"/>
    <w:basedOn w:val="Normal"/>
    <w:link w:val="HeaderChar"/>
    <w:uiPriority w:val="99"/>
    <w:unhideWhenUsed/>
    <w:rsid w:val="001D1432"/>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1432"/>
    <w:rPr>
      <w:rFonts w:ascii="Times New Roman" w:hAnsi="Times New Roman" w:cs="Times New Roman"/>
      <w:sz w:val="24"/>
      <w:szCs w:val="24"/>
    </w:rPr>
  </w:style>
  <w:style w:type="paragraph" w:styleId="Footer">
    <w:name w:val="footer"/>
    <w:basedOn w:val="Normal"/>
    <w:link w:val="FooterChar"/>
    <w:uiPriority w:val="99"/>
    <w:unhideWhenUsed/>
    <w:rsid w:val="001D1432"/>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1432"/>
    <w:rPr>
      <w:rFonts w:ascii="Times New Roman" w:hAnsi="Times New Roman" w:cs="Times New Roman"/>
      <w:sz w:val="24"/>
      <w:szCs w:val="24"/>
    </w:rPr>
  </w:style>
  <w:style w:type="paragraph" w:styleId="Caption">
    <w:name w:val="caption"/>
    <w:basedOn w:val="Normal"/>
    <w:next w:val="Normal"/>
    <w:uiPriority w:val="35"/>
    <w:unhideWhenUsed/>
    <w:qFormat/>
    <w:rsid w:val="002D3B22"/>
    <w:pPr>
      <w:spacing w:after="200" w:line="240" w:lineRule="auto"/>
    </w:pPr>
    <w:rPr>
      <w:i/>
      <w:iCs/>
      <w:color w:val="44546A" w:themeColor="text2"/>
      <w:sz w:val="18"/>
      <w:szCs w:val="18"/>
    </w:rPr>
  </w:style>
  <w:style w:type="paragraph" w:styleId="FootnoteText">
    <w:name w:val="footnote text"/>
    <w:basedOn w:val="Normal"/>
    <w:link w:val="FootnoteTextChar"/>
    <w:unhideWhenUsed/>
    <w:rsid w:val="00C650DF"/>
    <w:pPr>
      <w:spacing w:after="0" w:line="240" w:lineRule="auto"/>
    </w:pPr>
    <w:rPr>
      <w:sz w:val="20"/>
      <w:szCs w:val="20"/>
    </w:rPr>
  </w:style>
  <w:style w:type="character" w:customStyle="1" w:styleId="FootnoteTextChar">
    <w:name w:val="Footnote Text Char"/>
    <w:basedOn w:val="DefaultParagraphFont"/>
    <w:link w:val="FootnoteText"/>
    <w:uiPriority w:val="99"/>
    <w:qFormat/>
    <w:rsid w:val="00C650DF"/>
    <w:rPr>
      <w:rFonts w:ascii="Times New Roman" w:hAnsi="Times New Roman" w:cs="Times New Roman"/>
      <w:sz w:val="20"/>
      <w:szCs w:val="20"/>
    </w:rPr>
  </w:style>
  <w:style w:type="character" w:styleId="FootnoteReference">
    <w:name w:val="footnote reference"/>
    <w:basedOn w:val="DefaultParagraphFont"/>
    <w:uiPriority w:val="99"/>
    <w:semiHidden/>
    <w:unhideWhenUsed/>
    <w:rsid w:val="00C650DF"/>
    <w:rPr>
      <w:vertAlign w:val="superscript"/>
    </w:rPr>
  </w:style>
  <w:style w:type="character" w:styleId="PlaceholderText">
    <w:name w:val="Placeholder Text"/>
    <w:basedOn w:val="DefaultParagraphFont"/>
    <w:uiPriority w:val="99"/>
    <w:semiHidden/>
    <w:rsid w:val="004C1425"/>
    <w:rPr>
      <w:color w:val="808080"/>
    </w:rPr>
  </w:style>
  <w:style w:type="character" w:customStyle="1" w:styleId="FootnoteTextChar1">
    <w:name w:val="Footnote Text Char1"/>
    <w:locked/>
    <w:rsid w:val="007D0629"/>
  </w:style>
  <w:style w:type="character" w:customStyle="1" w:styleId="mwe-math-mathml-inline">
    <w:name w:val="mwe-math-mathml-inline"/>
    <w:basedOn w:val="DefaultParagraphFont"/>
    <w:rsid w:val="00350478"/>
  </w:style>
  <w:style w:type="table" w:styleId="TableGrid">
    <w:name w:val="Table Grid"/>
    <w:basedOn w:val="TableNormal"/>
    <w:uiPriority w:val="39"/>
    <w:rsid w:val="003C61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
    <w:rsid w:val="00057536"/>
    <w:pPr>
      <w:spacing w:before="100" w:beforeAutospacing="1" w:after="100" w:afterAutospacing="1" w:line="240" w:lineRule="auto"/>
      <w:jc w:val="left"/>
    </w:pPr>
    <w:rPr>
      <w:rFonts w:eastAsia="Times New Roman"/>
    </w:rPr>
  </w:style>
  <w:style w:type="paragraph" w:customStyle="1" w:styleId="font5">
    <w:name w:val="font5"/>
    <w:basedOn w:val="Normal"/>
    <w:rsid w:val="00057536"/>
    <w:pPr>
      <w:spacing w:before="100" w:beforeAutospacing="1" w:after="100" w:afterAutospacing="1" w:line="240" w:lineRule="auto"/>
      <w:jc w:val="left"/>
    </w:pPr>
    <w:rPr>
      <w:rFonts w:eastAsia="Times New Roman"/>
      <w:color w:val="000000"/>
      <w:sz w:val="22"/>
      <w:szCs w:val="22"/>
    </w:rPr>
  </w:style>
  <w:style w:type="paragraph" w:customStyle="1" w:styleId="xl67">
    <w:name w:val="xl67"/>
    <w:basedOn w:val="Normal"/>
    <w:rsid w:val="00057536"/>
    <w:pPr>
      <w:spacing w:before="100" w:beforeAutospacing="1" w:after="100" w:afterAutospacing="1" w:line="240" w:lineRule="auto"/>
      <w:jc w:val="left"/>
    </w:pPr>
    <w:rPr>
      <w:rFonts w:eastAsia="Times New Roman"/>
    </w:rPr>
  </w:style>
  <w:style w:type="paragraph" w:customStyle="1" w:styleId="xl68">
    <w:name w:val="xl68"/>
    <w:basedOn w:val="Normal"/>
    <w:rsid w:val="00057536"/>
    <w:pPr>
      <w:spacing w:before="100" w:beforeAutospacing="1" w:after="100" w:afterAutospacing="1" w:line="240" w:lineRule="auto"/>
      <w:jc w:val="left"/>
    </w:pPr>
    <w:rPr>
      <w:rFonts w:eastAsia="Times New Roman"/>
    </w:rPr>
  </w:style>
  <w:style w:type="paragraph" w:customStyle="1" w:styleId="xl69">
    <w:name w:val="xl69"/>
    <w:basedOn w:val="Normal"/>
    <w:rsid w:val="00057536"/>
    <w:pPr>
      <w:spacing w:before="100" w:beforeAutospacing="1" w:after="100" w:afterAutospacing="1" w:line="240" w:lineRule="auto"/>
      <w:jc w:val="left"/>
    </w:pPr>
    <w:rPr>
      <w:rFonts w:eastAsia="Times New Roman"/>
    </w:rPr>
  </w:style>
  <w:style w:type="paragraph" w:customStyle="1" w:styleId="xl70">
    <w:name w:val="xl70"/>
    <w:basedOn w:val="Normal"/>
    <w:rsid w:val="00057536"/>
    <w:pPr>
      <w:pBdr>
        <w:left w:val="single" w:sz="4" w:space="0" w:color="auto"/>
        <w:bottom w:val="double" w:sz="6" w:space="0" w:color="auto"/>
        <w:right w:val="double" w:sz="6" w:space="0" w:color="auto"/>
      </w:pBdr>
      <w:spacing w:before="100" w:beforeAutospacing="1" w:after="100" w:afterAutospacing="1" w:line="240" w:lineRule="auto"/>
      <w:jc w:val="left"/>
    </w:pPr>
    <w:rPr>
      <w:rFonts w:eastAsia="Times New Roman"/>
    </w:rPr>
  </w:style>
  <w:style w:type="paragraph" w:customStyle="1" w:styleId="xl71">
    <w:name w:val="xl71"/>
    <w:basedOn w:val="Normal"/>
    <w:rsid w:val="00057536"/>
    <w:pPr>
      <w:pBdr>
        <w:bottom w:val="double" w:sz="6" w:space="0" w:color="auto"/>
      </w:pBdr>
      <w:spacing w:before="100" w:beforeAutospacing="1" w:after="100" w:afterAutospacing="1" w:line="240" w:lineRule="auto"/>
      <w:jc w:val="left"/>
    </w:pPr>
    <w:rPr>
      <w:rFonts w:eastAsia="Times New Roman"/>
    </w:rPr>
  </w:style>
  <w:style w:type="paragraph" w:customStyle="1" w:styleId="xl72">
    <w:name w:val="xl72"/>
    <w:basedOn w:val="Normal"/>
    <w:rsid w:val="00057536"/>
    <w:pPr>
      <w:pBdr>
        <w:left w:val="double" w:sz="6" w:space="0" w:color="auto"/>
        <w:bottom w:val="double" w:sz="6" w:space="0" w:color="auto"/>
        <w:right w:val="double" w:sz="6" w:space="0" w:color="auto"/>
      </w:pBdr>
      <w:spacing w:before="100" w:beforeAutospacing="1" w:after="100" w:afterAutospacing="1" w:line="240" w:lineRule="auto"/>
      <w:jc w:val="left"/>
    </w:pPr>
    <w:rPr>
      <w:rFonts w:eastAsia="Times New Roman"/>
      <w:b/>
      <w:bCs/>
      <w:color w:val="000000"/>
    </w:rPr>
  </w:style>
  <w:style w:type="paragraph" w:customStyle="1" w:styleId="xl73">
    <w:name w:val="xl73"/>
    <w:basedOn w:val="Normal"/>
    <w:rsid w:val="00057536"/>
    <w:pPr>
      <w:pBdr>
        <w:top w:val="single" w:sz="4" w:space="0" w:color="auto"/>
        <w:left w:val="single" w:sz="4" w:space="0" w:color="auto"/>
        <w:bottom w:val="single" w:sz="8" w:space="0" w:color="auto"/>
        <w:right w:val="double" w:sz="6" w:space="0" w:color="auto"/>
      </w:pBdr>
      <w:spacing w:before="100" w:beforeAutospacing="1" w:after="100" w:afterAutospacing="1" w:line="240" w:lineRule="auto"/>
      <w:jc w:val="left"/>
    </w:pPr>
    <w:rPr>
      <w:rFonts w:eastAsia="Times New Roman"/>
    </w:rPr>
  </w:style>
  <w:style w:type="paragraph" w:customStyle="1" w:styleId="xl74">
    <w:name w:val="xl74"/>
    <w:basedOn w:val="Normal"/>
    <w:rsid w:val="00057536"/>
    <w:pPr>
      <w:pBdr>
        <w:top w:val="single" w:sz="4" w:space="0" w:color="auto"/>
        <w:bottom w:val="single" w:sz="8" w:space="0" w:color="auto"/>
        <w:right w:val="single" w:sz="4" w:space="0" w:color="auto"/>
      </w:pBdr>
      <w:spacing w:before="100" w:beforeAutospacing="1" w:after="100" w:afterAutospacing="1" w:line="240" w:lineRule="auto"/>
      <w:jc w:val="left"/>
    </w:pPr>
    <w:rPr>
      <w:rFonts w:eastAsia="Times New Roman"/>
    </w:rPr>
  </w:style>
  <w:style w:type="paragraph" w:customStyle="1" w:styleId="xl75">
    <w:name w:val="xl75"/>
    <w:basedOn w:val="Normal"/>
    <w:rsid w:val="00057536"/>
    <w:pPr>
      <w:pBdr>
        <w:top w:val="single" w:sz="4" w:space="0" w:color="auto"/>
        <w:left w:val="double" w:sz="6" w:space="0" w:color="auto"/>
        <w:bottom w:val="single" w:sz="8" w:space="0" w:color="auto"/>
        <w:right w:val="double" w:sz="6" w:space="0" w:color="auto"/>
      </w:pBdr>
      <w:spacing w:before="100" w:beforeAutospacing="1" w:after="100" w:afterAutospacing="1" w:line="240" w:lineRule="auto"/>
      <w:jc w:val="left"/>
    </w:pPr>
    <w:rPr>
      <w:rFonts w:eastAsia="Times New Roman"/>
    </w:rPr>
  </w:style>
  <w:style w:type="paragraph" w:customStyle="1" w:styleId="xl76">
    <w:name w:val="xl76"/>
    <w:basedOn w:val="Normal"/>
    <w:rsid w:val="00057536"/>
    <w:pPr>
      <w:pBdr>
        <w:top w:val="single" w:sz="4" w:space="0" w:color="auto"/>
        <w:left w:val="single" w:sz="4" w:space="0" w:color="auto"/>
        <w:bottom w:val="single" w:sz="4" w:space="0" w:color="auto"/>
        <w:right w:val="double" w:sz="6" w:space="0" w:color="auto"/>
      </w:pBdr>
      <w:spacing w:before="100" w:beforeAutospacing="1" w:after="100" w:afterAutospacing="1" w:line="240" w:lineRule="auto"/>
      <w:jc w:val="left"/>
    </w:pPr>
    <w:rPr>
      <w:rFonts w:eastAsia="Times New Roman"/>
    </w:rPr>
  </w:style>
  <w:style w:type="paragraph" w:customStyle="1" w:styleId="xl77">
    <w:name w:val="xl77"/>
    <w:basedOn w:val="Normal"/>
    <w:rsid w:val="00057536"/>
    <w:pPr>
      <w:pBdr>
        <w:top w:val="single" w:sz="4" w:space="0" w:color="auto"/>
        <w:bottom w:val="single" w:sz="4" w:space="0" w:color="auto"/>
        <w:right w:val="single" w:sz="4" w:space="0" w:color="auto"/>
      </w:pBdr>
      <w:spacing w:before="100" w:beforeAutospacing="1" w:after="100" w:afterAutospacing="1" w:line="240" w:lineRule="auto"/>
      <w:jc w:val="left"/>
    </w:pPr>
    <w:rPr>
      <w:rFonts w:eastAsia="Times New Roman"/>
    </w:rPr>
  </w:style>
  <w:style w:type="paragraph" w:customStyle="1" w:styleId="xl78">
    <w:name w:val="xl78"/>
    <w:basedOn w:val="Normal"/>
    <w:rsid w:val="00057536"/>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left"/>
    </w:pPr>
    <w:rPr>
      <w:rFonts w:eastAsia="Times New Roman"/>
    </w:rPr>
  </w:style>
  <w:style w:type="paragraph" w:customStyle="1" w:styleId="xl79">
    <w:name w:val="xl79"/>
    <w:basedOn w:val="Normal"/>
    <w:rsid w:val="00057536"/>
    <w:pPr>
      <w:pBdr>
        <w:top w:val="single" w:sz="4" w:space="0" w:color="auto"/>
        <w:left w:val="double" w:sz="6" w:space="0" w:color="auto"/>
        <w:bottom w:val="single" w:sz="4" w:space="0" w:color="auto"/>
        <w:right w:val="double" w:sz="6" w:space="0" w:color="auto"/>
      </w:pBdr>
      <w:spacing w:before="100" w:beforeAutospacing="1" w:after="100" w:afterAutospacing="1" w:line="240" w:lineRule="auto"/>
      <w:jc w:val="left"/>
    </w:pPr>
    <w:rPr>
      <w:rFonts w:eastAsia="Times New Roman"/>
    </w:rPr>
  </w:style>
  <w:style w:type="paragraph" w:customStyle="1" w:styleId="xl80">
    <w:name w:val="xl80"/>
    <w:basedOn w:val="Normal"/>
    <w:rsid w:val="00057536"/>
    <w:pPr>
      <w:pBdr>
        <w:left w:val="single" w:sz="4" w:space="0" w:color="auto"/>
        <w:bottom w:val="single" w:sz="4" w:space="0" w:color="auto"/>
        <w:right w:val="double" w:sz="6" w:space="0" w:color="auto"/>
      </w:pBdr>
      <w:spacing w:before="100" w:beforeAutospacing="1" w:after="100" w:afterAutospacing="1" w:line="240" w:lineRule="auto"/>
      <w:jc w:val="left"/>
    </w:pPr>
    <w:rPr>
      <w:rFonts w:eastAsia="Times New Roman"/>
    </w:rPr>
  </w:style>
  <w:style w:type="paragraph" w:customStyle="1" w:styleId="xl81">
    <w:name w:val="xl81"/>
    <w:basedOn w:val="Normal"/>
    <w:rsid w:val="00057536"/>
    <w:pPr>
      <w:pBdr>
        <w:bottom w:val="single" w:sz="4" w:space="0" w:color="auto"/>
        <w:right w:val="single" w:sz="4" w:space="0" w:color="auto"/>
      </w:pBdr>
      <w:spacing w:before="100" w:beforeAutospacing="1" w:after="100" w:afterAutospacing="1" w:line="240" w:lineRule="auto"/>
      <w:jc w:val="left"/>
    </w:pPr>
    <w:rPr>
      <w:rFonts w:eastAsia="Times New Roman"/>
    </w:rPr>
  </w:style>
  <w:style w:type="paragraph" w:customStyle="1" w:styleId="xl82">
    <w:name w:val="xl82"/>
    <w:basedOn w:val="Normal"/>
    <w:rsid w:val="00057536"/>
    <w:pPr>
      <w:pBdr>
        <w:left w:val="single" w:sz="4" w:space="0" w:color="auto"/>
        <w:bottom w:val="single" w:sz="4" w:space="0" w:color="auto"/>
        <w:right w:val="single" w:sz="8" w:space="0" w:color="auto"/>
      </w:pBdr>
      <w:spacing w:before="100" w:beforeAutospacing="1" w:after="100" w:afterAutospacing="1" w:line="240" w:lineRule="auto"/>
      <w:jc w:val="left"/>
    </w:pPr>
    <w:rPr>
      <w:rFonts w:eastAsia="Times New Roman"/>
    </w:rPr>
  </w:style>
  <w:style w:type="paragraph" w:customStyle="1" w:styleId="xl83">
    <w:name w:val="xl83"/>
    <w:basedOn w:val="Normal"/>
    <w:rsid w:val="00057536"/>
    <w:pPr>
      <w:pBdr>
        <w:left w:val="double" w:sz="6" w:space="0" w:color="auto"/>
        <w:bottom w:val="single" w:sz="4" w:space="0" w:color="auto"/>
        <w:right w:val="double" w:sz="6" w:space="0" w:color="auto"/>
      </w:pBdr>
      <w:spacing w:before="100" w:beforeAutospacing="1" w:after="100" w:afterAutospacing="1" w:line="240" w:lineRule="auto"/>
      <w:jc w:val="left"/>
    </w:pPr>
    <w:rPr>
      <w:rFonts w:eastAsia="Times New Roman"/>
    </w:rPr>
  </w:style>
  <w:style w:type="paragraph" w:customStyle="1" w:styleId="xl84">
    <w:name w:val="xl84"/>
    <w:basedOn w:val="Normal"/>
    <w:rsid w:val="00057536"/>
    <w:pPr>
      <w:pBdr>
        <w:top w:val="single" w:sz="8" w:space="0" w:color="auto"/>
        <w:bottom w:val="single" w:sz="8" w:space="0" w:color="auto"/>
        <w:right w:val="double" w:sz="6" w:space="0" w:color="auto"/>
      </w:pBdr>
      <w:spacing w:before="100" w:beforeAutospacing="1" w:after="100" w:afterAutospacing="1" w:line="240" w:lineRule="auto"/>
      <w:jc w:val="left"/>
    </w:pPr>
    <w:rPr>
      <w:rFonts w:eastAsia="Times New Roman"/>
      <w:b/>
      <w:bCs/>
      <w:color w:val="000000"/>
    </w:rPr>
  </w:style>
  <w:style w:type="paragraph" w:customStyle="1" w:styleId="xl85">
    <w:name w:val="xl85"/>
    <w:basedOn w:val="Normal"/>
    <w:rsid w:val="00057536"/>
    <w:pPr>
      <w:pBdr>
        <w:top w:val="single" w:sz="8" w:space="0" w:color="auto"/>
        <w:bottom w:val="single" w:sz="8" w:space="0" w:color="auto"/>
      </w:pBdr>
      <w:spacing w:before="100" w:beforeAutospacing="1" w:after="100" w:afterAutospacing="1" w:line="240" w:lineRule="auto"/>
      <w:jc w:val="left"/>
    </w:pPr>
    <w:rPr>
      <w:rFonts w:eastAsia="Times New Roman"/>
      <w:b/>
      <w:bCs/>
      <w:color w:val="000000"/>
    </w:rPr>
  </w:style>
  <w:style w:type="paragraph" w:customStyle="1" w:styleId="xl86">
    <w:name w:val="xl86"/>
    <w:basedOn w:val="Normal"/>
    <w:rsid w:val="00057536"/>
    <w:pPr>
      <w:pBdr>
        <w:top w:val="single" w:sz="8" w:space="0" w:color="auto"/>
        <w:left w:val="double" w:sz="6" w:space="0" w:color="auto"/>
        <w:bottom w:val="single" w:sz="8" w:space="0" w:color="auto"/>
      </w:pBdr>
      <w:spacing w:before="100" w:beforeAutospacing="1" w:after="100" w:afterAutospacing="1" w:line="240" w:lineRule="auto"/>
      <w:jc w:val="left"/>
    </w:pPr>
    <w:rPr>
      <w:rFonts w:eastAsia="Times New Roman"/>
      <w:b/>
      <w:bCs/>
      <w:color w:val="000000"/>
    </w:rPr>
  </w:style>
  <w:style w:type="paragraph" w:customStyle="1" w:styleId="xl87">
    <w:name w:val="xl87"/>
    <w:basedOn w:val="Normal"/>
    <w:rsid w:val="00057536"/>
    <w:pPr>
      <w:pBdr>
        <w:top w:val="single" w:sz="8" w:space="0" w:color="auto"/>
        <w:left w:val="single" w:sz="4" w:space="0" w:color="auto"/>
        <w:bottom w:val="single" w:sz="8" w:space="0" w:color="auto"/>
        <w:right w:val="double" w:sz="6" w:space="0" w:color="auto"/>
      </w:pBdr>
      <w:spacing w:before="100" w:beforeAutospacing="1" w:after="100" w:afterAutospacing="1" w:line="240" w:lineRule="auto"/>
      <w:jc w:val="left"/>
    </w:pPr>
    <w:rPr>
      <w:rFonts w:eastAsia="Times New Roman"/>
    </w:rPr>
  </w:style>
  <w:style w:type="paragraph" w:customStyle="1" w:styleId="xl88">
    <w:name w:val="xl88"/>
    <w:basedOn w:val="Normal"/>
    <w:rsid w:val="00057536"/>
    <w:pPr>
      <w:pBdr>
        <w:top w:val="single" w:sz="8" w:space="0" w:color="auto"/>
        <w:bottom w:val="single" w:sz="8" w:space="0" w:color="auto"/>
        <w:right w:val="single" w:sz="4" w:space="0" w:color="auto"/>
      </w:pBdr>
      <w:spacing w:before="100" w:beforeAutospacing="1" w:after="100" w:afterAutospacing="1" w:line="240" w:lineRule="auto"/>
      <w:jc w:val="left"/>
    </w:pPr>
    <w:rPr>
      <w:rFonts w:eastAsia="Times New Roman"/>
    </w:rPr>
  </w:style>
  <w:style w:type="paragraph" w:customStyle="1" w:styleId="xl89">
    <w:name w:val="xl89"/>
    <w:basedOn w:val="Normal"/>
    <w:rsid w:val="00057536"/>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left"/>
    </w:pPr>
    <w:rPr>
      <w:rFonts w:eastAsia="Times New Roman"/>
    </w:rPr>
  </w:style>
  <w:style w:type="paragraph" w:customStyle="1" w:styleId="xl90">
    <w:name w:val="xl90"/>
    <w:basedOn w:val="Normal"/>
    <w:rsid w:val="00057536"/>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right"/>
    </w:pPr>
    <w:rPr>
      <w:rFonts w:eastAsia="Times New Roman"/>
    </w:rPr>
  </w:style>
  <w:style w:type="paragraph" w:customStyle="1" w:styleId="xl91">
    <w:name w:val="xl91"/>
    <w:basedOn w:val="Normal"/>
    <w:rsid w:val="00057536"/>
    <w:pPr>
      <w:pBdr>
        <w:top w:val="single" w:sz="8" w:space="0" w:color="auto"/>
        <w:bottom w:val="single" w:sz="8" w:space="0" w:color="auto"/>
        <w:right w:val="single" w:sz="4" w:space="0" w:color="auto"/>
      </w:pBdr>
      <w:spacing w:before="100" w:beforeAutospacing="1" w:after="100" w:afterAutospacing="1" w:line="240" w:lineRule="auto"/>
      <w:jc w:val="right"/>
    </w:pPr>
    <w:rPr>
      <w:rFonts w:eastAsia="Times New Roman"/>
    </w:rPr>
  </w:style>
  <w:style w:type="paragraph" w:customStyle="1" w:styleId="xl92">
    <w:name w:val="xl92"/>
    <w:basedOn w:val="Normal"/>
    <w:rsid w:val="00057536"/>
    <w:pPr>
      <w:pBdr>
        <w:top w:val="single" w:sz="8" w:space="0" w:color="auto"/>
        <w:left w:val="double" w:sz="6" w:space="0" w:color="auto"/>
        <w:bottom w:val="single" w:sz="8" w:space="0" w:color="auto"/>
        <w:right w:val="single" w:sz="4" w:space="0" w:color="auto"/>
      </w:pBdr>
      <w:spacing w:before="100" w:beforeAutospacing="1" w:after="100" w:afterAutospacing="1" w:line="240" w:lineRule="auto"/>
      <w:jc w:val="right"/>
    </w:pPr>
    <w:rPr>
      <w:rFonts w:eastAsia="Times New Roman"/>
    </w:rPr>
  </w:style>
  <w:style w:type="paragraph" w:customStyle="1" w:styleId="xl93">
    <w:name w:val="xl93"/>
    <w:basedOn w:val="Normal"/>
    <w:rsid w:val="00057536"/>
    <w:pPr>
      <w:pBdr>
        <w:top w:val="single" w:sz="8" w:space="0" w:color="auto"/>
        <w:left w:val="double" w:sz="6" w:space="0" w:color="auto"/>
        <w:bottom w:val="single" w:sz="8" w:space="0" w:color="auto"/>
        <w:right w:val="double" w:sz="6" w:space="0" w:color="auto"/>
      </w:pBdr>
      <w:spacing w:before="100" w:beforeAutospacing="1" w:after="100" w:afterAutospacing="1" w:line="240" w:lineRule="auto"/>
      <w:jc w:val="left"/>
    </w:pPr>
    <w:rPr>
      <w:rFonts w:eastAsia="Times New Roman"/>
      <w:b/>
      <w:bCs/>
      <w:i/>
      <w:iCs/>
      <w:color w:val="000000"/>
    </w:rPr>
  </w:style>
  <w:style w:type="paragraph" w:customStyle="1" w:styleId="xl94">
    <w:name w:val="xl94"/>
    <w:basedOn w:val="Normal"/>
    <w:rsid w:val="00057536"/>
    <w:pPr>
      <w:pBdr>
        <w:top w:val="single" w:sz="4" w:space="0" w:color="auto"/>
        <w:left w:val="single" w:sz="4" w:space="0" w:color="auto"/>
        <w:bottom w:val="single" w:sz="4" w:space="0" w:color="auto"/>
        <w:right w:val="double" w:sz="6" w:space="0" w:color="auto"/>
      </w:pBdr>
      <w:spacing w:before="100" w:beforeAutospacing="1" w:after="100" w:afterAutospacing="1" w:line="240" w:lineRule="auto"/>
      <w:jc w:val="right"/>
    </w:pPr>
    <w:rPr>
      <w:rFonts w:eastAsia="Times New Roman"/>
    </w:rPr>
  </w:style>
  <w:style w:type="paragraph" w:customStyle="1" w:styleId="xl95">
    <w:name w:val="xl95"/>
    <w:basedOn w:val="Normal"/>
    <w:rsid w:val="00057536"/>
    <w:pPr>
      <w:pBdr>
        <w:top w:val="single" w:sz="4" w:space="0" w:color="auto"/>
        <w:bottom w:val="single" w:sz="4" w:space="0" w:color="auto"/>
        <w:right w:val="single" w:sz="4" w:space="0" w:color="auto"/>
      </w:pBdr>
      <w:spacing w:before="100" w:beforeAutospacing="1" w:after="100" w:afterAutospacing="1" w:line="240" w:lineRule="auto"/>
      <w:jc w:val="right"/>
    </w:pPr>
    <w:rPr>
      <w:rFonts w:eastAsia="Times New Roman"/>
    </w:rPr>
  </w:style>
  <w:style w:type="paragraph" w:customStyle="1" w:styleId="xl96">
    <w:name w:val="xl96"/>
    <w:basedOn w:val="Normal"/>
    <w:rsid w:val="00057536"/>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right"/>
    </w:pPr>
    <w:rPr>
      <w:rFonts w:eastAsia="Times New Roman"/>
    </w:rPr>
  </w:style>
  <w:style w:type="paragraph" w:customStyle="1" w:styleId="xl97">
    <w:name w:val="xl97"/>
    <w:basedOn w:val="Normal"/>
    <w:rsid w:val="00057536"/>
    <w:pPr>
      <w:pBdr>
        <w:top w:val="single" w:sz="4" w:space="0" w:color="auto"/>
        <w:left w:val="single" w:sz="4" w:space="0" w:color="auto"/>
        <w:right w:val="single" w:sz="8" w:space="0" w:color="auto"/>
      </w:pBdr>
      <w:spacing w:before="100" w:beforeAutospacing="1" w:after="100" w:afterAutospacing="1" w:line="240" w:lineRule="auto"/>
      <w:jc w:val="right"/>
    </w:pPr>
    <w:rPr>
      <w:rFonts w:eastAsia="Times New Roman"/>
    </w:rPr>
  </w:style>
  <w:style w:type="paragraph" w:customStyle="1" w:styleId="xl98">
    <w:name w:val="xl98"/>
    <w:basedOn w:val="Normal"/>
    <w:rsid w:val="00057536"/>
    <w:pPr>
      <w:pBdr>
        <w:top w:val="single" w:sz="4" w:space="0" w:color="auto"/>
        <w:right w:val="single" w:sz="4" w:space="0" w:color="auto"/>
      </w:pBdr>
      <w:spacing w:before="100" w:beforeAutospacing="1" w:after="100" w:afterAutospacing="1" w:line="240" w:lineRule="auto"/>
      <w:jc w:val="right"/>
    </w:pPr>
    <w:rPr>
      <w:rFonts w:eastAsia="Times New Roman"/>
    </w:rPr>
  </w:style>
  <w:style w:type="paragraph" w:customStyle="1" w:styleId="xl99">
    <w:name w:val="xl99"/>
    <w:basedOn w:val="Normal"/>
    <w:rsid w:val="00057536"/>
    <w:pPr>
      <w:pBdr>
        <w:top w:val="single" w:sz="4" w:space="0" w:color="auto"/>
        <w:left w:val="double" w:sz="6" w:space="0" w:color="auto"/>
        <w:bottom w:val="single" w:sz="8" w:space="0" w:color="auto"/>
        <w:right w:val="double" w:sz="6" w:space="0" w:color="auto"/>
      </w:pBdr>
      <w:spacing w:before="100" w:beforeAutospacing="1" w:after="100" w:afterAutospacing="1" w:line="240" w:lineRule="auto"/>
      <w:jc w:val="left"/>
    </w:pPr>
    <w:rPr>
      <w:rFonts w:eastAsia="Times New Roman"/>
      <w:color w:val="000000"/>
    </w:rPr>
  </w:style>
  <w:style w:type="paragraph" w:customStyle="1" w:styleId="xl100">
    <w:name w:val="xl100"/>
    <w:basedOn w:val="Normal"/>
    <w:rsid w:val="00057536"/>
    <w:pPr>
      <w:pBdr>
        <w:left w:val="single" w:sz="4" w:space="0" w:color="auto"/>
        <w:bottom w:val="single" w:sz="4" w:space="0" w:color="auto"/>
        <w:right w:val="single" w:sz="8" w:space="0" w:color="auto"/>
      </w:pBdr>
      <w:spacing w:before="100" w:beforeAutospacing="1" w:after="100" w:afterAutospacing="1" w:line="240" w:lineRule="auto"/>
      <w:jc w:val="right"/>
    </w:pPr>
    <w:rPr>
      <w:rFonts w:eastAsia="Times New Roman"/>
    </w:rPr>
  </w:style>
  <w:style w:type="paragraph" w:customStyle="1" w:styleId="xl101">
    <w:name w:val="xl101"/>
    <w:basedOn w:val="Normal"/>
    <w:rsid w:val="00057536"/>
    <w:pPr>
      <w:pBdr>
        <w:bottom w:val="single" w:sz="4" w:space="0" w:color="auto"/>
        <w:right w:val="single" w:sz="4" w:space="0" w:color="auto"/>
      </w:pBdr>
      <w:spacing w:before="100" w:beforeAutospacing="1" w:after="100" w:afterAutospacing="1" w:line="240" w:lineRule="auto"/>
      <w:jc w:val="right"/>
    </w:pPr>
    <w:rPr>
      <w:rFonts w:eastAsia="Times New Roman"/>
    </w:rPr>
  </w:style>
  <w:style w:type="paragraph" w:customStyle="1" w:styleId="xl102">
    <w:name w:val="xl102"/>
    <w:basedOn w:val="Normal"/>
    <w:rsid w:val="00057536"/>
    <w:pPr>
      <w:pBdr>
        <w:left w:val="double" w:sz="6" w:space="0" w:color="auto"/>
        <w:bottom w:val="single" w:sz="4" w:space="0" w:color="auto"/>
        <w:right w:val="double" w:sz="6" w:space="0" w:color="auto"/>
      </w:pBdr>
      <w:spacing w:before="100" w:beforeAutospacing="1" w:after="100" w:afterAutospacing="1" w:line="240" w:lineRule="auto"/>
      <w:jc w:val="left"/>
    </w:pPr>
    <w:rPr>
      <w:rFonts w:eastAsia="Times New Roman"/>
      <w:color w:val="000000"/>
    </w:rPr>
  </w:style>
  <w:style w:type="paragraph" w:customStyle="1" w:styleId="xl103">
    <w:name w:val="xl103"/>
    <w:basedOn w:val="Normal"/>
    <w:rsid w:val="00057536"/>
    <w:pPr>
      <w:pBdr>
        <w:top w:val="single" w:sz="8" w:space="0" w:color="auto"/>
        <w:bottom w:val="single" w:sz="8" w:space="0" w:color="auto"/>
        <w:right w:val="double" w:sz="6" w:space="0" w:color="auto"/>
      </w:pBdr>
      <w:spacing w:before="100" w:beforeAutospacing="1" w:after="100" w:afterAutospacing="1" w:line="240" w:lineRule="auto"/>
      <w:jc w:val="left"/>
    </w:pPr>
    <w:rPr>
      <w:rFonts w:eastAsia="Times New Roman"/>
      <w:b/>
      <w:bCs/>
      <w:i/>
      <w:iCs/>
      <w:color w:val="000000"/>
    </w:rPr>
  </w:style>
  <w:style w:type="paragraph" w:customStyle="1" w:styleId="xl104">
    <w:name w:val="xl104"/>
    <w:basedOn w:val="Normal"/>
    <w:rsid w:val="00057536"/>
    <w:pPr>
      <w:pBdr>
        <w:top w:val="single" w:sz="8" w:space="0" w:color="auto"/>
        <w:bottom w:val="single" w:sz="8" w:space="0" w:color="auto"/>
      </w:pBdr>
      <w:spacing w:before="100" w:beforeAutospacing="1" w:after="100" w:afterAutospacing="1" w:line="240" w:lineRule="auto"/>
      <w:jc w:val="left"/>
    </w:pPr>
    <w:rPr>
      <w:rFonts w:eastAsia="Times New Roman"/>
      <w:b/>
      <w:bCs/>
      <w:i/>
      <w:iCs/>
      <w:color w:val="000000"/>
    </w:rPr>
  </w:style>
  <w:style w:type="paragraph" w:customStyle="1" w:styleId="xl105">
    <w:name w:val="xl105"/>
    <w:basedOn w:val="Normal"/>
    <w:rsid w:val="00057536"/>
    <w:pPr>
      <w:pBdr>
        <w:top w:val="single" w:sz="8" w:space="0" w:color="auto"/>
        <w:left w:val="double" w:sz="6" w:space="0" w:color="auto"/>
        <w:bottom w:val="single" w:sz="8" w:space="0" w:color="auto"/>
      </w:pBdr>
      <w:spacing w:before="100" w:beforeAutospacing="1" w:after="100" w:afterAutospacing="1" w:line="240" w:lineRule="auto"/>
      <w:jc w:val="left"/>
    </w:pPr>
    <w:rPr>
      <w:rFonts w:eastAsia="Times New Roman"/>
      <w:b/>
      <w:bCs/>
      <w:i/>
      <w:iCs/>
      <w:color w:val="000000"/>
    </w:rPr>
  </w:style>
  <w:style w:type="paragraph" w:customStyle="1" w:styleId="xl106">
    <w:name w:val="xl106"/>
    <w:basedOn w:val="Normal"/>
    <w:rsid w:val="00057536"/>
    <w:pPr>
      <w:pBdr>
        <w:top w:val="single" w:sz="4" w:space="0" w:color="auto"/>
        <w:left w:val="single" w:sz="4" w:space="0" w:color="auto"/>
        <w:right w:val="double" w:sz="6" w:space="0" w:color="auto"/>
      </w:pBdr>
      <w:spacing w:before="100" w:beforeAutospacing="1" w:after="100" w:afterAutospacing="1" w:line="240" w:lineRule="auto"/>
      <w:jc w:val="right"/>
    </w:pPr>
    <w:rPr>
      <w:rFonts w:eastAsia="Times New Roman"/>
    </w:rPr>
  </w:style>
  <w:style w:type="paragraph" w:customStyle="1" w:styleId="xl107">
    <w:name w:val="xl107"/>
    <w:basedOn w:val="Normal"/>
    <w:rsid w:val="00057536"/>
    <w:pPr>
      <w:pBdr>
        <w:top w:val="single" w:sz="4" w:space="0" w:color="auto"/>
        <w:left w:val="double" w:sz="6" w:space="0" w:color="auto"/>
        <w:right w:val="double" w:sz="6" w:space="0" w:color="auto"/>
      </w:pBdr>
      <w:spacing w:before="100" w:beforeAutospacing="1" w:after="100" w:afterAutospacing="1" w:line="240" w:lineRule="auto"/>
      <w:jc w:val="left"/>
    </w:pPr>
    <w:rPr>
      <w:rFonts w:eastAsia="Times New Roman"/>
    </w:rPr>
  </w:style>
  <w:style w:type="paragraph" w:customStyle="1" w:styleId="xl108">
    <w:name w:val="xl108"/>
    <w:basedOn w:val="Normal"/>
    <w:rsid w:val="00057536"/>
    <w:pPr>
      <w:pBdr>
        <w:top w:val="single" w:sz="4" w:space="0" w:color="auto"/>
        <w:left w:val="double" w:sz="6" w:space="0" w:color="auto"/>
        <w:bottom w:val="single" w:sz="4" w:space="0" w:color="auto"/>
        <w:right w:val="double" w:sz="6" w:space="0" w:color="auto"/>
      </w:pBdr>
      <w:spacing w:before="100" w:beforeAutospacing="1" w:after="100" w:afterAutospacing="1" w:line="240" w:lineRule="auto"/>
      <w:jc w:val="left"/>
    </w:pPr>
    <w:rPr>
      <w:rFonts w:eastAsia="Times New Roman"/>
      <w:color w:val="000000"/>
    </w:rPr>
  </w:style>
  <w:style w:type="paragraph" w:customStyle="1" w:styleId="xl109">
    <w:name w:val="xl109"/>
    <w:basedOn w:val="Normal"/>
    <w:rsid w:val="00057536"/>
    <w:pPr>
      <w:pBdr>
        <w:top w:val="single" w:sz="4" w:space="0" w:color="auto"/>
        <w:bottom w:val="single" w:sz="4" w:space="0" w:color="auto"/>
        <w:right w:val="double" w:sz="6" w:space="0" w:color="auto"/>
      </w:pBdr>
      <w:spacing w:before="100" w:beforeAutospacing="1" w:after="100" w:afterAutospacing="1" w:line="240" w:lineRule="auto"/>
      <w:jc w:val="left"/>
    </w:pPr>
    <w:rPr>
      <w:rFonts w:eastAsia="Times New Roman"/>
      <w:b/>
      <w:bCs/>
      <w:i/>
      <w:iCs/>
      <w:color w:val="000000"/>
    </w:rPr>
  </w:style>
  <w:style w:type="paragraph" w:customStyle="1" w:styleId="xl110">
    <w:name w:val="xl110"/>
    <w:basedOn w:val="Normal"/>
    <w:rsid w:val="00057536"/>
    <w:pPr>
      <w:pBdr>
        <w:top w:val="single" w:sz="4" w:space="0" w:color="auto"/>
        <w:bottom w:val="single" w:sz="4" w:space="0" w:color="auto"/>
      </w:pBdr>
      <w:spacing w:before="100" w:beforeAutospacing="1" w:after="100" w:afterAutospacing="1" w:line="240" w:lineRule="auto"/>
      <w:jc w:val="left"/>
    </w:pPr>
    <w:rPr>
      <w:rFonts w:eastAsia="Times New Roman"/>
      <w:b/>
      <w:bCs/>
      <w:i/>
      <w:iCs/>
      <w:color w:val="000000"/>
    </w:rPr>
  </w:style>
  <w:style w:type="paragraph" w:customStyle="1" w:styleId="xl111">
    <w:name w:val="xl111"/>
    <w:basedOn w:val="Normal"/>
    <w:rsid w:val="00057536"/>
    <w:pPr>
      <w:pBdr>
        <w:top w:val="single" w:sz="4" w:space="0" w:color="auto"/>
        <w:left w:val="double" w:sz="6" w:space="0" w:color="auto"/>
        <w:bottom w:val="single" w:sz="4" w:space="0" w:color="auto"/>
      </w:pBdr>
      <w:spacing w:before="100" w:beforeAutospacing="1" w:after="100" w:afterAutospacing="1" w:line="240" w:lineRule="auto"/>
      <w:jc w:val="left"/>
    </w:pPr>
    <w:rPr>
      <w:rFonts w:eastAsia="Times New Roman"/>
      <w:b/>
      <w:bCs/>
      <w:i/>
      <w:iCs/>
      <w:color w:val="000000"/>
    </w:rPr>
  </w:style>
  <w:style w:type="paragraph" w:customStyle="1" w:styleId="xl112">
    <w:name w:val="xl112"/>
    <w:basedOn w:val="Normal"/>
    <w:rsid w:val="00057536"/>
    <w:pPr>
      <w:pBdr>
        <w:top w:val="single" w:sz="4" w:space="0" w:color="auto"/>
        <w:left w:val="double" w:sz="6" w:space="0" w:color="auto"/>
        <w:bottom w:val="single" w:sz="4" w:space="0" w:color="auto"/>
        <w:right w:val="double" w:sz="6" w:space="0" w:color="auto"/>
      </w:pBdr>
      <w:spacing w:before="100" w:beforeAutospacing="1" w:after="100" w:afterAutospacing="1" w:line="240" w:lineRule="auto"/>
      <w:jc w:val="left"/>
    </w:pPr>
    <w:rPr>
      <w:rFonts w:eastAsia="Times New Roman"/>
    </w:rPr>
  </w:style>
  <w:style w:type="paragraph" w:customStyle="1" w:styleId="xl113">
    <w:name w:val="xl113"/>
    <w:basedOn w:val="Normal"/>
    <w:rsid w:val="00057536"/>
    <w:pPr>
      <w:pBdr>
        <w:top w:val="single" w:sz="4" w:space="0" w:color="auto"/>
        <w:left w:val="double" w:sz="6" w:space="0" w:color="auto"/>
        <w:bottom w:val="single" w:sz="4" w:space="0" w:color="auto"/>
        <w:right w:val="double" w:sz="6" w:space="0" w:color="auto"/>
      </w:pBdr>
      <w:spacing w:before="100" w:beforeAutospacing="1" w:after="100" w:afterAutospacing="1" w:line="240" w:lineRule="auto"/>
      <w:jc w:val="left"/>
      <w:textAlignment w:val="center"/>
    </w:pPr>
    <w:rPr>
      <w:rFonts w:eastAsia="Times New Roman"/>
      <w:color w:val="000000"/>
    </w:rPr>
  </w:style>
  <w:style w:type="paragraph" w:customStyle="1" w:styleId="xl114">
    <w:name w:val="xl114"/>
    <w:basedOn w:val="Normal"/>
    <w:rsid w:val="00057536"/>
    <w:pPr>
      <w:pBdr>
        <w:bottom w:val="single" w:sz="4" w:space="0" w:color="auto"/>
        <w:right w:val="double" w:sz="6" w:space="0" w:color="auto"/>
      </w:pBdr>
      <w:spacing w:before="100" w:beforeAutospacing="1" w:after="100" w:afterAutospacing="1" w:line="240" w:lineRule="auto"/>
      <w:jc w:val="left"/>
    </w:pPr>
    <w:rPr>
      <w:rFonts w:eastAsia="Times New Roman"/>
      <w:b/>
      <w:bCs/>
      <w:i/>
      <w:iCs/>
      <w:color w:val="000000"/>
    </w:rPr>
  </w:style>
  <w:style w:type="paragraph" w:customStyle="1" w:styleId="xl115">
    <w:name w:val="xl115"/>
    <w:basedOn w:val="Normal"/>
    <w:rsid w:val="00057536"/>
    <w:pPr>
      <w:pBdr>
        <w:bottom w:val="single" w:sz="4" w:space="0" w:color="auto"/>
      </w:pBdr>
      <w:spacing w:before="100" w:beforeAutospacing="1" w:after="100" w:afterAutospacing="1" w:line="240" w:lineRule="auto"/>
      <w:jc w:val="left"/>
    </w:pPr>
    <w:rPr>
      <w:rFonts w:eastAsia="Times New Roman"/>
      <w:b/>
      <w:bCs/>
      <w:i/>
      <w:iCs/>
      <w:color w:val="000000"/>
    </w:rPr>
  </w:style>
  <w:style w:type="paragraph" w:customStyle="1" w:styleId="xl116">
    <w:name w:val="xl116"/>
    <w:basedOn w:val="Normal"/>
    <w:rsid w:val="00057536"/>
    <w:pPr>
      <w:pBdr>
        <w:left w:val="double" w:sz="6" w:space="0" w:color="auto"/>
        <w:bottom w:val="single" w:sz="4" w:space="0" w:color="auto"/>
      </w:pBdr>
      <w:spacing w:before="100" w:beforeAutospacing="1" w:after="100" w:afterAutospacing="1" w:line="240" w:lineRule="auto"/>
      <w:jc w:val="left"/>
    </w:pPr>
    <w:rPr>
      <w:rFonts w:eastAsia="Times New Roman"/>
      <w:b/>
      <w:bCs/>
      <w:i/>
      <w:iCs/>
      <w:color w:val="000000"/>
    </w:rPr>
  </w:style>
  <w:style w:type="paragraph" w:customStyle="1" w:styleId="xl117">
    <w:name w:val="xl117"/>
    <w:basedOn w:val="Normal"/>
    <w:rsid w:val="00057536"/>
    <w:pPr>
      <w:pBdr>
        <w:top w:val="single" w:sz="4" w:space="0" w:color="auto"/>
        <w:right w:val="single" w:sz="4" w:space="0" w:color="auto"/>
      </w:pBdr>
      <w:spacing w:before="100" w:beforeAutospacing="1" w:after="100" w:afterAutospacing="1" w:line="240" w:lineRule="auto"/>
      <w:jc w:val="left"/>
    </w:pPr>
    <w:rPr>
      <w:rFonts w:eastAsia="Times New Roman"/>
    </w:rPr>
  </w:style>
  <w:style w:type="paragraph" w:customStyle="1" w:styleId="xl118">
    <w:name w:val="xl118"/>
    <w:basedOn w:val="Normal"/>
    <w:rsid w:val="00057536"/>
    <w:pPr>
      <w:pBdr>
        <w:top w:val="single" w:sz="4" w:space="0" w:color="auto"/>
        <w:left w:val="double" w:sz="6" w:space="0" w:color="auto"/>
        <w:right w:val="double" w:sz="6" w:space="0" w:color="auto"/>
      </w:pBdr>
      <w:spacing w:before="100" w:beforeAutospacing="1" w:after="100" w:afterAutospacing="1" w:line="240" w:lineRule="auto"/>
      <w:jc w:val="left"/>
    </w:pPr>
    <w:rPr>
      <w:rFonts w:eastAsia="Times New Roman"/>
      <w:color w:val="000000"/>
    </w:rPr>
  </w:style>
  <w:style w:type="paragraph" w:customStyle="1" w:styleId="xl119">
    <w:name w:val="xl119"/>
    <w:basedOn w:val="Normal"/>
    <w:rsid w:val="00057536"/>
    <w:pPr>
      <w:pBdr>
        <w:left w:val="single" w:sz="4" w:space="0" w:color="auto"/>
        <w:bottom w:val="single" w:sz="4" w:space="0" w:color="auto"/>
        <w:right w:val="double" w:sz="6" w:space="0" w:color="auto"/>
      </w:pBdr>
      <w:spacing w:before="100" w:beforeAutospacing="1" w:after="100" w:afterAutospacing="1" w:line="240" w:lineRule="auto"/>
      <w:jc w:val="right"/>
    </w:pPr>
    <w:rPr>
      <w:rFonts w:eastAsia="Times New Roman"/>
    </w:rPr>
  </w:style>
  <w:style w:type="paragraph" w:customStyle="1" w:styleId="xl120">
    <w:name w:val="xl120"/>
    <w:basedOn w:val="Normal"/>
    <w:rsid w:val="00057536"/>
    <w:pPr>
      <w:pBdr>
        <w:top w:val="single" w:sz="4" w:space="0" w:color="auto"/>
        <w:left w:val="single" w:sz="4" w:space="0" w:color="auto"/>
        <w:bottom w:val="single" w:sz="8" w:space="0" w:color="auto"/>
        <w:right w:val="double" w:sz="6" w:space="0" w:color="auto"/>
      </w:pBdr>
      <w:spacing w:before="100" w:beforeAutospacing="1" w:after="100" w:afterAutospacing="1" w:line="240" w:lineRule="auto"/>
      <w:jc w:val="right"/>
    </w:pPr>
    <w:rPr>
      <w:rFonts w:eastAsia="Times New Roman"/>
    </w:rPr>
  </w:style>
  <w:style w:type="paragraph" w:customStyle="1" w:styleId="xl121">
    <w:name w:val="xl121"/>
    <w:basedOn w:val="Normal"/>
    <w:rsid w:val="00057536"/>
    <w:pPr>
      <w:pBdr>
        <w:top w:val="single" w:sz="4" w:space="0" w:color="auto"/>
        <w:left w:val="double" w:sz="6" w:space="9" w:color="auto"/>
        <w:bottom w:val="single" w:sz="4" w:space="0" w:color="auto"/>
        <w:right w:val="double" w:sz="6" w:space="0" w:color="auto"/>
      </w:pBdr>
      <w:spacing w:before="100" w:beforeAutospacing="1" w:after="100" w:afterAutospacing="1" w:line="240" w:lineRule="auto"/>
      <w:ind w:firstLineChars="100" w:firstLine="100"/>
      <w:jc w:val="left"/>
      <w:textAlignment w:val="center"/>
    </w:pPr>
    <w:rPr>
      <w:rFonts w:eastAsia="Times New Roman"/>
      <w:color w:val="000000"/>
    </w:rPr>
  </w:style>
  <w:style w:type="paragraph" w:customStyle="1" w:styleId="xl122">
    <w:name w:val="xl122"/>
    <w:basedOn w:val="Normal"/>
    <w:rsid w:val="00057536"/>
    <w:pPr>
      <w:pBdr>
        <w:left w:val="double" w:sz="6" w:space="9" w:color="auto"/>
        <w:bottom w:val="single" w:sz="4" w:space="0" w:color="auto"/>
        <w:right w:val="double" w:sz="6" w:space="0" w:color="auto"/>
      </w:pBdr>
      <w:spacing w:before="100" w:beforeAutospacing="1" w:after="100" w:afterAutospacing="1" w:line="240" w:lineRule="auto"/>
      <w:ind w:firstLineChars="100" w:firstLine="100"/>
      <w:jc w:val="left"/>
      <w:textAlignment w:val="center"/>
    </w:pPr>
    <w:rPr>
      <w:rFonts w:eastAsia="Times New Roman"/>
      <w:color w:val="000000"/>
    </w:rPr>
  </w:style>
  <w:style w:type="paragraph" w:customStyle="1" w:styleId="xl123">
    <w:name w:val="xl123"/>
    <w:basedOn w:val="Normal"/>
    <w:rsid w:val="00057536"/>
    <w:pPr>
      <w:pBdr>
        <w:bottom w:val="single" w:sz="8" w:space="0" w:color="auto"/>
        <w:right w:val="double" w:sz="6" w:space="0" w:color="auto"/>
      </w:pBdr>
      <w:spacing w:before="100" w:beforeAutospacing="1" w:after="100" w:afterAutospacing="1" w:line="240" w:lineRule="auto"/>
      <w:jc w:val="left"/>
    </w:pPr>
    <w:rPr>
      <w:rFonts w:eastAsia="Times New Roman"/>
      <w:b/>
      <w:bCs/>
      <w:color w:val="000000"/>
    </w:rPr>
  </w:style>
  <w:style w:type="paragraph" w:customStyle="1" w:styleId="xl124">
    <w:name w:val="xl124"/>
    <w:basedOn w:val="Normal"/>
    <w:rsid w:val="00057536"/>
    <w:pPr>
      <w:pBdr>
        <w:bottom w:val="single" w:sz="8" w:space="0" w:color="auto"/>
      </w:pBdr>
      <w:spacing w:before="100" w:beforeAutospacing="1" w:after="100" w:afterAutospacing="1" w:line="240" w:lineRule="auto"/>
      <w:jc w:val="left"/>
    </w:pPr>
    <w:rPr>
      <w:rFonts w:eastAsia="Times New Roman"/>
      <w:b/>
      <w:bCs/>
      <w:color w:val="000000"/>
    </w:rPr>
  </w:style>
  <w:style w:type="paragraph" w:customStyle="1" w:styleId="xl125">
    <w:name w:val="xl125"/>
    <w:basedOn w:val="Normal"/>
    <w:rsid w:val="00057536"/>
    <w:pPr>
      <w:pBdr>
        <w:left w:val="double" w:sz="6" w:space="0" w:color="auto"/>
        <w:bottom w:val="single" w:sz="8" w:space="0" w:color="auto"/>
      </w:pBdr>
      <w:spacing w:before="100" w:beforeAutospacing="1" w:after="100" w:afterAutospacing="1" w:line="240" w:lineRule="auto"/>
      <w:jc w:val="left"/>
    </w:pPr>
    <w:rPr>
      <w:rFonts w:eastAsia="Times New Roman"/>
      <w:b/>
      <w:bCs/>
      <w:color w:val="000000"/>
    </w:rPr>
  </w:style>
  <w:style w:type="paragraph" w:customStyle="1" w:styleId="xl126">
    <w:name w:val="xl126"/>
    <w:basedOn w:val="Normal"/>
    <w:rsid w:val="00057536"/>
    <w:pPr>
      <w:pBdr>
        <w:top w:val="single" w:sz="4" w:space="0" w:color="auto"/>
        <w:bottom w:val="single" w:sz="8" w:space="0" w:color="auto"/>
        <w:right w:val="single" w:sz="4" w:space="0" w:color="auto"/>
      </w:pBdr>
      <w:spacing w:before="100" w:beforeAutospacing="1" w:after="100" w:afterAutospacing="1" w:line="240" w:lineRule="auto"/>
      <w:jc w:val="right"/>
    </w:pPr>
    <w:rPr>
      <w:rFonts w:eastAsia="Times New Roman"/>
    </w:rPr>
  </w:style>
  <w:style w:type="paragraph" w:customStyle="1" w:styleId="xl127">
    <w:name w:val="xl127"/>
    <w:basedOn w:val="Normal"/>
    <w:rsid w:val="00057536"/>
    <w:pPr>
      <w:pBdr>
        <w:top w:val="single" w:sz="4" w:space="0" w:color="auto"/>
        <w:left w:val="double" w:sz="6" w:space="0" w:color="auto"/>
        <w:bottom w:val="single" w:sz="4" w:space="0" w:color="auto"/>
        <w:right w:val="single" w:sz="4" w:space="0" w:color="auto"/>
      </w:pBdr>
      <w:spacing w:before="100" w:beforeAutospacing="1" w:after="100" w:afterAutospacing="1" w:line="240" w:lineRule="auto"/>
      <w:jc w:val="left"/>
    </w:pPr>
    <w:rPr>
      <w:rFonts w:eastAsia="Times New Roman"/>
    </w:rPr>
  </w:style>
  <w:style w:type="paragraph" w:customStyle="1" w:styleId="xl128">
    <w:name w:val="xl128"/>
    <w:basedOn w:val="Normal"/>
    <w:rsid w:val="00057536"/>
    <w:pPr>
      <w:pBdr>
        <w:top w:val="single" w:sz="4" w:space="0" w:color="auto"/>
        <w:left w:val="double" w:sz="6" w:space="0" w:color="auto"/>
        <w:bottom w:val="single" w:sz="4" w:space="0" w:color="auto"/>
      </w:pBdr>
      <w:spacing w:before="100" w:beforeAutospacing="1" w:after="100" w:afterAutospacing="1" w:line="240" w:lineRule="auto"/>
      <w:jc w:val="left"/>
    </w:pPr>
    <w:rPr>
      <w:rFonts w:eastAsia="Times New Roman"/>
    </w:rPr>
  </w:style>
  <w:style w:type="paragraph" w:customStyle="1" w:styleId="xl129">
    <w:name w:val="xl129"/>
    <w:basedOn w:val="Normal"/>
    <w:rsid w:val="00057536"/>
    <w:pPr>
      <w:pBdr>
        <w:top w:val="single" w:sz="4" w:space="0" w:color="auto"/>
        <w:left w:val="double" w:sz="6" w:space="0" w:color="auto"/>
        <w:bottom w:val="single" w:sz="4" w:space="0" w:color="auto"/>
      </w:pBdr>
      <w:spacing w:before="100" w:beforeAutospacing="1" w:after="100" w:afterAutospacing="1" w:line="240" w:lineRule="auto"/>
      <w:jc w:val="left"/>
    </w:pPr>
    <w:rPr>
      <w:rFonts w:eastAsia="Times New Roman"/>
      <w:color w:val="000000"/>
    </w:rPr>
  </w:style>
  <w:style w:type="paragraph" w:customStyle="1" w:styleId="xl130">
    <w:name w:val="xl130"/>
    <w:basedOn w:val="Normal"/>
    <w:rsid w:val="00057536"/>
    <w:pPr>
      <w:pBdr>
        <w:left w:val="single" w:sz="4" w:space="0" w:color="auto"/>
        <w:right w:val="double" w:sz="6" w:space="0" w:color="auto"/>
      </w:pBdr>
      <w:spacing w:before="100" w:beforeAutospacing="1" w:after="100" w:afterAutospacing="1" w:line="240" w:lineRule="auto"/>
      <w:jc w:val="center"/>
      <w:textAlignment w:val="center"/>
    </w:pPr>
    <w:rPr>
      <w:rFonts w:eastAsia="Times New Roman"/>
      <w:b/>
      <w:bCs/>
      <w:color w:val="000000"/>
    </w:rPr>
  </w:style>
  <w:style w:type="paragraph" w:customStyle="1" w:styleId="xl131">
    <w:name w:val="xl131"/>
    <w:basedOn w:val="Normal"/>
    <w:rsid w:val="00057536"/>
    <w:pPr>
      <w:pBdr>
        <w:bottom w:val="single" w:sz="8" w:space="0" w:color="auto"/>
        <w:right w:val="single" w:sz="4" w:space="0" w:color="auto"/>
      </w:pBdr>
      <w:spacing w:before="100" w:beforeAutospacing="1" w:after="100" w:afterAutospacing="1" w:line="240" w:lineRule="auto"/>
      <w:jc w:val="center"/>
      <w:textAlignment w:val="center"/>
    </w:pPr>
    <w:rPr>
      <w:rFonts w:eastAsia="Times New Roman"/>
      <w:b/>
      <w:bCs/>
      <w:color w:val="000000"/>
    </w:rPr>
  </w:style>
  <w:style w:type="paragraph" w:customStyle="1" w:styleId="xl132">
    <w:name w:val="xl132"/>
    <w:basedOn w:val="Normal"/>
    <w:rsid w:val="00057536"/>
    <w:pPr>
      <w:pBdr>
        <w:left w:val="single" w:sz="4" w:space="0" w:color="auto"/>
        <w:right w:val="single" w:sz="8" w:space="0" w:color="auto"/>
      </w:pBdr>
      <w:spacing w:before="100" w:beforeAutospacing="1" w:after="100" w:afterAutospacing="1" w:line="240" w:lineRule="auto"/>
      <w:jc w:val="center"/>
      <w:textAlignment w:val="center"/>
    </w:pPr>
    <w:rPr>
      <w:rFonts w:eastAsia="Times New Roman"/>
      <w:b/>
      <w:bCs/>
      <w:color w:val="000000"/>
    </w:rPr>
  </w:style>
  <w:style w:type="paragraph" w:customStyle="1" w:styleId="xl133">
    <w:name w:val="xl133"/>
    <w:basedOn w:val="Normal"/>
    <w:rsid w:val="00057536"/>
    <w:pPr>
      <w:pBdr>
        <w:right w:val="single" w:sz="4" w:space="0" w:color="auto"/>
      </w:pBdr>
      <w:spacing w:before="100" w:beforeAutospacing="1" w:after="100" w:afterAutospacing="1" w:line="240" w:lineRule="auto"/>
      <w:jc w:val="center"/>
      <w:textAlignment w:val="center"/>
    </w:pPr>
    <w:rPr>
      <w:rFonts w:eastAsia="Times New Roman"/>
      <w:b/>
      <w:bCs/>
      <w:color w:val="000000"/>
    </w:rPr>
  </w:style>
  <w:style w:type="paragraph" w:customStyle="1" w:styleId="xl134">
    <w:name w:val="xl134"/>
    <w:basedOn w:val="Normal"/>
    <w:rsid w:val="00057536"/>
    <w:pPr>
      <w:pBdr>
        <w:left w:val="double" w:sz="6" w:space="0" w:color="auto"/>
        <w:bottom w:val="single" w:sz="8" w:space="0" w:color="auto"/>
        <w:right w:val="single" w:sz="4" w:space="0" w:color="auto"/>
      </w:pBdr>
      <w:spacing w:before="100" w:beforeAutospacing="1" w:after="100" w:afterAutospacing="1" w:line="240" w:lineRule="auto"/>
      <w:jc w:val="center"/>
      <w:textAlignment w:val="center"/>
    </w:pPr>
    <w:rPr>
      <w:rFonts w:eastAsia="Times New Roman"/>
      <w:b/>
      <w:bCs/>
      <w:color w:val="000000"/>
    </w:rPr>
  </w:style>
  <w:style w:type="paragraph" w:customStyle="1" w:styleId="xl135">
    <w:name w:val="xl135"/>
    <w:basedOn w:val="Normal"/>
    <w:rsid w:val="00057536"/>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eastAsia="Times New Roman"/>
      <w:b/>
      <w:bCs/>
      <w:color w:val="000000"/>
    </w:rPr>
  </w:style>
  <w:style w:type="paragraph" w:customStyle="1" w:styleId="xl136">
    <w:name w:val="xl136"/>
    <w:basedOn w:val="Normal"/>
    <w:rsid w:val="00057536"/>
    <w:pPr>
      <w:pBdr>
        <w:top w:val="single" w:sz="8" w:space="0" w:color="auto"/>
        <w:bottom w:val="single" w:sz="8" w:space="0" w:color="auto"/>
        <w:right w:val="single" w:sz="4" w:space="0" w:color="auto"/>
      </w:pBdr>
      <w:spacing w:before="100" w:beforeAutospacing="1" w:after="100" w:afterAutospacing="1" w:line="240" w:lineRule="auto"/>
      <w:jc w:val="center"/>
      <w:textAlignment w:val="center"/>
    </w:pPr>
    <w:rPr>
      <w:rFonts w:eastAsia="Times New Roman"/>
      <w:b/>
      <w:bCs/>
      <w:color w:val="000000"/>
    </w:rPr>
  </w:style>
  <w:style w:type="paragraph" w:customStyle="1" w:styleId="xl137">
    <w:name w:val="xl137"/>
    <w:basedOn w:val="Normal"/>
    <w:rsid w:val="00057536"/>
    <w:pPr>
      <w:pBdr>
        <w:left w:val="double" w:sz="6" w:space="0" w:color="auto"/>
        <w:right w:val="single" w:sz="4" w:space="0" w:color="auto"/>
      </w:pBdr>
      <w:spacing w:before="100" w:beforeAutospacing="1" w:after="100" w:afterAutospacing="1" w:line="240" w:lineRule="auto"/>
      <w:jc w:val="center"/>
      <w:textAlignment w:val="center"/>
    </w:pPr>
    <w:rPr>
      <w:rFonts w:eastAsia="Times New Roman"/>
      <w:b/>
      <w:bCs/>
      <w:color w:val="000000"/>
    </w:rPr>
  </w:style>
  <w:style w:type="paragraph" w:customStyle="1" w:styleId="xl138">
    <w:name w:val="xl138"/>
    <w:basedOn w:val="Normal"/>
    <w:rsid w:val="00057536"/>
    <w:pPr>
      <w:pBdr>
        <w:left w:val="double" w:sz="6" w:space="0" w:color="auto"/>
        <w:bottom w:val="single" w:sz="8" w:space="0" w:color="auto"/>
        <w:right w:val="double" w:sz="6" w:space="0" w:color="auto"/>
      </w:pBdr>
      <w:spacing w:before="100" w:beforeAutospacing="1" w:after="100" w:afterAutospacing="1" w:line="240" w:lineRule="auto"/>
      <w:jc w:val="left"/>
      <w:textAlignment w:val="center"/>
    </w:pPr>
    <w:rPr>
      <w:rFonts w:eastAsia="Times New Roman"/>
      <w:b/>
      <w:bCs/>
    </w:rPr>
  </w:style>
  <w:style w:type="paragraph" w:customStyle="1" w:styleId="xl139">
    <w:name w:val="xl139"/>
    <w:basedOn w:val="Normal"/>
    <w:rsid w:val="00057536"/>
    <w:pPr>
      <w:pBdr>
        <w:bottom w:val="single" w:sz="8" w:space="0" w:color="auto"/>
        <w:right w:val="double" w:sz="6" w:space="0" w:color="auto"/>
      </w:pBdr>
      <w:spacing w:before="100" w:beforeAutospacing="1" w:after="100" w:afterAutospacing="1" w:line="240" w:lineRule="auto"/>
      <w:jc w:val="center"/>
    </w:pPr>
    <w:rPr>
      <w:rFonts w:eastAsia="Times New Roman"/>
      <w:b/>
      <w:bCs/>
    </w:rPr>
  </w:style>
  <w:style w:type="paragraph" w:customStyle="1" w:styleId="xl140">
    <w:name w:val="xl140"/>
    <w:basedOn w:val="Normal"/>
    <w:rsid w:val="00057536"/>
    <w:pPr>
      <w:pBdr>
        <w:bottom w:val="single" w:sz="8" w:space="0" w:color="auto"/>
      </w:pBdr>
      <w:spacing w:before="100" w:beforeAutospacing="1" w:after="100" w:afterAutospacing="1" w:line="240" w:lineRule="auto"/>
      <w:jc w:val="center"/>
    </w:pPr>
    <w:rPr>
      <w:rFonts w:eastAsia="Times New Roman"/>
      <w:b/>
      <w:bCs/>
    </w:rPr>
  </w:style>
  <w:style w:type="paragraph" w:customStyle="1" w:styleId="xl141">
    <w:name w:val="xl141"/>
    <w:basedOn w:val="Normal"/>
    <w:rsid w:val="00057536"/>
    <w:pPr>
      <w:pBdr>
        <w:bottom w:val="single" w:sz="8" w:space="0" w:color="auto"/>
        <w:right w:val="single" w:sz="8" w:space="0" w:color="auto"/>
      </w:pBdr>
      <w:spacing w:before="100" w:beforeAutospacing="1" w:after="100" w:afterAutospacing="1" w:line="240" w:lineRule="auto"/>
      <w:jc w:val="center"/>
    </w:pPr>
    <w:rPr>
      <w:rFonts w:eastAsia="Times New Roman"/>
      <w:b/>
      <w:bCs/>
    </w:rPr>
  </w:style>
  <w:style w:type="paragraph" w:customStyle="1" w:styleId="xl142">
    <w:name w:val="xl142"/>
    <w:basedOn w:val="Normal"/>
    <w:rsid w:val="00057536"/>
    <w:pPr>
      <w:pBdr>
        <w:left w:val="double" w:sz="6" w:space="0" w:color="auto"/>
        <w:bottom w:val="single" w:sz="8" w:space="0" w:color="auto"/>
      </w:pBdr>
      <w:spacing w:before="100" w:beforeAutospacing="1" w:after="100" w:afterAutospacing="1" w:line="240" w:lineRule="auto"/>
      <w:jc w:val="center"/>
    </w:pPr>
    <w:rPr>
      <w:rFonts w:eastAsia="Times New Roman"/>
      <w:b/>
      <w:bCs/>
    </w:rPr>
  </w:style>
  <w:style w:type="paragraph" w:customStyle="1" w:styleId="xl143">
    <w:name w:val="xl143"/>
    <w:basedOn w:val="Normal"/>
    <w:rsid w:val="00057536"/>
    <w:pPr>
      <w:pBdr>
        <w:left w:val="single" w:sz="8" w:space="0" w:color="auto"/>
        <w:bottom w:val="single" w:sz="8" w:space="0" w:color="auto"/>
      </w:pBdr>
      <w:spacing w:before="100" w:beforeAutospacing="1" w:after="100" w:afterAutospacing="1" w:line="240" w:lineRule="auto"/>
      <w:jc w:val="center"/>
    </w:pPr>
    <w:rPr>
      <w:rFonts w:eastAsia="Times New Roman"/>
      <w:b/>
      <w:bCs/>
    </w:rPr>
  </w:style>
  <w:style w:type="paragraph" w:customStyle="1" w:styleId="xl144">
    <w:name w:val="xl144"/>
    <w:basedOn w:val="Normal"/>
    <w:rsid w:val="00057536"/>
    <w:pPr>
      <w:pBdr>
        <w:left w:val="double" w:sz="6" w:space="0" w:color="auto"/>
        <w:right w:val="double" w:sz="6" w:space="0" w:color="auto"/>
      </w:pBdr>
      <w:spacing w:before="100" w:beforeAutospacing="1" w:after="100" w:afterAutospacing="1" w:line="240" w:lineRule="auto"/>
      <w:jc w:val="left"/>
      <w:textAlignment w:val="center"/>
    </w:pPr>
    <w:rPr>
      <w:rFonts w:eastAsia="Times New Roman"/>
      <w:b/>
      <w:bCs/>
    </w:rPr>
  </w:style>
  <w:style w:type="paragraph" w:customStyle="1" w:styleId="xl145">
    <w:name w:val="xl145"/>
    <w:basedOn w:val="Normal"/>
    <w:rsid w:val="00057536"/>
    <w:pPr>
      <w:pBdr>
        <w:top w:val="double" w:sz="6" w:space="0" w:color="auto"/>
        <w:left w:val="single" w:sz="4" w:space="0" w:color="auto"/>
        <w:bottom w:val="single" w:sz="8" w:space="0" w:color="auto"/>
        <w:right w:val="double" w:sz="6" w:space="0" w:color="auto"/>
      </w:pBdr>
      <w:spacing w:before="100" w:beforeAutospacing="1" w:after="100" w:afterAutospacing="1" w:line="240" w:lineRule="auto"/>
      <w:jc w:val="center"/>
    </w:pPr>
    <w:rPr>
      <w:rFonts w:eastAsia="Times New Roman"/>
      <w:b/>
      <w:bCs/>
    </w:rPr>
  </w:style>
  <w:style w:type="paragraph" w:customStyle="1" w:styleId="xl146">
    <w:name w:val="xl146"/>
    <w:basedOn w:val="Normal"/>
    <w:rsid w:val="00057536"/>
    <w:pPr>
      <w:pBdr>
        <w:top w:val="double" w:sz="6" w:space="0" w:color="auto"/>
        <w:left w:val="single" w:sz="4" w:space="0" w:color="auto"/>
        <w:bottom w:val="single" w:sz="8" w:space="0" w:color="auto"/>
        <w:right w:val="single" w:sz="4" w:space="0" w:color="auto"/>
      </w:pBdr>
      <w:spacing w:before="100" w:beforeAutospacing="1" w:after="100" w:afterAutospacing="1" w:line="240" w:lineRule="auto"/>
      <w:jc w:val="center"/>
    </w:pPr>
    <w:rPr>
      <w:rFonts w:eastAsia="Times New Roman"/>
      <w:b/>
      <w:bCs/>
    </w:rPr>
  </w:style>
  <w:style w:type="paragraph" w:customStyle="1" w:styleId="xl147">
    <w:name w:val="xl147"/>
    <w:basedOn w:val="Normal"/>
    <w:rsid w:val="00057536"/>
    <w:pPr>
      <w:pBdr>
        <w:top w:val="double" w:sz="6" w:space="0" w:color="auto"/>
        <w:bottom w:val="single" w:sz="8" w:space="0" w:color="auto"/>
        <w:right w:val="single" w:sz="4" w:space="0" w:color="auto"/>
      </w:pBdr>
      <w:spacing w:before="100" w:beforeAutospacing="1" w:after="100" w:afterAutospacing="1" w:line="240" w:lineRule="auto"/>
      <w:jc w:val="center"/>
    </w:pPr>
    <w:rPr>
      <w:rFonts w:eastAsia="Times New Roman"/>
      <w:b/>
      <w:bCs/>
    </w:rPr>
  </w:style>
  <w:style w:type="paragraph" w:customStyle="1" w:styleId="xl148">
    <w:name w:val="xl148"/>
    <w:basedOn w:val="Normal"/>
    <w:rsid w:val="00057536"/>
    <w:pPr>
      <w:pBdr>
        <w:top w:val="double" w:sz="6" w:space="0" w:color="auto"/>
        <w:left w:val="double" w:sz="6" w:space="0" w:color="auto"/>
        <w:bottom w:val="single" w:sz="8" w:space="0" w:color="auto"/>
        <w:right w:val="single" w:sz="4" w:space="0" w:color="auto"/>
      </w:pBdr>
      <w:spacing w:before="100" w:beforeAutospacing="1" w:after="100" w:afterAutospacing="1" w:line="240" w:lineRule="auto"/>
      <w:jc w:val="center"/>
    </w:pPr>
    <w:rPr>
      <w:rFonts w:eastAsia="Times New Roman"/>
      <w:b/>
      <w:bCs/>
    </w:rPr>
  </w:style>
  <w:style w:type="paragraph" w:customStyle="1" w:styleId="xl149">
    <w:name w:val="xl149"/>
    <w:basedOn w:val="Normal"/>
    <w:rsid w:val="00057536"/>
    <w:pPr>
      <w:pBdr>
        <w:top w:val="double" w:sz="6" w:space="0" w:color="auto"/>
        <w:left w:val="double" w:sz="6" w:space="0" w:color="auto"/>
        <w:right w:val="double" w:sz="6" w:space="0" w:color="auto"/>
      </w:pBdr>
      <w:spacing w:before="100" w:beforeAutospacing="1" w:after="100" w:afterAutospacing="1" w:line="240" w:lineRule="auto"/>
      <w:jc w:val="left"/>
      <w:textAlignment w:val="center"/>
    </w:pPr>
    <w:rPr>
      <w:rFonts w:eastAsia="Times New Roman"/>
      <w:b/>
      <w:bCs/>
    </w:rPr>
  </w:style>
  <w:style w:type="paragraph" w:customStyle="1" w:styleId="xl150">
    <w:name w:val="xl150"/>
    <w:basedOn w:val="Normal"/>
    <w:rsid w:val="00057536"/>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right"/>
    </w:pPr>
    <w:rPr>
      <w:rFonts w:eastAsia="Times New Roman"/>
    </w:rPr>
  </w:style>
  <w:style w:type="paragraph" w:customStyle="1" w:styleId="xl151">
    <w:name w:val="xl151"/>
    <w:basedOn w:val="Normal"/>
    <w:rsid w:val="00057536"/>
    <w:pPr>
      <w:pBdr>
        <w:bottom w:val="double" w:sz="6" w:space="0" w:color="auto"/>
        <w:right w:val="single" w:sz="4" w:space="0" w:color="auto"/>
      </w:pBdr>
      <w:spacing w:before="100" w:beforeAutospacing="1" w:after="100" w:afterAutospacing="1" w:line="240" w:lineRule="auto"/>
      <w:jc w:val="right"/>
    </w:pPr>
    <w:rPr>
      <w:rFonts w:eastAsia="Times New Roman"/>
    </w:rPr>
  </w:style>
  <w:style w:type="paragraph" w:customStyle="1" w:styleId="xl152">
    <w:name w:val="xl152"/>
    <w:basedOn w:val="Normal"/>
    <w:rsid w:val="00057536"/>
    <w:pPr>
      <w:pBdr>
        <w:left w:val="single" w:sz="4" w:space="0" w:color="auto"/>
        <w:bottom w:val="double" w:sz="6" w:space="0" w:color="auto"/>
        <w:right w:val="single" w:sz="8" w:space="0" w:color="auto"/>
      </w:pBdr>
      <w:spacing w:before="100" w:beforeAutospacing="1" w:after="100" w:afterAutospacing="1" w:line="240" w:lineRule="auto"/>
      <w:jc w:val="right"/>
    </w:pPr>
    <w:rPr>
      <w:rFonts w:eastAsia="Times New Roman"/>
    </w:rPr>
  </w:style>
  <w:style w:type="paragraph" w:customStyle="1" w:styleId="xl153">
    <w:name w:val="xl153"/>
    <w:basedOn w:val="Normal"/>
    <w:rsid w:val="00057536"/>
    <w:pPr>
      <w:pBdr>
        <w:left w:val="single" w:sz="4" w:space="0" w:color="auto"/>
        <w:bottom w:val="double" w:sz="6" w:space="0" w:color="auto"/>
        <w:right w:val="double" w:sz="6" w:space="0" w:color="auto"/>
      </w:pBdr>
      <w:spacing w:before="100" w:beforeAutospacing="1" w:after="100" w:afterAutospacing="1" w:line="240" w:lineRule="auto"/>
      <w:jc w:val="right"/>
    </w:pPr>
    <w:rPr>
      <w:rFonts w:eastAsia="Times New Roman"/>
    </w:rPr>
  </w:style>
  <w:style w:type="character" w:customStyle="1" w:styleId="anchor-text">
    <w:name w:val="anchor-text"/>
    <w:basedOn w:val="DefaultParagraphFont"/>
    <w:rsid w:val="00BF5ADC"/>
  </w:style>
  <w:style w:type="paragraph" w:customStyle="1" w:styleId="xl65">
    <w:name w:val="xl65"/>
    <w:basedOn w:val="Normal"/>
    <w:rsid w:val="00DB53B5"/>
    <w:pPr>
      <w:spacing w:before="100" w:beforeAutospacing="1" w:after="100" w:afterAutospacing="1" w:line="240" w:lineRule="auto"/>
      <w:jc w:val="left"/>
    </w:pPr>
    <w:rPr>
      <w:rFonts w:eastAsia="Times New Roman"/>
    </w:rPr>
  </w:style>
  <w:style w:type="paragraph" w:customStyle="1" w:styleId="xl66">
    <w:name w:val="xl66"/>
    <w:basedOn w:val="Normal"/>
    <w:rsid w:val="00DB53B5"/>
    <w:pPr>
      <w:spacing w:before="100" w:beforeAutospacing="1" w:after="100" w:afterAutospacing="1" w:line="240" w:lineRule="auto"/>
      <w:jc w:val="left"/>
    </w:pPr>
    <w:rPr>
      <w:rFonts w:eastAsia="Times New Roman"/>
    </w:rPr>
  </w:style>
  <w:style w:type="paragraph" w:customStyle="1" w:styleId="xl154">
    <w:name w:val="xl154"/>
    <w:basedOn w:val="Normal"/>
    <w:rsid w:val="00DB53B5"/>
    <w:pPr>
      <w:pBdr>
        <w:top w:val="single" w:sz="4" w:space="0" w:color="auto"/>
        <w:bottom w:val="single" w:sz="4" w:space="0" w:color="auto"/>
      </w:pBdr>
      <w:spacing w:before="100" w:beforeAutospacing="1" w:after="100" w:afterAutospacing="1" w:line="240" w:lineRule="auto"/>
      <w:jc w:val="left"/>
    </w:pPr>
    <w:rPr>
      <w:rFonts w:eastAsia="Times New Roman"/>
      <w:b/>
      <w:bCs/>
      <w:i/>
      <w:iCs/>
    </w:rPr>
  </w:style>
  <w:style w:type="paragraph" w:customStyle="1" w:styleId="xl155">
    <w:name w:val="xl155"/>
    <w:basedOn w:val="Normal"/>
    <w:rsid w:val="00DB53B5"/>
    <w:pPr>
      <w:pBdr>
        <w:top w:val="single" w:sz="4" w:space="0" w:color="auto"/>
        <w:bottom w:val="single" w:sz="4" w:space="0" w:color="auto"/>
        <w:right w:val="double" w:sz="6" w:space="0" w:color="auto"/>
      </w:pBdr>
      <w:spacing w:before="100" w:beforeAutospacing="1" w:after="100" w:afterAutospacing="1" w:line="240" w:lineRule="auto"/>
      <w:jc w:val="left"/>
    </w:pPr>
    <w:rPr>
      <w:rFonts w:eastAsia="Times New Roman"/>
      <w:b/>
      <w:bCs/>
      <w:i/>
      <w:iCs/>
    </w:rPr>
  </w:style>
  <w:style w:type="character" w:customStyle="1" w:styleId="html-italic">
    <w:name w:val="html-italic"/>
    <w:basedOn w:val="DefaultParagraphFont"/>
    <w:rsid w:val="00C53AF1"/>
  </w:style>
  <w:style w:type="paragraph" w:styleId="Revision">
    <w:name w:val="Revision"/>
    <w:hidden/>
    <w:uiPriority w:val="99"/>
    <w:semiHidden/>
    <w:rsid w:val="000E531D"/>
    <w:pPr>
      <w:spacing w:after="0" w:line="240" w:lineRule="auto"/>
    </w:pPr>
    <w:rPr>
      <w:rFonts w:ascii="Times New Roman" w:hAnsi="Times New Roman" w:cs="Times New Roman"/>
      <w:sz w:val="24"/>
      <w:szCs w:val="24"/>
    </w:rPr>
  </w:style>
  <w:style w:type="paragraph" w:customStyle="1" w:styleId="whitespace-pre-wrap">
    <w:name w:val="whitespace-pre-wrap"/>
    <w:basedOn w:val="Normal"/>
    <w:rsid w:val="00774A0F"/>
    <w:pPr>
      <w:spacing w:before="100" w:beforeAutospacing="1" w:after="100" w:afterAutospacing="1" w:line="240" w:lineRule="auto"/>
      <w:jc w:val="left"/>
    </w:pPr>
    <w:rPr>
      <w:rFonts w:eastAsia="Times New Roman"/>
    </w:rPr>
  </w:style>
  <w:style w:type="paragraph" w:customStyle="1" w:styleId="whitespace-normal">
    <w:name w:val="whitespace-normal"/>
    <w:basedOn w:val="Normal"/>
    <w:rsid w:val="002F5C17"/>
    <w:pPr>
      <w:spacing w:before="100" w:beforeAutospacing="1" w:after="100" w:afterAutospacing="1" w:line="240" w:lineRule="auto"/>
      <w:jc w:val="left"/>
    </w:pPr>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4190">
      <w:bodyDiv w:val="1"/>
      <w:marLeft w:val="0"/>
      <w:marRight w:val="0"/>
      <w:marTop w:val="0"/>
      <w:marBottom w:val="0"/>
      <w:divBdr>
        <w:top w:val="none" w:sz="0" w:space="0" w:color="auto"/>
        <w:left w:val="none" w:sz="0" w:space="0" w:color="auto"/>
        <w:bottom w:val="none" w:sz="0" w:space="0" w:color="auto"/>
        <w:right w:val="none" w:sz="0" w:space="0" w:color="auto"/>
      </w:divBdr>
    </w:div>
    <w:div w:id="13456477">
      <w:bodyDiv w:val="1"/>
      <w:marLeft w:val="0"/>
      <w:marRight w:val="0"/>
      <w:marTop w:val="0"/>
      <w:marBottom w:val="0"/>
      <w:divBdr>
        <w:top w:val="none" w:sz="0" w:space="0" w:color="auto"/>
        <w:left w:val="none" w:sz="0" w:space="0" w:color="auto"/>
        <w:bottom w:val="none" w:sz="0" w:space="0" w:color="auto"/>
        <w:right w:val="none" w:sz="0" w:space="0" w:color="auto"/>
      </w:divBdr>
    </w:div>
    <w:div w:id="52433523">
      <w:bodyDiv w:val="1"/>
      <w:marLeft w:val="0"/>
      <w:marRight w:val="0"/>
      <w:marTop w:val="0"/>
      <w:marBottom w:val="0"/>
      <w:divBdr>
        <w:top w:val="none" w:sz="0" w:space="0" w:color="auto"/>
        <w:left w:val="none" w:sz="0" w:space="0" w:color="auto"/>
        <w:bottom w:val="none" w:sz="0" w:space="0" w:color="auto"/>
        <w:right w:val="none" w:sz="0" w:space="0" w:color="auto"/>
      </w:divBdr>
    </w:div>
    <w:div w:id="54858560">
      <w:bodyDiv w:val="1"/>
      <w:marLeft w:val="0"/>
      <w:marRight w:val="0"/>
      <w:marTop w:val="0"/>
      <w:marBottom w:val="0"/>
      <w:divBdr>
        <w:top w:val="none" w:sz="0" w:space="0" w:color="auto"/>
        <w:left w:val="none" w:sz="0" w:space="0" w:color="auto"/>
        <w:bottom w:val="none" w:sz="0" w:space="0" w:color="auto"/>
        <w:right w:val="none" w:sz="0" w:space="0" w:color="auto"/>
      </w:divBdr>
    </w:div>
    <w:div w:id="55591897">
      <w:bodyDiv w:val="1"/>
      <w:marLeft w:val="0"/>
      <w:marRight w:val="0"/>
      <w:marTop w:val="0"/>
      <w:marBottom w:val="0"/>
      <w:divBdr>
        <w:top w:val="none" w:sz="0" w:space="0" w:color="auto"/>
        <w:left w:val="none" w:sz="0" w:space="0" w:color="auto"/>
        <w:bottom w:val="none" w:sz="0" w:space="0" w:color="auto"/>
        <w:right w:val="none" w:sz="0" w:space="0" w:color="auto"/>
      </w:divBdr>
    </w:div>
    <w:div w:id="62801510">
      <w:bodyDiv w:val="1"/>
      <w:marLeft w:val="0"/>
      <w:marRight w:val="0"/>
      <w:marTop w:val="0"/>
      <w:marBottom w:val="0"/>
      <w:divBdr>
        <w:top w:val="none" w:sz="0" w:space="0" w:color="auto"/>
        <w:left w:val="none" w:sz="0" w:space="0" w:color="auto"/>
        <w:bottom w:val="none" w:sz="0" w:space="0" w:color="auto"/>
        <w:right w:val="none" w:sz="0" w:space="0" w:color="auto"/>
      </w:divBdr>
    </w:div>
    <w:div w:id="114643727">
      <w:bodyDiv w:val="1"/>
      <w:marLeft w:val="0"/>
      <w:marRight w:val="0"/>
      <w:marTop w:val="0"/>
      <w:marBottom w:val="0"/>
      <w:divBdr>
        <w:top w:val="none" w:sz="0" w:space="0" w:color="auto"/>
        <w:left w:val="none" w:sz="0" w:space="0" w:color="auto"/>
        <w:bottom w:val="none" w:sz="0" w:space="0" w:color="auto"/>
        <w:right w:val="none" w:sz="0" w:space="0" w:color="auto"/>
      </w:divBdr>
    </w:div>
    <w:div w:id="155345231">
      <w:bodyDiv w:val="1"/>
      <w:marLeft w:val="0"/>
      <w:marRight w:val="0"/>
      <w:marTop w:val="0"/>
      <w:marBottom w:val="0"/>
      <w:divBdr>
        <w:top w:val="none" w:sz="0" w:space="0" w:color="auto"/>
        <w:left w:val="none" w:sz="0" w:space="0" w:color="auto"/>
        <w:bottom w:val="none" w:sz="0" w:space="0" w:color="auto"/>
        <w:right w:val="none" w:sz="0" w:space="0" w:color="auto"/>
      </w:divBdr>
    </w:div>
    <w:div w:id="163053802">
      <w:bodyDiv w:val="1"/>
      <w:marLeft w:val="0"/>
      <w:marRight w:val="0"/>
      <w:marTop w:val="0"/>
      <w:marBottom w:val="0"/>
      <w:divBdr>
        <w:top w:val="none" w:sz="0" w:space="0" w:color="auto"/>
        <w:left w:val="none" w:sz="0" w:space="0" w:color="auto"/>
        <w:bottom w:val="none" w:sz="0" w:space="0" w:color="auto"/>
        <w:right w:val="none" w:sz="0" w:space="0" w:color="auto"/>
      </w:divBdr>
    </w:div>
    <w:div w:id="165871883">
      <w:bodyDiv w:val="1"/>
      <w:marLeft w:val="0"/>
      <w:marRight w:val="0"/>
      <w:marTop w:val="0"/>
      <w:marBottom w:val="0"/>
      <w:divBdr>
        <w:top w:val="none" w:sz="0" w:space="0" w:color="auto"/>
        <w:left w:val="none" w:sz="0" w:space="0" w:color="auto"/>
        <w:bottom w:val="none" w:sz="0" w:space="0" w:color="auto"/>
        <w:right w:val="none" w:sz="0" w:space="0" w:color="auto"/>
      </w:divBdr>
    </w:div>
    <w:div w:id="188497397">
      <w:bodyDiv w:val="1"/>
      <w:marLeft w:val="0"/>
      <w:marRight w:val="0"/>
      <w:marTop w:val="0"/>
      <w:marBottom w:val="0"/>
      <w:divBdr>
        <w:top w:val="none" w:sz="0" w:space="0" w:color="auto"/>
        <w:left w:val="none" w:sz="0" w:space="0" w:color="auto"/>
        <w:bottom w:val="none" w:sz="0" w:space="0" w:color="auto"/>
        <w:right w:val="none" w:sz="0" w:space="0" w:color="auto"/>
      </w:divBdr>
    </w:div>
    <w:div w:id="213126006">
      <w:bodyDiv w:val="1"/>
      <w:marLeft w:val="0"/>
      <w:marRight w:val="0"/>
      <w:marTop w:val="0"/>
      <w:marBottom w:val="0"/>
      <w:divBdr>
        <w:top w:val="none" w:sz="0" w:space="0" w:color="auto"/>
        <w:left w:val="none" w:sz="0" w:space="0" w:color="auto"/>
        <w:bottom w:val="none" w:sz="0" w:space="0" w:color="auto"/>
        <w:right w:val="none" w:sz="0" w:space="0" w:color="auto"/>
      </w:divBdr>
    </w:div>
    <w:div w:id="256402678">
      <w:bodyDiv w:val="1"/>
      <w:marLeft w:val="0"/>
      <w:marRight w:val="0"/>
      <w:marTop w:val="0"/>
      <w:marBottom w:val="0"/>
      <w:divBdr>
        <w:top w:val="none" w:sz="0" w:space="0" w:color="auto"/>
        <w:left w:val="none" w:sz="0" w:space="0" w:color="auto"/>
        <w:bottom w:val="none" w:sz="0" w:space="0" w:color="auto"/>
        <w:right w:val="none" w:sz="0" w:space="0" w:color="auto"/>
      </w:divBdr>
    </w:div>
    <w:div w:id="256863183">
      <w:bodyDiv w:val="1"/>
      <w:marLeft w:val="0"/>
      <w:marRight w:val="0"/>
      <w:marTop w:val="0"/>
      <w:marBottom w:val="0"/>
      <w:divBdr>
        <w:top w:val="none" w:sz="0" w:space="0" w:color="auto"/>
        <w:left w:val="none" w:sz="0" w:space="0" w:color="auto"/>
        <w:bottom w:val="none" w:sz="0" w:space="0" w:color="auto"/>
        <w:right w:val="none" w:sz="0" w:space="0" w:color="auto"/>
      </w:divBdr>
      <w:divsChild>
        <w:div w:id="1158694111">
          <w:marLeft w:val="0"/>
          <w:marRight w:val="0"/>
          <w:marTop w:val="0"/>
          <w:marBottom w:val="0"/>
          <w:divBdr>
            <w:top w:val="none" w:sz="0" w:space="0" w:color="auto"/>
            <w:left w:val="none" w:sz="0" w:space="0" w:color="auto"/>
            <w:bottom w:val="none" w:sz="0" w:space="0" w:color="auto"/>
            <w:right w:val="none" w:sz="0" w:space="0" w:color="auto"/>
          </w:divBdr>
          <w:divsChild>
            <w:div w:id="576326321">
              <w:marLeft w:val="0"/>
              <w:marRight w:val="0"/>
              <w:marTop w:val="0"/>
              <w:marBottom w:val="0"/>
              <w:divBdr>
                <w:top w:val="none" w:sz="0" w:space="0" w:color="auto"/>
                <w:left w:val="none" w:sz="0" w:space="0" w:color="auto"/>
                <w:bottom w:val="none" w:sz="0" w:space="0" w:color="auto"/>
                <w:right w:val="none" w:sz="0" w:space="0" w:color="auto"/>
              </w:divBdr>
              <w:divsChild>
                <w:div w:id="595095991">
                  <w:marLeft w:val="0"/>
                  <w:marRight w:val="0"/>
                  <w:marTop w:val="0"/>
                  <w:marBottom w:val="0"/>
                  <w:divBdr>
                    <w:top w:val="none" w:sz="0" w:space="0" w:color="auto"/>
                    <w:left w:val="none" w:sz="0" w:space="0" w:color="auto"/>
                    <w:bottom w:val="none" w:sz="0" w:space="0" w:color="auto"/>
                    <w:right w:val="none" w:sz="0" w:space="0" w:color="auto"/>
                  </w:divBdr>
                  <w:divsChild>
                    <w:div w:id="1985233993">
                      <w:marLeft w:val="0"/>
                      <w:marRight w:val="0"/>
                      <w:marTop w:val="0"/>
                      <w:marBottom w:val="0"/>
                      <w:divBdr>
                        <w:top w:val="none" w:sz="0" w:space="0" w:color="auto"/>
                        <w:left w:val="none" w:sz="0" w:space="0" w:color="auto"/>
                        <w:bottom w:val="none" w:sz="0" w:space="0" w:color="auto"/>
                        <w:right w:val="none" w:sz="0" w:space="0" w:color="auto"/>
                      </w:divBdr>
                      <w:divsChild>
                        <w:div w:id="1777405032">
                          <w:marLeft w:val="0"/>
                          <w:marRight w:val="0"/>
                          <w:marTop w:val="100"/>
                          <w:marBottom w:val="100"/>
                          <w:divBdr>
                            <w:top w:val="single" w:sz="6" w:space="8" w:color="4285F4"/>
                            <w:left w:val="single" w:sz="6" w:space="8" w:color="4285F4"/>
                            <w:bottom w:val="single" w:sz="6" w:space="0" w:color="4285F4"/>
                            <w:right w:val="single" w:sz="6" w:space="11" w:color="4285F4"/>
                          </w:divBdr>
                          <w:divsChild>
                            <w:div w:id="331569718">
                              <w:marLeft w:val="0"/>
                              <w:marRight w:val="0"/>
                              <w:marTop w:val="0"/>
                              <w:marBottom w:val="0"/>
                              <w:divBdr>
                                <w:top w:val="none" w:sz="0" w:space="0" w:color="auto"/>
                                <w:left w:val="none" w:sz="0" w:space="0" w:color="auto"/>
                                <w:bottom w:val="none" w:sz="0" w:space="0" w:color="auto"/>
                                <w:right w:val="none" w:sz="0" w:space="0" w:color="auto"/>
                              </w:divBdr>
                              <w:divsChild>
                                <w:div w:id="1608930911">
                                  <w:marLeft w:val="0"/>
                                  <w:marRight w:val="0"/>
                                  <w:marTop w:val="0"/>
                                  <w:marBottom w:val="0"/>
                                  <w:divBdr>
                                    <w:top w:val="none" w:sz="0" w:space="0" w:color="auto"/>
                                    <w:left w:val="none" w:sz="0" w:space="0" w:color="auto"/>
                                    <w:bottom w:val="none" w:sz="0" w:space="0" w:color="auto"/>
                                    <w:right w:val="none" w:sz="0" w:space="0" w:color="auto"/>
                                  </w:divBdr>
                                  <w:divsChild>
                                    <w:div w:id="1844589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6078407">
                      <w:marLeft w:val="0"/>
                      <w:marRight w:val="0"/>
                      <w:marTop w:val="0"/>
                      <w:marBottom w:val="0"/>
                      <w:divBdr>
                        <w:top w:val="none" w:sz="0" w:space="0" w:color="auto"/>
                        <w:left w:val="none" w:sz="0" w:space="0" w:color="auto"/>
                        <w:bottom w:val="none" w:sz="0" w:space="0" w:color="auto"/>
                        <w:right w:val="none" w:sz="0" w:space="0" w:color="auto"/>
                      </w:divBdr>
                    </w:div>
                    <w:div w:id="545605097">
                      <w:marLeft w:val="0"/>
                      <w:marRight w:val="0"/>
                      <w:marTop w:val="120"/>
                      <w:marBottom w:val="0"/>
                      <w:divBdr>
                        <w:top w:val="none" w:sz="0" w:space="0" w:color="auto"/>
                        <w:left w:val="none" w:sz="0" w:space="0" w:color="auto"/>
                        <w:bottom w:val="none" w:sz="0" w:space="0" w:color="auto"/>
                        <w:right w:val="none" w:sz="0" w:space="0" w:color="auto"/>
                      </w:divBdr>
                      <w:divsChild>
                        <w:div w:id="92213203">
                          <w:marLeft w:val="0"/>
                          <w:marRight w:val="0"/>
                          <w:marTop w:val="0"/>
                          <w:marBottom w:val="0"/>
                          <w:divBdr>
                            <w:top w:val="none" w:sz="0" w:space="0" w:color="auto"/>
                            <w:left w:val="none" w:sz="0" w:space="0" w:color="auto"/>
                            <w:bottom w:val="none" w:sz="0" w:space="0" w:color="auto"/>
                            <w:right w:val="none" w:sz="0" w:space="0" w:color="auto"/>
                          </w:divBdr>
                          <w:divsChild>
                            <w:div w:id="599220721">
                              <w:marLeft w:val="60"/>
                              <w:marRight w:val="60"/>
                              <w:marTop w:val="60"/>
                              <w:marBottom w:val="60"/>
                              <w:divBdr>
                                <w:top w:val="none" w:sz="0" w:space="0" w:color="auto"/>
                                <w:left w:val="none" w:sz="0" w:space="0" w:color="auto"/>
                                <w:bottom w:val="none" w:sz="0" w:space="0" w:color="auto"/>
                                <w:right w:val="none" w:sz="0" w:space="0" w:color="auto"/>
                              </w:divBdr>
                              <w:divsChild>
                                <w:div w:id="1564172669">
                                  <w:marLeft w:val="0"/>
                                  <w:marRight w:val="0"/>
                                  <w:marTop w:val="0"/>
                                  <w:marBottom w:val="0"/>
                                  <w:divBdr>
                                    <w:top w:val="single" w:sz="6" w:space="0" w:color="DADCE0"/>
                                    <w:left w:val="single" w:sz="6" w:space="0" w:color="DADCE0"/>
                                    <w:bottom w:val="single" w:sz="6" w:space="0" w:color="DADCE0"/>
                                    <w:right w:val="single" w:sz="6" w:space="0" w:color="DADCE0"/>
                                  </w:divBdr>
                                  <w:divsChild>
                                    <w:div w:id="968166096">
                                      <w:marLeft w:val="0"/>
                                      <w:marRight w:val="0"/>
                                      <w:marTop w:val="0"/>
                                      <w:marBottom w:val="0"/>
                                      <w:divBdr>
                                        <w:top w:val="none" w:sz="0" w:space="0" w:color="auto"/>
                                        <w:left w:val="none" w:sz="0" w:space="0" w:color="auto"/>
                                        <w:bottom w:val="none" w:sz="0" w:space="0" w:color="auto"/>
                                        <w:right w:val="none" w:sz="0" w:space="0" w:color="auto"/>
                                      </w:divBdr>
                                    </w:div>
                                    <w:div w:id="1771075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0486890">
                              <w:marLeft w:val="60"/>
                              <w:marRight w:val="60"/>
                              <w:marTop w:val="60"/>
                              <w:marBottom w:val="60"/>
                              <w:divBdr>
                                <w:top w:val="none" w:sz="0" w:space="0" w:color="auto"/>
                                <w:left w:val="none" w:sz="0" w:space="0" w:color="auto"/>
                                <w:bottom w:val="none" w:sz="0" w:space="0" w:color="auto"/>
                                <w:right w:val="none" w:sz="0" w:space="0" w:color="auto"/>
                              </w:divBdr>
                              <w:divsChild>
                                <w:div w:id="1991131803">
                                  <w:marLeft w:val="0"/>
                                  <w:marRight w:val="0"/>
                                  <w:marTop w:val="0"/>
                                  <w:marBottom w:val="0"/>
                                  <w:divBdr>
                                    <w:top w:val="single" w:sz="6" w:space="0" w:color="DADCE0"/>
                                    <w:left w:val="single" w:sz="6" w:space="0" w:color="DADCE0"/>
                                    <w:bottom w:val="single" w:sz="6" w:space="0" w:color="DADCE0"/>
                                    <w:right w:val="single" w:sz="6" w:space="0" w:color="DADCE0"/>
                                  </w:divBdr>
                                </w:div>
                              </w:divsChild>
                            </w:div>
                            <w:div w:id="1578514558">
                              <w:marLeft w:val="60"/>
                              <w:marRight w:val="60"/>
                              <w:marTop w:val="60"/>
                              <w:marBottom w:val="60"/>
                              <w:divBdr>
                                <w:top w:val="none" w:sz="0" w:space="0" w:color="auto"/>
                                <w:left w:val="none" w:sz="0" w:space="0" w:color="auto"/>
                                <w:bottom w:val="none" w:sz="0" w:space="0" w:color="auto"/>
                                <w:right w:val="none" w:sz="0" w:space="0" w:color="auto"/>
                              </w:divBdr>
                              <w:divsChild>
                                <w:div w:id="932396542">
                                  <w:marLeft w:val="0"/>
                                  <w:marRight w:val="0"/>
                                  <w:marTop w:val="0"/>
                                  <w:marBottom w:val="0"/>
                                  <w:divBdr>
                                    <w:top w:val="single" w:sz="6" w:space="0" w:color="DADCE0"/>
                                    <w:left w:val="single" w:sz="6" w:space="0" w:color="DADCE0"/>
                                    <w:bottom w:val="single" w:sz="6" w:space="0" w:color="DADCE0"/>
                                    <w:right w:val="single" w:sz="6" w:space="0" w:color="DADCE0"/>
                                  </w:divBdr>
                                </w:div>
                              </w:divsChild>
                            </w:div>
                            <w:div w:id="1580477406">
                              <w:marLeft w:val="60"/>
                              <w:marRight w:val="60"/>
                              <w:marTop w:val="60"/>
                              <w:marBottom w:val="60"/>
                              <w:divBdr>
                                <w:top w:val="none" w:sz="0" w:space="0" w:color="auto"/>
                                <w:left w:val="none" w:sz="0" w:space="0" w:color="auto"/>
                                <w:bottom w:val="none" w:sz="0" w:space="0" w:color="auto"/>
                                <w:right w:val="none" w:sz="0" w:space="0" w:color="auto"/>
                              </w:divBdr>
                              <w:divsChild>
                                <w:div w:id="1114641699">
                                  <w:marLeft w:val="0"/>
                                  <w:marRight w:val="0"/>
                                  <w:marTop w:val="0"/>
                                  <w:marBottom w:val="0"/>
                                  <w:divBdr>
                                    <w:top w:val="single" w:sz="6" w:space="0" w:color="DADCE0"/>
                                    <w:left w:val="single" w:sz="6" w:space="0" w:color="DADCE0"/>
                                    <w:bottom w:val="single" w:sz="6" w:space="0" w:color="DADCE0"/>
                                    <w:right w:val="single" w:sz="6" w:space="0" w:color="DADCE0"/>
                                  </w:divBdr>
                                </w:div>
                              </w:divsChild>
                            </w:div>
                            <w:div w:id="133186671">
                              <w:marLeft w:val="60"/>
                              <w:marRight w:val="60"/>
                              <w:marTop w:val="60"/>
                              <w:marBottom w:val="60"/>
                              <w:divBdr>
                                <w:top w:val="none" w:sz="0" w:space="0" w:color="auto"/>
                                <w:left w:val="none" w:sz="0" w:space="0" w:color="auto"/>
                                <w:bottom w:val="none" w:sz="0" w:space="0" w:color="auto"/>
                                <w:right w:val="none" w:sz="0" w:space="0" w:color="auto"/>
                              </w:divBdr>
                              <w:divsChild>
                                <w:div w:id="157886597">
                                  <w:marLeft w:val="0"/>
                                  <w:marRight w:val="0"/>
                                  <w:marTop w:val="0"/>
                                  <w:marBottom w:val="0"/>
                                  <w:divBdr>
                                    <w:top w:val="single" w:sz="6" w:space="0" w:color="DADCE0"/>
                                    <w:left w:val="single" w:sz="6" w:space="0" w:color="DADCE0"/>
                                    <w:bottom w:val="single" w:sz="6" w:space="0" w:color="DADCE0"/>
                                    <w:right w:val="single" w:sz="6" w:space="0" w:color="DADCE0"/>
                                  </w:divBdr>
                                </w:div>
                              </w:divsChild>
                            </w:div>
                            <w:div w:id="1315450838">
                              <w:marLeft w:val="60"/>
                              <w:marRight w:val="60"/>
                              <w:marTop w:val="60"/>
                              <w:marBottom w:val="60"/>
                              <w:divBdr>
                                <w:top w:val="none" w:sz="0" w:space="0" w:color="auto"/>
                                <w:left w:val="none" w:sz="0" w:space="0" w:color="auto"/>
                                <w:bottom w:val="none" w:sz="0" w:space="0" w:color="auto"/>
                                <w:right w:val="none" w:sz="0" w:space="0" w:color="auto"/>
                              </w:divBdr>
                              <w:divsChild>
                                <w:div w:id="93863782">
                                  <w:marLeft w:val="0"/>
                                  <w:marRight w:val="0"/>
                                  <w:marTop w:val="0"/>
                                  <w:marBottom w:val="0"/>
                                  <w:divBdr>
                                    <w:top w:val="single" w:sz="6" w:space="0" w:color="DADCE0"/>
                                    <w:left w:val="single" w:sz="6" w:space="0" w:color="DADCE0"/>
                                    <w:bottom w:val="single" w:sz="6" w:space="0" w:color="DADCE0"/>
                                    <w:right w:val="single" w:sz="6" w:space="0" w:color="DADCE0"/>
                                  </w:divBdr>
                                </w:div>
                              </w:divsChild>
                            </w:div>
                            <w:div w:id="45493885">
                              <w:marLeft w:val="60"/>
                              <w:marRight w:val="60"/>
                              <w:marTop w:val="60"/>
                              <w:marBottom w:val="60"/>
                              <w:divBdr>
                                <w:top w:val="none" w:sz="0" w:space="0" w:color="auto"/>
                                <w:left w:val="none" w:sz="0" w:space="0" w:color="auto"/>
                                <w:bottom w:val="none" w:sz="0" w:space="0" w:color="auto"/>
                                <w:right w:val="none" w:sz="0" w:space="0" w:color="auto"/>
                              </w:divBdr>
                              <w:divsChild>
                                <w:div w:id="753547498">
                                  <w:marLeft w:val="0"/>
                                  <w:marRight w:val="0"/>
                                  <w:marTop w:val="0"/>
                                  <w:marBottom w:val="0"/>
                                  <w:divBdr>
                                    <w:top w:val="single" w:sz="6" w:space="0" w:color="DADCE0"/>
                                    <w:left w:val="single" w:sz="6" w:space="0" w:color="DADCE0"/>
                                    <w:bottom w:val="single" w:sz="6" w:space="0" w:color="DADCE0"/>
                                    <w:right w:val="single" w:sz="6" w:space="0" w:color="DADCE0"/>
                                  </w:divBdr>
                                </w:div>
                              </w:divsChild>
                            </w:div>
                            <w:div w:id="755129097">
                              <w:marLeft w:val="60"/>
                              <w:marRight w:val="60"/>
                              <w:marTop w:val="60"/>
                              <w:marBottom w:val="60"/>
                              <w:divBdr>
                                <w:top w:val="none" w:sz="0" w:space="0" w:color="auto"/>
                                <w:left w:val="none" w:sz="0" w:space="0" w:color="auto"/>
                                <w:bottom w:val="none" w:sz="0" w:space="0" w:color="auto"/>
                                <w:right w:val="none" w:sz="0" w:space="0" w:color="auto"/>
                              </w:divBdr>
                              <w:divsChild>
                                <w:div w:id="425924998">
                                  <w:marLeft w:val="0"/>
                                  <w:marRight w:val="0"/>
                                  <w:marTop w:val="0"/>
                                  <w:marBottom w:val="0"/>
                                  <w:divBdr>
                                    <w:top w:val="single" w:sz="6" w:space="0" w:color="DADCE0"/>
                                    <w:left w:val="single" w:sz="6" w:space="0" w:color="DADCE0"/>
                                    <w:bottom w:val="single" w:sz="6" w:space="0" w:color="DADCE0"/>
                                    <w:right w:val="single" w:sz="6" w:space="0" w:color="DADCE0"/>
                                  </w:divBdr>
                                </w:div>
                              </w:divsChild>
                            </w:div>
                            <w:div w:id="1369648881">
                              <w:marLeft w:val="60"/>
                              <w:marRight w:val="60"/>
                              <w:marTop w:val="60"/>
                              <w:marBottom w:val="60"/>
                              <w:divBdr>
                                <w:top w:val="none" w:sz="0" w:space="0" w:color="auto"/>
                                <w:left w:val="none" w:sz="0" w:space="0" w:color="auto"/>
                                <w:bottom w:val="none" w:sz="0" w:space="0" w:color="auto"/>
                                <w:right w:val="none" w:sz="0" w:space="0" w:color="auto"/>
                              </w:divBdr>
                              <w:divsChild>
                                <w:div w:id="152915735">
                                  <w:marLeft w:val="0"/>
                                  <w:marRight w:val="0"/>
                                  <w:marTop w:val="0"/>
                                  <w:marBottom w:val="0"/>
                                  <w:divBdr>
                                    <w:top w:val="single" w:sz="6" w:space="0" w:color="DADCE0"/>
                                    <w:left w:val="single" w:sz="6" w:space="0" w:color="DADCE0"/>
                                    <w:bottom w:val="single" w:sz="6" w:space="0" w:color="DADCE0"/>
                                    <w:right w:val="single" w:sz="6" w:space="0" w:color="DADCE0"/>
                                  </w:divBdr>
                                </w:div>
                              </w:divsChild>
                            </w:div>
                            <w:div w:id="898899839">
                              <w:marLeft w:val="60"/>
                              <w:marRight w:val="60"/>
                              <w:marTop w:val="60"/>
                              <w:marBottom w:val="60"/>
                              <w:divBdr>
                                <w:top w:val="none" w:sz="0" w:space="0" w:color="auto"/>
                                <w:left w:val="none" w:sz="0" w:space="0" w:color="auto"/>
                                <w:bottom w:val="none" w:sz="0" w:space="0" w:color="auto"/>
                                <w:right w:val="none" w:sz="0" w:space="0" w:color="auto"/>
                              </w:divBdr>
                              <w:divsChild>
                                <w:div w:id="1792896653">
                                  <w:marLeft w:val="0"/>
                                  <w:marRight w:val="0"/>
                                  <w:marTop w:val="0"/>
                                  <w:marBottom w:val="0"/>
                                  <w:divBdr>
                                    <w:top w:val="single" w:sz="6" w:space="0" w:color="DADCE0"/>
                                    <w:left w:val="single" w:sz="6" w:space="0" w:color="DADCE0"/>
                                    <w:bottom w:val="single" w:sz="6" w:space="0" w:color="DADCE0"/>
                                    <w:right w:val="single" w:sz="6" w:space="0" w:color="DADCE0"/>
                                  </w:divBdr>
                                </w:div>
                              </w:divsChild>
                            </w:div>
                            <w:div w:id="1727530141">
                              <w:marLeft w:val="60"/>
                              <w:marRight w:val="60"/>
                              <w:marTop w:val="60"/>
                              <w:marBottom w:val="60"/>
                              <w:divBdr>
                                <w:top w:val="none" w:sz="0" w:space="0" w:color="auto"/>
                                <w:left w:val="none" w:sz="0" w:space="0" w:color="auto"/>
                                <w:bottom w:val="none" w:sz="0" w:space="0" w:color="auto"/>
                                <w:right w:val="none" w:sz="0" w:space="0" w:color="auto"/>
                              </w:divBdr>
                              <w:divsChild>
                                <w:div w:id="1679428468">
                                  <w:marLeft w:val="0"/>
                                  <w:marRight w:val="0"/>
                                  <w:marTop w:val="0"/>
                                  <w:marBottom w:val="0"/>
                                  <w:divBdr>
                                    <w:top w:val="single" w:sz="6" w:space="0" w:color="DADCE0"/>
                                    <w:left w:val="single" w:sz="6" w:space="0" w:color="DADCE0"/>
                                    <w:bottom w:val="single" w:sz="6" w:space="0" w:color="DADCE0"/>
                                    <w:right w:val="single" w:sz="6" w:space="0" w:color="DADCE0"/>
                                  </w:divBdr>
                                </w:div>
                              </w:divsChild>
                            </w:div>
                            <w:div w:id="427506233">
                              <w:marLeft w:val="60"/>
                              <w:marRight w:val="60"/>
                              <w:marTop w:val="60"/>
                              <w:marBottom w:val="60"/>
                              <w:divBdr>
                                <w:top w:val="none" w:sz="0" w:space="0" w:color="auto"/>
                                <w:left w:val="none" w:sz="0" w:space="0" w:color="auto"/>
                                <w:bottom w:val="none" w:sz="0" w:space="0" w:color="auto"/>
                                <w:right w:val="none" w:sz="0" w:space="0" w:color="auto"/>
                              </w:divBdr>
                              <w:divsChild>
                                <w:div w:id="1935436685">
                                  <w:marLeft w:val="0"/>
                                  <w:marRight w:val="0"/>
                                  <w:marTop w:val="0"/>
                                  <w:marBottom w:val="0"/>
                                  <w:divBdr>
                                    <w:top w:val="single" w:sz="6" w:space="0" w:color="DADCE0"/>
                                    <w:left w:val="single" w:sz="6" w:space="0" w:color="DADCE0"/>
                                    <w:bottom w:val="single" w:sz="6" w:space="0" w:color="DADCE0"/>
                                    <w:right w:val="single" w:sz="6" w:space="0" w:color="DADCE0"/>
                                  </w:divBdr>
                                </w:div>
                              </w:divsChild>
                            </w:div>
                            <w:div w:id="1946959281">
                              <w:marLeft w:val="60"/>
                              <w:marRight w:val="60"/>
                              <w:marTop w:val="60"/>
                              <w:marBottom w:val="60"/>
                              <w:divBdr>
                                <w:top w:val="none" w:sz="0" w:space="0" w:color="auto"/>
                                <w:left w:val="none" w:sz="0" w:space="0" w:color="auto"/>
                                <w:bottom w:val="none" w:sz="0" w:space="0" w:color="auto"/>
                                <w:right w:val="none" w:sz="0" w:space="0" w:color="auto"/>
                              </w:divBdr>
                              <w:divsChild>
                                <w:div w:id="1165978237">
                                  <w:marLeft w:val="0"/>
                                  <w:marRight w:val="0"/>
                                  <w:marTop w:val="0"/>
                                  <w:marBottom w:val="0"/>
                                  <w:divBdr>
                                    <w:top w:val="single" w:sz="6" w:space="0" w:color="DADCE0"/>
                                    <w:left w:val="single" w:sz="6" w:space="0" w:color="DADCE0"/>
                                    <w:bottom w:val="single" w:sz="6" w:space="0" w:color="DADCE0"/>
                                    <w:right w:val="single" w:sz="6" w:space="0" w:color="DADCE0"/>
                                  </w:divBdr>
                                </w:div>
                              </w:divsChild>
                            </w:div>
                            <w:div w:id="1851021900">
                              <w:marLeft w:val="60"/>
                              <w:marRight w:val="60"/>
                              <w:marTop w:val="60"/>
                              <w:marBottom w:val="60"/>
                              <w:divBdr>
                                <w:top w:val="none" w:sz="0" w:space="0" w:color="auto"/>
                                <w:left w:val="none" w:sz="0" w:space="0" w:color="auto"/>
                                <w:bottom w:val="none" w:sz="0" w:space="0" w:color="auto"/>
                                <w:right w:val="none" w:sz="0" w:space="0" w:color="auto"/>
                              </w:divBdr>
                              <w:divsChild>
                                <w:div w:id="1245264850">
                                  <w:marLeft w:val="0"/>
                                  <w:marRight w:val="0"/>
                                  <w:marTop w:val="0"/>
                                  <w:marBottom w:val="0"/>
                                  <w:divBdr>
                                    <w:top w:val="single" w:sz="6" w:space="0" w:color="DADCE0"/>
                                    <w:left w:val="single" w:sz="6" w:space="0" w:color="DADCE0"/>
                                    <w:bottom w:val="single" w:sz="6" w:space="0" w:color="DADCE0"/>
                                    <w:right w:val="single" w:sz="6" w:space="0" w:color="DADCE0"/>
                                  </w:divBdr>
                                </w:div>
                              </w:divsChild>
                            </w:div>
                            <w:div w:id="988510738">
                              <w:marLeft w:val="60"/>
                              <w:marRight w:val="60"/>
                              <w:marTop w:val="60"/>
                              <w:marBottom w:val="60"/>
                              <w:divBdr>
                                <w:top w:val="none" w:sz="0" w:space="0" w:color="auto"/>
                                <w:left w:val="none" w:sz="0" w:space="0" w:color="auto"/>
                                <w:bottom w:val="none" w:sz="0" w:space="0" w:color="auto"/>
                                <w:right w:val="none" w:sz="0" w:space="0" w:color="auto"/>
                              </w:divBdr>
                              <w:divsChild>
                                <w:div w:id="1469858368">
                                  <w:marLeft w:val="0"/>
                                  <w:marRight w:val="0"/>
                                  <w:marTop w:val="0"/>
                                  <w:marBottom w:val="0"/>
                                  <w:divBdr>
                                    <w:top w:val="single" w:sz="6" w:space="0" w:color="DADCE0"/>
                                    <w:left w:val="single" w:sz="6" w:space="0" w:color="DADCE0"/>
                                    <w:bottom w:val="single" w:sz="6" w:space="0" w:color="DADCE0"/>
                                    <w:right w:val="single" w:sz="6" w:space="0" w:color="DADCE0"/>
                                  </w:divBdr>
                                </w:div>
                              </w:divsChild>
                            </w:div>
                            <w:div w:id="1968076493">
                              <w:marLeft w:val="60"/>
                              <w:marRight w:val="60"/>
                              <w:marTop w:val="60"/>
                              <w:marBottom w:val="60"/>
                              <w:divBdr>
                                <w:top w:val="none" w:sz="0" w:space="0" w:color="auto"/>
                                <w:left w:val="none" w:sz="0" w:space="0" w:color="auto"/>
                                <w:bottom w:val="none" w:sz="0" w:space="0" w:color="auto"/>
                                <w:right w:val="none" w:sz="0" w:space="0" w:color="auto"/>
                              </w:divBdr>
                              <w:divsChild>
                                <w:div w:id="828860803">
                                  <w:marLeft w:val="0"/>
                                  <w:marRight w:val="0"/>
                                  <w:marTop w:val="0"/>
                                  <w:marBottom w:val="0"/>
                                  <w:divBdr>
                                    <w:top w:val="single" w:sz="6" w:space="0" w:color="DADCE0"/>
                                    <w:left w:val="single" w:sz="6" w:space="0" w:color="DADCE0"/>
                                    <w:bottom w:val="single" w:sz="6" w:space="0" w:color="DADCE0"/>
                                    <w:right w:val="single" w:sz="6" w:space="0" w:color="DADCE0"/>
                                  </w:divBdr>
                                </w:div>
                              </w:divsChild>
                            </w:div>
                            <w:div w:id="1673025212">
                              <w:marLeft w:val="60"/>
                              <w:marRight w:val="60"/>
                              <w:marTop w:val="60"/>
                              <w:marBottom w:val="60"/>
                              <w:divBdr>
                                <w:top w:val="none" w:sz="0" w:space="0" w:color="auto"/>
                                <w:left w:val="none" w:sz="0" w:space="0" w:color="auto"/>
                                <w:bottom w:val="none" w:sz="0" w:space="0" w:color="auto"/>
                                <w:right w:val="none" w:sz="0" w:space="0" w:color="auto"/>
                              </w:divBdr>
                              <w:divsChild>
                                <w:div w:id="1100636269">
                                  <w:marLeft w:val="0"/>
                                  <w:marRight w:val="0"/>
                                  <w:marTop w:val="0"/>
                                  <w:marBottom w:val="0"/>
                                  <w:divBdr>
                                    <w:top w:val="single" w:sz="6" w:space="0" w:color="DADCE0"/>
                                    <w:left w:val="single" w:sz="6" w:space="0" w:color="DADCE0"/>
                                    <w:bottom w:val="single" w:sz="6" w:space="0" w:color="DADCE0"/>
                                    <w:right w:val="single" w:sz="6" w:space="0" w:color="DADCE0"/>
                                  </w:divBdr>
                                </w:div>
                              </w:divsChild>
                            </w:div>
                            <w:div w:id="1406804510">
                              <w:marLeft w:val="60"/>
                              <w:marRight w:val="60"/>
                              <w:marTop w:val="60"/>
                              <w:marBottom w:val="60"/>
                              <w:divBdr>
                                <w:top w:val="none" w:sz="0" w:space="0" w:color="auto"/>
                                <w:left w:val="none" w:sz="0" w:space="0" w:color="auto"/>
                                <w:bottom w:val="none" w:sz="0" w:space="0" w:color="auto"/>
                                <w:right w:val="none" w:sz="0" w:space="0" w:color="auto"/>
                              </w:divBdr>
                              <w:divsChild>
                                <w:div w:id="209655024">
                                  <w:marLeft w:val="0"/>
                                  <w:marRight w:val="0"/>
                                  <w:marTop w:val="0"/>
                                  <w:marBottom w:val="0"/>
                                  <w:divBdr>
                                    <w:top w:val="single" w:sz="6" w:space="0" w:color="DADCE0"/>
                                    <w:left w:val="single" w:sz="6" w:space="0" w:color="DADCE0"/>
                                    <w:bottom w:val="single" w:sz="6" w:space="0" w:color="DADCE0"/>
                                    <w:right w:val="single" w:sz="6" w:space="0" w:color="DADCE0"/>
                                  </w:divBdr>
                                </w:div>
                              </w:divsChild>
                            </w:div>
                            <w:div w:id="1272014993">
                              <w:marLeft w:val="60"/>
                              <w:marRight w:val="60"/>
                              <w:marTop w:val="60"/>
                              <w:marBottom w:val="60"/>
                              <w:divBdr>
                                <w:top w:val="none" w:sz="0" w:space="0" w:color="auto"/>
                                <w:left w:val="none" w:sz="0" w:space="0" w:color="auto"/>
                                <w:bottom w:val="none" w:sz="0" w:space="0" w:color="auto"/>
                                <w:right w:val="none" w:sz="0" w:space="0" w:color="auto"/>
                              </w:divBdr>
                              <w:divsChild>
                                <w:div w:id="1586376239">
                                  <w:marLeft w:val="0"/>
                                  <w:marRight w:val="0"/>
                                  <w:marTop w:val="0"/>
                                  <w:marBottom w:val="0"/>
                                  <w:divBdr>
                                    <w:top w:val="single" w:sz="6" w:space="0" w:color="F1F3F4"/>
                                    <w:left w:val="single" w:sz="6" w:space="0" w:color="F1F3F4"/>
                                    <w:bottom w:val="single" w:sz="6" w:space="0" w:color="F1F3F4"/>
                                    <w:right w:val="single" w:sz="6" w:space="0" w:color="F1F3F4"/>
                                  </w:divBdr>
                                </w:div>
                              </w:divsChild>
                            </w:div>
                            <w:div w:id="432362430">
                              <w:marLeft w:val="60"/>
                              <w:marRight w:val="60"/>
                              <w:marTop w:val="60"/>
                              <w:marBottom w:val="60"/>
                              <w:divBdr>
                                <w:top w:val="none" w:sz="0" w:space="0" w:color="auto"/>
                                <w:left w:val="none" w:sz="0" w:space="0" w:color="auto"/>
                                <w:bottom w:val="none" w:sz="0" w:space="0" w:color="auto"/>
                                <w:right w:val="none" w:sz="0" w:space="0" w:color="auto"/>
                              </w:divBdr>
                              <w:divsChild>
                                <w:div w:id="525948418">
                                  <w:marLeft w:val="0"/>
                                  <w:marRight w:val="0"/>
                                  <w:marTop w:val="0"/>
                                  <w:marBottom w:val="0"/>
                                  <w:divBdr>
                                    <w:top w:val="single" w:sz="6" w:space="0" w:color="F1F3F4"/>
                                    <w:left w:val="single" w:sz="6" w:space="0" w:color="F1F3F4"/>
                                    <w:bottom w:val="single" w:sz="6" w:space="0" w:color="F1F3F4"/>
                                    <w:right w:val="single" w:sz="6" w:space="0" w:color="F1F3F4"/>
                                  </w:divBdr>
                                </w:div>
                              </w:divsChild>
                            </w:div>
                            <w:div w:id="227882275">
                              <w:marLeft w:val="60"/>
                              <w:marRight w:val="60"/>
                              <w:marTop w:val="60"/>
                              <w:marBottom w:val="60"/>
                              <w:divBdr>
                                <w:top w:val="none" w:sz="0" w:space="0" w:color="auto"/>
                                <w:left w:val="none" w:sz="0" w:space="0" w:color="auto"/>
                                <w:bottom w:val="none" w:sz="0" w:space="0" w:color="auto"/>
                                <w:right w:val="none" w:sz="0" w:space="0" w:color="auto"/>
                              </w:divBdr>
                              <w:divsChild>
                                <w:div w:id="1372076266">
                                  <w:marLeft w:val="0"/>
                                  <w:marRight w:val="0"/>
                                  <w:marTop w:val="0"/>
                                  <w:marBottom w:val="0"/>
                                  <w:divBdr>
                                    <w:top w:val="single" w:sz="6" w:space="0" w:color="F1F3F4"/>
                                    <w:left w:val="single" w:sz="6" w:space="0" w:color="F1F3F4"/>
                                    <w:bottom w:val="single" w:sz="6" w:space="0" w:color="F1F3F4"/>
                                    <w:right w:val="single" w:sz="6" w:space="0" w:color="F1F3F4"/>
                                  </w:divBdr>
                                </w:div>
                              </w:divsChild>
                            </w:div>
                            <w:div w:id="31276047">
                              <w:marLeft w:val="60"/>
                              <w:marRight w:val="60"/>
                              <w:marTop w:val="60"/>
                              <w:marBottom w:val="60"/>
                              <w:divBdr>
                                <w:top w:val="none" w:sz="0" w:space="0" w:color="auto"/>
                                <w:left w:val="none" w:sz="0" w:space="0" w:color="auto"/>
                                <w:bottom w:val="none" w:sz="0" w:space="0" w:color="auto"/>
                                <w:right w:val="none" w:sz="0" w:space="0" w:color="auto"/>
                              </w:divBdr>
                              <w:divsChild>
                                <w:div w:id="563831501">
                                  <w:marLeft w:val="0"/>
                                  <w:marRight w:val="0"/>
                                  <w:marTop w:val="0"/>
                                  <w:marBottom w:val="0"/>
                                  <w:divBdr>
                                    <w:top w:val="single" w:sz="6" w:space="0" w:color="DADCE0"/>
                                    <w:left w:val="single" w:sz="6" w:space="0" w:color="DADCE0"/>
                                    <w:bottom w:val="single" w:sz="6" w:space="0" w:color="DADCE0"/>
                                    <w:right w:val="single" w:sz="6" w:space="0" w:color="DADCE0"/>
                                  </w:divBdr>
                                </w:div>
                              </w:divsChild>
                            </w:div>
                            <w:div w:id="707801482">
                              <w:marLeft w:val="60"/>
                              <w:marRight w:val="60"/>
                              <w:marTop w:val="60"/>
                              <w:marBottom w:val="60"/>
                              <w:divBdr>
                                <w:top w:val="none" w:sz="0" w:space="0" w:color="auto"/>
                                <w:left w:val="none" w:sz="0" w:space="0" w:color="auto"/>
                                <w:bottom w:val="none" w:sz="0" w:space="0" w:color="auto"/>
                                <w:right w:val="none" w:sz="0" w:space="0" w:color="auto"/>
                              </w:divBdr>
                              <w:divsChild>
                                <w:div w:id="828059412">
                                  <w:marLeft w:val="0"/>
                                  <w:marRight w:val="0"/>
                                  <w:marTop w:val="0"/>
                                  <w:marBottom w:val="0"/>
                                  <w:divBdr>
                                    <w:top w:val="single" w:sz="6" w:space="0" w:color="F1F3F4"/>
                                    <w:left w:val="single" w:sz="6" w:space="0" w:color="F1F3F4"/>
                                    <w:bottom w:val="single" w:sz="6" w:space="0" w:color="F1F3F4"/>
                                    <w:right w:val="single" w:sz="6" w:space="0" w:color="F1F3F4"/>
                                  </w:divBdr>
                                </w:div>
                              </w:divsChild>
                            </w:div>
                            <w:div w:id="495150621">
                              <w:marLeft w:val="60"/>
                              <w:marRight w:val="60"/>
                              <w:marTop w:val="60"/>
                              <w:marBottom w:val="60"/>
                              <w:divBdr>
                                <w:top w:val="none" w:sz="0" w:space="0" w:color="auto"/>
                                <w:left w:val="none" w:sz="0" w:space="0" w:color="auto"/>
                                <w:bottom w:val="none" w:sz="0" w:space="0" w:color="auto"/>
                                <w:right w:val="none" w:sz="0" w:space="0" w:color="auto"/>
                              </w:divBdr>
                              <w:divsChild>
                                <w:div w:id="248734070">
                                  <w:marLeft w:val="0"/>
                                  <w:marRight w:val="0"/>
                                  <w:marTop w:val="0"/>
                                  <w:marBottom w:val="0"/>
                                  <w:divBdr>
                                    <w:top w:val="single" w:sz="6" w:space="0" w:color="F1F3F4"/>
                                    <w:left w:val="single" w:sz="6" w:space="0" w:color="F1F3F4"/>
                                    <w:bottom w:val="single" w:sz="6" w:space="0" w:color="F1F3F4"/>
                                    <w:right w:val="single" w:sz="6" w:space="0" w:color="F1F3F4"/>
                                  </w:divBdr>
                                </w:div>
                              </w:divsChild>
                            </w:div>
                            <w:div w:id="1468283540">
                              <w:marLeft w:val="60"/>
                              <w:marRight w:val="60"/>
                              <w:marTop w:val="60"/>
                              <w:marBottom w:val="60"/>
                              <w:divBdr>
                                <w:top w:val="none" w:sz="0" w:space="0" w:color="auto"/>
                                <w:left w:val="none" w:sz="0" w:space="0" w:color="auto"/>
                                <w:bottom w:val="none" w:sz="0" w:space="0" w:color="auto"/>
                                <w:right w:val="none" w:sz="0" w:space="0" w:color="auto"/>
                              </w:divBdr>
                              <w:divsChild>
                                <w:div w:id="506018112">
                                  <w:marLeft w:val="0"/>
                                  <w:marRight w:val="0"/>
                                  <w:marTop w:val="0"/>
                                  <w:marBottom w:val="0"/>
                                  <w:divBdr>
                                    <w:top w:val="single" w:sz="6" w:space="0" w:color="F1F3F4"/>
                                    <w:left w:val="single" w:sz="6" w:space="0" w:color="F1F3F4"/>
                                    <w:bottom w:val="single" w:sz="6" w:space="0" w:color="F1F3F4"/>
                                    <w:right w:val="single" w:sz="6" w:space="0" w:color="F1F3F4"/>
                                  </w:divBdr>
                                </w:div>
                              </w:divsChild>
                            </w:div>
                            <w:div w:id="711610791">
                              <w:marLeft w:val="60"/>
                              <w:marRight w:val="60"/>
                              <w:marTop w:val="60"/>
                              <w:marBottom w:val="60"/>
                              <w:divBdr>
                                <w:top w:val="none" w:sz="0" w:space="0" w:color="auto"/>
                                <w:left w:val="none" w:sz="0" w:space="0" w:color="auto"/>
                                <w:bottom w:val="none" w:sz="0" w:space="0" w:color="auto"/>
                                <w:right w:val="none" w:sz="0" w:space="0" w:color="auto"/>
                              </w:divBdr>
                              <w:divsChild>
                                <w:div w:id="1449422687">
                                  <w:marLeft w:val="0"/>
                                  <w:marRight w:val="0"/>
                                  <w:marTop w:val="0"/>
                                  <w:marBottom w:val="0"/>
                                  <w:divBdr>
                                    <w:top w:val="single" w:sz="6" w:space="0" w:color="DADCE0"/>
                                    <w:left w:val="single" w:sz="6" w:space="0" w:color="DADCE0"/>
                                    <w:bottom w:val="single" w:sz="6" w:space="0" w:color="DADCE0"/>
                                    <w:right w:val="single" w:sz="6" w:space="0" w:color="DADCE0"/>
                                  </w:divBdr>
                                </w:div>
                              </w:divsChild>
                            </w:div>
                            <w:div w:id="1873108848">
                              <w:marLeft w:val="60"/>
                              <w:marRight w:val="60"/>
                              <w:marTop w:val="60"/>
                              <w:marBottom w:val="60"/>
                              <w:divBdr>
                                <w:top w:val="none" w:sz="0" w:space="0" w:color="auto"/>
                                <w:left w:val="none" w:sz="0" w:space="0" w:color="auto"/>
                                <w:bottom w:val="none" w:sz="0" w:space="0" w:color="auto"/>
                                <w:right w:val="none" w:sz="0" w:space="0" w:color="auto"/>
                              </w:divBdr>
                              <w:divsChild>
                                <w:div w:id="335039349">
                                  <w:marLeft w:val="0"/>
                                  <w:marRight w:val="0"/>
                                  <w:marTop w:val="0"/>
                                  <w:marBottom w:val="0"/>
                                  <w:divBdr>
                                    <w:top w:val="single" w:sz="6" w:space="0" w:color="F1F3F4"/>
                                    <w:left w:val="single" w:sz="6" w:space="0" w:color="F1F3F4"/>
                                    <w:bottom w:val="single" w:sz="6" w:space="0" w:color="F1F3F4"/>
                                    <w:right w:val="single" w:sz="6" w:space="0" w:color="F1F3F4"/>
                                  </w:divBdr>
                                </w:div>
                              </w:divsChild>
                            </w:div>
                            <w:div w:id="953052025">
                              <w:marLeft w:val="60"/>
                              <w:marRight w:val="60"/>
                              <w:marTop w:val="60"/>
                              <w:marBottom w:val="60"/>
                              <w:divBdr>
                                <w:top w:val="none" w:sz="0" w:space="0" w:color="auto"/>
                                <w:left w:val="none" w:sz="0" w:space="0" w:color="auto"/>
                                <w:bottom w:val="none" w:sz="0" w:space="0" w:color="auto"/>
                                <w:right w:val="none" w:sz="0" w:space="0" w:color="auto"/>
                              </w:divBdr>
                              <w:divsChild>
                                <w:div w:id="1680505746">
                                  <w:marLeft w:val="0"/>
                                  <w:marRight w:val="0"/>
                                  <w:marTop w:val="0"/>
                                  <w:marBottom w:val="0"/>
                                  <w:divBdr>
                                    <w:top w:val="single" w:sz="6" w:space="0" w:color="F1F3F4"/>
                                    <w:left w:val="single" w:sz="6" w:space="0" w:color="F1F3F4"/>
                                    <w:bottom w:val="single" w:sz="6" w:space="0" w:color="F1F3F4"/>
                                    <w:right w:val="single" w:sz="6" w:space="0" w:color="F1F3F4"/>
                                  </w:divBdr>
                                </w:div>
                              </w:divsChild>
                            </w:div>
                            <w:div w:id="747310686">
                              <w:marLeft w:val="60"/>
                              <w:marRight w:val="60"/>
                              <w:marTop w:val="60"/>
                              <w:marBottom w:val="60"/>
                              <w:divBdr>
                                <w:top w:val="none" w:sz="0" w:space="0" w:color="auto"/>
                                <w:left w:val="none" w:sz="0" w:space="0" w:color="auto"/>
                                <w:bottom w:val="none" w:sz="0" w:space="0" w:color="auto"/>
                                <w:right w:val="none" w:sz="0" w:space="0" w:color="auto"/>
                              </w:divBdr>
                              <w:divsChild>
                                <w:div w:id="786778205">
                                  <w:marLeft w:val="0"/>
                                  <w:marRight w:val="0"/>
                                  <w:marTop w:val="0"/>
                                  <w:marBottom w:val="0"/>
                                  <w:divBdr>
                                    <w:top w:val="single" w:sz="6" w:space="0" w:color="F1F3F4"/>
                                    <w:left w:val="single" w:sz="6" w:space="0" w:color="F1F3F4"/>
                                    <w:bottom w:val="single" w:sz="6" w:space="0" w:color="F1F3F4"/>
                                    <w:right w:val="single" w:sz="6" w:space="0" w:color="F1F3F4"/>
                                  </w:divBdr>
                                </w:div>
                              </w:divsChild>
                            </w:div>
                            <w:div w:id="378750534">
                              <w:marLeft w:val="60"/>
                              <w:marRight w:val="60"/>
                              <w:marTop w:val="60"/>
                              <w:marBottom w:val="60"/>
                              <w:divBdr>
                                <w:top w:val="none" w:sz="0" w:space="0" w:color="auto"/>
                                <w:left w:val="none" w:sz="0" w:space="0" w:color="auto"/>
                                <w:bottom w:val="none" w:sz="0" w:space="0" w:color="auto"/>
                                <w:right w:val="none" w:sz="0" w:space="0" w:color="auto"/>
                              </w:divBdr>
                              <w:divsChild>
                                <w:div w:id="711659899">
                                  <w:marLeft w:val="0"/>
                                  <w:marRight w:val="0"/>
                                  <w:marTop w:val="0"/>
                                  <w:marBottom w:val="0"/>
                                  <w:divBdr>
                                    <w:top w:val="single" w:sz="6" w:space="0" w:color="DADCE0"/>
                                    <w:left w:val="single" w:sz="6" w:space="0" w:color="DADCE0"/>
                                    <w:bottom w:val="single" w:sz="6" w:space="0" w:color="DADCE0"/>
                                    <w:right w:val="single" w:sz="6" w:space="0" w:color="DADCE0"/>
                                  </w:divBdr>
                                </w:div>
                              </w:divsChild>
                            </w:div>
                            <w:div w:id="432213852">
                              <w:marLeft w:val="60"/>
                              <w:marRight w:val="60"/>
                              <w:marTop w:val="60"/>
                              <w:marBottom w:val="60"/>
                              <w:divBdr>
                                <w:top w:val="none" w:sz="0" w:space="0" w:color="auto"/>
                                <w:left w:val="none" w:sz="0" w:space="0" w:color="auto"/>
                                <w:bottom w:val="none" w:sz="0" w:space="0" w:color="auto"/>
                                <w:right w:val="none" w:sz="0" w:space="0" w:color="auto"/>
                              </w:divBdr>
                              <w:divsChild>
                                <w:div w:id="208956584">
                                  <w:marLeft w:val="0"/>
                                  <w:marRight w:val="0"/>
                                  <w:marTop w:val="0"/>
                                  <w:marBottom w:val="0"/>
                                  <w:divBdr>
                                    <w:top w:val="single" w:sz="6" w:space="0" w:color="F1F3F4"/>
                                    <w:left w:val="single" w:sz="6" w:space="0" w:color="F1F3F4"/>
                                    <w:bottom w:val="single" w:sz="6" w:space="0" w:color="F1F3F4"/>
                                    <w:right w:val="single" w:sz="6" w:space="0" w:color="F1F3F4"/>
                                  </w:divBdr>
                                </w:div>
                              </w:divsChild>
                            </w:div>
                            <w:div w:id="930503685">
                              <w:marLeft w:val="60"/>
                              <w:marRight w:val="60"/>
                              <w:marTop w:val="60"/>
                              <w:marBottom w:val="60"/>
                              <w:divBdr>
                                <w:top w:val="none" w:sz="0" w:space="0" w:color="auto"/>
                                <w:left w:val="none" w:sz="0" w:space="0" w:color="auto"/>
                                <w:bottom w:val="none" w:sz="0" w:space="0" w:color="auto"/>
                                <w:right w:val="none" w:sz="0" w:space="0" w:color="auto"/>
                              </w:divBdr>
                              <w:divsChild>
                                <w:div w:id="974408777">
                                  <w:marLeft w:val="0"/>
                                  <w:marRight w:val="0"/>
                                  <w:marTop w:val="0"/>
                                  <w:marBottom w:val="0"/>
                                  <w:divBdr>
                                    <w:top w:val="single" w:sz="6" w:space="0" w:color="F1F3F4"/>
                                    <w:left w:val="single" w:sz="6" w:space="0" w:color="F1F3F4"/>
                                    <w:bottom w:val="single" w:sz="6" w:space="0" w:color="F1F3F4"/>
                                    <w:right w:val="single" w:sz="6" w:space="0" w:color="F1F3F4"/>
                                  </w:divBdr>
                                </w:div>
                              </w:divsChild>
                            </w:div>
                            <w:div w:id="997615746">
                              <w:marLeft w:val="60"/>
                              <w:marRight w:val="60"/>
                              <w:marTop w:val="60"/>
                              <w:marBottom w:val="60"/>
                              <w:divBdr>
                                <w:top w:val="none" w:sz="0" w:space="0" w:color="auto"/>
                                <w:left w:val="none" w:sz="0" w:space="0" w:color="auto"/>
                                <w:bottom w:val="none" w:sz="0" w:space="0" w:color="auto"/>
                                <w:right w:val="none" w:sz="0" w:space="0" w:color="auto"/>
                              </w:divBdr>
                              <w:divsChild>
                                <w:div w:id="1253005653">
                                  <w:marLeft w:val="0"/>
                                  <w:marRight w:val="0"/>
                                  <w:marTop w:val="0"/>
                                  <w:marBottom w:val="0"/>
                                  <w:divBdr>
                                    <w:top w:val="single" w:sz="6" w:space="0" w:color="4285F4"/>
                                    <w:left w:val="single" w:sz="6" w:space="0" w:color="4285F4"/>
                                    <w:bottom w:val="single" w:sz="6" w:space="0" w:color="4285F4"/>
                                    <w:right w:val="single" w:sz="6" w:space="0" w:color="4285F4"/>
                                  </w:divBdr>
                                </w:div>
                              </w:divsChild>
                            </w:div>
                            <w:div w:id="1743794953">
                              <w:marLeft w:val="60"/>
                              <w:marRight w:val="60"/>
                              <w:marTop w:val="60"/>
                              <w:marBottom w:val="60"/>
                              <w:divBdr>
                                <w:top w:val="none" w:sz="0" w:space="0" w:color="auto"/>
                                <w:left w:val="none" w:sz="0" w:space="0" w:color="auto"/>
                                <w:bottom w:val="none" w:sz="0" w:space="0" w:color="auto"/>
                                <w:right w:val="none" w:sz="0" w:space="0" w:color="auto"/>
                              </w:divBdr>
                              <w:divsChild>
                                <w:div w:id="1674451372">
                                  <w:marLeft w:val="0"/>
                                  <w:marRight w:val="0"/>
                                  <w:marTop w:val="0"/>
                                  <w:marBottom w:val="0"/>
                                  <w:divBdr>
                                    <w:top w:val="single" w:sz="6" w:space="0" w:color="DADCE0"/>
                                    <w:left w:val="single" w:sz="6" w:space="0" w:color="DADCE0"/>
                                    <w:bottom w:val="single" w:sz="6" w:space="0" w:color="DADCE0"/>
                                    <w:right w:val="single" w:sz="6" w:space="0" w:color="DADCE0"/>
                                  </w:divBdr>
                                </w:div>
                              </w:divsChild>
                            </w:div>
                          </w:divsChild>
                        </w:div>
                      </w:divsChild>
                    </w:div>
                  </w:divsChild>
                </w:div>
              </w:divsChild>
            </w:div>
          </w:divsChild>
        </w:div>
      </w:divsChild>
    </w:div>
    <w:div w:id="284045982">
      <w:bodyDiv w:val="1"/>
      <w:marLeft w:val="0"/>
      <w:marRight w:val="0"/>
      <w:marTop w:val="0"/>
      <w:marBottom w:val="0"/>
      <w:divBdr>
        <w:top w:val="none" w:sz="0" w:space="0" w:color="auto"/>
        <w:left w:val="none" w:sz="0" w:space="0" w:color="auto"/>
        <w:bottom w:val="none" w:sz="0" w:space="0" w:color="auto"/>
        <w:right w:val="none" w:sz="0" w:space="0" w:color="auto"/>
      </w:divBdr>
    </w:div>
    <w:div w:id="304433493">
      <w:bodyDiv w:val="1"/>
      <w:marLeft w:val="0"/>
      <w:marRight w:val="0"/>
      <w:marTop w:val="0"/>
      <w:marBottom w:val="0"/>
      <w:divBdr>
        <w:top w:val="none" w:sz="0" w:space="0" w:color="auto"/>
        <w:left w:val="none" w:sz="0" w:space="0" w:color="auto"/>
        <w:bottom w:val="none" w:sz="0" w:space="0" w:color="auto"/>
        <w:right w:val="none" w:sz="0" w:space="0" w:color="auto"/>
      </w:divBdr>
    </w:div>
    <w:div w:id="305745622">
      <w:bodyDiv w:val="1"/>
      <w:marLeft w:val="0"/>
      <w:marRight w:val="0"/>
      <w:marTop w:val="0"/>
      <w:marBottom w:val="0"/>
      <w:divBdr>
        <w:top w:val="none" w:sz="0" w:space="0" w:color="auto"/>
        <w:left w:val="none" w:sz="0" w:space="0" w:color="auto"/>
        <w:bottom w:val="none" w:sz="0" w:space="0" w:color="auto"/>
        <w:right w:val="none" w:sz="0" w:space="0" w:color="auto"/>
      </w:divBdr>
    </w:div>
    <w:div w:id="307327349">
      <w:bodyDiv w:val="1"/>
      <w:marLeft w:val="0"/>
      <w:marRight w:val="0"/>
      <w:marTop w:val="0"/>
      <w:marBottom w:val="0"/>
      <w:divBdr>
        <w:top w:val="none" w:sz="0" w:space="0" w:color="auto"/>
        <w:left w:val="none" w:sz="0" w:space="0" w:color="auto"/>
        <w:bottom w:val="none" w:sz="0" w:space="0" w:color="auto"/>
        <w:right w:val="none" w:sz="0" w:space="0" w:color="auto"/>
      </w:divBdr>
    </w:div>
    <w:div w:id="313339921">
      <w:bodyDiv w:val="1"/>
      <w:marLeft w:val="0"/>
      <w:marRight w:val="0"/>
      <w:marTop w:val="0"/>
      <w:marBottom w:val="0"/>
      <w:divBdr>
        <w:top w:val="none" w:sz="0" w:space="0" w:color="auto"/>
        <w:left w:val="none" w:sz="0" w:space="0" w:color="auto"/>
        <w:bottom w:val="none" w:sz="0" w:space="0" w:color="auto"/>
        <w:right w:val="none" w:sz="0" w:space="0" w:color="auto"/>
      </w:divBdr>
    </w:div>
    <w:div w:id="314259425">
      <w:bodyDiv w:val="1"/>
      <w:marLeft w:val="0"/>
      <w:marRight w:val="0"/>
      <w:marTop w:val="0"/>
      <w:marBottom w:val="0"/>
      <w:divBdr>
        <w:top w:val="none" w:sz="0" w:space="0" w:color="auto"/>
        <w:left w:val="none" w:sz="0" w:space="0" w:color="auto"/>
        <w:bottom w:val="none" w:sz="0" w:space="0" w:color="auto"/>
        <w:right w:val="none" w:sz="0" w:space="0" w:color="auto"/>
      </w:divBdr>
    </w:div>
    <w:div w:id="342975756">
      <w:bodyDiv w:val="1"/>
      <w:marLeft w:val="0"/>
      <w:marRight w:val="0"/>
      <w:marTop w:val="0"/>
      <w:marBottom w:val="0"/>
      <w:divBdr>
        <w:top w:val="none" w:sz="0" w:space="0" w:color="auto"/>
        <w:left w:val="none" w:sz="0" w:space="0" w:color="auto"/>
        <w:bottom w:val="none" w:sz="0" w:space="0" w:color="auto"/>
        <w:right w:val="none" w:sz="0" w:space="0" w:color="auto"/>
      </w:divBdr>
      <w:divsChild>
        <w:div w:id="280041644">
          <w:marLeft w:val="0"/>
          <w:marRight w:val="0"/>
          <w:marTop w:val="0"/>
          <w:marBottom w:val="0"/>
          <w:divBdr>
            <w:top w:val="none" w:sz="0" w:space="0" w:color="auto"/>
            <w:left w:val="none" w:sz="0" w:space="0" w:color="auto"/>
            <w:bottom w:val="none" w:sz="0" w:space="0" w:color="auto"/>
            <w:right w:val="none" w:sz="0" w:space="0" w:color="auto"/>
          </w:divBdr>
        </w:div>
      </w:divsChild>
    </w:div>
    <w:div w:id="352609620">
      <w:bodyDiv w:val="1"/>
      <w:marLeft w:val="0"/>
      <w:marRight w:val="0"/>
      <w:marTop w:val="0"/>
      <w:marBottom w:val="0"/>
      <w:divBdr>
        <w:top w:val="none" w:sz="0" w:space="0" w:color="auto"/>
        <w:left w:val="none" w:sz="0" w:space="0" w:color="auto"/>
        <w:bottom w:val="none" w:sz="0" w:space="0" w:color="auto"/>
        <w:right w:val="none" w:sz="0" w:space="0" w:color="auto"/>
      </w:divBdr>
    </w:div>
    <w:div w:id="356196678">
      <w:bodyDiv w:val="1"/>
      <w:marLeft w:val="0"/>
      <w:marRight w:val="0"/>
      <w:marTop w:val="0"/>
      <w:marBottom w:val="0"/>
      <w:divBdr>
        <w:top w:val="none" w:sz="0" w:space="0" w:color="auto"/>
        <w:left w:val="none" w:sz="0" w:space="0" w:color="auto"/>
        <w:bottom w:val="none" w:sz="0" w:space="0" w:color="auto"/>
        <w:right w:val="none" w:sz="0" w:space="0" w:color="auto"/>
      </w:divBdr>
    </w:div>
    <w:div w:id="362824187">
      <w:bodyDiv w:val="1"/>
      <w:marLeft w:val="0"/>
      <w:marRight w:val="0"/>
      <w:marTop w:val="0"/>
      <w:marBottom w:val="0"/>
      <w:divBdr>
        <w:top w:val="none" w:sz="0" w:space="0" w:color="auto"/>
        <w:left w:val="none" w:sz="0" w:space="0" w:color="auto"/>
        <w:bottom w:val="none" w:sz="0" w:space="0" w:color="auto"/>
        <w:right w:val="none" w:sz="0" w:space="0" w:color="auto"/>
      </w:divBdr>
    </w:div>
    <w:div w:id="409815247">
      <w:bodyDiv w:val="1"/>
      <w:marLeft w:val="0"/>
      <w:marRight w:val="0"/>
      <w:marTop w:val="0"/>
      <w:marBottom w:val="0"/>
      <w:divBdr>
        <w:top w:val="none" w:sz="0" w:space="0" w:color="auto"/>
        <w:left w:val="none" w:sz="0" w:space="0" w:color="auto"/>
        <w:bottom w:val="none" w:sz="0" w:space="0" w:color="auto"/>
        <w:right w:val="none" w:sz="0" w:space="0" w:color="auto"/>
      </w:divBdr>
    </w:div>
    <w:div w:id="436825723">
      <w:bodyDiv w:val="1"/>
      <w:marLeft w:val="0"/>
      <w:marRight w:val="0"/>
      <w:marTop w:val="0"/>
      <w:marBottom w:val="0"/>
      <w:divBdr>
        <w:top w:val="none" w:sz="0" w:space="0" w:color="auto"/>
        <w:left w:val="none" w:sz="0" w:space="0" w:color="auto"/>
        <w:bottom w:val="none" w:sz="0" w:space="0" w:color="auto"/>
        <w:right w:val="none" w:sz="0" w:space="0" w:color="auto"/>
      </w:divBdr>
    </w:div>
    <w:div w:id="437649436">
      <w:bodyDiv w:val="1"/>
      <w:marLeft w:val="0"/>
      <w:marRight w:val="0"/>
      <w:marTop w:val="0"/>
      <w:marBottom w:val="0"/>
      <w:divBdr>
        <w:top w:val="none" w:sz="0" w:space="0" w:color="auto"/>
        <w:left w:val="none" w:sz="0" w:space="0" w:color="auto"/>
        <w:bottom w:val="none" w:sz="0" w:space="0" w:color="auto"/>
        <w:right w:val="none" w:sz="0" w:space="0" w:color="auto"/>
      </w:divBdr>
    </w:div>
    <w:div w:id="439952285">
      <w:bodyDiv w:val="1"/>
      <w:marLeft w:val="0"/>
      <w:marRight w:val="0"/>
      <w:marTop w:val="0"/>
      <w:marBottom w:val="0"/>
      <w:divBdr>
        <w:top w:val="none" w:sz="0" w:space="0" w:color="auto"/>
        <w:left w:val="none" w:sz="0" w:space="0" w:color="auto"/>
        <w:bottom w:val="none" w:sz="0" w:space="0" w:color="auto"/>
        <w:right w:val="none" w:sz="0" w:space="0" w:color="auto"/>
      </w:divBdr>
    </w:div>
    <w:div w:id="470366765">
      <w:bodyDiv w:val="1"/>
      <w:marLeft w:val="0"/>
      <w:marRight w:val="0"/>
      <w:marTop w:val="0"/>
      <w:marBottom w:val="0"/>
      <w:divBdr>
        <w:top w:val="none" w:sz="0" w:space="0" w:color="auto"/>
        <w:left w:val="none" w:sz="0" w:space="0" w:color="auto"/>
        <w:bottom w:val="none" w:sz="0" w:space="0" w:color="auto"/>
        <w:right w:val="none" w:sz="0" w:space="0" w:color="auto"/>
      </w:divBdr>
    </w:div>
    <w:div w:id="501699707">
      <w:bodyDiv w:val="1"/>
      <w:marLeft w:val="0"/>
      <w:marRight w:val="0"/>
      <w:marTop w:val="0"/>
      <w:marBottom w:val="0"/>
      <w:divBdr>
        <w:top w:val="none" w:sz="0" w:space="0" w:color="auto"/>
        <w:left w:val="none" w:sz="0" w:space="0" w:color="auto"/>
        <w:bottom w:val="none" w:sz="0" w:space="0" w:color="auto"/>
        <w:right w:val="none" w:sz="0" w:space="0" w:color="auto"/>
      </w:divBdr>
    </w:div>
    <w:div w:id="506096231">
      <w:bodyDiv w:val="1"/>
      <w:marLeft w:val="0"/>
      <w:marRight w:val="0"/>
      <w:marTop w:val="0"/>
      <w:marBottom w:val="0"/>
      <w:divBdr>
        <w:top w:val="none" w:sz="0" w:space="0" w:color="auto"/>
        <w:left w:val="none" w:sz="0" w:space="0" w:color="auto"/>
        <w:bottom w:val="none" w:sz="0" w:space="0" w:color="auto"/>
        <w:right w:val="none" w:sz="0" w:space="0" w:color="auto"/>
      </w:divBdr>
    </w:div>
    <w:div w:id="509762629">
      <w:bodyDiv w:val="1"/>
      <w:marLeft w:val="0"/>
      <w:marRight w:val="0"/>
      <w:marTop w:val="0"/>
      <w:marBottom w:val="0"/>
      <w:divBdr>
        <w:top w:val="none" w:sz="0" w:space="0" w:color="auto"/>
        <w:left w:val="none" w:sz="0" w:space="0" w:color="auto"/>
        <w:bottom w:val="none" w:sz="0" w:space="0" w:color="auto"/>
        <w:right w:val="none" w:sz="0" w:space="0" w:color="auto"/>
      </w:divBdr>
    </w:div>
    <w:div w:id="518857980">
      <w:bodyDiv w:val="1"/>
      <w:marLeft w:val="0"/>
      <w:marRight w:val="0"/>
      <w:marTop w:val="0"/>
      <w:marBottom w:val="0"/>
      <w:divBdr>
        <w:top w:val="none" w:sz="0" w:space="0" w:color="auto"/>
        <w:left w:val="none" w:sz="0" w:space="0" w:color="auto"/>
        <w:bottom w:val="none" w:sz="0" w:space="0" w:color="auto"/>
        <w:right w:val="none" w:sz="0" w:space="0" w:color="auto"/>
      </w:divBdr>
    </w:div>
    <w:div w:id="546071373">
      <w:bodyDiv w:val="1"/>
      <w:marLeft w:val="0"/>
      <w:marRight w:val="0"/>
      <w:marTop w:val="0"/>
      <w:marBottom w:val="0"/>
      <w:divBdr>
        <w:top w:val="none" w:sz="0" w:space="0" w:color="auto"/>
        <w:left w:val="none" w:sz="0" w:space="0" w:color="auto"/>
        <w:bottom w:val="none" w:sz="0" w:space="0" w:color="auto"/>
        <w:right w:val="none" w:sz="0" w:space="0" w:color="auto"/>
      </w:divBdr>
      <w:divsChild>
        <w:div w:id="303973512">
          <w:marLeft w:val="1080"/>
          <w:marRight w:val="0"/>
          <w:marTop w:val="100"/>
          <w:marBottom w:val="0"/>
          <w:divBdr>
            <w:top w:val="none" w:sz="0" w:space="0" w:color="auto"/>
            <w:left w:val="none" w:sz="0" w:space="0" w:color="auto"/>
            <w:bottom w:val="none" w:sz="0" w:space="0" w:color="auto"/>
            <w:right w:val="none" w:sz="0" w:space="0" w:color="auto"/>
          </w:divBdr>
        </w:div>
        <w:div w:id="714160438">
          <w:marLeft w:val="1080"/>
          <w:marRight w:val="0"/>
          <w:marTop w:val="100"/>
          <w:marBottom w:val="0"/>
          <w:divBdr>
            <w:top w:val="none" w:sz="0" w:space="0" w:color="auto"/>
            <w:left w:val="none" w:sz="0" w:space="0" w:color="auto"/>
            <w:bottom w:val="none" w:sz="0" w:space="0" w:color="auto"/>
            <w:right w:val="none" w:sz="0" w:space="0" w:color="auto"/>
          </w:divBdr>
        </w:div>
        <w:div w:id="888763436">
          <w:marLeft w:val="1080"/>
          <w:marRight w:val="0"/>
          <w:marTop w:val="100"/>
          <w:marBottom w:val="0"/>
          <w:divBdr>
            <w:top w:val="none" w:sz="0" w:space="0" w:color="auto"/>
            <w:left w:val="none" w:sz="0" w:space="0" w:color="auto"/>
            <w:bottom w:val="none" w:sz="0" w:space="0" w:color="auto"/>
            <w:right w:val="none" w:sz="0" w:space="0" w:color="auto"/>
          </w:divBdr>
        </w:div>
        <w:div w:id="1173567509">
          <w:marLeft w:val="1080"/>
          <w:marRight w:val="0"/>
          <w:marTop w:val="100"/>
          <w:marBottom w:val="0"/>
          <w:divBdr>
            <w:top w:val="none" w:sz="0" w:space="0" w:color="auto"/>
            <w:left w:val="none" w:sz="0" w:space="0" w:color="auto"/>
            <w:bottom w:val="none" w:sz="0" w:space="0" w:color="auto"/>
            <w:right w:val="none" w:sz="0" w:space="0" w:color="auto"/>
          </w:divBdr>
        </w:div>
        <w:div w:id="1983079949">
          <w:marLeft w:val="360"/>
          <w:marRight w:val="0"/>
          <w:marTop w:val="200"/>
          <w:marBottom w:val="0"/>
          <w:divBdr>
            <w:top w:val="none" w:sz="0" w:space="0" w:color="auto"/>
            <w:left w:val="none" w:sz="0" w:space="0" w:color="auto"/>
            <w:bottom w:val="none" w:sz="0" w:space="0" w:color="auto"/>
            <w:right w:val="none" w:sz="0" w:space="0" w:color="auto"/>
          </w:divBdr>
        </w:div>
        <w:div w:id="2146659319">
          <w:marLeft w:val="1080"/>
          <w:marRight w:val="0"/>
          <w:marTop w:val="100"/>
          <w:marBottom w:val="0"/>
          <w:divBdr>
            <w:top w:val="none" w:sz="0" w:space="0" w:color="auto"/>
            <w:left w:val="none" w:sz="0" w:space="0" w:color="auto"/>
            <w:bottom w:val="none" w:sz="0" w:space="0" w:color="auto"/>
            <w:right w:val="none" w:sz="0" w:space="0" w:color="auto"/>
          </w:divBdr>
        </w:div>
      </w:divsChild>
    </w:div>
    <w:div w:id="559174745">
      <w:bodyDiv w:val="1"/>
      <w:marLeft w:val="0"/>
      <w:marRight w:val="0"/>
      <w:marTop w:val="0"/>
      <w:marBottom w:val="0"/>
      <w:divBdr>
        <w:top w:val="none" w:sz="0" w:space="0" w:color="auto"/>
        <w:left w:val="none" w:sz="0" w:space="0" w:color="auto"/>
        <w:bottom w:val="none" w:sz="0" w:space="0" w:color="auto"/>
        <w:right w:val="none" w:sz="0" w:space="0" w:color="auto"/>
      </w:divBdr>
    </w:div>
    <w:div w:id="561406699">
      <w:bodyDiv w:val="1"/>
      <w:marLeft w:val="0"/>
      <w:marRight w:val="0"/>
      <w:marTop w:val="0"/>
      <w:marBottom w:val="0"/>
      <w:divBdr>
        <w:top w:val="none" w:sz="0" w:space="0" w:color="auto"/>
        <w:left w:val="none" w:sz="0" w:space="0" w:color="auto"/>
        <w:bottom w:val="none" w:sz="0" w:space="0" w:color="auto"/>
        <w:right w:val="none" w:sz="0" w:space="0" w:color="auto"/>
      </w:divBdr>
    </w:div>
    <w:div w:id="565607465">
      <w:bodyDiv w:val="1"/>
      <w:marLeft w:val="0"/>
      <w:marRight w:val="0"/>
      <w:marTop w:val="0"/>
      <w:marBottom w:val="0"/>
      <w:divBdr>
        <w:top w:val="none" w:sz="0" w:space="0" w:color="auto"/>
        <w:left w:val="none" w:sz="0" w:space="0" w:color="auto"/>
        <w:bottom w:val="none" w:sz="0" w:space="0" w:color="auto"/>
        <w:right w:val="none" w:sz="0" w:space="0" w:color="auto"/>
      </w:divBdr>
    </w:div>
    <w:div w:id="566381726">
      <w:bodyDiv w:val="1"/>
      <w:marLeft w:val="0"/>
      <w:marRight w:val="0"/>
      <w:marTop w:val="0"/>
      <w:marBottom w:val="0"/>
      <w:divBdr>
        <w:top w:val="none" w:sz="0" w:space="0" w:color="auto"/>
        <w:left w:val="none" w:sz="0" w:space="0" w:color="auto"/>
        <w:bottom w:val="none" w:sz="0" w:space="0" w:color="auto"/>
        <w:right w:val="none" w:sz="0" w:space="0" w:color="auto"/>
      </w:divBdr>
    </w:div>
    <w:div w:id="580720815">
      <w:bodyDiv w:val="1"/>
      <w:marLeft w:val="0"/>
      <w:marRight w:val="0"/>
      <w:marTop w:val="0"/>
      <w:marBottom w:val="0"/>
      <w:divBdr>
        <w:top w:val="none" w:sz="0" w:space="0" w:color="auto"/>
        <w:left w:val="none" w:sz="0" w:space="0" w:color="auto"/>
        <w:bottom w:val="none" w:sz="0" w:space="0" w:color="auto"/>
        <w:right w:val="none" w:sz="0" w:space="0" w:color="auto"/>
      </w:divBdr>
      <w:divsChild>
        <w:div w:id="1578435483">
          <w:marLeft w:val="0"/>
          <w:marRight w:val="0"/>
          <w:marTop w:val="0"/>
          <w:marBottom w:val="0"/>
          <w:divBdr>
            <w:top w:val="single" w:sz="2" w:space="0" w:color="auto"/>
            <w:left w:val="single" w:sz="2" w:space="0" w:color="auto"/>
            <w:bottom w:val="single" w:sz="2" w:space="0" w:color="auto"/>
            <w:right w:val="single" w:sz="2" w:space="0" w:color="auto"/>
          </w:divBdr>
          <w:divsChild>
            <w:div w:id="329530438">
              <w:marLeft w:val="0"/>
              <w:marRight w:val="0"/>
              <w:marTop w:val="0"/>
              <w:marBottom w:val="0"/>
              <w:divBdr>
                <w:top w:val="single" w:sz="2" w:space="0" w:color="auto"/>
                <w:left w:val="single" w:sz="2" w:space="0" w:color="auto"/>
                <w:bottom w:val="single" w:sz="2" w:space="0" w:color="auto"/>
                <w:right w:val="single" w:sz="2" w:space="0" w:color="auto"/>
              </w:divBdr>
              <w:divsChild>
                <w:div w:id="186871849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284119056">
          <w:marLeft w:val="0"/>
          <w:marRight w:val="0"/>
          <w:marTop w:val="0"/>
          <w:marBottom w:val="0"/>
          <w:divBdr>
            <w:top w:val="single" w:sz="2" w:space="0" w:color="auto"/>
            <w:left w:val="single" w:sz="2" w:space="0" w:color="auto"/>
            <w:bottom w:val="single" w:sz="2" w:space="0" w:color="auto"/>
            <w:right w:val="single" w:sz="2" w:space="0" w:color="auto"/>
          </w:divBdr>
          <w:divsChild>
            <w:div w:id="245965436">
              <w:marLeft w:val="0"/>
              <w:marRight w:val="0"/>
              <w:marTop w:val="0"/>
              <w:marBottom w:val="0"/>
              <w:divBdr>
                <w:top w:val="single" w:sz="2" w:space="0" w:color="auto"/>
                <w:left w:val="single" w:sz="2" w:space="0" w:color="auto"/>
                <w:bottom w:val="single" w:sz="2" w:space="0" w:color="auto"/>
                <w:right w:val="single" w:sz="2" w:space="0" w:color="auto"/>
              </w:divBdr>
              <w:divsChild>
                <w:div w:id="1934048531">
                  <w:marLeft w:val="0"/>
                  <w:marRight w:val="0"/>
                  <w:marTop w:val="0"/>
                  <w:marBottom w:val="0"/>
                  <w:divBdr>
                    <w:top w:val="single" w:sz="2" w:space="0" w:color="auto"/>
                    <w:left w:val="single" w:sz="2" w:space="0" w:color="auto"/>
                    <w:bottom w:val="single" w:sz="2" w:space="0" w:color="auto"/>
                    <w:right w:val="single" w:sz="2" w:space="0" w:color="auto"/>
                  </w:divBdr>
                  <w:divsChild>
                    <w:div w:id="165178449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 w:id="585727857">
      <w:bodyDiv w:val="1"/>
      <w:marLeft w:val="0"/>
      <w:marRight w:val="0"/>
      <w:marTop w:val="0"/>
      <w:marBottom w:val="0"/>
      <w:divBdr>
        <w:top w:val="none" w:sz="0" w:space="0" w:color="auto"/>
        <w:left w:val="none" w:sz="0" w:space="0" w:color="auto"/>
        <w:bottom w:val="none" w:sz="0" w:space="0" w:color="auto"/>
        <w:right w:val="none" w:sz="0" w:space="0" w:color="auto"/>
      </w:divBdr>
    </w:div>
    <w:div w:id="606426960">
      <w:bodyDiv w:val="1"/>
      <w:marLeft w:val="0"/>
      <w:marRight w:val="0"/>
      <w:marTop w:val="0"/>
      <w:marBottom w:val="0"/>
      <w:divBdr>
        <w:top w:val="none" w:sz="0" w:space="0" w:color="auto"/>
        <w:left w:val="none" w:sz="0" w:space="0" w:color="auto"/>
        <w:bottom w:val="none" w:sz="0" w:space="0" w:color="auto"/>
        <w:right w:val="none" w:sz="0" w:space="0" w:color="auto"/>
      </w:divBdr>
    </w:div>
    <w:div w:id="622617262">
      <w:bodyDiv w:val="1"/>
      <w:marLeft w:val="0"/>
      <w:marRight w:val="0"/>
      <w:marTop w:val="0"/>
      <w:marBottom w:val="0"/>
      <w:divBdr>
        <w:top w:val="none" w:sz="0" w:space="0" w:color="auto"/>
        <w:left w:val="none" w:sz="0" w:space="0" w:color="auto"/>
        <w:bottom w:val="none" w:sz="0" w:space="0" w:color="auto"/>
        <w:right w:val="none" w:sz="0" w:space="0" w:color="auto"/>
      </w:divBdr>
    </w:div>
    <w:div w:id="630327004">
      <w:bodyDiv w:val="1"/>
      <w:marLeft w:val="0"/>
      <w:marRight w:val="0"/>
      <w:marTop w:val="0"/>
      <w:marBottom w:val="0"/>
      <w:divBdr>
        <w:top w:val="none" w:sz="0" w:space="0" w:color="auto"/>
        <w:left w:val="none" w:sz="0" w:space="0" w:color="auto"/>
        <w:bottom w:val="none" w:sz="0" w:space="0" w:color="auto"/>
        <w:right w:val="none" w:sz="0" w:space="0" w:color="auto"/>
      </w:divBdr>
    </w:div>
    <w:div w:id="635646532">
      <w:bodyDiv w:val="1"/>
      <w:marLeft w:val="0"/>
      <w:marRight w:val="0"/>
      <w:marTop w:val="0"/>
      <w:marBottom w:val="0"/>
      <w:divBdr>
        <w:top w:val="none" w:sz="0" w:space="0" w:color="auto"/>
        <w:left w:val="none" w:sz="0" w:space="0" w:color="auto"/>
        <w:bottom w:val="none" w:sz="0" w:space="0" w:color="auto"/>
        <w:right w:val="none" w:sz="0" w:space="0" w:color="auto"/>
      </w:divBdr>
    </w:div>
    <w:div w:id="656693951">
      <w:bodyDiv w:val="1"/>
      <w:marLeft w:val="0"/>
      <w:marRight w:val="0"/>
      <w:marTop w:val="0"/>
      <w:marBottom w:val="0"/>
      <w:divBdr>
        <w:top w:val="none" w:sz="0" w:space="0" w:color="auto"/>
        <w:left w:val="none" w:sz="0" w:space="0" w:color="auto"/>
        <w:bottom w:val="none" w:sz="0" w:space="0" w:color="auto"/>
        <w:right w:val="none" w:sz="0" w:space="0" w:color="auto"/>
      </w:divBdr>
    </w:div>
    <w:div w:id="661933048">
      <w:bodyDiv w:val="1"/>
      <w:marLeft w:val="0"/>
      <w:marRight w:val="0"/>
      <w:marTop w:val="0"/>
      <w:marBottom w:val="0"/>
      <w:divBdr>
        <w:top w:val="none" w:sz="0" w:space="0" w:color="auto"/>
        <w:left w:val="none" w:sz="0" w:space="0" w:color="auto"/>
        <w:bottom w:val="none" w:sz="0" w:space="0" w:color="auto"/>
        <w:right w:val="none" w:sz="0" w:space="0" w:color="auto"/>
      </w:divBdr>
    </w:div>
    <w:div w:id="689141493">
      <w:bodyDiv w:val="1"/>
      <w:marLeft w:val="0"/>
      <w:marRight w:val="0"/>
      <w:marTop w:val="0"/>
      <w:marBottom w:val="0"/>
      <w:divBdr>
        <w:top w:val="none" w:sz="0" w:space="0" w:color="auto"/>
        <w:left w:val="none" w:sz="0" w:space="0" w:color="auto"/>
        <w:bottom w:val="none" w:sz="0" w:space="0" w:color="auto"/>
        <w:right w:val="none" w:sz="0" w:space="0" w:color="auto"/>
      </w:divBdr>
    </w:div>
    <w:div w:id="741753027">
      <w:bodyDiv w:val="1"/>
      <w:marLeft w:val="0"/>
      <w:marRight w:val="0"/>
      <w:marTop w:val="0"/>
      <w:marBottom w:val="0"/>
      <w:divBdr>
        <w:top w:val="none" w:sz="0" w:space="0" w:color="auto"/>
        <w:left w:val="none" w:sz="0" w:space="0" w:color="auto"/>
        <w:bottom w:val="none" w:sz="0" w:space="0" w:color="auto"/>
        <w:right w:val="none" w:sz="0" w:space="0" w:color="auto"/>
      </w:divBdr>
    </w:div>
    <w:div w:id="761682385">
      <w:bodyDiv w:val="1"/>
      <w:marLeft w:val="0"/>
      <w:marRight w:val="0"/>
      <w:marTop w:val="0"/>
      <w:marBottom w:val="0"/>
      <w:divBdr>
        <w:top w:val="none" w:sz="0" w:space="0" w:color="auto"/>
        <w:left w:val="none" w:sz="0" w:space="0" w:color="auto"/>
        <w:bottom w:val="none" w:sz="0" w:space="0" w:color="auto"/>
        <w:right w:val="none" w:sz="0" w:space="0" w:color="auto"/>
      </w:divBdr>
    </w:div>
    <w:div w:id="782502475">
      <w:bodyDiv w:val="1"/>
      <w:marLeft w:val="0"/>
      <w:marRight w:val="0"/>
      <w:marTop w:val="0"/>
      <w:marBottom w:val="0"/>
      <w:divBdr>
        <w:top w:val="none" w:sz="0" w:space="0" w:color="auto"/>
        <w:left w:val="none" w:sz="0" w:space="0" w:color="auto"/>
        <w:bottom w:val="none" w:sz="0" w:space="0" w:color="auto"/>
        <w:right w:val="none" w:sz="0" w:space="0" w:color="auto"/>
      </w:divBdr>
    </w:div>
    <w:div w:id="793906105">
      <w:bodyDiv w:val="1"/>
      <w:marLeft w:val="0"/>
      <w:marRight w:val="0"/>
      <w:marTop w:val="0"/>
      <w:marBottom w:val="0"/>
      <w:divBdr>
        <w:top w:val="none" w:sz="0" w:space="0" w:color="auto"/>
        <w:left w:val="none" w:sz="0" w:space="0" w:color="auto"/>
        <w:bottom w:val="none" w:sz="0" w:space="0" w:color="auto"/>
        <w:right w:val="none" w:sz="0" w:space="0" w:color="auto"/>
      </w:divBdr>
    </w:div>
    <w:div w:id="804276072">
      <w:bodyDiv w:val="1"/>
      <w:marLeft w:val="0"/>
      <w:marRight w:val="0"/>
      <w:marTop w:val="0"/>
      <w:marBottom w:val="0"/>
      <w:divBdr>
        <w:top w:val="none" w:sz="0" w:space="0" w:color="auto"/>
        <w:left w:val="none" w:sz="0" w:space="0" w:color="auto"/>
        <w:bottom w:val="none" w:sz="0" w:space="0" w:color="auto"/>
        <w:right w:val="none" w:sz="0" w:space="0" w:color="auto"/>
      </w:divBdr>
    </w:div>
    <w:div w:id="824711629">
      <w:bodyDiv w:val="1"/>
      <w:marLeft w:val="0"/>
      <w:marRight w:val="0"/>
      <w:marTop w:val="0"/>
      <w:marBottom w:val="0"/>
      <w:divBdr>
        <w:top w:val="none" w:sz="0" w:space="0" w:color="auto"/>
        <w:left w:val="none" w:sz="0" w:space="0" w:color="auto"/>
        <w:bottom w:val="none" w:sz="0" w:space="0" w:color="auto"/>
        <w:right w:val="none" w:sz="0" w:space="0" w:color="auto"/>
      </w:divBdr>
    </w:div>
    <w:div w:id="849104942">
      <w:bodyDiv w:val="1"/>
      <w:marLeft w:val="0"/>
      <w:marRight w:val="0"/>
      <w:marTop w:val="0"/>
      <w:marBottom w:val="0"/>
      <w:divBdr>
        <w:top w:val="none" w:sz="0" w:space="0" w:color="auto"/>
        <w:left w:val="none" w:sz="0" w:space="0" w:color="auto"/>
        <w:bottom w:val="none" w:sz="0" w:space="0" w:color="auto"/>
        <w:right w:val="none" w:sz="0" w:space="0" w:color="auto"/>
      </w:divBdr>
    </w:div>
    <w:div w:id="944046133">
      <w:bodyDiv w:val="1"/>
      <w:marLeft w:val="0"/>
      <w:marRight w:val="0"/>
      <w:marTop w:val="0"/>
      <w:marBottom w:val="0"/>
      <w:divBdr>
        <w:top w:val="none" w:sz="0" w:space="0" w:color="auto"/>
        <w:left w:val="none" w:sz="0" w:space="0" w:color="auto"/>
        <w:bottom w:val="none" w:sz="0" w:space="0" w:color="auto"/>
        <w:right w:val="none" w:sz="0" w:space="0" w:color="auto"/>
      </w:divBdr>
    </w:div>
    <w:div w:id="1030227886">
      <w:bodyDiv w:val="1"/>
      <w:marLeft w:val="0"/>
      <w:marRight w:val="0"/>
      <w:marTop w:val="0"/>
      <w:marBottom w:val="0"/>
      <w:divBdr>
        <w:top w:val="none" w:sz="0" w:space="0" w:color="auto"/>
        <w:left w:val="none" w:sz="0" w:space="0" w:color="auto"/>
        <w:bottom w:val="none" w:sz="0" w:space="0" w:color="auto"/>
        <w:right w:val="none" w:sz="0" w:space="0" w:color="auto"/>
      </w:divBdr>
    </w:div>
    <w:div w:id="1057432326">
      <w:bodyDiv w:val="1"/>
      <w:marLeft w:val="0"/>
      <w:marRight w:val="0"/>
      <w:marTop w:val="0"/>
      <w:marBottom w:val="0"/>
      <w:divBdr>
        <w:top w:val="none" w:sz="0" w:space="0" w:color="auto"/>
        <w:left w:val="none" w:sz="0" w:space="0" w:color="auto"/>
        <w:bottom w:val="none" w:sz="0" w:space="0" w:color="auto"/>
        <w:right w:val="none" w:sz="0" w:space="0" w:color="auto"/>
      </w:divBdr>
    </w:div>
    <w:div w:id="1058940356">
      <w:bodyDiv w:val="1"/>
      <w:marLeft w:val="0"/>
      <w:marRight w:val="0"/>
      <w:marTop w:val="0"/>
      <w:marBottom w:val="0"/>
      <w:divBdr>
        <w:top w:val="none" w:sz="0" w:space="0" w:color="auto"/>
        <w:left w:val="none" w:sz="0" w:space="0" w:color="auto"/>
        <w:bottom w:val="none" w:sz="0" w:space="0" w:color="auto"/>
        <w:right w:val="none" w:sz="0" w:space="0" w:color="auto"/>
      </w:divBdr>
    </w:div>
    <w:div w:id="1063023303">
      <w:bodyDiv w:val="1"/>
      <w:marLeft w:val="0"/>
      <w:marRight w:val="0"/>
      <w:marTop w:val="0"/>
      <w:marBottom w:val="0"/>
      <w:divBdr>
        <w:top w:val="none" w:sz="0" w:space="0" w:color="auto"/>
        <w:left w:val="none" w:sz="0" w:space="0" w:color="auto"/>
        <w:bottom w:val="none" w:sz="0" w:space="0" w:color="auto"/>
        <w:right w:val="none" w:sz="0" w:space="0" w:color="auto"/>
      </w:divBdr>
    </w:div>
    <w:div w:id="1076245770">
      <w:bodyDiv w:val="1"/>
      <w:marLeft w:val="0"/>
      <w:marRight w:val="0"/>
      <w:marTop w:val="0"/>
      <w:marBottom w:val="0"/>
      <w:divBdr>
        <w:top w:val="none" w:sz="0" w:space="0" w:color="auto"/>
        <w:left w:val="none" w:sz="0" w:space="0" w:color="auto"/>
        <w:bottom w:val="none" w:sz="0" w:space="0" w:color="auto"/>
        <w:right w:val="none" w:sz="0" w:space="0" w:color="auto"/>
      </w:divBdr>
    </w:div>
    <w:div w:id="1083140522">
      <w:bodyDiv w:val="1"/>
      <w:marLeft w:val="0"/>
      <w:marRight w:val="0"/>
      <w:marTop w:val="0"/>
      <w:marBottom w:val="0"/>
      <w:divBdr>
        <w:top w:val="none" w:sz="0" w:space="0" w:color="auto"/>
        <w:left w:val="none" w:sz="0" w:space="0" w:color="auto"/>
        <w:bottom w:val="none" w:sz="0" w:space="0" w:color="auto"/>
        <w:right w:val="none" w:sz="0" w:space="0" w:color="auto"/>
      </w:divBdr>
    </w:div>
    <w:div w:id="1124882905">
      <w:bodyDiv w:val="1"/>
      <w:marLeft w:val="0"/>
      <w:marRight w:val="0"/>
      <w:marTop w:val="0"/>
      <w:marBottom w:val="0"/>
      <w:divBdr>
        <w:top w:val="none" w:sz="0" w:space="0" w:color="auto"/>
        <w:left w:val="none" w:sz="0" w:space="0" w:color="auto"/>
        <w:bottom w:val="none" w:sz="0" w:space="0" w:color="auto"/>
        <w:right w:val="none" w:sz="0" w:space="0" w:color="auto"/>
      </w:divBdr>
    </w:div>
    <w:div w:id="1149636909">
      <w:bodyDiv w:val="1"/>
      <w:marLeft w:val="0"/>
      <w:marRight w:val="0"/>
      <w:marTop w:val="0"/>
      <w:marBottom w:val="0"/>
      <w:divBdr>
        <w:top w:val="none" w:sz="0" w:space="0" w:color="auto"/>
        <w:left w:val="none" w:sz="0" w:space="0" w:color="auto"/>
        <w:bottom w:val="none" w:sz="0" w:space="0" w:color="auto"/>
        <w:right w:val="none" w:sz="0" w:space="0" w:color="auto"/>
      </w:divBdr>
    </w:div>
    <w:div w:id="1154224769">
      <w:bodyDiv w:val="1"/>
      <w:marLeft w:val="0"/>
      <w:marRight w:val="0"/>
      <w:marTop w:val="0"/>
      <w:marBottom w:val="0"/>
      <w:divBdr>
        <w:top w:val="none" w:sz="0" w:space="0" w:color="auto"/>
        <w:left w:val="none" w:sz="0" w:space="0" w:color="auto"/>
        <w:bottom w:val="none" w:sz="0" w:space="0" w:color="auto"/>
        <w:right w:val="none" w:sz="0" w:space="0" w:color="auto"/>
      </w:divBdr>
      <w:divsChild>
        <w:div w:id="1604067615">
          <w:marLeft w:val="0"/>
          <w:marRight w:val="0"/>
          <w:marTop w:val="0"/>
          <w:marBottom w:val="0"/>
          <w:divBdr>
            <w:top w:val="none" w:sz="0" w:space="0" w:color="auto"/>
            <w:left w:val="none" w:sz="0" w:space="0" w:color="auto"/>
            <w:bottom w:val="none" w:sz="0" w:space="0" w:color="auto"/>
            <w:right w:val="none" w:sz="0" w:space="0" w:color="auto"/>
          </w:divBdr>
          <w:divsChild>
            <w:div w:id="1977030587">
              <w:marLeft w:val="0"/>
              <w:marRight w:val="0"/>
              <w:marTop w:val="0"/>
              <w:marBottom w:val="0"/>
              <w:divBdr>
                <w:top w:val="none" w:sz="0" w:space="0" w:color="auto"/>
                <w:left w:val="none" w:sz="0" w:space="0" w:color="auto"/>
                <w:bottom w:val="none" w:sz="0" w:space="0" w:color="auto"/>
                <w:right w:val="none" w:sz="0" w:space="0" w:color="auto"/>
              </w:divBdr>
              <w:divsChild>
                <w:div w:id="1761443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6603051">
      <w:bodyDiv w:val="1"/>
      <w:marLeft w:val="0"/>
      <w:marRight w:val="0"/>
      <w:marTop w:val="0"/>
      <w:marBottom w:val="0"/>
      <w:divBdr>
        <w:top w:val="none" w:sz="0" w:space="0" w:color="auto"/>
        <w:left w:val="none" w:sz="0" w:space="0" w:color="auto"/>
        <w:bottom w:val="none" w:sz="0" w:space="0" w:color="auto"/>
        <w:right w:val="none" w:sz="0" w:space="0" w:color="auto"/>
      </w:divBdr>
    </w:div>
    <w:div w:id="1160728359">
      <w:bodyDiv w:val="1"/>
      <w:marLeft w:val="0"/>
      <w:marRight w:val="0"/>
      <w:marTop w:val="0"/>
      <w:marBottom w:val="0"/>
      <w:divBdr>
        <w:top w:val="none" w:sz="0" w:space="0" w:color="auto"/>
        <w:left w:val="none" w:sz="0" w:space="0" w:color="auto"/>
        <w:bottom w:val="none" w:sz="0" w:space="0" w:color="auto"/>
        <w:right w:val="none" w:sz="0" w:space="0" w:color="auto"/>
      </w:divBdr>
    </w:div>
    <w:div w:id="1165248021">
      <w:bodyDiv w:val="1"/>
      <w:marLeft w:val="0"/>
      <w:marRight w:val="0"/>
      <w:marTop w:val="0"/>
      <w:marBottom w:val="0"/>
      <w:divBdr>
        <w:top w:val="none" w:sz="0" w:space="0" w:color="auto"/>
        <w:left w:val="none" w:sz="0" w:space="0" w:color="auto"/>
        <w:bottom w:val="none" w:sz="0" w:space="0" w:color="auto"/>
        <w:right w:val="none" w:sz="0" w:space="0" w:color="auto"/>
      </w:divBdr>
    </w:div>
    <w:div w:id="1167940980">
      <w:bodyDiv w:val="1"/>
      <w:marLeft w:val="0"/>
      <w:marRight w:val="0"/>
      <w:marTop w:val="0"/>
      <w:marBottom w:val="0"/>
      <w:divBdr>
        <w:top w:val="none" w:sz="0" w:space="0" w:color="auto"/>
        <w:left w:val="none" w:sz="0" w:space="0" w:color="auto"/>
        <w:bottom w:val="none" w:sz="0" w:space="0" w:color="auto"/>
        <w:right w:val="none" w:sz="0" w:space="0" w:color="auto"/>
      </w:divBdr>
    </w:div>
    <w:div w:id="1207566721">
      <w:bodyDiv w:val="1"/>
      <w:marLeft w:val="0"/>
      <w:marRight w:val="0"/>
      <w:marTop w:val="0"/>
      <w:marBottom w:val="0"/>
      <w:divBdr>
        <w:top w:val="none" w:sz="0" w:space="0" w:color="auto"/>
        <w:left w:val="none" w:sz="0" w:space="0" w:color="auto"/>
        <w:bottom w:val="none" w:sz="0" w:space="0" w:color="auto"/>
        <w:right w:val="none" w:sz="0" w:space="0" w:color="auto"/>
      </w:divBdr>
    </w:div>
    <w:div w:id="1214729194">
      <w:bodyDiv w:val="1"/>
      <w:marLeft w:val="0"/>
      <w:marRight w:val="0"/>
      <w:marTop w:val="0"/>
      <w:marBottom w:val="0"/>
      <w:divBdr>
        <w:top w:val="none" w:sz="0" w:space="0" w:color="auto"/>
        <w:left w:val="none" w:sz="0" w:space="0" w:color="auto"/>
        <w:bottom w:val="none" w:sz="0" w:space="0" w:color="auto"/>
        <w:right w:val="none" w:sz="0" w:space="0" w:color="auto"/>
      </w:divBdr>
    </w:div>
    <w:div w:id="1218473117">
      <w:bodyDiv w:val="1"/>
      <w:marLeft w:val="0"/>
      <w:marRight w:val="0"/>
      <w:marTop w:val="0"/>
      <w:marBottom w:val="0"/>
      <w:divBdr>
        <w:top w:val="none" w:sz="0" w:space="0" w:color="auto"/>
        <w:left w:val="none" w:sz="0" w:space="0" w:color="auto"/>
        <w:bottom w:val="none" w:sz="0" w:space="0" w:color="auto"/>
        <w:right w:val="none" w:sz="0" w:space="0" w:color="auto"/>
      </w:divBdr>
    </w:div>
    <w:div w:id="1234579964">
      <w:bodyDiv w:val="1"/>
      <w:marLeft w:val="0"/>
      <w:marRight w:val="0"/>
      <w:marTop w:val="0"/>
      <w:marBottom w:val="0"/>
      <w:divBdr>
        <w:top w:val="none" w:sz="0" w:space="0" w:color="auto"/>
        <w:left w:val="none" w:sz="0" w:space="0" w:color="auto"/>
        <w:bottom w:val="none" w:sz="0" w:space="0" w:color="auto"/>
        <w:right w:val="none" w:sz="0" w:space="0" w:color="auto"/>
      </w:divBdr>
    </w:div>
    <w:div w:id="1248080683">
      <w:bodyDiv w:val="1"/>
      <w:marLeft w:val="0"/>
      <w:marRight w:val="0"/>
      <w:marTop w:val="0"/>
      <w:marBottom w:val="0"/>
      <w:divBdr>
        <w:top w:val="none" w:sz="0" w:space="0" w:color="auto"/>
        <w:left w:val="none" w:sz="0" w:space="0" w:color="auto"/>
        <w:bottom w:val="none" w:sz="0" w:space="0" w:color="auto"/>
        <w:right w:val="none" w:sz="0" w:space="0" w:color="auto"/>
      </w:divBdr>
    </w:div>
    <w:div w:id="1270696540">
      <w:bodyDiv w:val="1"/>
      <w:marLeft w:val="0"/>
      <w:marRight w:val="0"/>
      <w:marTop w:val="0"/>
      <w:marBottom w:val="0"/>
      <w:divBdr>
        <w:top w:val="none" w:sz="0" w:space="0" w:color="auto"/>
        <w:left w:val="none" w:sz="0" w:space="0" w:color="auto"/>
        <w:bottom w:val="none" w:sz="0" w:space="0" w:color="auto"/>
        <w:right w:val="none" w:sz="0" w:space="0" w:color="auto"/>
      </w:divBdr>
    </w:div>
    <w:div w:id="1276401935">
      <w:bodyDiv w:val="1"/>
      <w:marLeft w:val="0"/>
      <w:marRight w:val="0"/>
      <w:marTop w:val="0"/>
      <w:marBottom w:val="0"/>
      <w:divBdr>
        <w:top w:val="none" w:sz="0" w:space="0" w:color="auto"/>
        <w:left w:val="none" w:sz="0" w:space="0" w:color="auto"/>
        <w:bottom w:val="none" w:sz="0" w:space="0" w:color="auto"/>
        <w:right w:val="none" w:sz="0" w:space="0" w:color="auto"/>
      </w:divBdr>
    </w:div>
    <w:div w:id="1398555642">
      <w:bodyDiv w:val="1"/>
      <w:marLeft w:val="0"/>
      <w:marRight w:val="0"/>
      <w:marTop w:val="0"/>
      <w:marBottom w:val="0"/>
      <w:divBdr>
        <w:top w:val="none" w:sz="0" w:space="0" w:color="auto"/>
        <w:left w:val="none" w:sz="0" w:space="0" w:color="auto"/>
        <w:bottom w:val="none" w:sz="0" w:space="0" w:color="auto"/>
        <w:right w:val="none" w:sz="0" w:space="0" w:color="auto"/>
      </w:divBdr>
    </w:div>
    <w:div w:id="1402362204">
      <w:bodyDiv w:val="1"/>
      <w:marLeft w:val="0"/>
      <w:marRight w:val="0"/>
      <w:marTop w:val="0"/>
      <w:marBottom w:val="0"/>
      <w:divBdr>
        <w:top w:val="none" w:sz="0" w:space="0" w:color="auto"/>
        <w:left w:val="none" w:sz="0" w:space="0" w:color="auto"/>
        <w:bottom w:val="none" w:sz="0" w:space="0" w:color="auto"/>
        <w:right w:val="none" w:sz="0" w:space="0" w:color="auto"/>
      </w:divBdr>
    </w:div>
    <w:div w:id="1405953769">
      <w:bodyDiv w:val="1"/>
      <w:marLeft w:val="0"/>
      <w:marRight w:val="0"/>
      <w:marTop w:val="0"/>
      <w:marBottom w:val="0"/>
      <w:divBdr>
        <w:top w:val="none" w:sz="0" w:space="0" w:color="auto"/>
        <w:left w:val="none" w:sz="0" w:space="0" w:color="auto"/>
        <w:bottom w:val="none" w:sz="0" w:space="0" w:color="auto"/>
        <w:right w:val="none" w:sz="0" w:space="0" w:color="auto"/>
      </w:divBdr>
      <w:divsChild>
        <w:div w:id="448276745">
          <w:marLeft w:val="0"/>
          <w:marRight w:val="0"/>
          <w:marTop w:val="0"/>
          <w:marBottom w:val="0"/>
          <w:divBdr>
            <w:top w:val="single" w:sz="2" w:space="0" w:color="auto"/>
            <w:left w:val="single" w:sz="2" w:space="0" w:color="auto"/>
            <w:bottom w:val="single" w:sz="6" w:space="0" w:color="auto"/>
            <w:right w:val="single" w:sz="2" w:space="0" w:color="auto"/>
          </w:divBdr>
          <w:divsChild>
            <w:div w:id="1956668634">
              <w:marLeft w:val="0"/>
              <w:marRight w:val="0"/>
              <w:marTop w:val="100"/>
              <w:marBottom w:val="100"/>
              <w:divBdr>
                <w:top w:val="single" w:sz="2" w:space="0" w:color="D9D9E3"/>
                <w:left w:val="single" w:sz="2" w:space="0" w:color="D9D9E3"/>
                <w:bottom w:val="single" w:sz="2" w:space="0" w:color="D9D9E3"/>
                <w:right w:val="single" w:sz="2" w:space="0" w:color="D9D9E3"/>
              </w:divBdr>
              <w:divsChild>
                <w:div w:id="1490058418">
                  <w:marLeft w:val="0"/>
                  <w:marRight w:val="0"/>
                  <w:marTop w:val="0"/>
                  <w:marBottom w:val="0"/>
                  <w:divBdr>
                    <w:top w:val="single" w:sz="2" w:space="0" w:color="D9D9E3"/>
                    <w:left w:val="single" w:sz="2" w:space="0" w:color="D9D9E3"/>
                    <w:bottom w:val="single" w:sz="2" w:space="0" w:color="D9D9E3"/>
                    <w:right w:val="single" w:sz="2" w:space="0" w:color="D9D9E3"/>
                  </w:divBdr>
                  <w:divsChild>
                    <w:div w:id="1795518287">
                      <w:marLeft w:val="0"/>
                      <w:marRight w:val="0"/>
                      <w:marTop w:val="0"/>
                      <w:marBottom w:val="0"/>
                      <w:divBdr>
                        <w:top w:val="single" w:sz="2" w:space="0" w:color="D9D9E3"/>
                        <w:left w:val="single" w:sz="2" w:space="0" w:color="D9D9E3"/>
                        <w:bottom w:val="single" w:sz="2" w:space="0" w:color="D9D9E3"/>
                        <w:right w:val="single" w:sz="2" w:space="0" w:color="D9D9E3"/>
                      </w:divBdr>
                      <w:divsChild>
                        <w:div w:id="1558205592">
                          <w:marLeft w:val="0"/>
                          <w:marRight w:val="0"/>
                          <w:marTop w:val="0"/>
                          <w:marBottom w:val="0"/>
                          <w:divBdr>
                            <w:top w:val="single" w:sz="2" w:space="0" w:color="D9D9E3"/>
                            <w:left w:val="single" w:sz="2" w:space="0" w:color="D9D9E3"/>
                            <w:bottom w:val="single" w:sz="2" w:space="0" w:color="D9D9E3"/>
                            <w:right w:val="single" w:sz="2" w:space="0" w:color="D9D9E3"/>
                          </w:divBdr>
                          <w:divsChild>
                            <w:div w:id="97552772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429303682">
      <w:bodyDiv w:val="1"/>
      <w:marLeft w:val="0"/>
      <w:marRight w:val="0"/>
      <w:marTop w:val="0"/>
      <w:marBottom w:val="0"/>
      <w:divBdr>
        <w:top w:val="none" w:sz="0" w:space="0" w:color="auto"/>
        <w:left w:val="none" w:sz="0" w:space="0" w:color="auto"/>
        <w:bottom w:val="none" w:sz="0" w:space="0" w:color="auto"/>
        <w:right w:val="none" w:sz="0" w:space="0" w:color="auto"/>
      </w:divBdr>
    </w:div>
    <w:div w:id="1446119357">
      <w:bodyDiv w:val="1"/>
      <w:marLeft w:val="0"/>
      <w:marRight w:val="0"/>
      <w:marTop w:val="0"/>
      <w:marBottom w:val="0"/>
      <w:divBdr>
        <w:top w:val="none" w:sz="0" w:space="0" w:color="auto"/>
        <w:left w:val="none" w:sz="0" w:space="0" w:color="auto"/>
        <w:bottom w:val="none" w:sz="0" w:space="0" w:color="auto"/>
        <w:right w:val="none" w:sz="0" w:space="0" w:color="auto"/>
      </w:divBdr>
    </w:div>
    <w:div w:id="1449279259">
      <w:bodyDiv w:val="1"/>
      <w:marLeft w:val="0"/>
      <w:marRight w:val="0"/>
      <w:marTop w:val="0"/>
      <w:marBottom w:val="0"/>
      <w:divBdr>
        <w:top w:val="none" w:sz="0" w:space="0" w:color="auto"/>
        <w:left w:val="none" w:sz="0" w:space="0" w:color="auto"/>
        <w:bottom w:val="none" w:sz="0" w:space="0" w:color="auto"/>
        <w:right w:val="none" w:sz="0" w:space="0" w:color="auto"/>
      </w:divBdr>
    </w:div>
    <w:div w:id="1449854752">
      <w:bodyDiv w:val="1"/>
      <w:marLeft w:val="0"/>
      <w:marRight w:val="0"/>
      <w:marTop w:val="0"/>
      <w:marBottom w:val="0"/>
      <w:divBdr>
        <w:top w:val="none" w:sz="0" w:space="0" w:color="auto"/>
        <w:left w:val="none" w:sz="0" w:space="0" w:color="auto"/>
        <w:bottom w:val="none" w:sz="0" w:space="0" w:color="auto"/>
        <w:right w:val="none" w:sz="0" w:space="0" w:color="auto"/>
      </w:divBdr>
    </w:div>
    <w:div w:id="1460492579">
      <w:bodyDiv w:val="1"/>
      <w:marLeft w:val="0"/>
      <w:marRight w:val="0"/>
      <w:marTop w:val="0"/>
      <w:marBottom w:val="0"/>
      <w:divBdr>
        <w:top w:val="none" w:sz="0" w:space="0" w:color="auto"/>
        <w:left w:val="none" w:sz="0" w:space="0" w:color="auto"/>
        <w:bottom w:val="none" w:sz="0" w:space="0" w:color="auto"/>
        <w:right w:val="none" w:sz="0" w:space="0" w:color="auto"/>
      </w:divBdr>
    </w:div>
    <w:div w:id="1473517717">
      <w:bodyDiv w:val="1"/>
      <w:marLeft w:val="0"/>
      <w:marRight w:val="0"/>
      <w:marTop w:val="0"/>
      <w:marBottom w:val="0"/>
      <w:divBdr>
        <w:top w:val="none" w:sz="0" w:space="0" w:color="auto"/>
        <w:left w:val="none" w:sz="0" w:space="0" w:color="auto"/>
        <w:bottom w:val="none" w:sz="0" w:space="0" w:color="auto"/>
        <w:right w:val="none" w:sz="0" w:space="0" w:color="auto"/>
      </w:divBdr>
    </w:div>
    <w:div w:id="1489202511">
      <w:bodyDiv w:val="1"/>
      <w:marLeft w:val="0"/>
      <w:marRight w:val="0"/>
      <w:marTop w:val="0"/>
      <w:marBottom w:val="0"/>
      <w:divBdr>
        <w:top w:val="none" w:sz="0" w:space="0" w:color="auto"/>
        <w:left w:val="none" w:sz="0" w:space="0" w:color="auto"/>
        <w:bottom w:val="none" w:sz="0" w:space="0" w:color="auto"/>
        <w:right w:val="none" w:sz="0" w:space="0" w:color="auto"/>
      </w:divBdr>
    </w:div>
    <w:div w:id="1545286461">
      <w:bodyDiv w:val="1"/>
      <w:marLeft w:val="0"/>
      <w:marRight w:val="0"/>
      <w:marTop w:val="0"/>
      <w:marBottom w:val="0"/>
      <w:divBdr>
        <w:top w:val="none" w:sz="0" w:space="0" w:color="auto"/>
        <w:left w:val="none" w:sz="0" w:space="0" w:color="auto"/>
        <w:bottom w:val="none" w:sz="0" w:space="0" w:color="auto"/>
        <w:right w:val="none" w:sz="0" w:space="0" w:color="auto"/>
      </w:divBdr>
    </w:div>
    <w:div w:id="1550998465">
      <w:bodyDiv w:val="1"/>
      <w:marLeft w:val="0"/>
      <w:marRight w:val="0"/>
      <w:marTop w:val="0"/>
      <w:marBottom w:val="0"/>
      <w:divBdr>
        <w:top w:val="none" w:sz="0" w:space="0" w:color="auto"/>
        <w:left w:val="none" w:sz="0" w:space="0" w:color="auto"/>
        <w:bottom w:val="none" w:sz="0" w:space="0" w:color="auto"/>
        <w:right w:val="none" w:sz="0" w:space="0" w:color="auto"/>
      </w:divBdr>
    </w:div>
    <w:div w:id="1563712464">
      <w:bodyDiv w:val="1"/>
      <w:marLeft w:val="0"/>
      <w:marRight w:val="0"/>
      <w:marTop w:val="0"/>
      <w:marBottom w:val="0"/>
      <w:divBdr>
        <w:top w:val="none" w:sz="0" w:space="0" w:color="auto"/>
        <w:left w:val="none" w:sz="0" w:space="0" w:color="auto"/>
        <w:bottom w:val="none" w:sz="0" w:space="0" w:color="auto"/>
        <w:right w:val="none" w:sz="0" w:space="0" w:color="auto"/>
      </w:divBdr>
    </w:div>
    <w:div w:id="1581792210">
      <w:bodyDiv w:val="1"/>
      <w:marLeft w:val="0"/>
      <w:marRight w:val="0"/>
      <w:marTop w:val="0"/>
      <w:marBottom w:val="0"/>
      <w:divBdr>
        <w:top w:val="none" w:sz="0" w:space="0" w:color="auto"/>
        <w:left w:val="none" w:sz="0" w:space="0" w:color="auto"/>
        <w:bottom w:val="none" w:sz="0" w:space="0" w:color="auto"/>
        <w:right w:val="none" w:sz="0" w:space="0" w:color="auto"/>
      </w:divBdr>
    </w:div>
    <w:div w:id="1593080903">
      <w:bodyDiv w:val="1"/>
      <w:marLeft w:val="0"/>
      <w:marRight w:val="0"/>
      <w:marTop w:val="0"/>
      <w:marBottom w:val="0"/>
      <w:divBdr>
        <w:top w:val="none" w:sz="0" w:space="0" w:color="auto"/>
        <w:left w:val="none" w:sz="0" w:space="0" w:color="auto"/>
        <w:bottom w:val="none" w:sz="0" w:space="0" w:color="auto"/>
        <w:right w:val="none" w:sz="0" w:space="0" w:color="auto"/>
      </w:divBdr>
      <w:divsChild>
        <w:div w:id="506288373">
          <w:marLeft w:val="547"/>
          <w:marRight w:val="0"/>
          <w:marTop w:val="154"/>
          <w:marBottom w:val="0"/>
          <w:divBdr>
            <w:top w:val="none" w:sz="0" w:space="0" w:color="auto"/>
            <w:left w:val="none" w:sz="0" w:space="0" w:color="auto"/>
            <w:bottom w:val="none" w:sz="0" w:space="0" w:color="auto"/>
            <w:right w:val="none" w:sz="0" w:space="0" w:color="auto"/>
          </w:divBdr>
        </w:div>
      </w:divsChild>
    </w:div>
    <w:div w:id="1596672450">
      <w:bodyDiv w:val="1"/>
      <w:marLeft w:val="0"/>
      <w:marRight w:val="0"/>
      <w:marTop w:val="0"/>
      <w:marBottom w:val="0"/>
      <w:divBdr>
        <w:top w:val="none" w:sz="0" w:space="0" w:color="auto"/>
        <w:left w:val="none" w:sz="0" w:space="0" w:color="auto"/>
        <w:bottom w:val="none" w:sz="0" w:space="0" w:color="auto"/>
        <w:right w:val="none" w:sz="0" w:space="0" w:color="auto"/>
      </w:divBdr>
      <w:divsChild>
        <w:div w:id="1966502482">
          <w:marLeft w:val="0"/>
          <w:marRight w:val="0"/>
          <w:marTop w:val="0"/>
          <w:marBottom w:val="0"/>
          <w:divBdr>
            <w:top w:val="none" w:sz="0" w:space="0" w:color="auto"/>
            <w:left w:val="none" w:sz="0" w:space="0" w:color="auto"/>
            <w:bottom w:val="none" w:sz="0" w:space="0" w:color="auto"/>
            <w:right w:val="none" w:sz="0" w:space="0" w:color="auto"/>
          </w:divBdr>
          <w:divsChild>
            <w:div w:id="1639727295">
              <w:marLeft w:val="0"/>
              <w:marRight w:val="0"/>
              <w:marTop w:val="0"/>
              <w:marBottom w:val="0"/>
              <w:divBdr>
                <w:top w:val="none" w:sz="0" w:space="0" w:color="auto"/>
                <w:left w:val="none" w:sz="0" w:space="0" w:color="auto"/>
                <w:bottom w:val="none" w:sz="0" w:space="0" w:color="auto"/>
                <w:right w:val="none" w:sz="0" w:space="0" w:color="auto"/>
              </w:divBdr>
              <w:divsChild>
                <w:div w:id="2051807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2034085">
      <w:bodyDiv w:val="1"/>
      <w:marLeft w:val="0"/>
      <w:marRight w:val="0"/>
      <w:marTop w:val="0"/>
      <w:marBottom w:val="0"/>
      <w:divBdr>
        <w:top w:val="none" w:sz="0" w:space="0" w:color="auto"/>
        <w:left w:val="none" w:sz="0" w:space="0" w:color="auto"/>
        <w:bottom w:val="none" w:sz="0" w:space="0" w:color="auto"/>
        <w:right w:val="none" w:sz="0" w:space="0" w:color="auto"/>
      </w:divBdr>
    </w:div>
    <w:div w:id="1619601518">
      <w:bodyDiv w:val="1"/>
      <w:marLeft w:val="0"/>
      <w:marRight w:val="0"/>
      <w:marTop w:val="0"/>
      <w:marBottom w:val="0"/>
      <w:divBdr>
        <w:top w:val="none" w:sz="0" w:space="0" w:color="auto"/>
        <w:left w:val="none" w:sz="0" w:space="0" w:color="auto"/>
        <w:bottom w:val="none" w:sz="0" w:space="0" w:color="auto"/>
        <w:right w:val="none" w:sz="0" w:space="0" w:color="auto"/>
      </w:divBdr>
    </w:div>
    <w:div w:id="1625575261">
      <w:bodyDiv w:val="1"/>
      <w:marLeft w:val="0"/>
      <w:marRight w:val="0"/>
      <w:marTop w:val="0"/>
      <w:marBottom w:val="0"/>
      <w:divBdr>
        <w:top w:val="none" w:sz="0" w:space="0" w:color="auto"/>
        <w:left w:val="none" w:sz="0" w:space="0" w:color="auto"/>
        <w:bottom w:val="none" w:sz="0" w:space="0" w:color="auto"/>
        <w:right w:val="none" w:sz="0" w:space="0" w:color="auto"/>
      </w:divBdr>
    </w:div>
    <w:div w:id="1643846601">
      <w:bodyDiv w:val="1"/>
      <w:marLeft w:val="0"/>
      <w:marRight w:val="0"/>
      <w:marTop w:val="0"/>
      <w:marBottom w:val="0"/>
      <w:divBdr>
        <w:top w:val="none" w:sz="0" w:space="0" w:color="auto"/>
        <w:left w:val="none" w:sz="0" w:space="0" w:color="auto"/>
        <w:bottom w:val="none" w:sz="0" w:space="0" w:color="auto"/>
        <w:right w:val="none" w:sz="0" w:space="0" w:color="auto"/>
      </w:divBdr>
    </w:div>
    <w:div w:id="1706715864">
      <w:bodyDiv w:val="1"/>
      <w:marLeft w:val="0"/>
      <w:marRight w:val="0"/>
      <w:marTop w:val="0"/>
      <w:marBottom w:val="0"/>
      <w:divBdr>
        <w:top w:val="none" w:sz="0" w:space="0" w:color="auto"/>
        <w:left w:val="none" w:sz="0" w:space="0" w:color="auto"/>
        <w:bottom w:val="none" w:sz="0" w:space="0" w:color="auto"/>
        <w:right w:val="none" w:sz="0" w:space="0" w:color="auto"/>
      </w:divBdr>
    </w:div>
    <w:div w:id="1738474480">
      <w:bodyDiv w:val="1"/>
      <w:marLeft w:val="0"/>
      <w:marRight w:val="0"/>
      <w:marTop w:val="0"/>
      <w:marBottom w:val="0"/>
      <w:divBdr>
        <w:top w:val="none" w:sz="0" w:space="0" w:color="auto"/>
        <w:left w:val="none" w:sz="0" w:space="0" w:color="auto"/>
        <w:bottom w:val="none" w:sz="0" w:space="0" w:color="auto"/>
        <w:right w:val="none" w:sz="0" w:space="0" w:color="auto"/>
      </w:divBdr>
    </w:div>
    <w:div w:id="1756392730">
      <w:bodyDiv w:val="1"/>
      <w:marLeft w:val="0"/>
      <w:marRight w:val="0"/>
      <w:marTop w:val="0"/>
      <w:marBottom w:val="0"/>
      <w:divBdr>
        <w:top w:val="none" w:sz="0" w:space="0" w:color="auto"/>
        <w:left w:val="none" w:sz="0" w:space="0" w:color="auto"/>
        <w:bottom w:val="none" w:sz="0" w:space="0" w:color="auto"/>
        <w:right w:val="none" w:sz="0" w:space="0" w:color="auto"/>
      </w:divBdr>
    </w:div>
    <w:div w:id="1764179983">
      <w:bodyDiv w:val="1"/>
      <w:marLeft w:val="0"/>
      <w:marRight w:val="0"/>
      <w:marTop w:val="0"/>
      <w:marBottom w:val="0"/>
      <w:divBdr>
        <w:top w:val="none" w:sz="0" w:space="0" w:color="auto"/>
        <w:left w:val="none" w:sz="0" w:space="0" w:color="auto"/>
        <w:bottom w:val="none" w:sz="0" w:space="0" w:color="auto"/>
        <w:right w:val="none" w:sz="0" w:space="0" w:color="auto"/>
      </w:divBdr>
    </w:div>
    <w:div w:id="1767656205">
      <w:bodyDiv w:val="1"/>
      <w:marLeft w:val="0"/>
      <w:marRight w:val="0"/>
      <w:marTop w:val="0"/>
      <w:marBottom w:val="0"/>
      <w:divBdr>
        <w:top w:val="none" w:sz="0" w:space="0" w:color="auto"/>
        <w:left w:val="none" w:sz="0" w:space="0" w:color="auto"/>
        <w:bottom w:val="none" w:sz="0" w:space="0" w:color="auto"/>
        <w:right w:val="none" w:sz="0" w:space="0" w:color="auto"/>
      </w:divBdr>
    </w:div>
    <w:div w:id="1786541341">
      <w:bodyDiv w:val="1"/>
      <w:marLeft w:val="0"/>
      <w:marRight w:val="0"/>
      <w:marTop w:val="0"/>
      <w:marBottom w:val="0"/>
      <w:divBdr>
        <w:top w:val="none" w:sz="0" w:space="0" w:color="auto"/>
        <w:left w:val="none" w:sz="0" w:space="0" w:color="auto"/>
        <w:bottom w:val="none" w:sz="0" w:space="0" w:color="auto"/>
        <w:right w:val="none" w:sz="0" w:space="0" w:color="auto"/>
      </w:divBdr>
    </w:div>
    <w:div w:id="1796295417">
      <w:bodyDiv w:val="1"/>
      <w:marLeft w:val="0"/>
      <w:marRight w:val="0"/>
      <w:marTop w:val="0"/>
      <w:marBottom w:val="0"/>
      <w:divBdr>
        <w:top w:val="none" w:sz="0" w:space="0" w:color="auto"/>
        <w:left w:val="none" w:sz="0" w:space="0" w:color="auto"/>
        <w:bottom w:val="none" w:sz="0" w:space="0" w:color="auto"/>
        <w:right w:val="none" w:sz="0" w:space="0" w:color="auto"/>
      </w:divBdr>
    </w:div>
    <w:div w:id="1826509234">
      <w:bodyDiv w:val="1"/>
      <w:marLeft w:val="0"/>
      <w:marRight w:val="0"/>
      <w:marTop w:val="0"/>
      <w:marBottom w:val="0"/>
      <w:divBdr>
        <w:top w:val="none" w:sz="0" w:space="0" w:color="auto"/>
        <w:left w:val="none" w:sz="0" w:space="0" w:color="auto"/>
        <w:bottom w:val="none" w:sz="0" w:space="0" w:color="auto"/>
        <w:right w:val="none" w:sz="0" w:space="0" w:color="auto"/>
      </w:divBdr>
    </w:div>
    <w:div w:id="1851916817">
      <w:bodyDiv w:val="1"/>
      <w:marLeft w:val="0"/>
      <w:marRight w:val="0"/>
      <w:marTop w:val="0"/>
      <w:marBottom w:val="0"/>
      <w:divBdr>
        <w:top w:val="none" w:sz="0" w:space="0" w:color="auto"/>
        <w:left w:val="none" w:sz="0" w:space="0" w:color="auto"/>
        <w:bottom w:val="none" w:sz="0" w:space="0" w:color="auto"/>
        <w:right w:val="none" w:sz="0" w:space="0" w:color="auto"/>
      </w:divBdr>
    </w:div>
    <w:div w:id="1881698908">
      <w:bodyDiv w:val="1"/>
      <w:marLeft w:val="0"/>
      <w:marRight w:val="0"/>
      <w:marTop w:val="0"/>
      <w:marBottom w:val="0"/>
      <w:divBdr>
        <w:top w:val="none" w:sz="0" w:space="0" w:color="auto"/>
        <w:left w:val="none" w:sz="0" w:space="0" w:color="auto"/>
        <w:bottom w:val="none" w:sz="0" w:space="0" w:color="auto"/>
        <w:right w:val="none" w:sz="0" w:space="0" w:color="auto"/>
      </w:divBdr>
    </w:div>
    <w:div w:id="1898199843">
      <w:bodyDiv w:val="1"/>
      <w:marLeft w:val="0"/>
      <w:marRight w:val="0"/>
      <w:marTop w:val="0"/>
      <w:marBottom w:val="0"/>
      <w:divBdr>
        <w:top w:val="none" w:sz="0" w:space="0" w:color="auto"/>
        <w:left w:val="none" w:sz="0" w:space="0" w:color="auto"/>
        <w:bottom w:val="none" w:sz="0" w:space="0" w:color="auto"/>
        <w:right w:val="none" w:sz="0" w:space="0" w:color="auto"/>
      </w:divBdr>
    </w:div>
    <w:div w:id="1906722614">
      <w:bodyDiv w:val="1"/>
      <w:marLeft w:val="0"/>
      <w:marRight w:val="0"/>
      <w:marTop w:val="0"/>
      <w:marBottom w:val="0"/>
      <w:divBdr>
        <w:top w:val="none" w:sz="0" w:space="0" w:color="auto"/>
        <w:left w:val="none" w:sz="0" w:space="0" w:color="auto"/>
        <w:bottom w:val="none" w:sz="0" w:space="0" w:color="auto"/>
        <w:right w:val="none" w:sz="0" w:space="0" w:color="auto"/>
      </w:divBdr>
    </w:div>
    <w:div w:id="1916891288">
      <w:bodyDiv w:val="1"/>
      <w:marLeft w:val="0"/>
      <w:marRight w:val="0"/>
      <w:marTop w:val="0"/>
      <w:marBottom w:val="0"/>
      <w:divBdr>
        <w:top w:val="none" w:sz="0" w:space="0" w:color="auto"/>
        <w:left w:val="none" w:sz="0" w:space="0" w:color="auto"/>
        <w:bottom w:val="none" w:sz="0" w:space="0" w:color="auto"/>
        <w:right w:val="none" w:sz="0" w:space="0" w:color="auto"/>
      </w:divBdr>
    </w:div>
    <w:div w:id="1925413151">
      <w:bodyDiv w:val="1"/>
      <w:marLeft w:val="0"/>
      <w:marRight w:val="0"/>
      <w:marTop w:val="0"/>
      <w:marBottom w:val="0"/>
      <w:divBdr>
        <w:top w:val="none" w:sz="0" w:space="0" w:color="auto"/>
        <w:left w:val="none" w:sz="0" w:space="0" w:color="auto"/>
        <w:bottom w:val="none" w:sz="0" w:space="0" w:color="auto"/>
        <w:right w:val="none" w:sz="0" w:space="0" w:color="auto"/>
      </w:divBdr>
    </w:div>
    <w:div w:id="1929346095">
      <w:bodyDiv w:val="1"/>
      <w:marLeft w:val="0"/>
      <w:marRight w:val="0"/>
      <w:marTop w:val="0"/>
      <w:marBottom w:val="0"/>
      <w:divBdr>
        <w:top w:val="none" w:sz="0" w:space="0" w:color="auto"/>
        <w:left w:val="none" w:sz="0" w:space="0" w:color="auto"/>
        <w:bottom w:val="none" w:sz="0" w:space="0" w:color="auto"/>
        <w:right w:val="none" w:sz="0" w:space="0" w:color="auto"/>
      </w:divBdr>
    </w:div>
    <w:div w:id="1932425220">
      <w:bodyDiv w:val="1"/>
      <w:marLeft w:val="0"/>
      <w:marRight w:val="0"/>
      <w:marTop w:val="0"/>
      <w:marBottom w:val="0"/>
      <w:divBdr>
        <w:top w:val="none" w:sz="0" w:space="0" w:color="auto"/>
        <w:left w:val="none" w:sz="0" w:space="0" w:color="auto"/>
        <w:bottom w:val="none" w:sz="0" w:space="0" w:color="auto"/>
        <w:right w:val="none" w:sz="0" w:space="0" w:color="auto"/>
      </w:divBdr>
    </w:div>
    <w:div w:id="1956404159">
      <w:bodyDiv w:val="1"/>
      <w:marLeft w:val="0"/>
      <w:marRight w:val="0"/>
      <w:marTop w:val="0"/>
      <w:marBottom w:val="0"/>
      <w:divBdr>
        <w:top w:val="none" w:sz="0" w:space="0" w:color="auto"/>
        <w:left w:val="none" w:sz="0" w:space="0" w:color="auto"/>
        <w:bottom w:val="none" w:sz="0" w:space="0" w:color="auto"/>
        <w:right w:val="none" w:sz="0" w:space="0" w:color="auto"/>
      </w:divBdr>
    </w:div>
    <w:div w:id="1977682548">
      <w:bodyDiv w:val="1"/>
      <w:marLeft w:val="0"/>
      <w:marRight w:val="0"/>
      <w:marTop w:val="0"/>
      <w:marBottom w:val="0"/>
      <w:divBdr>
        <w:top w:val="none" w:sz="0" w:space="0" w:color="auto"/>
        <w:left w:val="none" w:sz="0" w:space="0" w:color="auto"/>
        <w:bottom w:val="none" w:sz="0" w:space="0" w:color="auto"/>
        <w:right w:val="none" w:sz="0" w:space="0" w:color="auto"/>
      </w:divBdr>
      <w:divsChild>
        <w:div w:id="1439790982">
          <w:marLeft w:val="0"/>
          <w:marRight w:val="0"/>
          <w:marTop w:val="0"/>
          <w:marBottom w:val="0"/>
          <w:divBdr>
            <w:top w:val="none" w:sz="0" w:space="0" w:color="auto"/>
            <w:left w:val="none" w:sz="0" w:space="0" w:color="auto"/>
            <w:bottom w:val="none" w:sz="0" w:space="0" w:color="auto"/>
            <w:right w:val="none" w:sz="0" w:space="0" w:color="auto"/>
          </w:divBdr>
          <w:divsChild>
            <w:div w:id="453183844">
              <w:marLeft w:val="0"/>
              <w:marRight w:val="0"/>
              <w:marTop w:val="0"/>
              <w:marBottom w:val="0"/>
              <w:divBdr>
                <w:top w:val="none" w:sz="0" w:space="0" w:color="auto"/>
                <w:left w:val="none" w:sz="0" w:space="0" w:color="auto"/>
                <w:bottom w:val="none" w:sz="0" w:space="0" w:color="auto"/>
                <w:right w:val="none" w:sz="0" w:space="0" w:color="auto"/>
              </w:divBdr>
              <w:divsChild>
                <w:div w:id="199704364">
                  <w:marLeft w:val="0"/>
                  <w:marRight w:val="0"/>
                  <w:marTop w:val="0"/>
                  <w:marBottom w:val="0"/>
                  <w:divBdr>
                    <w:top w:val="none" w:sz="0" w:space="0" w:color="auto"/>
                    <w:left w:val="none" w:sz="0" w:space="0" w:color="auto"/>
                    <w:bottom w:val="none" w:sz="0" w:space="0" w:color="auto"/>
                    <w:right w:val="none" w:sz="0" w:space="0" w:color="auto"/>
                  </w:divBdr>
                  <w:divsChild>
                    <w:div w:id="1374647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0982313">
      <w:bodyDiv w:val="1"/>
      <w:marLeft w:val="0"/>
      <w:marRight w:val="0"/>
      <w:marTop w:val="0"/>
      <w:marBottom w:val="0"/>
      <w:divBdr>
        <w:top w:val="none" w:sz="0" w:space="0" w:color="auto"/>
        <w:left w:val="none" w:sz="0" w:space="0" w:color="auto"/>
        <w:bottom w:val="none" w:sz="0" w:space="0" w:color="auto"/>
        <w:right w:val="none" w:sz="0" w:space="0" w:color="auto"/>
      </w:divBdr>
    </w:div>
    <w:div w:id="2020231125">
      <w:bodyDiv w:val="1"/>
      <w:marLeft w:val="0"/>
      <w:marRight w:val="0"/>
      <w:marTop w:val="0"/>
      <w:marBottom w:val="0"/>
      <w:divBdr>
        <w:top w:val="none" w:sz="0" w:space="0" w:color="auto"/>
        <w:left w:val="none" w:sz="0" w:space="0" w:color="auto"/>
        <w:bottom w:val="none" w:sz="0" w:space="0" w:color="auto"/>
        <w:right w:val="none" w:sz="0" w:space="0" w:color="auto"/>
      </w:divBdr>
    </w:div>
    <w:div w:id="2050765162">
      <w:bodyDiv w:val="1"/>
      <w:marLeft w:val="0"/>
      <w:marRight w:val="0"/>
      <w:marTop w:val="0"/>
      <w:marBottom w:val="0"/>
      <w:divBdr>
        <w:top w:val="none" w:sz="0" w:space="0" w:color="auto"/>
        <w:left w:val="none" w:sz="0" w:space="0" w:color="auto"/>
        <w:bottom w:val="none" w:sz="0" w:space="0" w:color="auto"/>
        <w:right w:val="none" w:sz="0" w:space="0" w:color="auto"/>
      </w:divBdr>
    </w:div>
    <w:div w:id="2054453007">
      <w:bodyDiv w:val="1"/>
      <w:marLeft w:val="0"/>
      <w:marRight w:val="0"/>
      <w:marTop w:val="0"/>
      <w:marBottom w:val="0"/>
      <w:divBdr>
        <w:top w:val="none" w:sz="0" w:space="0" w:color="auto"/>
        <w:left w:val="none" w:sz="0" w:space="0" w:color="auto"/>
        <w:bottom w:val="none" w:sz="0" w:space="0" w:color="auto"/>
        <w:right w:val="none" w:sz="0" w:space="0" w:color="auto"/>
      </w:divBdr>
    </w:div>
    <w:div w:id="2102329572">
      <w:bodyDiv w:val="1"/>
      <w:marLeft w:val="0"/>
      <w:marRight w:val="0"/>
      <w:marTop w:val="0"/>
      <w:marBottom w:val="0"/>
      <w:divBdr>
        <w:top w:val="none" w:sz="0" w:space="0" w:color="auto"/>
        <w:left w:val="none" w:sz="0" w:space="0" w:color="auto"/>
        <w:bottom w:val="none" w:sz="0" w:space="0" w:color="auto"/>
        <w:right w:val="none" w:sz="0" w:space="0" w:color="auto"/>
      </w:divBdr>
    </w:div>
    <w:div w:id="2111970563">
      <w:bodyDiv w:val="1"/>
      <w:marLeft w:val="0"/>
      <w:marRight w:val="0"/>
      <w:marTop w:val="0"/>
      <w:marBottom w:val="0"/>
      <w:divBdr>
        <w:top w:val="none" w:sz="0" w:space="0" w:color="auto"/>
        <w:left w:val="none" w:sz="0" w:space="0" w:color="auto"/>
        <w:bottom w:val="none" w:sz="0" w:space="0" w:color="auto"/>
        <w:right w:val="none" w:sz="0" w:space="0" w:color="auto"/>
      </w:divBdr>
    </w:div>
    <w:div w:id="21416066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oleObject" Target="embeddings/oleObject54.bin"/><Relationship Id="rId21" Type="http://schemas.openxmlformats.org/officeDocument/2006/relationships/image" Target="media/image6.wmf"/><Relationship Id="rId42" Type="http://schemas.openxmlformats.org/officeDocument/2006/relationships/image" Target="media/image16.wmf"/><Relationship Id="rId63" Type="http://schemas.openxmlformats.org/officeDocument/2006/relationships/oleObject" Target="embeddings/oleObject27.bin"/><Relationship Id="rId84" Type="http://schemas.openxmlformats.org/officeDocument/2006/relationships/image" Target="media/image37.wmf"/><Relationship Id="rId138" Type="http://schemas.openxmlformats.org/officeDocument/2006/relationships/image" Target="media/image64.wmf"/><Relationship Id="rId159" Type="http://schemas.openxmlformats.org/officeDocument/2006/relationships/oleObject" Target="embeddings/oleObject75.bin"/><Relationship Id="rId170" Type="http://schemas.openxmlformats.org/officeDocument/2006/relationships/image" Target="media/image80.wmf"/><Relationship Id="rId191" Type="http://schemas.openxmlformats.org/officeDocument/2006/relationships/oleObject" Target="embeddings/oleObject91.bin"/><Relationship Id="rId205" Type="http://schemas.openxmlformats.org/officeDocument/2006/relationships/image" Target="media/image97.wmf"/><Relationship Id="rId226" Type="http://schemas.openxmlformats.org/officeDocument/2006/relationships/image" Target="media/image112.wmf"/><Relationship Id="rId247" Type="http://schemas.openxmlformats.org/officeDocument/2006/relationships/image" Target="media/image116.wmf"/><Relationship Id="rId107" Type="http://schemas.openxmlformats.org/officeDocument/2006/relationships/image" Target="media/image48.wmf"/><Relationship Id="rId11" Type="http://schemas.openxmlformats.org/officeDocument/2006/relationships/image" Target="media/image1.wmf"/><Relationship Id="rId32" Type="http://schemas.openxmlformats.org/officeDocument/2006/relationships/oleObject" Target="embeddings/oleObject11.bin"/><Relationship Id="rId53" Type="http://schemas.openxmlformats.org/officeDocument/2006/relationships/oleObject" Target="embeddings/oleObject22.bin"/><Relationship Id="rId74" Type="http://schemas.openxmlformats.org/officeDocument/2006/relationships/image" Target="media/image32.wmf"/><Relationship Id="rId128" Type="http://schemas.openxmlformats.org/officeDocument/2006/relationships/image" Target="media/image59.wmf"/><Relationship Id="rId149" Type="http://schemas.openxmlformats.org/officeDocument/2006/relationships/oleObject" Target="embeddings/oleObject70.bin"/><Relationship Id="rId5" Type="http://schemas.openxmlformats.org/officeDocument/2006/relationships/webSettings" Target="webSettings.xml"/><Relationship Id="rId95" Type="http://schemas.openxmlformats.org/officeDocument/2006/relationships/oleObject" Target="embeddings/oleObject43.bin"/><Relationship Id="rId160" Type="http://schemas.openxmlformats.org/officeDocument/2006/relationships/image" Target="media/image75.wmf"/><Relationship Id="rId181" Type="http://schemas.openxmlformats.org/officeDocument/2006/relationships/oleObject" Target="embeddings/oleObject86.bin"/><Relationship Id="rId216" Type="http://schemas.openxmlformats.org/officeDocument/2006/relationships/image" Target="media/image107.wmf"/><Relationship Id="rId237" Type="http://schemas.openxmlformats.org/officeDocument/2006/relationships/hyperlink" Target="https://www.opentable.com/state-of-industry" TargetMode="External"/><Relationship Id="rId22" Type="http://schemas.openxmlformats.org/officeDocument/2006/relationships/oleObject" Target="embeddings/oleObject6.bin"/><Relationship Id="rId43" Type="http://schemas.openxmlformats.org/officeDocument/2006/relationships/oleObject" Target="embeddings/oleObject17.bin"/><Relationship Id="rId64" Type="http://schemas.openxmlformats.org/officeDocument/2006/relationships/image" Target="media/image27.wmf"/><Relationship Id="rId118" Type="http://schemas.openxmlformats.org/officeDocument/2006/relationships/image" Target="media/image54.wmf"/><Relationship Id="rId139" Type="http://schemas.openxmlformats.org/officeDocument/2006/relationships/oleObject" Target="embeddings/oleObject65.bin"/><Relationship Id="rId85" Type="http://schemas.openxmlformats.org/officeDocument/2006/relationships/oleObject" Target="embeddings/oleObject38.bin"/><Relationship Id="rId150" Type="http://schemas.openxmlformats.org/officeDocument/2006/relationships/image" Target="media/image70.wmf"/><Relationship Id="rId171" Type="http://schemas.openxmlformats.org/officeDocument/2006/relationships/oleObject" Target="embeddings/oleObject81.bin"/><Relationship Id="rId192" Type="http://schemas.openxmlformats.org/officeDocument/2006/relationships/image" Target="media/image91.wmf"/><Relationship Id="rId206" Type="http://schemas.openxmlformats.org/officeDocument/2006/relationships/oleObject" Target="embeddings/oleObject99.bin"/><Relationship Id="rId227" Type="http://schemas.openxmlformats.org/officeDocument/2006/relationships/oleObject" Target="embeddings/oleObject117.bin"/><Relationship Id="rId248" Type="http://schemas.openxmlformats.org/officeDocument/2006/relationships/oleObject" Target="embeddings/oleObject120.bin"/><Relationship Id="rId12" Type="http://schemas.openxmlformats.org/officeDocument/2006/relationships/oleObject" Target="embeddings/oleObject1.bin"/><Relationship Id="rId33" Type="http://schemas.openxmlformats.org/officeDocument/2006/relationships/image" Target="media/image12.wmf"/><Relationship Id="rId108" Type="http://schemas.openxmlformats.org/officeDocument/2006/relationships/oleObject" Target="embeddings/oleObject50.bin"/><Relationship Id="rId129" Type="http://schemas.openxmlformats.org/officeDocument/2006/relationships/oleObject" Target="embeddings/oleObject60.bin"/><Relationship Id="rId54" Type="http://schemas.openxmlformats.org/officeDocument/2006/relationships/image" Target="media/image22.wmf"/><Relationship Id="rId75" Type="http://schemas.openxmlformats.org/officeDocument/2006/relationships/oleObject" Target="embeddings/oleObject33.bin"/><Relationship Id="rId96" Type="http://schemas.openxmlformats.org/officeDocument/2006/relationships/image" Target="media/image43.wmf"/><Relationship Id="rId140" Type="http://schemas.openxmlformats.org/officeDocument/2006/relationships/image" Target="media/image65.wmf"/><Relationship Id="rId161" Type="http://schemas.openxmlformats.org/officeDocument/2006/relationships/oleObject" Target="embeddings/oleObject76.bin"/><Relationship Id="rId182" Type="http://schemas.openxmlformats.org/officeDocument/2006/relationships/image" Target="media/image86.wmf"/><Relationship Id="rId217" Type="http://schemas.openxmlformats.org/officeDocument/2006/relationships/oleObject" Target="embeddings/oleObject112.bin"/><Relationship Id="rId6" Type="http://schemas.openxmlformats.org/officeDocument/2006/relationships/footnotes" Target="footnotes.xml"/><Relationship Id="rId238" Type="http://schemas.openxmlformats.org/officeDocument/2006/relationships/hyperlink" Target="https://ssrn.com/abstract=3934589" TargetMode="External"/><Relationship Id="rId23" Type="http://schemas.openxmlformats.org/officeDocument/2006/relationships/image" Target="media/image7.wmf"/><Relationship Id="rId119" Type="http://schemas.openxmlformats.org/officeDocument/2006/relationships/oleObject" Target="embeddings/oleObject55.bin"/><Relationship Id="rId44" Type="http://schemas.openxmlformats.org/officeDocument/2006/relationships/image" Target="media/image17.wmf"/><Relationship Id="rId65" Type="http://schemas.openxmlformats.org/officeDocument/2006/relationships/oleObject" Target="embeddings/oleObject28.bin"/><Relationship Id="rId86" Type="http://schemas.openxmlformats.org/officeDocument/2006/relationships/image" Target="media/image38.wmf"/><Relationship Id="rId130" Type="http://schemas.openxmlformats.org/officeDocument/2006/relationships/image" Target="media/image60.wmf"/><Relationship Id="rId151" Type="http://schemas.openxmlformats.org/officeDocument/2006/relationships/image" Target="media/image71.wmf"/><Relationship Id="rId172" Type="http://schemas.openxmlformats.org/officeDocument/2006/relationships/image" Target="media/image81.wmf"/><Relationship Id="rId193" Type="http://schemas.openxmlformats.org/officeDocument/2006/relationships/oleObject" Target="embeddings/oleObject92.bin"/><Relationship Id="rId207" Type="http://schemas.openxmlformats.org/officeDocument/2006/relationships/oleObject" Target="embeddings/oleObject100.bin"/><Relationship Id="rId228" Type="http://schemas.openxmlformats.org/officeDocument/2006/relationships/image" Target="media/image113.wmf"/><Relationship Id="rId249" Type="http://schemas.openxmlformats.org/officeDocument/2006/relationships/image" Target="media/image117.wmf"/><Relationship Id="rId13" Type="http://schemas.openxmlformats.org/officeDocument/2006/relationships/image" Target="media/image2.wmf"/><Relationship Id="rId109" Type="http://schemas.openxmlformats.org/officeDocument/2006/relationships/image" Target="media/image49.wmf"/><Relationship Id="rId34" Type="http://schemas.openxmlformats.org/officeDocument/2006/relationships/oleObject" Target="embeddings/oleObject12.bin"/><Relationship Id="rId55" Type="http://schemas.openxmlformats.org/officeDocument/2006/relationships/oleObject" Target="embeddings/oleObject23.bin"/><Relationship Id="rId76" Type="http://schemas.openxmlformats.org/officeDocument/2006/relationships/image" Target="media/image33.wmf"/><Relationship Id="rId97" Type="http://schemas.openxmlformats.org/officeDocument/2006/relationships/oleObject" Target="embeddings/oleObject44.bin"/><Relationship Id="rId120" Type="http://schemas.openxmlformats.org/officeDocument/2006/relationships/image" Target="media/image55.wmf"/><Relationship Id="rId141" Type="http://schemas.openxmlformats.org/officeDocument/2006/relationships/oleObject" Target="embeddings/oleObject66.bin"/><Relationship Id="rId7" Type="http://schemas.openxmlformats.org/officeDocument/2006/relationships/endnotes" Target="endnotes.xml"/><Relationship Id="rId162" Type="http://schemas.openxmlformats.org/officeDocument/2006/relationships/image" Target="media/image76.wmf"/><Relationship Id="rId183" Type="http://schemas.openxmlformats.org/officeDocument/2006/relationships/oleObject" Target="embeddings/oleObject87.bin"/><Relationship Id="rId218" Type="http://schemas.openxmlformats.org/officeDocument/2006/relationships/image" Target="media/image108.wmf"/><Relationship Id="rId239" Type="http://schemas.openxmlformats.org/officeDocument/2006/relationships/hyperlink" Target="https://www.statista.com/statistics/259193/ordering-takeout-delivery-from-restaurants-in-the-us-by-gender/" TargetMode="External"/><Relationship Id="rId250" Type="http://schemas.openxmlformats.org/officeDocument/2006/relationships/oleObject" Target="embeddings/oleObject121.bin"/><Relationship Id="rId24" Type="http://schemas.openxmlformats.org/officeDocument/2006/relationships/oleObject" Target="embeddings/oleObject7.bin"/><Relationship Id="rId45" Type="http://schemas.openxmlformats.org/officeDocument/2006/relationships/oleObject" Target="embeddings/oleObject18.bin"/><Relationship Id="rId66" Type="http://schemas.openxmlformats.org/officeDocument/2006/relationships/image" Target="media/image28.wmf"/><Relationship Id="rId87" Type="http://schemas.openxmlformats.org/officeDocument/2006/relationships/oleObject" Target="embeddings/oleObject39.bin"/><Relationship Id="rId110" Type="http://schemas.openxmlformats.org/officeDocument/2006/relationships/image" Target="media/image50.wmf"/><Relationship Id="rId131" Type="http://schemas.openxmlformats.org/officeDocument/2006/relationships/oleObject" Target="embeddings/oleObject61.bin"/><Relationship Id="rId152" Type="http://schemas.openxmlformats.org/officeDocument/2006/relationships/oleObject" Target="embeddings/oleObject71.bin"/><Relationship Id="rId173" Type="http://schemas.openxmlformats.org/officeDocument/2006/relationships/oleObject" Target="embeddings/oleObject82.bin"/><Relationship Id="rId194" Type="http://schemas.openxmlformats.org/officeDocument/2006/relationships/image" Target="media/image92.wmf"/><Relationship Id="rId208" Type="http://schemas.openxmlformats.org/officeDocument/2006/relationships/oleObject" Target="embeddings/oleObject107.bin"/><Relationship Id="rId229" Type="http://schemas.openxmlformats.org/officeDocument/2006/relationships/oleObject" Target="embeddings/oleObject118.bin"/><Relationship Id="rId240" Type="http://schemas.openxmlformats.org/officeDocument/2006/relationships/hyperlink" Target="https://www.news-medical.net/health/How-Fast-Food-Affects-Childrens-Health.aspx" TargetMode="External"/><Relationship Id="rId14" Type="http://schemas.openxmlformats.org/officeDocument/2006/relationships/oleObject" Target="embeddings/oleObject2.bin"/><Relationship Id="rId35" Type="http://schemas.openxmlformats.org/officeDocument/2006/relationships/image" Target="media/image13.wmf"/><Relationship Id="rId56" Type="http://schemas.openxmlformats.org/officeDocument/2006/relationships/image" Target="media/image23.wmf"/><Relationship Id="rId77" Type="http://schemas.openxmlformats.org/officeDocument/2006/relationships/oleObject" Target="embeddings/oleObject34.bin"/><Relationship Id="rId100" Type="http://schemas.openxmlformats.org/officeDocument/2006/relationships/oleObject" Target="embeddings/oleObject46.bin"/><Relationship Id="rId8" Type="http://schemas.openxmlformats.org/officeDocument/2006/relationships/hyperlink" Target="mailto:angela.haddad@utexas.edu" TargetMode="External"/><Relationship Id="rId98" Type="http://schemas.openxmlformats.org/officeDocument/2006/relationships/image" Target="media/image44.wmf"/><Relationship Id="rId121" Type="http://schemas.openxmlformats.org/officeDocument/2006/relationships/oleObject" Target="embeddings/oleObject56.bin"/><Relationship Id="rId142" Type="http://schemas.openxmlformats.org/officeDocument/2006/relationships/image" Target="media/image66.wmf"/><Relationship Id="rId163" Type="http://schemas.openxmlformats.org/officeDocument/2006/relationships/oleObject" Target="embeddings/oleObject77.bin"/><Relationship Id="rId184" Type="http://schemas.openxmlformats.org/officeDocument/2006/relationships/image" Target="media/image87.wmf"/><Relationship Id="rId219" Type="http://schemas.openxmlformats.org/officeDocument/2006/relationships/oleObject" Target="embeddings/oleObject113.bin"/><Relationship Id="rId230" Type="http://schemas.openxmlformats.org/officeDocument/2006/relationships/image" Target="media/image114.wmf"/><Relationship Id="rId251" Type="http://schemas.openxmlformats.org/officeDocument/2006/relationships/fontTable" Target="fontTable.xml"/><Relationship Id="rId25" Type="http://schemas.openxmlformats.org/officeDocument/2006/relationships/image" Target="media/image8.wmf"/><Relationship Id="rId46" Type="http://schemas.openxmlformats.org/officeDocument/2006/relationships/image" Target="media/image18.wmf"/><Relationship Id="rId67" Type="http://schemas.openxmlformats.org/officeDocument/2006/relationships/oleObject" Target="embeddings/oleObject29.bin"/><Relationship Id="rId88" Type="http://schemas.openxmlformats.org/officeDocument/2006/relationships/image" Target="media/image39.wmf"/><Relationship Id="rId111" Type="http://schemas.openxmlformats.org/officeDocument/2006/relationships/oleObject" Target="embeddings/oleObject51.bin"/><Relationship Id="rId132" Type="http://schemas.openxmlformats.org/officeDocument/2006/relationships/image" Target="media/image61.wmf"/><Relationship Id="rId153" Type="http://schemas.openxmlformats.org/officeDocument/2006/relationships/oleObject" Target="embeddings/oleObject72.bin"/><Relationship Id="rId174" Type="http://schemas.openxmlformats.org/officeDocument/2006/relationships/image" Target="media/image82.wmf"/><Relationship Id="rId195" Type="http://schemas.openxmlformats.org/officeDocument/2006/relationships/oleObject" Target="embeddings/oleObject93.bin"/><Relationship Id="rId209" Type="http://schemas.openxmlformats.org/officeDocument/2006/relationships/image" Target="media/image104.wmf"/><Relationship Id="rId220" Type="http://schemas.openxmlformats.org/officeDocument/2006/relationships/image" Target="media/image109.wmf"/><Relationship Id="rId241" Type="http://schemas.openxmlformats.org/officeDocument/2006/relationships/hyperlink" Target="https://www.ers.usda.gov/data-products/chart-gallery/gallery/chart-detail/?chartId=58364" TargetMode="External"/><Relationship Id="rId15" Type="http://schemas.openxmlformats.org/officeDocument/2006/relationships/image" Target="media/image3.wmf"/><Relationship Id="rId36" Type="http://schemas.openxmlformats.org/officeDocument/2006/relationships/oleObject" Target="embeddings/oleObject13.bin"/><Relationship Id="rId57" Type="http://schemas.openxmlformats.org/officeDocument/2006/relationships/oleObject" Target="embeddings/oleObject24.bin"/><Relationship Id="rId78" Type="http://schemas.openxmlformats.org/officeDocument/2006/relationships/image" Target="media/image34.wmf"/><Relationship Id="rId99" Type="http://schemas.openxmlformats.org/officeDocument/2006/relationships/oleObject" Target="embeddings/oleObject45.bin"/><Relationship Id="rId101" Type="http://schemas.openxmlformats.org/officeDocument/2006/relationships/image" Target="media/image45.wmf"/><Relationship Id="rId122" Type="http://schemas.openxmlformats.org/officeDocument/2006/relationships/image" Target="media/image56.wmf"/><Relationship Id="rId143" Type="http://schemas.openxmlformats.org/officeDocument/2006/relationships/oleObject" Target="embeddings/oleObject67.bin"/><Relationship Id="rId164" Type="http://schemas.openxmlformats.org/officeDocument/2006/relationships/image" Target="media/image77.wmf"/><Relationship Id="rId185" Type="http://schemas.openxmlformats.org/officeDocument/2006/relationships/oleObject" Target="embeddings/oleObject88.bin"/><Relationship Id="rId4" Type="http://schemas.openxmlformats.org/officeDocument/2006/relationships/settings" Target="settings.xml"/><Relationship Id="rId9" Type="http://schemas.openxmlformats.org/officeDocument/2006/relationships/hyperlink" Target="mailto:aupal.mondal@utexas.edu" TargetMode="External"/><Relationship Id="rId180" Type="http://schemas.openxmlformats.org/officeDocument/2006/relationships/image" Target="media/image85.wmf"/><Relationship Id="rId210" Type="http://schemas.openxmlformats.org/officeDocument/2006/relationships/oleObject" Target="embeddings/oleObject108.bin"/><Relationship Id="rId215" Type="http://schemas.openxmlformats.org/officeDocument/2006/relationships/oleObject" Target="embeddings/oleObject111.bin"/><Relationship Id="rId236" Type="http://schemas.openxmlformats.org/officeDocument/2006/relationships/hyperlink" Target="https://www.weekand.com/healthy-living/article/attracts-kids-fast-food-18002699.php" TargetMode="External"/><Relationship Id="rId26" Type="http://schemas.openxmlformats.org/officeDocument/2006/relationships/oleObject" Target="embeddings/oleObject8.bin"/><Relationship Id="rId231" Type="http://schemas.openxmlformats.org/officeDocument/2006/relationships/oleObject" Target="embeddings/oleObject119.bin"/><Relationship Id="rId252" Type="http://schemas.openxmlformats.org/officeDocument/2006/relationships/theme" Target="theme/theme1.xml"/><Relationship Id="rId47" Type="http://schemas.openxmlformats.org/officeDocument/2006/relationships/oleObject" Target="embeddings/oleObject19.bin"/><Relationship Id="rId68" Type="http://schemas.openxmlformats.org/officeDocument/2006/relationships/image" Target="media/image29.wmf"/><Relationship Id="rId89" Type="http://schemas.openxmlformats.org/officeDocument/2006/relationships/oleObject" Target="embeddings/oleObject40.bin"/><Relationship Id="rId112" Type="http://schemas.openxmlformats.org/officeDocument/2006/relationships/image" Target="media/image51.wmf"/><Relationship Id="rId133" Type="http://schemas.openxmlformats.org/officeDocument/2006/relationships/oleObject" Target="embeddings/oleObject62.bin"/><Relationship Id="rId154" Type="http://schemas.openxmlformats.org/officeDocument/2006/relationships/image" Target="media/image72.wmf"/><Relationship Id="rId175" Type="http://schemas.openxmlformats.org/officeDocument/2006/relationships/oleObject" Target="embeddings/oleObject83.bin"/><Relationship Id="rId196" Type="http://schemas.openxmlformats.org/officeDocument/2006/relationships/oleObject" Target="embeddings/oleObject94.bin"/><Relationship Id="rId200" Type="http://schemas.openxmlformats.org/officeDocument/2006/relationships/oleObject" Target="embeddings/oleObject96.bin"/><Relationship Id="rId16" Type="http://schemas.openxmlformats.org/officeDocument/2006/relationships/oleObject" Target="embeddings/oleObject3.bin"/><Relationship Id="rId221" Type="http://schemas.openxmlformats.org/officeDocument/2006/relationships/oleObject" Target="embeddings/oleObject114.bin"/><Relationship Id="rId242" Type="http://schemas.openxmlformats.org/officeDocument/2006/relationships/hyperlink" Target="https://www.usfoods.com/our-services/business-trends/american-dining-out-habits-2023.html" TargetMode="External"/><Relationship Id="rId37" Type="http://schemas.openxmlformats.org/officeDocument/2006/relationships/image" Target="media/image14.wmf"/><Relationship Id="rId58" Type="http://schemas.openxmlformats.org/officeDocument/2006/relationships/image" Target="media/image24.wmf"/><Relationship Id="rId79" Type="http://schemas.openxmlformats.org/officeDocument/2006/relationships/oleObject" Target="embeddings/oleObject35.bin"/><Relationship Id="rId102" Type="http://schemas.openxmlformats.org/officeDocument/2006/relationships/oleObject" Target="embeddings/oleObject47.bin"/><Relationship Id="rId123" Type="http://schemas.openxmlformats.org/officeDocument/2006/relationships/oleObject" Target="embeddings/oleObject57.bin"/><Relationship Id="rId144" Type="http://schemas.openxmlformats.org/officeDocument/2006/relationships/image" Target="media/image67.wmf"/><Relationship Id="rId90" Type="http://schemas.openxmlformats.org/officeDocument/2006/relationships/image" Target="media/image40.wmf"/><Relationship Id="rId165" Type="http://schemas.openxmlformats.org/officeDocument/2006/relationships/oleObject" Target="embeddings/oleObject78.bin"/><Relationship Id="rId186" Type="http://schemas.openxmlformats.org/officeDocument/2006/relationships/image" Target="media/image88.wmf"/><Relationship Id="rId211" Type="http://schemas.openxmlformats.org/officeDocument/2006/relationships/oleObject" Target="embeddings/oleObject109.bin"/><Relationship Id="rId232" Type="http://schemas.openxmlformats.org/officeDocument/2006/relationships/footer" Target="footer1.xml"/><Relationship Id="rId27" Type="http://schemas.openxmlformats.org/officeDocument/2006/relationships/image" Target="media/image9.wmf"/><Relationship Id="rId48" Type="http://schemas.openxmlformats.org/officeDocument/2006/relationships/image" Target="media/image19.wmf"/><Relationship Id="rId69" Type="http://schemas.openxmlformats.org/officeDocument/2006/relationships/oleObject" Target="embeddings/oleObject30.bin"/><Relationship Id="rId113" Type="http://schemas.openxmlformats.org/officeDocument/2006/relationships/oleObject" Target="embeddings/oleObject52.bin"/><Relationship Id="rId134" Type="http://schemas.openxmlformats.org/officeDocument/2006/relationships/image" Target="media/image62.wmf"/><Relationship Id="rId80" Type="http://schemas.openxmlformats.org/officeDocument/2006/relationships/image" Target="media/image35.wmf"/><Relationship Id="rId155" Type="http://schemas.openxmlformats.org/officeDocument/2006/relationships/oleObject" Target="embeddings/oleObject73.bin"/><Relationship Id="rId176" Type="http://schemas.openxmlformats.org/officeDocument/2006/relationships/image" Target="media/image83.wmf"/><Relationship Id="rId197" Type="http://schemas.openxmlformats.org/officeDocument/2006/relationships/image" Target="media/image93.wmf"/><Relationship Id="rId201" Type="http://schemas.openxmlformats.org/officeDocument/2006/relationships/image" Target="media/image95.wmf"/><Relationship Id="rId222" Type="http://schemas.openxmlformats.org/officeDocument/2006/relationships/image" Target="media/image110.wmf"/><Relationship Id="rId243" Type="http://schemas.openxmlformats.org/officeDocument/2006/relationships/hyperlink" Target="https://www.yelpeconomicaverage.com/state-of-the-restaurant-industry-2022.html" TargetMode="External"/><Relationship Id="rId17" Type="http://schemas.openxmlformats.org/officeDocument/2006/relationships/image" Target="media/image4.wmf"/><Relationship Id="rId38" Type="http://schemas.openxmlformats.org/officeDocument/2006/relationships/oleObject" Target="embeddings/oleObject14.bin"/><Relationship Id="rId59" Type="http://schemas.openxmlformats.org/officeDocument/2006/relationships/oleObject" Target="embeddings/oleObject25.bin"/><Relationship Id="rId103" Type="http://schemas.openxmlformats.org/officeDocument/2006/relationships/image" Target="media/image46.wmf"/><Relationship Id="rId124" Type="http://schemas.openxmlformats.org/officeDocument/2006/relationships/image" Target="media/image57.wmf"/><Relationship Id="rId70" Type="http://schemas.openxmlformats.org/officeDocument/2006/relationships/image" Target="media/image30.wmf"/><Relationship Id="rId91" Type="http://schemas.openxmlformats.org/officeDocument/2006/relationships/oleObject" Target="embeddings/oleObject41.bin"/><Relationship Id="rId145" Type="http://schemas.openxmlformats.org/officeDocument/2006/relationships/oleObject" Target="embeddings/oleObject68.bin"/><Relationship Id="rId166" Type="http://schemas.openxmlformats.org/officeDocument/2006/relationships/image" Target="media/image78.wmf"/><Relationship Id="rId187" Type="http://schemas.openxmlformats.org/officeDocument/2006/relationships/oleObject" Target="embeddings/oleObject89.bin"/><Relationship Id="rId1" Type="http://schemas.openxmlformats.org/officeDocument/2006/relationships/customXml" Target="../customXml/item1.xml"/><Relationship Id="rId212" Type="http://schemas.openxmlformats.org/officeDocument/2006/relationships/image" Target="media/image105.wmf"/><Relationship Id="rId233" Type="http://schemas.openxmlformats.org/officeDocument/2006/relationships/hyperlink" Target="https://www.mckinsey.com/industries/technology-media-and-telecommunications/our-insights/ordering-in-the-rapid-evolution-of-food-delivery" TargetMode="External"/><Relationship Id="rId28" Type="http://schemas.openxmlformats.org/officeDocument/2006/relationships/oleObject" Target="embeddings/oleObject9.bin"/><Relationship Id="rId49" Type="http://schemas.openxmlformats.org/officeDocument/2006/relationships/oleObject" Target="embeddings/oleObject20.bin"/><Relationship Id="rId114" Type="http://schemas.openxmlformats.org/officeDocument/2006/relationships/image" Target="media/image52.wmf"/><Relationship Id="rId60" Type="http://schemas.openxmlformats.org/officeDocument/2006/relationships/image" Target="media/image25.wmf"/><Relationship Id="rId81" Type="http://schemas.openxmlformats.org/officeDocument/2006/relationships/oleObject" Target="embeddings/oleObject36.bin"/><Relationship Id="rId135" Type="http://schemas.openxmlformats.org/officeDocument/2006/relationships/oleObject" Target="embeddings/oleObject63.bin"/><Relationship Id="rId156" Type="http://schemas.openxmlformats.org/officeDocument/2006/relationships/image" Target="media/image73.wmf"/><Relationship Id="rId177" Type="http://schemas.openxmlformats.org/officeDocument/2006/relationships/oleObject" Target="embeddings/oleObject84.bin"/><Relationship Id="rId198" Type="http://schemas.openxmlformats.org/officeDocument/2006/relationships/oleObject" Target="embeddings/oleObject95.bin"/><Relationship Id="rId202" Type="http://schemas.openxmlformats.org/officeDocument/2006/relationships/oleObject" Target="embeddings/oleObject97.bin"/><Relationship Id="rId223" Type="http://schemas.openxmlformats.org/officeDocument/2006/relationships/oleObject" Target="embeddings/oleObject115.bin"/><Relationship Id="rId244" Type="http://schemas.openxmlformats.org/officeDocument/2006/relationships/hyperlink" Target="https://docs.developer.yelp.com/docs/fusion-intro" TargetMode="External"/><Relationship Id="rId18" Type="http://schemas.openxmlformats.org/officeDocument/2006/relationships/oleObject" Target="embeddings/oleObject4.bin"/><Relationship Id="rId39" Type="http://schemas.openxmlformats.org/officeDocument/2006/relationships/image" Target="media/image15.wmf"/><Relationship Id="rId50" Type="http://schemas.openxmlformats.org/officeDocument/2006/relationships/image" Target="media/image20.wmf"/><Relationship Id="rId104" Type="http://schemas.openxmlformats.org/officeDocument/2006/relationships/oleObject" Target="embeddings/oleObject48.bin"/><Relationship Id="rId125" Type="http://schemas.openxmlformats.org/officeDocument/2006/relationships/oleObject" Target="embeddings/oleObject58.bin"/><Relationship Id="rId146" Type="http://schemas.openxmlformats.org/officeDocument/2006/relationships/image" Target="media/image68.wmf"/><Relationship Id="rId167" Type="http://schemas.openxmlformats.org/officeDocument/2006/relationships/oleObject" Target="embeddings/oleObject79.bin"/><Relationship Id="rId188" Type="http://schemas.openxmlformats.org/officeDocument/2006/relationships/image" Target="media/image89.wmf"/><Relationship Id="rId71" Type="http://schemas.openxmlformats.org/officeDocument/2006/relationships/oleObject" Target="embeddings/oleObject31.bin"/><Relationship Id="rId92" Type="http://schemas.openxmlformats.org/officeDocument/2006/relationships/image" Target="media/image41.wmf"/><Relationship Id="rId213" Type="http://schemas.openxmlformats.org/officeDocument/2006/relationships/oleObject" Target="embeddings/oleObject110.bin"/><Relationship Id="rId234" Type="http://schemas.openxmlformats.org/officeDocument/2006/relationships/hyperlink" Target="https://www.areavibes.com/methodology/" TargetMode="External"/><Relationship Id="rId2" Type="http://schemas.openxmlformats.org/officeDocument/2006/relationships/numbering" Target="numbering.xml"/><Relationship Id="rId29" Type="http://schemas.openxmlformats.org/officeDocument/2006/relationships/image" Target="media/image10.wmf"/><Relationship Id="rId40" Type="http://schemas.openxmlformats.org/officeDocument/2006/relationships/oleObject" Target="embeddings/oleObject15.bin"/><Relationship Id="rId115" Type="http://schemas.openxmlformats.org/officeDocument/2006/relationships/oleObject" Target="embeddings/oleObject53.bin"/><Relationship Id="rId136" Type="http://schemas.openxmlformats.org/officeDocument/2006/relationships/image" Target="media/image63.wmf"/><Relationship Id="rId157" Type="http://schemas.openxmlformats.org/officeDocument/2006/relationships/oleObject" Target="embeddings/oleObject74.bin"/><Relationship Id="rId178" Type="http://schemas.openxmlformats.org/officeDocument/2006/relationships/image" Target="media/image84.wmf"/><Relationship Id="rId61" Type="http://schemas.openxmlformats.org/officeDocument/2006/relationships/oleObject" Target="embeddings/oleObject26.bin"/><Relationship Id="rId82" Type="http://schemas.openxmlformats.org/officeDocument/2006/relationships/image" Target="media/image36.wmf"/><Relationship Id="rId199" Type="http://schemas.openxmlformats.org/officeDocument/2006/relationships/image" Target="media/image94.wmf"/><Relationship Id="rId203" Type="http://schemas.openxmlformats.org/officeDocument/2006/relationships/image" Target="media/image96.wmf"/><Relationship Id="rId19" Type="http://schemas.openxmlformats.org/officeDocument/2006/relationships/image" Target="media/image5.wmf"/><Relationship Id="rId224" Type="http://schemas.openxmlformats.org/officeDocument/2006/relationships/image" Target="media/image111.wmf"/><Relationship Id="rId245" Type="http://schemas.openxmlformats.org/officeDocument/2006/relationships/hyperlink" Target="https://today.yougov.com/topics/society/trackers/food-and-drink-frequency-restaurants" TargetMode="External"/><Relationship Id="rId30" Type="http://schemas.openxmlformats.org/officeDocument/2006/relationships/oleObject" Target="embeddings/oleObject10.bin"/><Relationship Id="rId105" Type="http://schemas.openxmlformats.org/officeDocument/2006/relationships/image" Target="media/image47.wmf"/><Relationship Id="rId126" Type="http://schemas.openxmlformats.org/officeDocument/2006/relationships/image" Target="media/image58.wmf"/><Relationship Id="rId147" Type="http://schemas.openxmlformats.org/officeDocument/2006/relationships/oleObject" Target="embeddings/oleObject69.bin"/><Relationship Id="rId168" Type="http://schemas.openxmlformats.org/officeDocument/2006/relationships/image" Target="media/image79.wmf"/><Relationship Id="rId51" Type="http://schemas.openxmlformats.org/officeDocument/2006/relationships/oleObject" Target="embeddings/oleObject21.bin"/><Relationship Id="rId72" Type="http://schemas.openxmlformats.org/officeDocument/2006/relationships/image" Target="media/image31.wmf"/><Relationship Id="rId93" Type="http://schemas.openxmlformats.org/officeDocument/2006/relationships/oleObject" Target="embeddings/oleObject42.bin"/><Relationship Id="rId189" Type="http://schemas.openxmlformats.org/officeDocument/2006/relationships/oleObject" Target="embeddings/oleObject90.bin"/><Relationship Id="rId3" Type="http://schemas.openxmlformats.org/officeDocument/2006/relationships/styles" Target="styles.xml"/><Relationship Id="rId214" Type="http://schemas.openxmlformats.org/officeDocument/2006/relationships/image" Target="media/image106.wmf"/><Relationship Id="rId235" Type="http://schemas.openxmlformats.org/officeDocument/2006/relationships/hyperlink" Target="https://www.epa.gov/sites/default/files/2021-06/documents/epa_sld_3.0_technicaldocumentationuserguide_may2021.pdf" TargetMode="External"/><Relationship Id="rId116" Type="http://schemas.openxmlformats.org/officeDocument/2006/relationships/image" Target="media/image53.wmf"/><Relationship Id="rId137" Type="http://schemas.openxmlformats.org/officeDocument/2006/relationships/oleObject" Target="embeddings/oleObject64.bin"/><Relationship Id="rId158" Type="http://schemas.openxmlformats.org/officeDocument/2006/relationships/image" Target="media/image74.wmf"/><Relationship Id="rId20" Type="http://schemas.openxmlformats.org/officeDocument/2006/relationships/oleObject" Target="embeddings/oleObject5.bin"/><Relationship Id="rId41" Type="http://schemas.openxmlformats.org/officeDocument/2006/relationships/oleObject" Target="embeddings/oleObject16.bin"/><Relationship Id="rId62" Type="http://schemas.openxmlformats.org/officeDocument/2006/relationships/image" Target="media/image26.wmf"/><Relationship Id="rId83" Type="http://schemas.openxmlformats.org/officeDocument/2006/relationships/oleObject" Target="embeddings/oleObject37.bin"/><Relationship Id="rId179" Type="http://schemas.openxmlformats.org/officeDocument/2006/relationships/oleObject" Target="embeddings/oleObject85.bin"/><Relationship Id="rId190" Type="http://schemas.openxmlformats.org/officeDocument/2006/relationships/image" Target="media/image90.wmf"/><Relationship Id="rId204" Type="http://schemas.openxmlformats.org/officeDocument/2006/relationships/oleObject" Target="embeddings/oleObject98.bin"/><Relationship Id="rId225" Type="http://schemas.openxmlformats.org/officeDocument/2006/relationships/oleObject" Target="embeddings/oleObject116.bin"/><Relationship Id="rId246" Type="http://schemas.openxmlformats.org/officeDocument/2006/relationships/image" Target="media/image115.png"/><Relationship Id="rId106" Type="http://schemas.openxmlformats.org/officeDocument/2006/relationships/oleObject" Target="embeddings/oleObject49.bin"/><Relationship Id="rId127" Type="http://schemas.openxmlformats.org/officeDocument/2006/relationships/oleObject" Target="embeddings/oleObject59.bin"/><Relationship Id="rId10" Type="http://schemas.openxmlformats.org/officeDocument/2006/relationships/hyperlink" Target="mailto:bhat@mail.utexas.edu" TargetMode="External"/><Relationship Id="rId31" Type="http://schemas.openxmlformats.org/officeDocument/2006/relationships/image" Target="media/image11.wmf"/><Relationship Id="rId52" Type="http://schemas.openxmlformats.org/officeDocument/2006/relationships/image" Target="media/image21.wmf"/><Relationship Id="rId73" Type="http://schemas.openxmlformats.org/officeDocument/2006/relationships/oleObject" Target="embeddings/oleObject32.bin"/><Relationship Id="rId94" Type="http://schemas.openxmlformats.org/officeDocument/2006/relationships/image" Target="media/image42.wmf"/><Relationship Id="rId148" Type="http://schemas.openxmlformats.org/officeDocument/2006/relationships/image" Target="media/image69.wmf"/><Relationship Id="rId169" Type="http://schemas.openxmlformats.org/officeDocument/2006/relationships/oleObject" Target="embeddings/oleObject80.bin"/></Relationships>
</file>

<file path=word/_rels/footnotes.xml.rels><?xml version="1.0" encoding="UTF-8" standalone="yes"?>
<Relationships xmlns="http://schemas.openxmlformats.org/package/2006/relationships"><Relationship Id="rId8" Type="http://schemas.openxmlformats.org/officeDocument/2006/relationships/oleObject" Target="embeddings/oleObject104.bin"/><Relationship Id="rId3" Type="http://schemas.openxmlformats.org/officeDocument/2006/relationships/image" Target="media/image99.wmf"/><Relationship Id="rId7" Type="http://schemas.openxmlformats.org/officeDocument/2006/relationships/image" Target="media/image101.wmf"/><Relationship Id="rId12" Type="http://schemas.openxmlformats.org/officeDocument/2006/relationships/oleObject" Target="embeddings/oleObject106.bin"/><Relationship Id="rId2" Type="http://schemas.openxmlformats.org/officeDocument/2006/relationships/oleObject" Target="embeddings/oleObject101.bin"/><Relationship Id="rId1" Type="http://schemas.openxmlformats.org/officeDocument/2006/relationships/image" Target="media/image98.wmf"/><Relationship Id="rId6" Type="http://schemas.openxmlformats.org/officeDocument/2006/relationships/oleObject" Target="embeddings/oleObject103.bin"/><Relationship Id="rId11" Type="http://schemas.openxmlformats.org/officeDocument/2006/relationships/image" Target="media/image103.wmf"/><Relationship Id="rId5" Type="http://schemas.openxmlformats.org/officeDocument/2006/relationships/image" Target="media/image100.wmf"/><Relationship Id="rId10" Type="http://schemas.openxmlformats.org/officeDocument/2006/relationships/oleObject" Target="embeddings/oleObject105.bin"/><Relationship Id="rId4" Type="http://schemas.openxmlformats.org/officeDocument/2006/relationships/oleObject" Target="embeddings/oleObject102.bin"/><Relationship Id="rId9" Type="http://schemas.openxmlformats.org/officeDocument/2006/relationships/image" Target="media/image102.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2EA907-6C93-49C4-981B-899636317F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51</Pages>
  <Words>21525</Words>
  <Characters>212062</Characters>
  <Application>Microsoft Office Word</Application>
  <DocSecurity>0</DocSecurity>
  <Lines>1767</Lines>
  <Paragraphs>466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233121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Haddad, Angela</dc:creator>
  <cp:keywords/>
  <dc:description/>
  <cp:lastModifiedBy>Macias, Lisa J</cp:lastModifiedBy>
  <cp:revision>2</cp:revision>
  <cp:lastPrinted>2024-08-22T02:44:00Z</cp:lastPrinted>
  <dcterms:created xsi:type="dcterms:W3CDTF">2024-11-15T16:58:00Z</dcterms:created>
  <dcterms:modified xsi:type="dcterms:W3CDTF">2024-11-15T16:58:00Z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zotero-version="6.0.36"&gt;&lt;session id="S7alRjYk"/&gt;&lt;style id="http://www.zotero.org/styles/apa" locale="en-US" hasBibliography="1" bibliographyStyleHasBeenSet="1"/&gt;&lt;prefs&gt;&lt;pref name="fieldType" value="Field"/&gt;&lt;/prefs&gt;&lt;/data&gt;</vt:lpwstr>
  </property>
  <property fmtid="{D5CDD505-2E9C-101B-9397-08002B2CF9AE}" pid="3" name="MTWinEqns">
    <vt:bool>true</vt:bool>
  </property>
  <property fmtid="{D5CDD505-2E9C-101B-9397-08002B2CF9AE}" pid="4" name="GrammarlyDocumentId">
    <vt:lpwstr>5a982ca1c720548c938f6c27502ea624b2c8e044bef6cac8ee92112d80a34f29</vt:lpwstr>
  </property>
</Properties>
</file>